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749D" w:rsidP="00884A6D" w14:paraId="1AEB8874" w14:textId="77777777">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C2749D" w:rsidP="000512C2" w14:paraId="58DE9B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00C2749D" w:rsidRPr="00391598" w:rsidP="00884A6D" w14:paraId="6EEF953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U.S. DEPARTMENT OF THE INTERIOR</w:t>
      </w:r>
    </w:p>
    <w:p w:rsidR="00C2749D" w:rsidRPr="00391598" w:rsidP="00884A6D" w14:paraId="783D62F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BUREAU OF LAND MANAGEMENT</w:t>
      </w:r>
    </w:p>
    <w:p w:rsidR="00C2749D" w:rsidRPr="00391598" w:rsidP="00884A6D" w14:paraId="660A3F8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2749D" w:rsidRPr="00391598" w:rsidP="00884A6D" w14:paraId="3233CE8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r w:rsidRPr="00391598">
        <w:rPr>
          <w:rFonts w:ascii="Times New Roman" w:hAnsi="Times New Roman"/>
          <w:b/>
          <w:bCs/>
          <w:sz w:val="20"/>
          <w:szCs w:val="20"/>
        </w:rPr>
        <w:t xml:space="preserve">PAPERWORK REDUCTION ACT SUBMISSION </w:t>
      </w:r>
    </w:p>
    <w:p w:rsidR="00736D80" w:rsidRPr="00391598" w:rsidP="00884A6D" w14:paraId="0886B22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391598">
        <w:rPr>
          <w:rFonts w:ascii="Times New Roman" w:hAnsi="Times New Roman"/>
          <w:b/>
          <w:bCs/>
          <w:caps/>
          <w:sz w:val="20"/>
          <w:szCs w:val="20"/>
        </w:rPr>
        <w:t xml:space="preserve">Supporting Statement </w:t>
      </w:r>
      <w:r w:rsidRPr="00391598" w:rsidR="00C2749D">
        <w:rPr>
          <w:rFonts w:ascii="Times New Roman" w:hAnsi="Times New Roman"/>
          <w:b/>
          <w:bCs/>
          <w:caps/>
          <w:sz w:val="20"/>
          <w:szCs w:val="20"/>
        </w:rPr>
        <w:t xml:space="preserve">part </w:t>
      </w:r>
      <w:r w:rsidRPr="00391598">
        <w:rPr>
          <w:rFonts w:ascii="Times New Roman" w:hAnsi="Times New Roman"/>
          <w:b/>
          <w:bCs/>
          <w:caps/>
          <w:sz w:val="20"/>
          <w:szCs w:val="20"/>
        </w:rPr>
        <w:t>A</w:t>
      </w:r>
    </w:p>
    <w:p w:rsidR="00736D80" w:rsidRPr="00391598" w:rsidP="00884A6D" w14:paraId="326DB3A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0"/>
          <w:szCs w:val="20"/>
        </w:rPr>
      </w:pPr>
    </w:p>
    <w:p w:rsidR="00C96780" w:rsidRPr="00391598" w:rsidP="00884A6D" w14:paraId="3592B317" w14:textId="77777777">
      <w:pPr>
        <w:tabs>
          <w:tab w:val="left" w:pos="360"/>
          <w:tab w:val="left" w:pos="630"/>
        </w:tabs>
        <w:jc w:val="center"/>
        <w:rPr>
          <w:rFonts w:ascii="Times New Roman" w:hAnsi="Times New Roman"/>
          <w:b/>
          <w:sz w:val="20"/>
          <w:szCs w:val="20"/>
        </w:rPr>
      </w:pPr>
      <w:r w:rsidRPr="00391598">
        <w:rPr>
          <w:rFonts w:ascii="Times New Roman" w:hAnsi="Times New Roman"/>
          <w:b/>
          <w:sz w:val="20"/>
          <w:szCs w:val="20"/>
        </w:rPr>
        <w:t>ONSHORE OIL AND GAS OPERATIONS AND PRODUCTION</w:t>
      </w:r>
    </w:p>
    <w:p w:rsidR="00736D80" w:rsidRPr="00391598" w:rsidP="00884A6D" w14:paraId="57ED3885" w14:textId="58998D4B">
      <w:pPr>
        <w:tabs>
          <w:tab w:val="left" w:pos="360"/>
          <w:tab w:val="left" w:pos="630"/>
        </w:tabs>
        <w:jc w:val="center"/>
        <w:rPr>
          <w:rFonts w:ascii="Times New Roman" w:hAnsi="Times New Roman"/>
          <w:b/>
          <w:sz w:val="20"/>
          <w:szCs w:val="20"/>
        </w:rPr>
      </w:pPr>
      <w:r w:rsidRPr="00391598">
        <w:rPr>
          <w:rFonts w:ascii="Times New Roman" w:hAnsi="Times New Roman"/>
          <w:b/>
          <w:sz w:val="20"/>
          <w:szCs w:val="20"/>
        </w:rPr>
        <w:t xml:space="preserve">43 CFR PART </w:t>
      </w:r>
      <w:r w:rsidRPr="00391598" w:rsidR="00701E3B">
        <w:rPr>
          <w:rFonts w:ascii="Times New Roman" w:hAnsi="Times New Roman"/>
          <w:b/>
          <w:sz w:val="20"/>
          <w:szCs w:val="20"/>
        </w:rPr>
        <w:t>3170</w:t>
      </w:r>
    </w:p>
    <w:p w:rsidR="00736D80" w:rsidRPr="00391598" w:rsidP="00884A6D" w14:paraId="429E24E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0"/>
          <w:szCs w:val="20"/>
        </w:rPr>
      </w:pPr>
    </w:p>
    <w:p w:rsidR="00736D80" w:rsidRPr="00391598" w:rsidP="00884A6D" w14:paraId="47F9880E" w14:textId="77777777">
      <w:pPr>
        <w:pBdr>
          <w:bottom w:val="single" w:sz="6" w:space="1" w:color="auto"/>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sz w:val="20"/>
          <w:szCs w:val="20"/>
        </w:rPr>
      </w:pPr>
      <w:r w:rsidRPr="00391598">
        <w:rPr>
          <w:rFonts w:ascii="Times New Roman" w:hAnsi="Times New Roman"/>
          <w:b/>
          <w:bCs/>
          <w:caps/>
          <w:sz w:val="20"/>
          <w:szCs w:val="20"/>
        </w:rPr>
        <w:t>OMB Control Number 1004-0137</w:t>
      </w:r>
    </w:p>
    <w:p w:rsidR="00736D80" w:rsidRPr="00391598" w:rsidP="000512C2" w14:paraId="4AE563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972FD2" w:rsidRPr="00391598" w:rsidP="00972FD2" w14:paraId="5D22D927" w14:textId="179233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sz w:val="20"/>
          <w:szCs w:val="20"/>
        </w:rPr>
        <w:t>Terms of Clearance:</w:t>
      </w:r>
      <w:r w:rsidRPr="00391598">
        <w:rPr>
          <w:rFonts w:ascii="Times New Roman" w:hAnsi="Times New Roman"/>
          <w:sz w:val="20"/>
          <w:szCs w:val="20"/>
        </w:rPr>
        <w:t xml:space="preserve"> Not applicable. The Office of Management and Budget (OMB) provided no Terms of Clearance when it last approved the collections of information under this OMB Control Number (see OMB Notice of Action dated </w:t>
      </w:r>
      <w:r w:rsidRPr="00391598" w:rsidR="00B92DFD">
        <w:rPr>
          <w:rFonts w:ascii="Times New Roman" w:hAnsi="Times New Roman"/>
          <w:sz w:val="20"/>
          <w:szCs w:val="20"/>
        </w:rPr>
        <w:t>January 26</w:t>
      </w:r>
      <w:r w:rsidRPr="00391598" w:rsidR="00823306">
        <w:rPr>
          <w:rFonts w:ascii="Times New Roman" w:hAnsi="Times New Roman"/>
          <w:sz w:val="20"/>
          <w:szCs w:val="20"/>
        </w:rPr>
        <w:t>, 2</w:t>
      </w:r>
      <w:r w:rsidRPr="00391598" w:rsidR="00B92DFD">
        <w:rPr>
          <w:rFonts w:ascii="Times New Roman" w:hAnsi="Times New Roman"/>
          <w:sz w:val="20"/>
          <w:szCs w:val="20"/>
        </w:rPr>
        <w:t>022</w:t>
      </w:r>
      <w:r w:rsidRPr="00391598">
        <w:rPr>
          <w:rFonts w:ascii="Times New Roman" w:hAnsi="Times New Roman"/>
          <w:sz w:val="20"/>
          <w:szCs w:val="20"/>
        </w:rPr>
        <w:t>).</w:t>
      </w:r>
    </w:p>
    <w:p w:rsidR="00736D80" w:rsidRPr="00391598" w:rsidP="00972FD2" w14:paraId="1CF1A79A" w14:textId="673231C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391598" w:rsidP="00BF6FE9" w14:paraId="7DB79123" w14:textId="1B3D3EC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bCs/>
          <w:sz w:val="20"/>
          <w:szCs w:val="20"/>
        </w:rPr>
        <w:t xml:space="preserve">Abstract: </w:t>
      </w:r>
      <w:r w:rsidRPr="00391598">
        <w:rPr>
          <w:rFonts w:ascii="Times New Roman" w:hAnsi="Times New Roman"/>
          <w:sz w:val="20"/>
          <w:szCs w:val="20"/>
        </w:rPr>
        <w:t xml:space="preserve">Various Federal and Indian mineral leasing statutes authorize the Bureau of Land Management (BLM) to grant and manage onshore oil and gas leases on Federal and Indian (except Osage Tribe) lands. </w:t>
      </w:r>
      <w:r w:rsidRPr="00391598">
        <w:rPr>
          <w:rFonts w:ascii="Times New Roman" w:hAnsi="Times New Roman"/>
          <w:sz w:val="20"/>
          <w:szCs w:val="20"/>
        </w:rPr>
        <w:t>In order to</w:t>
      </w:r>
      <w:r w:rsidRPr="00391598">
        <w:rPr>
          <w:rFonts w:ascii="Times New Roman" w:hAnsi="Times New Roman"/>
          <w:sz w:val="20"/>
          <w:szCs w:val="20"/>
        </w:rPr>
        <w:t xml:space="preserve"> fulfill its responsibilities under these statutes, the BLM needs to perform the information collection (IC) activities set forth in the regulations at 43 CFR parts</w:t>
      </w:r>
      <w:r w:rsidR="000C6A8F">
        <w:rPr>
          <w:rFonts w:ascii="Times New Roman" w:hAnsi="Times New Roman"/>
          <w:sz w:val="20"/>
          <w:szCs w:val="20"/>
        </w:rPr>
        <w:t xml:space="preserve"> </w:t>
      </w:r>
      <w:r w:rsidRPr="00391598">
        <w:rPr>
          <w:rFonts w:ascii="Times New Roman" w:hAnsi="Times New Roman"/>
          <w:sz w:val="20"/>
          <w:szCs w:val="20"/>
        </w:rPr>
        <w:t>3170</w:t>
      </w:r>
      <w:r w:rsidRPr="00391598" w:rsidR="00217227">
        <w:rPr>
          <w:rFonts w:ascii="Times New Roman" w:hAnsi="Times New Roman"/>
          <w:sz w:val="20"/>
          <w:szCs w:val="20"/>
        </w:rPr>
        <w:t>.</w:t>
      </w:r>
      <w:r w:rsidRPr="00391598">
        <w:rPr>
          <w:rFonts w:ascii="Times New Roman" w:hAnsi="Times New Roman"/>
          <w:sz w:val="20"/>
          <w:szCs w:val="20"/>
        </w:rPr>
        <w:t xml:space="preserve"> </w:t>
      </w:r>
      <w:r w:rsidRPr="00391598" w:rsidR="00823306">
        <w:rPr>
          <w:rFonts w:ascii="Times New Roman" w:hAnsi="Times New Roman"/>
          <w:sz w:val="20"/>
          <w:szCs w:val="20"/>
        </w:rPr>
        <w:t xml:space="preserve">This OMB control number is currently scheduled to expire January 31, </w:t>
      </w:r>
      <w:r w:rsidRPr="00391598" w:rsidR="004A69D2">
        <w:rPr>
          <w:rFonts w:ascii="Times New Roman" w:hAnsi="Times New Roman"/>
          <w:sz w:val="20"/>
          <w:szCs w:val="20"/>
        </w:rPr>
        <w:t xml:space="preserve">2025. </w:t>
      </w:r>
      <w:r w:rsidRPr="00391598">
        <w:rPr>
          <w:rFonts w:ascii="Times New Roman" w:hAnsi="Times New Roman"/>
          <w:sz w:val="20"/>
          <w:szCs w:val="20"/>
        </w:rPr>
        <w:t>The BLM requests th</w:t>
      </w:r>
      <w:r w:rsidRPr="00391598" w:rsidR="009254D5">
        <w:rPr>
          <w:rFonts w:ascii="Times New Roman" w:hAnsi="Times New Roman"/>
          <w:sz w:val="20"/>
          <w:szCs w:val="20"/>
        </w:rPr>
        <w:t>at</w:t>
      </w:r>
      <w:r w:rsidRPr="00391598">
        <w:rPr>
          <w:rFonts w:ascii="Times New Roman" w:hAnsi="Times New Roman"/>
          <w:sz w:val="20"/>
          <w:szCs w:val="20"/>
        </w:rPr>
        <w:t xml:space="preserve"> OMB </w:t>
      </w:r>
      <w:r w:rsidRPr="00391598" w:rsidR="009254D5">
        <w:rPr>
          <w:rFonts w:ascii="Times New Roman" w:hAnsi="Times New Roman"/>
          <w:sz w:val="20"/>
          <w:szCs w:val="20"/>
        </w:rPr>
        <w:t xml:space="preserve">renew </w:t>
      </w:r>
      <w:r w:rsidRPr="00391598" w:rsidR="004A69D2">
        <w:rPr>
          <w:rFonts w:ascii="Times New Roman" w:hAnsi="Times New Roman"/>
          <w:sz w:val="20"/>
          <w:szCs w:val="20"/>
        </w:rPr>
        <w:t>this</w:t>
      </w:r>
      <w:r w:rsidR="007D0772">
        <w:t xml:space="preserve"> </w:t>
      </w:r>
      <w:r w:rsidRPr="00574709" w:rsidR="00574709">
        <w:rPr>
          <w:rFonts w:ascii="Times New Roman" w:hAnsi="Times New Roman"/>
          <w:sz w:val="20"/>
          <w:szCs w:val="20"/>
        </w:rPr>
        <w:t>OMB</w:t>
      </w:r>
      <w:r w:rsidRPr="00391598" w:rsidR="004A69D2">
        <w:rPr>
          <w:rFonts w:ascii="Times New Roman" w:hAnsi="Times New Roman"/>
          <w:sz w:val="20"/>
          <w:szCs w:val="20"/>
        </w:rPr>
        <w:t xml:space="preserve"> </w:t>
      </w:r>
      <w:r w:rsidRPr="00391598">
        <w:rPr>
          <w:rFonts w:ascii="Times New Roman" w:hAnsi="Times New Roman"/>
          <w:sz w:val="20"/>
          <w:szCs w:val="20"/>
        </w:rPr>
        <w:t>control number for an additional three (3) years.</w:t>
      </w:r>
    </w:p>
    <w:p w:rsidR="00736D80" w:rsidRPr="00391598" w:rsidP="00884A6D" w14:paraId="0647F5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736D80" w:rsidRPr="00391598" w:rsidP="00884A6D" w14:paraId="11B0B6D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r w:rsidRPr="00391598">
        <w:rPr>
          <w:rFonts w:ascii="Times New Roman" w:hAnsi="Times New Roman"/>
          <w:b/>
          <w:bCs/>
          <w:sz w:val="20"/>
          <w:szCs w:val="20"/>
        </w:rPr>
        <w:t>Justification</w:t>
      </w:r>
    </w:p>
    <w:p w:rsidR="007154C0" w:rsidRPr="00391598" w:rsidP="00884A6D" w14:paraId="43634AD8" w14:textId="77777777">
      <w:pPr>
        <w:tabs>
          <w:tab w:val="left" w:pos="360"/>
          <w:tab w:val="left" w:pos="630"/>
        </w:tabs>
        <w:rPr>
          <w:rFonts w:ascii="Times New Roman" w:hAnsi="Times New Roman"/>
          <w:sz w:val="20"/>
          <w:szCs w:val="20"/>
        </w:rPr>
      </w:pPr>
    </w:p>
    <w:p w:rsidR="00C827C3" w:rsidRPr="00391598" w:rsidP="00884A6D" w14:paraId="533B1A2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w:t>
      </w:r>
      <w:r w:rsidRPr="00391598">
        <w:rPr>
          <w:rFonts w:ascii="Times New Roman" w:hAnsi="Times New Roman"/>
          <w:b/>
          <w:sz w:val="20"/>
          <w:szCs w:val="20"/>
        </w:rPr>
        <w:tab/>
        <w:t>Explain the circumstances that make the collection of information necessary.  Identify any legal or administrative requirements that necessitate the collection.</w:t>
      </w:r>
    </w:p>
    <w:p w:rsidR="00633E45" w:rsidRPr="00391598" w:rsidP="00884A6D" w14:paraId="36902B89" w14:textId="77777777">
      <w:pPr>
        <w:tabs>
          <w:tab w:val="left" w:pos="360"/>
          <w:tab w:val="left" w:pos="630"/>
        </w:tabs>
        <w:rPr>
          <w:rFonts w:ascii="Times New Roman" w:hAnsi="Times New Roman"/>
          <w:sz w:val="20"/>
          <w:szCs w:val="20"/>
        </w:rPr>
      </w:pPr>
    </w:p>
    <w:p w:rsidR="009C05A8" w:rsidRPr="00391598" w:rsidP="009C05A8" w14:paraId="7B58820E"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BLM collects information in support of its regulations to ensure that oil and gas owned by the public, Indian allotees, or Indian tribes is safely drilled and produced. The BLM IC activities also ensure the fluid minerals are accurately measured, and properly reported for the royalty obligation. The rules that this OMB control number covers provide documentation that the public and Indian mineral interest owners are receiving a fair return for their minerals. </w:t>
      </w:r>
    </w:p>
    <w:p w:rsidR="00F9471E" w:rsidRPr="00391598" w:rsidP="00884A6D" w14:paraId="107EDD53" w14:textId="77777777">
      <w:pPr>
        <w:tabs>
          <w:tab w:val="left" w:pos="360"/>
          <w:tab w:val="left" w:pos="630"/>
        </w:tabs>
        <w:rPr>
          <w:rFonts w:ascii="Times New Roman" w:hAnsi="Times New Roman"/>
          <w:sz w:val="20"/>
          <w:szCs w:val="20"/>
        </w:rPr>
      </w:pPr>
    </w:p>
    <w:p w:rsidR="007154C0" w:rsidRPr="00391598" w:rsidP="00884A6D" w14:paraId="210CB41F" w14:textId="234C0608">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w:t>
      </w:r>
      <w:r w:rsidRPr="00391598" w:rsidR="007840DE">
        <w:rPr>
          <w:rFonts w:ascii="Times New Roman" w:hAnsi="Times New Roman"/>
          <w:sz w:val="20"/>
          <w:szCs w:val="20"/>
        </w:rPr>
        <w:t xml:space="preserve">following statutes authorize the </w:t>
      </w:r>
      <w:r w:rsidRPr="00391598">
        <w:rPr>
          <w:rFonts w:ascii="Times New Roman" w:hAnsi="Times New Roman"/>
          <w:sz w:val="20"/>
          <w:szCs w:val="20"/>
        </w:rPr>
        <w:t xml:space="preserve">Bureau of Land Management (BLM) </w:t>
      </w:r>
      <w:r w:rsidRPr="00391598" w:rsidR="007840DE">
        <w:rPr>
          <w:rFonts w:ascii="Times New Roman" w:hAnsi="Times New Roman"/>
          <w:sz w:val="20"/>
          <w:szCs w:val="20"/>
        </w:rPr>
        <w:t xml:space="preserve">to collect </w:t>
      </w:r>
      <w:r w:rsidRPr="00391598">
        <w:rPr>
          <w:rFonts w:ascii="Times New Roman" w:hAnsi="Times New Roman"/>
          <w:sz w:val="20"/>
          <w:szCs w:val="20"/>
        </w:rPr>
        <w:t xml:space="preserve">information from those who wish to </w:t>
      </w:r>
      <w:r w:rsidRPr="00391598" w:rsidR="00474088">
        <w:rPr>
          <w:rFonts w:ascii="Times New Roman" w:hAnsi="Times New Roman"/>
          <w:sz w:val="20"/>
          <w:szCs w:val="20"/>
        </w:rPr>
        <w:t xml:space="preserve">participate in the exploration, development, </w:t>
      </w:r>
      <w:r w:rsidRPr="00391598" w:rsidR="00FA06BB">
        <w:rPr>
          <w:rFonts w:ascii="Times New Roman" w:hAnsi="Times New Roman"/>
          <w:sz w:val="20"/>
          <w:szCs w:val="20"/>
        </w:rPr>
        <w:t xml:space="preserve">production, </w:t>
      </w:r>
      <w:r w:rsidRPr="00391598" w:rsidR="00474088">
        <w:rPr>
          <w:rFonts w:ascii="Times New Roman" w:hAnsi="Times New Roman"/>
          <w:sz w:val="20"/>
          <w:szCs w:val="20"/>
        </w:rPr>
        <w:t xml:space="preserve">and utilization of </w:t>
      </w:r>
      <w:r w:rsidRPr="00391598" w:rsidR="00BF342C">
        <w:rPr>
          <w:rFonts w:ascii="Times New Roman" w:hAnsi="Times New Roman"/>
          <w:sz w:val="20"/>
          <w:szCs w:val="20"/>
        </w:rPr>
        <w:t xml:space="preserve">oil and gas operations </w:t>
      </w:r>
      <w:r w:rsidRPr="00391598" w:rsidR="00474088">
        <w:rPr>
          <w:rFonts w:ascii="Times New Roman" w:hAnsi="Times New Roman"/>
          <w:sz w:val="20"/>
          <w:szCs w:val="20"/>
        </w:rPr>
        <w:t>on BLM-managed public lands</w:t>
      </w:r>
      <w:r w:rsidRPr="00391598">
        <w:rPr>
          <w:rFonts w:ascii="Times New Roman" w:hAnsi="Times New Roman"/>
          <w:sz w:val="20"/>
          <w:szCs w:val="20"/>
        </w:rPr>
        <w:t>:</w:t>
      </w:r>
    </w:p>
    <w:p w:rsidR="007154C0" w:rsidRPr="00391598" w:rsidP="00884A6D" w14:paraId="7F66D6BC" w14:textId="77777777">
      <w:pPr>
        <w:tabs>
          <w:tab w:val="left" w:pos="360"/>
          <w:tab w:val="left" w:pos="630"/>
        </w:tabs>
        <w:rPr>
          <w:rFonts w:ascii="Times New Roman" w:hAnsi="Times New Roman"/>
          <w:sz w:val="20"/>
          <w:szCs w:val="20"/>
        </w:rPr>
      </w:pPr>
    </w:p>
    <w:p w:rsidR="00091758" w:rsidRPr="00391598" w:rsidP="00613C1C" w14:paraId="2748E375" w14:textId="77777777">
      <w:pPr>
        <w:numPr>
          <w:ilvl w:val="0"/>
          <w:numId w:val="1"/>
        </w:numPr>
        <w:tabs>
          <w:tab w:val="left" w:pos="360"/>
          <w:tab w:val="left" w:pos="630"/>
        </w:tabs>
        <w:rPr>
          <w:rFonts w:ascii="Times New Roman" w:hAnsi="Times New Roman"/>
          <w:sz w:val="20"/>
          <w:szCs w:val="20"/>
        </w:rPr>
      </w:pPr>
      <w:bookmarkStart w:id="0" w:name="_Hlk66343306"/>
      <w:r w:rsidRPr="00391598">
        <w:rPr>
          <w:rFonts w:ascii="Times New Roman" w:hAnsi="Times New Roman"/>
          <w:sz w:val="20"/>
          <w:szCs w:val="20"/>
        </w:rPr>
        <w:t xml:space="preserve">Chapter 3A, </w:t>
      </w:r>
      <w:r w:rsidRPr="00391598" w:rsidR="008E0DE3">
        <w:rPr>
          <w:rFonts w:ascii="Times New Roman" w:hAnsi="Times New Roman"/>
          <w:sz w:val="20"/>
          <w:szCs w:val="20"/>
        </w:rPr>
        <w:t>Subchapter I of t</w:t>
      </w:r>
      <w:r w:rsidRPr="00391598" w:rsidR="00A85088">
        <w:rPr>
          <w:rFonts w:ascii="Times New Roman" w:hAnsi="Times New Roman"/>
          <w:sz w:val="20"/>
          <w:szCs w:val="20"/>
        </w:rPr>
        <w:t xml:space="preserve">he </w:t>
      </w:r>
      <w:r w:rsidRPr="00391598" w:rsidR="008E0DE3">
        <w:rPr>
          <w:rFonts w:ascii="Times New Roman" w:hAnsi="Times New Roman"/>
          <w:sz w:val="20"/>
          <w:szCs w:val="20"/>
        </w:rPr>
        <w:t xml:space="preserve">Mineral Leasing Act, </w:t>
      </w:r>
      <w:r w:rsidRPr="00391598" w:rsidR="007154C0">
        <w:rPr>
          <w:rFonts w:ascii="Times New Roman" w:hAnsi="Times New Roman"/>
          <w:sz w:val="20"/>
          <w:szCs w:val="20"/>
        </w:rPr>
        <w:t xml:space="preserve">30 U.S.C. </w:t>
      </w:r>
      <w:r w:rsidRPr="00391598" w:rsidR="007154C0">
        <w:rPr>
          <w:rFonts w:ascii="Times New Roman" w:hAnsi="Times New Roman"/>
          <w:sz w:val="20"/>
          <w:szCs w:val="20"/>
        </w:rPr>
        <w:t>181</w:t>
      </w:r>
      <w:r w:rsidRPr="00391598" w:rsidR="007840DE">
        <w:rPr>
          <w:rFonts w:ascii="Times New Roman" w:hAnsi="Times New Roman"/>
          <w:sz w:val="20"/>
          <w:szCs w:val="20"/>
        </w:rPr>
        <w:t>-</w:t>
      </w:r>
      <w:r w:rsidRPr="00391598" w:rsidR="008E0DE3">
        <w:rPr>
          <w:rFonts w:ascii="Times New Roman" w:hAnsi="Times New Roman"/>
          <w:sz w:val="20"/>
          <w:szCs w:val="20"/>
        </w:rPr>
        <w:t>196</w:t>
      </w:r>
      <w:r w:rsidRPr="00391598" w:rsidR="007154C0">
        <w:rPr>
          <w:rFonts w:ascii="Times New Roman" w:hAnsi="Times New Roman"/>
          <w:sz w:val="20"/>
          <w:szCs w:val="20"/>
        </w:rPr>
        <w:t>;</w:t>
      </w:r>
    </w:p>
    <w:p w:rsidR="00091758" w:rsidRPr="00391598" w:rsidP="00613C1C" w14:paraId="324ACE68" w14:textId="77777777">
      <w:pPr>
        <w:numPr>
          <w:ilvl w:val="0"/>
          <w:numId w:val="1"/>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Chapter 3A, </w:t>
      </w:r>
      <w:r w:rsidRPr="00391598" w:rsidR="008E0DE3">
        <w:rPr>
          <w:rFonts w:ascii="Times New Roman" w:hAnsi="Times New Roman"/>
          <w:sz w:val="20"/>
          <w:szCs w:val="20"/>
        </w:rPr>
        <w:t>Subchapter IV of the Mineral Leasing Act, 30 U.S.C. 223-</w:t>
      </w:r>
      <w:r w:rsidRPr="00391598" w:rsidR="008E0DE3">
        <w:rPr>
          <w:rFonts w:ascii="Times New Roman" w:hAnsi="Times New Roman"/>
          <w:sz w:val="20"/>
          <w:szCs w:val="20"/>
        </w:rPr>
        <w:t>236b;</w:t>
      </w:r>
    </w:p>
    <w:p w:rsidR="00091758" w:rsidRPr="00657A8E" w:rsidP="00613C1C" w14:paraId="7ADD2985" w14:textId="77777777">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The Mineral Leasing Act for Acquired Lands, 30 U.S.C. 351</w:t>
      </w:r>
      <w:r w:rsidRPr="00657A8E">
        <w:rPr>
          <w:rFonts w:ascii="Times New Roman" w:hAnsi="Times New Roman"/>
          <w:sz w:val="20"/>
          <w:szCs w:val="20"/>
        </w:rPr>
        <w:noBreakHyphen/>
      </w:r>
      <w:r w:rsidRPr="00657A8E">
        <w:rPr>
          <w:rFonts w:ascii="Times New Roman" w:hAnsi="Times New Roman"/>
          <w:sz w:val="20"/>
          <w:szCs w:val="20"/>
        </w:rPr>
        <w:t>360;</w:t>
      </w:r>
    </w:p>
    <w:p w:rsidR="00091758" w:rsidRPr="00657A8E" w:rsidP="005E61B8" w14:paraId="118EC6EF" w14:textId="2F98ADF2">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 xml:space="preserve">The </w:t>
      </w:r>
      <w:r w:rsidRPr="00657A8E" w:rsidR="00B540BF">
        <w:rPr>
          <w:rFonts w:ascii="Times New Roman" w:hAnsi="Times New Roman"/>
          <w:sz w:val="20"/>
          <w:szCs w:val="20"/>
        </w:rPr>
        <w:t>Federal Oil and Ga</w:t>
      </w:r>
      <w:r w:rsidRPr="00657A8E" w:rsidR="008E0DE3">
        <w:rPr>
          <w:rFonts w:ascii="Times New Roman" w:hAnsi="Times New Roman"/>
          <w:sz w:val="20"/>
          <w:szCs w:val="20"/>
        </w:rPr>
        <w:t xml:space="preserve">s Royalty Management Act, </w:t>
      </w:r>
      <w:r w:rsidRPr="00657A8E">
        <w:rPr>
          <w:rFonts w:ascii="Times New Roman" w:hAnsi="Times New Roman"/>
          <w:sz w:val="20"/>
          <w:szCs w:val="20"/>
        </w:rPr>
        <w:t>30 U.S.C. 1</w:t>
      </w:r>
      <w:r w:rsidRPr="00657A8E" w:rsidR="00B540BF">
        <w:rPr>
          <w:rFonts w:ascii="Times New Roman" w:hAnsi="Times New Roman"/>
          <w:sz w:val="20"/>
          <w:szCs w:val="20"/>
        </w:rPr>
        <w:t>701</w:t>
      </w:r>
      <w:r w:rsidRPr="00657A8E" w:rsidR="008E0DE3">
        <w:rPr>
          <w:rFonts w:ascii="Times New Roman" w:hAnsi="Times New Roman"/>
          <w:sz w:val="20"/>
          <w:szCs w:val="20"/>
        </w:rPr>
        <w:t>-175</w:t>
      </w:r>
      <w:r w:rsidRPr="00657A8E" w:rsidR="00586DDF">
        <w:rPr>
          <w:rFonts w:ascii="Times New Roman" w:hAnsi="Times New Roman"/>
          <w:sz w:val="20"/>
          <w:szCs w:val="20"/>
        </w:rPr>
        <w:t>9</w:t>
      </w:r>
      <w:r w:rsidRPr="00657A8E">
        <w:rPr>
          <w:rFonts w:ascii="Times New Roman" w:hAnsi="Times New Roman"/>
          <w:sz w:val="20"/>
          <w:szCs w:val="20"/>
        </w:rPr>
        <w:t>;</w:t>
      </w:r>
      <w:r w:rsidRPr="00657A8E" w:rsidR="00586DDF">
        <w:rPr>
          <w:rFonts w:ascii="Times New Roman" w:hAnsi="Times New Roman"/>
          <w:sz w:val="20"/>
          <w:szCs w:val="20"/>
        </w:rPr>
        <w:t xml:space="preserve"> and</w:t>
      </w:r>
    </w:p>
    <w:p w:rsidR="005B5037" w:rsidRPr="00391598" w:rsidP="005B5037" w14:paraId="5D915886" w14:textId="10BA44DA">
      <w:pPr>
        <w:numPr>
          <w:ilvl w:val="0"/>
          <w:numId w:val="1"/>
        </w:numPr>
        <w:tabs>
          <w:tab w:val="left" w:pos="360"/>
          <w:tab w:val="left" w:pos="630"/>
        </w:tabs>
        <w:rPr>
          <w:rFonts w:ascii="Times New Roman" w:hAnsi="Times New Roman"/>
          <w:sz w:val="20"/>
          <w:szCs w:val="20"/>
        </w:rPr>
      </w:pPr>
      <w:r w:rsidRPr="00657A8E">
        <w:rPr>
          <w:rFonts w:ascii="Times New Roman" w:hAnsi="Times New Roman"/>
          <w:sz w:val="20"/>
          <w:szCs w:val="20"/>
        </w:rPr>
        <w:t>The Federal Land Policy and Management Act, 43</w:t>
      </w:r>
      <w:r w:rsidRPr="00391598">
        <w:rPr>
          <w:rFonts w:ascii="Times New Roman" w:hAnsi="Times New Roman"/>
          <w:sz w:val="20"/>
          <w:szCs w:val="20"/>
        </w:rPr>
        <w:t xml:space="preserve"> U.S.C. 1701-178</w:t>
      </w:r>
      <w:r w:rsidRPr="00391598" w:rsidR="00586DDF">
        <w:rPr>
          <w:rFonts w:ascii="Times New Roman" w:hAnsi="Times New Roman"/>
          <w:sz w:val="20"/>
          <w:szCs w:val="20"/>
        </w:rPr>
        <w:t>7</w:t>
      </w:r>
      <w:r w:rsidRPr="00391598">
        <w:rPr>
          <w:rFonts w:ascii="Times New Roman" w:hAnsi="Times New Roman"/>
          <w:sz w:val="20"/>
          <w:szCs w:val="20"/>
        </w:rPr>
        <w:t>.</w:t>
      </w:r>
    </w:p>
    <w:bookmarkEnd w:id="0"/>
    <w:p w:rsidR="005B5037" w:rsidRPr="00391598" w:rsidP="00CB2247" w14:paraId="112938EC" w14:textId="77777777">
      <w:pPr>
        <w:tabs>
          <w:tab w:val="left" w:pos="360"/>
          <w:tab w:val="left" w:pos="630"/>
        </w:tabs>
        <w:rPr>
          <w:rFonts w:ascii="Times New Roman" w:hAnsi="Times New Roman"/>
          <w:sz w:val="20"/>
          <w:szCs w:val="20"/>
        </w:rPr>
      </w:pPr>
    </w:p>
    <w:p w:rsidR="00887774" w:rsidRPr="00391598" w:rsidP="00884A6D" w14:paraId="1A080D07" w14:textId="732DBC5F">
      <w:pPr>
        <w:tabs>
          <w:tab w:val="left" w:pos="360"/>
          <w:tab w:val="left" w:pos="630"/>
        </w:tabs>
        <w:rPr>
          <w:rFonts w:ascii="Times New Roman" w:hAnsi="Times New Roman"/>
          <w:b/>
          <w:sz w:val="20"/>
          <w:szCs w:val="20"/>
        </w:rPr>
      </w:pPr>
      <w:r w:rsidRPr="00391598">
        <w:rPr>
          <w:rFonts w:ascii="Times New Roman" w:hAnsi="Times New Roman"/>
          <w:b/>
          <w:sz w:val="20"/>
          <w:szCs w:val="20"/>
        </w:rPr>
        <w:t>2.</w:t>
      </w:r>
      <w:r w:rsidRPr="00391598">
        <w:rPr>
          <w:rFonts w:ascii="Times New Roman" w:hAnsi="Times New Roman"/>
          <w:b/>
          <w:sz w:val="20"/>
          <w:szCs w:val="20"/>
        </w:rPr>
        <w:tab/>
        <w:t xml:space="preserve">Indicate how, by whom, and for what purpose the information is to be used.  Except for a new collection, indicate the actual use the agency has made of the information received from the current collection.  </w:t>
      </w:r>
    </w:p>
    <w:p w:rsidR="007154C0" w:rsidRPr="00391598" w:rsidP="00884A6D" w14:paraId="41E87B7E" w14:textId="77777777">
      <w:pPr>
        <w:tabs>
          <w:tab w:val="left" w:pos="360"/>
          <w:tab w:val="left" w:pos="630"/>
        </w:tabs>
        <w:rPr>
          <w:rFonts w:ascii="Times New Roman" w:hAnsi="Times New Roman"/>
          <w:sz w:val="20"/>
          <w:szCs w:val="20"/>
        </w:rPr>
      </w:pPr>
    </w:p>
    <w:p w:rsidR="001F59DF" w:rsidRPr="00391598" w:rsidP="00884A6D" w14:paraId="0ED66239" w14:textId="3BCB0A52">
      <w:pPr>
        <w:tabs>
          <w:tab w:val="left" w:pos="360"/>
          <w:tab w:val="left" w:pos="630"/>
        </w:tabs>
        <w:rPr>
          <w:rFonts w:ascii="Times New Roman" w:hAnsi="Times New Roman"/>
          <w:sz w:val="20"/>
          <w:szCs w:val="20"/>
        </w:rPr>
      </w:pPr>
      <w:r w:rsidRPr="00391598">
        <w:rPr>
          <w:rFonts w:ascii="Times New Roman" w:hAnsi="Times New Roman"/>
          <w:sz w:val="20"/>
          <w:szCs w:val="20"/>
        </w:rPr>
        <w:t xml:space="preserve">The </w:t>
      </w:r>
      <w:r w:rsidRPr="00391598" w:rsidR="00E87C06">
        <w:rPr>
          <w:rFonts w:ascii="Times New Roman" w:hAnsi="Times New Roman"/>
          <w:sz w:val="20"/>
          <w:szCs w:val="20"/>
        </w:rPr>
        <w:t xml:space="preserve">BLM needs the </w:t>
      </w:r>
      <w:r w:rsidRPr="00391598">
        <w:rPr>
          <w:rFonts w:ascii="Times New Roman" w:hAnsi="Times New Roman"/>
          <w:sz w:val="20"/>
          <w:szCs w:val="20"/>
        </w:rPr>
        <w:t xml:space="preserve">information </w:t>
      </w:r>
      <w:r w:rsidRPr="00391598" w:rsidR="00E87406">
        <w:rPr>
          <w:rFonts w:ascii="Times New Roman" w:hAnsi="Times New Roman"/>
          <w:sz w:val="20"/>
          <w:szCs w:val="20"/>
        </w:rPr>
        <w:t xml:space="preserve">described below </w:t>
      </w:r>
      <w:r w:rsidRPr="00391598" w:rsidR="005E7AB5">
        <w:rPr>
          <w:rFonts w:ascii="Times New Roman" w:hAnsi="Times New Roman"/>
          <w:sz w:val="20"/>
          <w:szCs w:val="20"/>
        </w:rPr>
        <w:t xml:space="preserve">in order </w:t>
      </w:r>
      <w:r w:rsidRPr="00391598" w:rsidR="001E03A8">
        <w:rPr>
          <w:rFonts w:ascii="Times New Roman" w:hAnsi="Times New Roman"/>
          <w:sz w:val="20"/>
          <w:szCs w:val="20"/>
        </w:rPr>
        <w:t>to</w:t>
      </w:r>
      <w:r w:rsidRPr="00391598">
        <w:rPr>
          <w:rFonts w:ascii="Times New Roman" w:hAnsi="Times New Roman"/>
          <w:sz w:val="20"/>
          <w:szCs w:val="20"/>
        </w:rPr>
        <w:t xml:space="preserve"> </w:t>
      </w:r>
      <w:r w:rsidRPr="00391598" w:rsidR="005E7AB5">
        <w:rPr>
          <w:rFonts w:ascii="Times New Roman" w:hAnsi="Times New Roman"/>
          <w:sz w:val="20"/>
          <w:szCs w:val="20"/>
        </w:rPr>
        <w:t>regulate oil and</w:t>
      </w:r>
      <w:r w:rsidRPr="00391598">
        <w:rPr>
          <w:rFonts w:ascii="Times New Roman" w:hAnsi="Times New Roman"/>
          <w:sz w:val="20"/>
          <w:szCs w:val="20"/>
        </w:rPr>
        <w:t xml:space="preserve"> gas operations on public lands in accordance with </w:t>
      </w:r>
      <w:r w:rsidRPr="00391598" w:rsidR="00A22C8D">
        <w:rPr>
          <w:rFonts w:ascii="Times New Roman" w:hAnsi="Times New Roman"/>
          <w:sz w:val="20"/>
          <w:szCs w:val="20"/>
        </w:rPr>
        <w:t xml:space="preserve">the above </w:t>
      </w:r>
      <w:r w:rsidRPr="00391598">
        <w:rPr>
          <w:rFonts w:ascii="Times New Roman" w:hAnsi="Times New Roman"/>
          <w:sz w:val="20"/>
          <w:szCs w:val="20"/>
        </w:rPr>
        <w:t>statutory requirements.</w:t>
      </w:r>
      <w:r w:rsidRPr="00391598" w:rsidR="00542A63">
        <w:rPr>
          <w:rFonts w:ascii="Times New Roman" w:hAnsi="Times New Roman"/>
          <w:sz w:val="20"/>
          <w:szCs w:val="20"/>
        </w:rPr>
        <w:t xml:space="preserve">  </w:t>
      </w:r>
      <w:r w:rsidRPr="00391598" w:rsidR="002708F6">
        <w:rPr>
          <w:rFonts w:ascii="Times New Roman" w:hAnsi="Times New Roman"/>
          <w:sz w:val="20"/>
          <w:szCs w:val="20"/>
        </w:rPr>
        <w:t>I</w:t>
      </w:r>
      <w:r w:rsidRPr="00391598" w:rsidR="00542A63">
        <w:rPr>
          <w:rFonts w:ascii="Times New Roman" w:hAnsi="Times New Roman"/>
          <w:sz w:val="20"/>
          <w:szCs w:val="20"/>
        </w:rPr>
        <w:t xml:space="preserve">nformation collection requirements </w:t>
      </w:r>
      <w:r w:rsidRPr="00391598" w:rsidR="0036523D">
        <w:rPr>
          <w:rFonts w:ascii="Times New Roman" w:hAnsi="Times New Roman"/>
          <w:sz w:val="20"/>
          <w:szCs w:val="20"/>
        </w:rPr>
        <w:t>include</w:t>
      </w:r>
      <w:r w:rsidRPr="00391598" w:rsidR="009807A1">
        <w:rPr>
          <w:rFonts w:ascii="Times New Roman" w:hAnsi="Times New Roman"/>
          <w:sz w:val="20"/>
          <w:szCs w:val="20"/>
        </w:rPr>
        <w:t>:</w:t>
      </w:r>
    </w:p>
    <w:p w:rsidR="009807A1" w:rsidRPr="00391598" w:rsidP="00884A6D" w14:paraId="4370FE74" w14:textId="77777777">
      <w:pPr>
        <w:tabs>
          <w:tab w:val="left" w:pos="360"/>
          <w:tab w:val="left" w:pos="630"/>
        </w:tabs>
        <w:rPr>
          <w:rFonts w:ascii="Times New Roman" w:hAnsi="Times New Roman"/>
          <w:sz w:val="20"/>
          <w:szCs w:val="20"/>
        </w:rPr>
      </w:pPr>
    </w:p>
    <w:p w:rsidR="009807A1" w:rsidRPr="00391598" w:rsidP="009807A1" w14:paraId="3518CB5E" w14:textId="7757BD3C">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Federal </w:t>
      </w:r>
      <w:r w:rsidRPr="00391598" w:rsidR="00EB0009">
        <w:rPr>
          <w:rFonts w:ascii="Times New Roman" w:hAnsi="Times New Roman"/>
          <w:sz w:val="20"/>
          <w:szCs w:val="20"/>
        </w:rPr>
        <w:t xml:space="preserve">and Indian </w:t>
      </w:r>
      <w:r w:rsidRPr="00391598">
        <w:rPr>
          <w:rFonts w:ascii="Times New Roman" w:hAnsi="Times New Roman"/>
          <w:sz w:val="20"/>
          <w:szCs w:val="20"/>
        </w:rPr>
        <w:t xml:space="preserve">onshore oil and gas </w:t>
      </w:r>
      <w:r w:rsidRPr="00391598" w:rsidR="00EC07BA">
        <w:rPr>
          <w:rFonts w:ascii="Times New Roman" w:hAnsi="Times New Roman"/>
          <w:sz w:val="20"/>
          <w:szCs w:val="20"/>
        </w:rPr>
        <w:t>leases</w:t>
      </w:r>
      <w:r w:rsidRPr="00391598" w:rsidR="00EB0009">
        <w:rPr>
          <w:rFonts w:ascii="Times New Roman" w:hAnsi="Times New Roman"/>
          <w:sz w:val="20"/>
          <w:szCs w:val="20"/>
        </w:rPr>
        <w:t xml:space="preserve"> </w:t>
      </w:r>
      <w:r w:rsidRPr="00391598">
        <w:rPr>
          <w:rFonts w:ascii="Times New Roman" w:hAnsi="Times New Roman"/>
          <w:sz w:val="20"/>
          <w:szCs w:val="20"/>
        </w:rPr>
        <w:t>(other than those of the Osage Tribe</w:t>
      </w:r>
      <w:r w:rsidRPr="00391598">
        <w:rPr>
          <w:rFonts w:ascii="Times New Roman" w:hAnsi="Times New Roman"/>
          <w:sz w:val="20"/>
          <w:szCs w:val="20"/>
        </w:rPr>
        <w:t>);</w:t>
      </w:r>
    </w:p>
    <w:p w:rsidR="009807A1" w:rsidRPr="00391598" w:rsidP="009807A1" w14:paraId="133EA147" w14:textId="77777777">
      <w:pPr>
        <w:tabs>
          <w:tab w:val="left" w:pos="360"/>
          <w:tab w:val="left" w:pos="630"/>
        </w:tabs>
        <w:rPr>
          <w:rFonts w:ascii="Times New Roman" w:hAnsi="Times New Roman"/>
          <w:sz w:val="20"/>
          <w:szCs w:val="20"/>
        </w:rPr>
      </w:pPr>
    </w:p>
    <w:p w:rsidR="009807A1" w:rsidRPr="00391598" w:rsidP="009807A1" w14:paraId="64BDE93F" w14:textId="42F67C94">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Indian Mineral Development Act (IMDA) agreements for oil and gas, unless specifically excluded in the agreement or unless the relevant provisions of the rule are inconsistent with the </w:t>
      </w:r>
      <w:r w:rsidRPr="00391598">
        <w:rPr>
          <w:rFonts w:ascii="Times New Roman" w:hAnsi="Times New Roman"/>
          <w:sz w:val="20"/>
          <w:szCs w:val="20"/>
        </w:rPr>
        <w:t>agreement;</w:t>
      </w:r>
    </w:p>
    <w:p w:rsidR="009807A1" w:rsidRPr="00391598" w:rsidP="009807A1" w14:paraId="64AA0886" w14:textId="77777777">
      <w:pPr>
        <w:tabs>
          <w:tab w:val="left" w:pos="360"/>
          <w:tab w:val="left" w:pos="630"/>
        </w:tabs>
        <w:rPr>
          <w:rFonts w:ascii="Times New Roman" w:hAnsi="Times New Roman"/>
          <w:sz w:val="20"/>
          <w:szCs w:val="20"/>
        </w:rPr>
      </w:pPr>
    </w:p>
    <w:p w:rsidR="009807A1" w:rsidRPr="00391598" w:rsidP="009807A1" w14:paraId="6A15F96F" w14:textId="53EC40D3">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Leases and other business agreements for the development of tribal energy resources under a Tribal Energy Resource Agreement entered into with the Secretary, unless specifically excluded in the lease, other business agreement, or Tribal Energy Resource </w:t>
      </w:r>
      <w:r w:rsidRPr="00391598">
        <w:rPr>
          <w:rFonts w:ascii="Times New Roman" w:hAnsi="Times New Roman"/>
          <w:sz w:val="20"/>
          <w:szCs w:val="20"/>
        </w:rPr>
        <w:t>Agreement;</w:t>
      </w:r>
    </w:p>
    <w:p w:rsidR="009807A1" w:rsidRPr="00391598" w:rsidP="009807A1" w14:paraId="680F01B8" w14:textId="77777777">
      <w:pPr>
        <w:tabs>
          <w:tab w:val="left" w:pos="360"/>
          <w:tab w:val="left" w:pos="630"/>
        </w:tabs>
        <w:rPr>
          <w:rFonts w:ascii="Times New Roman" w:hAnsi="Times New Roman"/>
          <w:sz w:val="20"/>
          <w:szCs w:val="20"/>
        </w:rPr>
      </w:pPr>
    </w:p>
    <w:p w:rsidR="009807A1" w:rsidRPr="00391598" w:rsidP="009807A1" w14:paraId="22C1ED5A" w14:textId="192C034D">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 xml:space="preserve">State or private tracts committed to a federally approved unit or </w:t>
      </w:r>
      <w:r w:rsidRPr="00391598">
        <w:rPr>
          <w:rFonts w:ascii="Times New Roman" w:hAnsi="Times New Roman"/>
          <w:sz w:val="20"/>
          <w:szCs w:val="20"/>
        </w:rPr>
        <w:t>communitization</w:t>
      </w:r>
      <w:r w:rsidRPr="00391598">
        <w:rPr>
          <w:rFonts w:ascii="Times New Roman" w:hAnsi="Times New Roman"/>
          <w:sz w:val="20"/>
          <w:szCs w:val="20"/>
        </w:rPr>
        <w:t xml:space="preserve"> agreement (CA) as defined by or established under 43 CFR subpart 3105 or 43 CFR part 3180; and</w:t>
      </w:r>
    </w:p>
    <w:p w:rsidR="009807A1" w:rsidRPr="00391598" w:rsidP="009807A1" w14:paraId="04BB52B1" w14:textId="77777777">
      <w:pPr>
        <w:tabs>
          <w:tab w:val="left" w:pos="360"/>
          <w:tab w:val="left" w:pos="630"/>
        </w:tabs>
        <w:rPr>
          <w:rFonts w:ascii="Times New Roman" w:hAnsi="Times New Roman"/>
          <w:sz w:val="20"/>
          <w:szCs w:val="20"/>
        </w:rPr>
      </w:pPr>
    </w:p>
    <w:p w:rsidR="009807A1" w:rsidRPr="00391598" w:rsidP="009807A1" w14:paraId="2DB7E9F7" w14:textId="29D292AE">
      <w:pPr>
        <w:numPr>
          <w:ilvl w:val="0"/>
          <w:numId w:val="30"/>
        </w:numPr>
        <w:tabs>
          <w:tab w:val="left" w:pos="360"/>
          <w:tab w:val="left" w:pos="630"/>
        </w:tabs>
        <w:rPr>
          <w:rFonts w:ascii="Times New Roman" w:hAnsi="Times New Roman"/>
          <w:sz w:val="20"/>
          <w:szCs w:val="20"/>
        </w:rPr>
      </w:pPr>
      <w:r w:rsidRPr="00391598">
        <w:rPr>
          <w:rFonts w:ascii="Times New Roman" w:hAnsi="Times New Roman"/>
          <w:sz w:val="20"/>
          <w:szCs w:val="20"/>
        </w:rPr>
        <w:t>All onshore facility measurement points where oil or gas produced from the leases or agreements identified earlier in this section is measured.</w:t>
      </w:r>
    </w:p>
    <w:p w:rsidR="001F59DF" w:rsidRPr="00391598" w:rsidP="00884A6D" w14:paraId="5182E931" w14:textId="77777777">
      <w:pPr>
        <w:tabs>
          <w:tab w:val="left" w:pos="360"/>
          <w:tab w:val="left" w:pos="630"/>
        </w:tabs>
        <w:rPr>
          <w:rFonts w:ascii="Times New Roman" w:hAnsi="Times New Roman"/>
          <w:sz w:val="20"/>
          <w:szCs w:val="20"/>
        </w:rPr>
      </w:pPr>
    </w:p>
    <w:p w:rsidR="009A4A03" w:rsidRPr="00391598" w:rsidP="00454787" w14:paraId="0470B2E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b/>
          <w:i/>
          <w:sz w:val="20"/>
          <w:szCs w:val="20"/>
        </w:rPr>
        <w:t>Variance Requests</w:t>
      </w:r>
      <w:r w:rsidRPr="00391598" w:rsidR="005A6B81">
        <w:rPr>
          <w:rFonts w:ascii="Times New Roman" w:hAnsi="Times New Roman"/>
          <w:b/>
          <w:i/>
          <w:sz w:val="20"/>
          <w:szCs w:val="20"/>
        </w:rPr>
        <w:t xml:space="preserve"> -- </w:t>
      </w:r>
      <w:r w:rsidRPr="00391598">
        <w:rPr>
          <w:rFonts w:ascii="Times New Roman" w:hAnsi="Times New Roman"/>
          <w:b/>
          <w:i/>
          <w:sz w:val="20"/>
          <w:szCs w:val="20"/>
        </w:rPr>
        <w:t>43 CFR 3170.6</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D6364C" w:rsidRPr="00391598" w:rsidP="00D6364C" w14:paraId="728C4126" w14:textId="77777777">
      <w:pPr>
        <w:rPr>
          <w:rFonts w:ascii="Times New Roman" w:hAnsi="Times New Roman"/>
          <w:sz w:val="20"/>
          <w:szCs w:val="20"/>
        </w:rPr>
      </w:pPr>
    </w:p>
    <w:p w:rsidR="00D6364C" w:rsidRPr="00391598" w:rsidP="00D6364C" w14:paraId="09AC4AF7" w14:textId="1270D2A7">
      <w:pPr>
        <w:rPr>
          <w:rFonts w:ascii="Times New Roman" w:hAnsi="Times New Roman"/>
          <w:sz w:val="20"/>
          <w:szCs w:val="20"/>
        </w:rPr>
      </w:pPr>
      <w:r w:rsidRPr="00391598">
        <w:rPr>
          <w:rFonts w:ascii="Times New Roman" w:hAnsi="Times New Roman"/>
          <w:sz w:val="20"/>
          <w:szCs w:val="20"/>
        </w:rPr>
        <w:t>Section 3170.6 authorizes any party that is subject to the regulations in 43 CFR part 3170 to request a variance from any of the regulations in part 3170.  While section 3170.6 states that a request for a variance should be filed using the BLM’s electronic system, it also allows the use of paper copies of Form 3160-5 (Sundry Notices</w:t>
      </w:r>
      <w:r w:rsidRPr="00391598">
        <w:rPr>
          <w:rFonts w:ascii="Times New Roman" w:hAnsi="Times New Roman"/>
          <w:sz w:val="20"/>
          <w:szCs w:val="20"/>
        </w:rPr>
        <w:t>).  .</w:t>
      </w:r>
    </w:p>
    <w:p w:rsidR="00D6364C" w:rsidRPr="00391598" w:rsidP="00D6364C" w14:paraId="31C49875" w14:textId="77777777">
      <w:pPr>
        <w:rPr>
          <w:rFonts w:ascii="Times New Roman" w:hAnsi="Times New Roman"/>
          <w:sz w:val="20"/>
          <w:szCs w:val="20"/>
        </w:rPr>
      </w:pPr>
    </w:p>
    <w:p w:rsidR="009F300D" w:rsidRPr="00391598" w:rsidP="00D6364C" w14:paraId="26E0CA79" w14:textId="25B22849">
      <w:pPr>
        <w:rPr>
          <w:rFonts w:ascii="Times New Roman" w:hAnsi="Times New Roman"/>
          <w:sz w:val="20"/>
          <w:szCs w:val="20"/>
        </w:rPr>
      </w:pPr>
      <w:r w:rsidRPr="00391598">
        <w:rPr>
          <w:rFonts w:ascii="Times New Roman" w:hAnsi="Times New Roman"/>
          <w:sz w:val="20"/>
          <w:szCs w:val="20"/>
        </w:rPr>
        <w:t xml:space="preserve">Oil and gas operators </w:t>
      </w:r>
      <w:r w:rsidRPr="00391598">
        <w:rPr>
          <w:rFonts w:ascii="Times New Roman" w:hAnsi="Times New Roman"/>
          <w:sz w:val="20"/>
          <w:szCs w:val="20"/>
        </w:rPr>
        <w:t>would</w:t>
      </w:r>
      <w:r w:rsidRPr="00391598">
        <w:rPr>
          <w:rFonts w:ascii="Times New Roman" w:hAnsi="Times New Roman"/>
          <w:sz w:val="20"/>
          <w:szCs w:val="20"/>
        </w:rPr>
        <w:t xml:space="preserve"> submit this sundry notice request if they </w:t>
      </w:r>
      <w:r w:rsidRPr="00391598" w:rsidR="0033028D">
        <w:rPr>
          <w:rFonts w:ascii="Times New Roman" w:hAnsi="Times New Roman"/>
          <w:sz w:val="20"/>
          <w:szCs w:val="20"/>
        </w:rPr>
        <w:t>seek</w:t>
      </w:r>
      <w:r w:rsidRPr="00391598" w:rsidR="00025450">
        <w:rPr>
          <w:rFonts w:ascii="Times New Roman" w:hAnsi="Times New Roman"/>
          <w:sz w:val="20"/>
          <w:szCs w:val="20"/>
        </w:rPr>
        <w:t xml:space="preserve"> BLM</w:t>
      </w:r>
      <w:r w:rsidRPr="00391598">
        <w:rPr>
          <w:rFonts w:ascii="Times New Roman" w:hAnsi="Times New Roman"/>
          <w:sz w:val="20"/>
          <w:szCs w:val="20"/>
        </w:rPr>
        <w:t xml:space="preserve"> approval </w:t>
      </w:r>
      <w:r w:rsidRPr="00391598" w:rsidR="00ED6E71">
        <w:rPr>
          <w:rFonts w:ascii="Times New Roman" w:hAnsi="Times New Roman"/>
          <w:sz w:val="20"/>
          <w:szCs w:val="20"/>
        </w:rPr>
        <w:t xml:space="preserve">to use </w:t>
      </w:r>
      <w:r w:rsidRPr="00391598" w:rsidR="00246058">
        <w:rPr>
          <w:rFonts w:ascii="Times New Roman" w:hAnsi="Times New Roman"/>
          <w:sz w:val="20"/>
          <w:szCs w:val="20"/>
        </w:rPr>
        <w:t xml:space="preserve">equipment or a measurement method other than what is currently </w:t>
      </w:r>
      <w:r w:rsidRPr="00391598" w:rsidR="004F0BB7">
        <w:rPr>
          <w:rFonts w:ascii="Times New Roman" w:hAnsi="Times New Roman"/>
          <w:sz w:val="20"/>
          <w:szCs w:val="20"/>
        </w:rPr>
        <w:t xml:space="preserve">required in the regulation. This provision allows operators to seek a </w:t>
      </w:r>
      <w:r w:rsidRPr="00391598" w:rsidR="001536FB">
        <w:rPr>
          <w:rFonts w:ascii="Times New Roman" w:hAnsi="Times New Roman"/>
          <w:sz w:val="20"/>
          <w:szCs w:val="20"/>
        </w:rPr>
        <w:t>site-specific</w:t>
      </w:r>
      <w:r w:rsidRPr="00391598" w:rsidR="004F0BB7">
        <w:rPr>
          <w:rFonts w:ascii="Times New Roman" w:hAnsi="Times New Roman"/>
          <w:sz w:val="20"/>
          <w:szCs w:val="20"/>
        </w:rPr>
        <w:t xml:space="preserve"> alternative </w:t>
      </w:r>
      <w:r w:rsidRPr="00391598" w:rsidR="0009781C">
        <w:rPr>
          <w:rFonts w:ascii="Times New Roman" w:hAnsi="Times New Roman"/>
          <w:sz w:val="20"/>
          <w:szCs w:val="20"/>
        </w:rPr>
        <w:t xml:space="preserve">that meets or exceeds </w:t>
      </w:r>
      <w:r w:rsidRPr="00391598" w:rsidR="0033028D">
        <w:rPr>
          <w:rFonts w:ascii="Times New Roman" w:hAnsi="Times New Roman"/>
          <w:sz w:val="20"/>
          <w:szCs w:val="20"/>
        </w:rPr>
        <w:t xml:space="preserve">a </w:t>
      </w:r>
      <w:r w:rsidRPr="00391598" w:rsidR="00025450">
        <w:rPr>
          <w:rFonts w:ascii="Times New Roman" w:hAnsi="Times New Roman"/>
          <w:sz w:val="20"/>
          <w:szCs w:val="20"/>
        </w:rPr>
        <w:t>particular equipment</w:t>
      </w:r>
      <w:r w:rsidRPr="00391598" w:rsidR="0009781C">
        <w:rPr>
          <w:rFonts w:ascii="Times New Roman" w:hAnsi="Times New Roman"/>
          <w:sz w:val="20"/>
          <w:szCs w:val="20"/>
        </w:rPr>
        <w:t xml:space="preserve"> or measurement method</w:t>
      </w:r>
      <w:r w:rsidRPr="00391598" w:rsidR="0033028D">
        <w:rPr>
          <w:rFonts w:ascii="Times New Roman" w:hAnsi="Times New Roman"/>
          <w:sz w:val="20"/>
          <w:szCs w:val="20"/>
        </w:rPr>
        <w:t xml:space="preserve"> requirement</w:t>
      </w:r>
      <w:r w:rsidRPr="00391598" w:rsidR="0009781C">
        <w:rPr>
          <w:rFonts w:ascii="Times New Roman" w:hAnsi="Times New Roman"/>
          <w:sz w:val="20"/>
          <w:szCs w:val="20"/>
        </w:rPr>
        <w:t xml:space="preserve"> in subparts 3173, 3174, or 3175. </w:t>
      </w:r>
      <w:r w:rsidRPr="00391598" w:rsidR="00025450">
        <w:rPr>
          <w:rFonts w:ascii="Times New Roman" w:hAnsi="Times New Roman"/>
          <w:sz w:val="20"/>
          <w:szCs w:val="20"/>
        </w:rPr>
        <w:t>The application requires the operator to</w:t>
      </w:r>
      <w:r w:rsidRPr="00391598" w:rsidR="00B84BA6">
        <w:rPr>
          <w:rFonts w:ascii="Times New Roman" w:hAnsi="Times New Roman"/>
          <w:sz w:val="20"/>
          <w:szCs w:val="20"/>
        </w:rPr>
        <w:t>:</w:t>
      </w:r>
      <w:r w:rsidRPr="00391598" w:rsidR="00AB347C">
        <w:rPr>
          <w:rFonts w:ascii="Times New Roman" w:hAnsi="Times New Roman"/>
          <w:sz w:val="20"/>
          <w:szCs w:val="20"/>
        </w:rPr>
        <w:t xml:space="preserve"> (1)</w:t>
      </w:r>
      <w:r w:rsidRPr="00391598" w:rsidR="00DC3AFA">
        <w:rPr>
          <w:rFonts w:ascii="Times New Roman" w:hAnsi="Times New Roman"/>
          <w:sz w:val="20"/>
          <w:szCs w:val="20"/>
        </w:rPr>
        <w:t xml:space="preserve"> identify the sp</w:t>
      </w:r>
      <w:r w:rsidRPr="00391598" w:rsidR="00136D2D">
        <w:rPr>
          <w:rFonts w:ascii="Times New Roman" w:hAnsi="Times New Roman"/>
          <w:sz w:val="20"/>
          <w:szCs w:val="20"/>
        </w:rPr>
        <w:t>ecific requirement from which the variance is requested</w:t>
      </w:r>
      <w:r w:rsidRPr="00391598" w:rsidR="00B84BA6">
        <w:rPr>
          <w:rFonts w:ascii="Times New Roman" w:hAnsi="Times New Roman"/>
          <w:sz w:val="20"/>
          <w:szCs w:val="20"/>
        </w:rPr>
        <w:t>;</w:t>
      </w:r>
      <w:r w:rsidRPr="00391598" w:rsidR="00136D2D">
        <w:rPr>
          <w:rFonts w:ascii="Times New Roman" w:hAnsi="Times New Roman"/>
          <w:sz w:val="20"/>
          <w:szCs w:val="20"/>
        </w:rPr>
        <w:t xml:space="preserve"> </w:t>
      </w:r>
      <w:r w:rsidRPr="00391598" w:rsidR="00AB347C">
        <w:rPr>
          <w:rFonts w:ascii="Times New Roman" w:hAnsi="Times New Roman"/>
          <w:sz w:val="20"/>
          <w:szCs w:val="20"/>
        </w:rPr>
        <w:t>(2) identify the length of time for which the variance is reques</w:t>
      </w:r>
      <w:r w:rsidRPr="00391598" w:rsidR="001536FB">
        <w:rPr>
          <w:rFonts w:ascii="Times New Roman" w:hAnsi="Times New Roman"/>
          <w:sz w:val="20"/>
          <w:szCs w:val="20"/>
        </w:rPr>
        <w:t>t</w:t>
      </w:r>
      <w:r w:rsidRPr="00391598" w:rsidR="00AB347C">
        <w:rPr>
          <w:rFonts w:ascii="Times New Roman" w:hAnsi="Times New Roman"/>
          <w:sz w:val="20"/>
          <w:szCs w:val="20"/>
        </w:rPr>
        <w:t>ed</w:t>
      </w:r>
      <w:r w:rsidRPr="00391598" w:rsidR="005124E1">
        <w:rPr>
          <w:rFonts w:ascii="Times New Roman" w:hAnsi="Times New Roman"/>
          <w:sz w:val="20"/>
          <w:szCs w:val="20"/>
        </w:rPr>
        <w:t xml:space="preserve">; (3) explain the need for the variance; (4) provide a detailed description of the proposed alternative </w:t>
      </w:r>
      <w:r w:rsidRPr="00391598" w:rsidR="002E1AA6">
        <w:rPr>
          <w:rFonts w:ascii="Times New Roman" w:hAnsi="Times New Roman"/>
          <w:sz w:val="20"/>
          <w:szCs w:val="20"/>
        </w:rPr>
        <w:t xml:space="preserve">means </w:t>
      </w:r>
      <w:r w:rsidRPr="00391598" w:rsidR="005124E1">
        <w:rPr>
          <w:rFonts w:ascii="Times New Roman" w:hAnsi="Times New Roman"/>
          <w:sz w:val="20"/>
          <w:szCs w:val="20"/>
        </w:rPr>
        <w:t>for compliance</w:t>
      </w:r>
      <w:r w:rsidRPr="00391598" w:rsidR="002E1AA6">
        <w:rPr>
          <w:rFonts w:ascii="Times New Roman" w:hAnsi="Times New Roman"/>
          <w:sz w:val="20"/>
          <w:szCs w:val="20"/>
        </w:rPr>
        <w:t xml:space="preserve">; (5) </w:t>
      </w:r>
      <w:r w:rsidRPr="00391598" w:rsidR="00AC7944">
        <w:rPr>
          <w:rFonts w:ascii="Times New Roman" w:hAnsi="Times New Roman"/>
          <w:sz w:val="20"/>
          <w:szCs w:val="20"/>
        </w:rPr>
        <w:t xml:space="preserve">demonstrate that the proposed alternative means of compliance will produce a result that meets or exceeds the objectives of the applicable requirement for which </w:t>
      </w:r>
      <w:r w:rsidRPr="00391598" w:rsidR="00F3006B">
        <w:rPr>
          <w:rFonts w:ascii="Times New Roman" w:hAnsi="Times New Roman"/>
          <w:sz w:val="20"/>
          <w:szCs w:val="20"/>
        </w:rPr>
        <w:t>the variance is requested; and (6) list the FM</w:t>
      </w:r>
      <w:r w:rsidRPr="00391598" w:rsidR="002C14C3">
        <w:rPr>
          <w:rFonts w:ascii="Times New Roman" w:hAnsi="Times New Roman"/>
          <w:sz w:val="20"/>
          <w:szCs w:val="20"/>
        </w:rPr>
        <w:t xml:space="preserve">P number(s) for which the variance is requested. </w:t>
      </w:r>
    </w:p>
    <w:p w:rsidR="00502750" w:rsidRPr="00391598" w:rsidP="00D6364C" w14:paraId="19054D77" w14:textId="77777777">
      <w:pPr>
        <w:rPr>
          <w:rFonts w:ascii="Times New Roman" w:hAnsi="Times New Roman"/>
          <w:sz w:val="20"/>
          <w:szCs w:val="20"/>
        </w:rPr>
      </w:pPr>
    </w:p>
    <w:p w:rsidR="00502750" w:rsidRPr="00391598" w:rsidP="00D6364C" w14:paraId="6B8A044A" w14:textId="57B02F81">
      <w:pPr>
        <w:rPr>
          <w:rFonts w:ascii="Times New Roman" w:hAnsi="Times New Roman"/>
          <w:sz w:val="20"/>
          <w:szCs w:val="20"/>
        </w:rPr>
      </w:pPr>
      <w:r w:rsidRPr="00391598">
        <w:rPr>
          <w:rFonts w:ascii="Times New Roman" w:hAnsi="Times New Roman"/>
          <w:sz w:val="20"/>
          <w:szCs w:val="20"/>
        </w:rPr>
        <w:t xml:space="preserve">The BLM uses this application information to determine if the variance </w:t>
      </w:r>
      <w:r w:rsidRPr="00391598" w:rsidR="00A53251">
        <w:rPr>
          <w:rFonts w:ascii="Times New Roman" w:hAnsi="Times New Roman"/>
          <w:sz w:val="20"/>
          <w:szCs w:val="20"/>
        </w:rPr>
        <w:t>meets or exceeds the current requirement and is in the public i</w:t>
      </w:r>
      <w:r w:rsidRPr="00391598" w:rsidR="00F63E44">
        <w:rPr>
          <w:rFonts w:ascii="Times New Roman" w:hAnsi="Times New Roman"/>
          <w:sz w:val="20"/>
          <w:szCs w:val="20"/>
        </w:rPr>
        <w:t xml:space="preserve">nterest. </w:t>
      </w:r>
      <w:r w:rsidRPr="00391598" w:rsidR="00C21079">
        <w:rPr>
          <w:rFonts w:ascii="Times New Roman" w:hAnsi="Times New Roman"/>
          <w:sz w:val="20"/>
          <w:szCs w:val="20"/>
        </w:rPr>
        <w:t>If the application request meets or exceeds the current requirement and is in the public interest</w:t>
      </w:r>
      <w:r w:rsidRPr="00391598" w:rsidR="00FE526D">
        <w:rPr>
          <w:rFonts w:ascii="Times New Roman" w:hAnsi="Times New Roman"/>
          <w:sz w:val="20"/>
          <w:szCs w:val="20"/>
        </w:rPr>
        <w:t xml:space="preserve">, the BLM will approve the variance request. If the application request does not meet or exceed the current requirement and is not in </w:t>
      </w:r>
      <w:r w:rsidRPr="00391598" w:rsidR="00ED267B">
        <w:rPr>
          <w:rFonts w:ascii="Times New Roman" w:hAnsi="Times New Roman"/>
          <w:sz w:val="20"/>
          <w:szCs w:val="20"/>
        </w:rPr>
        <w:t xml:space="preserve">the public interest, the BLM will deny the request for a variance. This application is </w:t>
      </w:r>
      <w:r w:rsidRPr="00391598" w:rsidR="00323E4E">
        <w:rPr>
          <w:rFonts w:ascii="Times New Roman" w:hAnsi="Times New Roman"/>
          <w:sz w:val="20"/>
          <w:szCs w:val="20"/>
        </w:rPr>
        <w:t xml:space="preserve">production </w:t>
      </w:r>
      <w:r w:rsidRPr="00391598" w:rsidR="00ED267B">
        <w:rPr>
          <w:rFonts w:ascii="Times New Roman" w:hAnsi="Times New Roman"/>
          <w:sz w:val="20"/>
          <w:szCs w:val="20"/>
        </w:rPr>
        <w:t xml:space="preserve">site specific and cannot be generalized to </w:t>
      </w:r>
      <w:r w:rsidRPr="00391598" w:rsidR="00323E4E">
        <w:rPr>
          <w:rFonts w:ascii="Times New Roman" w:hAnsi="Times New Roman"/>
          <w:sz w:val="20"/>
          <w:szCs w:val="20"/>
        </w:rPr>
        <w:t xml:space="preserve">other production locations operated by the applicant. </w:t>
      </w:r>
    </w:p>
    <w:p w:rsidR="00126D6F" w:rsidRPr="00391598" w:rsidP="00126D6F" w14:paraId="41A09CEE" w14:textId="77777777">
      <w:pPr>
        <w:widowControl/>
        <w:autoSpaceDE/>
        <w:autoSpaceDN/>
        <w:adjustRightInd/>
        <w:ind w:right="43"/>
        <w:rPr>
          <w:rFonts w:ascii="Times New Roman" w:hAnsi="Times New Roman"/>
          <w:i/>
          <w:iCs/>
          <w:sz w:val="20"/>
          <w:szCs w:val="20"/>
        </w:rPr>
      </w:pPr>
    </w:p>
    <w:p w:rsidR="00126D6F" w:rsidRPr="00391598" w:rsidP="00126D6F" w14:paraId="505835AA" w14:textId="1E153313">
      <w:pPr>
        <w:widowControl/>
        <w:autoSpaceDE/>
        <w:autoSpaceDN/>
        <w:adjustRightInd/>
        <w:ind w:right="43"/>
        <w:rPr>
          <w:rFonts w:ascii="Times New Roman" w:hAnsi="Times New Roman"/>
          <w:i/>
          <w:iCs/>
          <w:sz w:val="20"/>
          <w:szCs w:val="20"/>
        </w:rPr>
      </w:pPr>
      <w:r w:rsidRPr="00391598">
        <w:rPr>
          <w:rFonts w:ascii="Times New Roman" w:hAnsi="Times New Roman"/>
          <w:i/>
          <w:iCs/>
          <w:sz w:val="20"/>
          <w:szCs w:val="20"/>
        </w:rPr>
        <w:t>Recordkeeping</w:t>
      </w:r>
      <w:r w:rsidRPr="00391598" w:rsidR="00F22018">
        <w:rPr>
          <w:rFonts w:ascii="Times New Roman" w:hAnsi="Times New Roman"/>
          <w:i/>
          <w:iCs/>
          <w:sz w:val="20"/>
          <w:szCs w:val="20"/>
        </w:rPr>
        <w:t xml:space="preserve"> and record retention</w:t>
      </w:r>
      <w:r w:rsidRPr="00391598">
        <w:rPr>
          <w:rFonts w:ascii="Times New Roman" w:hAnsi="Times New Roman"/>
          <w:i/>
          <w:iCs/>
          <w:sz w:val="20"/>
          <w:szCs w:val="20"/>
        </w:rPr>
        <w:t xml:space="preserve"> 43 CFR 3170.7</w:t>
      </w:r>
    </w:p>
    <w:p w:rsidR="00126D6F" w:rsidRPr="00391598" w:rsidP="00126D6F" w14:paraId="630F99EA" w14:textId="77777777">
      <w:pPr>
        <w:pStyle w:val="NormalWeb"/>
        <w:tabs>
          <w:tab w:val="left" w:pos="360"/>
          <w:tab w:val="left" w:pos="630"/>
        </w:tabs>
        <w:spacing w:before="0" w:beforeAutospacing="0" w:after="0" w:afterAutospacing="0"/>
        <w:rPr>
          <w:sz w:val="20"/>
          <w:szCs w:val="20"/>
        </w:rPr>
      </w:pPr>
    </w:p>
    <w:p w:rsidR="00126D6F" w:rsidRPr="00391598" w:rsidP="00AE34B8" w14:paraId="68909A12" w14:textId="7B8233CC">
      <w:pPr>
        <w:widowControl/>
        <w:autoSpaceDE/>
        <w:autoSpaceDN/>
        <w:adjustRightInd/>
        <w:rPr>
          <w:rFonts w:ascii="Times New Roman" w:hAnsi="Times New Roman"/>
          <w:sz w:val="20"/>
          <w:szCs w:val="20"/>
        </w:rPr>
      </w:pPr>
      <w:r w:rsidRPr="00391598">
        <w:rPr>
          <w:rFonts w:ascii="Times New Roman" w:hAnsi="Times New Roman"/>
          <w:sz w:val="20"/>
          <w:szCs w:val="20"/>
        </w:rPr>
        <w:t>The records retention requirements at 43 CFR 3170.7 apply not only to operators, but also to lessees, operators, purchasers, transporters, and any other person directly involved in producing, transporting, purchasing, selling, or measuring oil or gas through the point of royalty measurement or the point of first sale, whichever is later.  These persons must retain all records, including source records, that are relevant to determining the quality, quantity, disposition, and verification of production attributable to Federal or Indian leases for the periods prescribed in paragraphs (c) through (e) of this section.</w:t>
      </w:r>
      <w:r w:rsidRPr="00391598" w:rsidR="004E18D2">
        <w:rPr>
          <w:rFonts w:ascii="Times New Roman" w:hAnsi="Times New Roman"/>
          <w:sz w:val="20"/>
          <w:szCs w:val="20"/>
        </w:rPr>
        <w:t xml:space="preserve"> </w:t>
      </w:r>
      <w:r w:rsidRPr="00391598" w:rsidR="006348F5">
        <w:rPr>
          <w:rFonts w:ascii="Times New Roman" w:hAnsi="Times New Roman"/>
          <w:sz w:val="20"/>
          <w:szCs w:val="20"/>
        </w:rPr>
        <w:t>Paragraph (c) generally requires that f</w:t>
      </w:r>
      <w:r w:rsidRPr="00391598" w:rsidR="004E18D2">
        <w:rPr>
          <w:rFonts w:ascii="Times New Roman" w:hAnsi="Times New Roman"/>
          <w:sz w:val="20"/>
          <w:szCs w:val="20"/>
        </w:rPr>
        <w:t>or Federal leases, and units or CAs that include Federal leases, but do not include Indian leases, the record holder must maintain records for</w:t>
      </w:r>
      <w:r w:rsidRPr="00391598" w:rsidR="006348F5">
        <w:rPr>
          <w:rFonts w:ascii="Times New Roman" w:hAnsi="Times New Roman"/>
          <w:sz w:val="20"/>
          <w:szCs w:val="20"/>
        </w:rPr>
        <w:t xml:space="preserve"> s</w:t>
      </w:r>
      <w:r w:rsidRPr="00391598" w:rsidR="004E18D2">
        <w:rPr>
          <w:rFonts w:ascii="Times New Roman" w:hAnsi="Times New Roman"/>
          <w:sz w:val="20"/>
          <w:szCs w:val="20"/>
        </w:rPr>
        <w:t>even years</w:t>
      </w:r>
      <w:r w:rsidRPr="00391598" w:rsidR="006348F5">
        <w:rPr>
          <w:rFonts w:ascii="Times New Roman" w:hAnsi="Times New Roman"/>
          <w:sz w:val="20"/>
          <w:szCs w:val="20"/>
        </w:rPr>
        <w:t xml:space="preserve"> and </w:t>
      </w:r>
      <w:r w:rsidRPr="00391598" w:rsidR="00632F4B">
        <w:rPr>
          <w:rFonts w:ascii="Times New Roman" w:hAnsi="Times New Roman"/>
          <w:sz w:val="20"/>
          <w:szCs w:val="20"/>
        </w:rPr>
        <w:t xml:space="preserve">paragraph </w:t>
      </w:r>
      <w:r w:rsidRPr="00391598" w:rsidR="00AE34B8">
        <w:rPr>
          <w:rFonts w:ascii="Times New Roman" w:hAnsi="Times New Roman"/>
          <w:sz w:val="20"/>
          <w:szCs w:val="20"/>
        </w:rPr>
        <w:t xml:space="preserve">(d) </w:t>
      </w:r>
      <w:r w:rsidRPr="00391598" w:rsidR="00921249">
        <w:rPr>
          <w:rFonts w:ascii="Times New Roman" w:hAnsi="Times New Roman"/>
          <w:sz w:val="20"/>
          <w:szCs w:val="20"/>
        </w:rPr>
        <w:t xml:space="preserve">generally </w:t>
      </w:r>
      <w:r w:rsidRPr="00391598" w:rsidR="00AE34B8">
        <w:rPr>
          <w:rFonts w:ascii="Times New Roman" w:hAnsi="Times New Roman"/>
          <w:sz w:val="20"/>
          <w:szCs w:val="20"/>
        </w:rPr>
        <w:t>requires that for Indian leases, and units or CAs that include Indian leases, but do not include Federal leases, the record holder must maintain records for six years</w:t>
      </w:r>
      <w:r w:rsidRPr="00391598" w:rsidR="00921249">
        <w:rPr>
          <w:rFonts w:ascii="Times New Roman" w:hAnsi="Times New Roman"/>
          <w:sz w:val="20"/>
          <w:szCs w:val="20"/>
        </w:rPr>
        <w:t xml:space="preserve">; and paragraph </w:t>
      </w:r>
      <w:r w:rsidRPr="00391598" w:rsidR="00A00F47">
        <w:rPr>
          <w:rFonts w:ascii="Times New Roman" w:hAnsi="Times New Roman"/>
          <w:sz w:val="20"/>
          <w:szCs w:val="20"/>
        </w:rPr>
        <w:t xml:space="preserve">(e) generally requires that </w:t>
      </w:r>
      <w:r w:rsidRPr="00391598" w:rsidR="00930ED1">
        <w:rPr>
          <w:rFonts w:ascii="Times New Roman" w:hAnsi="Times New Roman"/>
          <w:sz w:val="20"/>
          <w:szCs w:val="20"/>
        </w:rPr>
        <w:t xml:space="preserve">for </w:t>
      </w:r>
      <w:r w:rsidRPr="00391598" w:rsidR="00E44716">
        <w:rPr>
          <w:rFonts w:ascii="Times New Roman" w:hAnsi="Times New Roman"/>
          <w:sz w:val="20"/>
          <w:szCs w:val="20"/>
        </w:rPr>
        <w:t xml:space="preserve">units and </w:t>
      </w:r>
      <w:r w:rsidRPr="00391598" w:rsidR="00E44716">
        <w:rPr>
          <w:rFonts w:ascii="Times New Roman" w:hAnsi="Times New Roman"/>
          <w:sz w:val="20"/>
          <w:szCs w:val="20"/>
        </w:rPr>
        <w:t>communitized</w:t>
      </w:r>
      <w:r w:rsidRPr="00391598" w:rsidR="00E44716">
        <w:rPr>
          <w:rFonts w:ascii="Times New Roman" w:hAnsi="Times New Roman"/>
          <w:sz w:val="20"/>
          <w:szCs w:val="20"/>
        </w:rPr>
        <w:t xml:space="preserve"> areas that include both Federal and Indian leases, 6 years.</w:t>
      </w:r>
    </w:p>
    <w:p w:rsidR="00126D6F" w:rsidRPr="00391598" w:rsidP="00126D6F" w14:paraId="0E738C3E" w14:textId="77777777">
      <w:pPr>
        <w:widowControl/>
        <w:autoSpaceDE/>
        <w:autoSpaceDN/>
        <w:adjustRightInd/>
        <w:rPr>
          <w:rFonts w:ascii="Times New Roman" w:hAnsi="Times New Roman"/>
          <w:sz w:val="20"/>
          <w:szCs w:val="20"/>
        </w:rPr>
      </w:pPr>
    </w:p>
    <w:p w:rsidR="00126D6F" w:rsidRPr="00391598" w:rsidP="00126D6F" w14:paraId="01D7E8FD" w14:textId="77777777">
      <w:pPr>
        <w:widowControl/>
        <w:autoSpaceDE/>
        <w:autoSpaceDN/>
        <w:adjustRightInd/>
        <w:rPr>
          <w:rFonts w:ascii="Times New Roman" w:hAnsi="Times New Roman"/>
          <w:sz w:val="20"/>
          <w:szCs w:val="20"/>
        </w:rPr>
      </w:pPr>
      <w:r w:rsidRPr="00391598">
        <w:rPr>
          <w:rFonts w:ascii="Times New Roman" w:hAnsi="Times New Roman"/>
          <w:sz w:val="20"/>
          <w:szCs w:val="20"/>
        </w:rPr>
        <w:t>This retention requirement applies to records generated during or for the period for which the lessee or operator has an interest in or conducted operations on the lease, or in which a person is involved in transporting, purchasing, or selling production from the lease.</w:t>
      </w:r>
    </w:p>
    <w:p w:rsidR="00126D6F" w:rsidRPr="00391598" w:rsidP="00126D6F" w14:paraId="5311E9CE" w14:textId="77777777">
      <w:pPr>
        <w:widowControl/>
        <w:autoSpaceDE/>
        <w:autoSpaceDN/>
        <w:adjustRightInd/>
        <w:rPr>
          <w:rFonts w:ascii="Times New Roman" w:hAnsi="Times New Roman"/>
          <w:sz w:val="20"/>
          <w:szCs w:val="20"/>
        </w:rPr>
      </w:pPr>
    </w:p>
    <w:p w:rsidR="00126D6F" w:rsidRPr="00391598" w:rsidP="00126D6F" w14:paraId="71437102" w14:textId="77777777">
      <w:pPr>
        <w:widowControl/>
        <w:autoSpaceDE/>
        <w:autoSpaceDN/>
        <w:adjustRightInd/>
        <w:rPr>
          <w:rFonts w:ascii="Times New Roman" w:hAnsi="Times New Roman"/>
          <w:sz w:val="20"/>
          <w:szCs w:val="20"/>
        </w:rPr>
      </w:pPr>
      <w:r w:rsidRPr="00391598">
        <w:rPr>
          <w:rFonts w:ascii="Times New Roman" w:hAnsi="Times New Roman"/>
          <w:sz w:val="20"/>
          <w:szCs w:val="20"/>
        </w:rPr>
        <w:t xml:space="preserve">For Federal leases, and units or CAs that include Federal leases, but do not include Indian leases, the record holder must maintain records for seven years after the records are generated unless a judicial proceeding or demand involving such records is timely commenced.  In that case, the record holder generally must maintain such records until the final </w:t>
      </w:r>
      <w:r w:rsidRPr="00391598">
        <w:rPr>
          <w:rFonts w:ascii="Times New Roman" w:hAnsi="Times New Roman"/>
          <w:sz w:val="20"/>
          <w:szCs w:val="20"/>
        </w:rPr>
        <w:t>nonappealable</w:t>
      </w:r>
      <w:r w:rsidRPr="00391598">
        <w:rPr>
          <w:rFonts w:ascii="Times New Roman" w:hAnsi="Times New Roman"/>
          <w:sz w:val="20"/>
          <w:szCs w:val="20"/>
        </w:rPr>
        <w:t xml:space="preserve"> decision in the judicial proceeding or demand.  An exception to this rule applies if the Secretary or his/her designee or the applicable delegated State authorizes in writing an earlier release of the requirement to maintain such records.</w:t>
      </w:r>
    </w:p>
    <w:p w:rsidR="00126D6F" w:rsidRPr="00391598" w:rsidP="00126D6F" w14:paraId="43533D28" w14:textId="77777777">
      <w:pPr>
        <w:widowControl/>
        <w:autoSpaceDE/>
        <w:autoSpaceDN/>
        <w:adjustRightInd/>
        <w:rPr>
          <w:rFonts w:ascii="Times New Roman" w:hAnsi="Times New Roman"/>
          <w:sz w:val="20"/>
          <w:szCs w:val="20"/>
        </w:rPr>
      </w:pPr>
    </w:p>
    <w:p w:rsidR="00126D6F" w:rsidRPr="00391598" w:rsidP="00126D6F" w14:paraId="6B5E02DE" w14:textId="77777777">
      <w:pPr>
        <w:rPr>
          <w:rFonts w:ascii="Times New Roman" w:hAnsi="Times New Roman"/>
          <w:sz w:val="20"/>
          <w:szCs w:val="20"/>
        </w:rPr>
      </w:pPr>
      <w:r w:rsidRPr="00391598">
        <w:rPr>
          <w:rFonts w:ascii="Times New Roman" w:hAnsi="Times New Roman"/>
          <w:sz w:val="20"/>
          <w:szCs w:val="20"/>
        </w:rPr>
        <w:t>For Indian leases, and units or CAs that include Indian leases, but do not include Federal leases, the record holder must maintain records for six years after the records are generated; unless the Secretary or his/her designee notifies the record holder that the Department of the Interior has initiated or is participating in an audit or investigation involving such records.  In that case, the record holder must maintain such records until the Secretary or his/her designee releases the record holder from the obligation to maintain the records.</w:t>
      </w:r>
    </w:p>
    <w:p w:rsidR="00126D6F" w:rsidRPr="00391598" w:rsidP="00126D6F" w14:paraId="10A0E89A" w14:textId="77777777">
      <w:pPr>
        <w:rPr>
          <w:rFonts w:ascii="Times New Roman" w:hAnsi="Times New Roman"/>
          <w:sz w:val="20"/>
          <w:szCs w:val="20"/>
        </w:rPr>
      </w:pPr>
    </w:p>
    <w:p w:rsidR="00126D6F" w:rsidRPr="00391598" w:rsidP="00126D6F" w14:paraId="0808096E" w14:textId="77777777">
      <w:pPr>
        <w:rPr>
          <w:rFonts w:ascii="Times New Roman" w:hAnsi="Times New Roman"/>
          <w:sz w:val="20"/>
          <w:szCs w:val="20"/>
        </w:rPr>
      </w:pPr>
      <w:r w:rsidRPr="00391598">
        <w:rPr>
          <w:rFonts w:ascii="Times New Roman" w:hAnsi="Times New Roman"/>
          <w:sz w:val="20"/>
          <w:szCs w:val="20"/>
        </w:rPr>
        <w:t xml:space="preserve">For units and </w:t>
      </w:r>
      <w:r w:rsidRPr="00391598">
        <w:rPr>
          <w:rFonts w:ascii="Times New Roman" w:hAnsi="Times New Roman"/>
          <w:sz w:val="20"/>
          <w:szCs w:val="20"/>
        </w:rPr>
        <w:t>communitized</w:t>
      </w:r>
      <w:r w:rsidRPr="00391598">
        <w:rPr>
          <w:rFonts w:ascii="Times New Roman" w:hAnsi="Times New Roman"/>
          <w:sz w:val="20"/>
          <w:szCs w:val="20"/>
        </w:rPr>
        <w:t xml:space="preserve"> areas that include both Federal and Indian leases, the record holder must maintain records for six years after the records are generated, unless the Secretary or his/her designee has notified the record holder within those six years that an audit or investigation involving such records has been initiated.  In that case, the record holder must retain all records regarding production from the unit or </w:t>
      </w:r>
      <w:r w:rsidRPr="00391598">
        <w:rPr>
          <w:rFonts w:ascii="Times New Roman" w:hAnsi="Times New Roman"/>
          <w:sz w:val="20"/>
          <w:szCs w:val="20"/>
        </w:rPr>
        <w:t>communitized</w:t>
      </w:r>
      <w:r w:rsidRPr="00391598">
        <w:rPr>
          <w:rFonts w:ascii="Times New Roman" w:hAnsi="Times New Roman"/>
          <w:sz w:val="20"/>
          <w:szCs w:val="20"/>
        </w:rPr>
        <w:t xml:space="preserve"> area until the Secretary or his/her designee releases the record holder from the obligation to maintain the records.  Moreover, if a judicial proceeding or demand is commenced within seven years after the records are generated, the record holder generally must retain all records regarding production from the lease, unit PA, or CA until the final </w:t>
      </w:r>
      <w:r w:rsidRPr="00391598">
        <w:rPr>
          <w:rFonts w:ascii="Times New Roman" w:hAnsi="Times New Roman"/>
          <w:sz w:val="20"/>
          <w:szCs w:val="20"/>
        </w:rPr>
        <w:t>nonappealable</w:t>
      </w:r>
      <w:r w:rsidRPr="00391598">
        <w:rPr>
          <w:rFonts w:ascii="Times New Roman" w:hAnsi="Times New Roman"/>
          <w:sz w:val="20"/>
          <w:szCs w:val="20"/>
        </w:rPr>
        <w:t xml:space="preserve"> decision in such judicial proceeding or demand.  An exception applies if the Secretary or his/her designee authorizes in writing a release of the requirement to maintain such records before a final </w:t>
      </w:r>
      <w:r w:rsidRPr="00391598">
        <w:rPr>
          <w:rFonts w:ascii="Times New Roman" w:hAnsi="Times New Roman"/>
          <w:sz w:val="20"/>
          <w:szCs w:val="20"/>
        </w:rPr>
        <w:t>nonappealable</w:t>
      </w:r>
      <w:r w:rsidRPr="00391598">
        <w:rPr>
          <w:rFonts w:ascii="Times New Roman" w:hAnsi="Times New Roman"/>
          <w:sz w:val="20"/>
          <w:szCs w:val="20"/>
        </w:rPr>
        <w:t xml:space="preserve"> decision is made or rendered.</w:t>
      </w:r>
    </w:p>
    <w:p w:rsidR="00126D6F" w:rsidRPr="00391598" w:rsidP="00126D6F" w14:paraId="375E7E41" w14:textId="77777777">
      <w:pPr>
        <w:rPr>
          <w:rFonts w:ascii="Times New Roman" w:hAnsi="Times New Roman"/>
          <w:sz w:val="20"/>
          <w:szCs w:val="20"/>
        </w:rPr>
      </w:pPr>
    </w:p>
    <w:p w:rsidR="00126D6F" w:rsidRPr="00391598" w:rsidP="00126D6F" w14:paraId="3F1E4D6B" w14:textId="77777777">
      <w:pPr>
        <w:rPr>
          <w:rFonts w:ascii="Times New Roman" w:hAnsi="Times New Roman"/>
          <w:sz w:val="20"/>
          <w:szCs w:val="20"/>
        </w:rPr>
      </w:pPr>
      <w:r w:rsidRPr="00391598">
        <w:rPr>
          <w:rFonts w:ascii="Times New Roman" w:hAnsi="Times New Roman"/>
          <w:sz w:val="20"/>
          <w:szCs w:val="20"/>
        </w:rPr>
        <w:t>The lessee, operator, purchaser, or transporter must maintain an audit trail.</w:t>
      </w:r>
    </w:p>
    <w:p w:rsidR="00126D6F" w:rsidRPr="00391598" w:rsidP="00126D6F" w14:paraId="088CD87E" w14:textId="77777777">
      <w:pPr>
        <w:rPr>
          <w:rFonts w:ascii="Times New Roman" w:hAnsi="Times New Roman"/>
          <w:sz w:val="20"/>
          <w:szCs w:val="20"/>
        </w:rPr>
      </w:pPr>
    </w:p>
    <w:p w:rsidR="00126D6F" w:rsidRPr="00391598" w:rsidP="00126D6F" w14:paraId="6DF5A1D8" w14:textId="77777777">
      <w:pPr>
        <w:rPr>
          <w:rFonts w:ascii="Times New Roman" w:hAnsi="Times New Roman"/>
          <w:sz w:val="20"/>
          <w:szCs w:val="20"/>
        </w:rPr>
      </w:pPr>
      <w:r w:rsidRPr="00391598">
        <w:rPr>
          <w:rFonts w:ascii="Times New Roman" w:hAnsi="Times New Roman"/>
          <w:sz w:val="20"/>
          <w:szCs w:val="20"/>
        </w:rPr>
        <w:t>For all facilities existing prior to the assignment of an FMP number, all records must include the following information:</w:t>
      </w:r>
    </w:p>
    <w:p w:rsidR="00126D6F" w:rsidRPr="00391598" w:rsidP="00126D6F" w14:paraId="034EBFF4" w14:textId="77777777">
      <w:pPr>
        <w:rPr>
          <w:rFonts w:ascii="Times New Roman" w:hAnsi="Times New Roman"/>
          <w:sz w:val="20"/>
          <w:szCs w:val="20"/>
        </w:rPr>
      </w:pPr>
    </w:p>
    <w:p w:rsidR="00126D6F" w:rsidRPr="00391598" w:rsidP="00126D6F" w14:paraId="7F269714"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 xml:space="preserve">The name of the </w:t>
      </w:r>
      <w:r w:rsidRPr="00391598">
        <w:rPr>
          <w:rFonts w:ascii="Times New Roman" w:hAnsi="Times New Roman"/>
          <w:sz w:val="20"/>
          <w:szCs w:val="20"/>
        </w:rPr>
        <w:t>operator;</w:t>
      </w:r>
    </w:p>
    <w:p w:rsidR="00126D6F" w:rsidRPr="00391598" w:rsidP="00126D6F" w14:paraId="067ED741"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The lease, unit PA, or CA number; and</w:t>
      </w:r>
    </w:p>
    <w:p w:rsidR="00126D6F" w:rsidRPr="00391598" w:rsidP="00126D6F" w14:paraId="4B147BE7" w14:textId="77777777">
      <w:pPr>
        <w:widowControl/>
        <w:numPr>
          <w:ilvl w:val="0"/>
          <w:numId w:val="29"/>
        </w:numPr>
        <w:autoSpaceDE/>
        <w:autoSpaceDN/>
        <w:adjustRightInd/>
        <w:rPr>
          <w:rFonts w:ascii="Times New Roman" w:hAnsi="Times New Roman"/>
          <w:sz w:val="20"/>
          <w:szCs w:val="20"/>
        </w:rPr>
      </w:pPr>
      <w:r w:rsidRPr="00391598">
        <w:rPr>
          <w:rFonts w:ascii="Times New Roman" w:hAnsi="Times New Roman"/>
          <w:sz w:val="20"/>
          <w:szCs w:val="20"/>
        </w:rPr>
        <w:t>The well or facility name and number.</w:t>
      </w:r>
    </w:p>
    <w:p w:rsidR="00126D6F" w:rsidRPr="00391598" w:rsidP="00126D6F" w14:paraId="6BE23BF6" w14:textId="77777777">
      <w:pPr>
        <w:widowControl/>
        <w:autoSpaceDE/>
        <w:autoSpaceDN/>
        <w:adjustRightInd/>
        <w:rPr>
          <w:rFonts w:ascii="Times New Roman" w:hAnsi="Times New Roman"/>
          <w:sz w:val="20"/>
          <w:szCs w:val="20"/>
        </w:rPr>
      </w:pPr>
    </w:p>
    <w:p w:rsidR="00126D6F" w:rsidRPr="00391598" w:rsidP="00126D6F" w14:paraId="61232D8C" w14:textId="77777777">
      <w:pPr>
        <w:widowControl/>
        <w:autoSpaceDE/>
        <w:autoSpaceDN/>
        <w:adjustRightInd/>
        <w:rPr>
          <w:rFonts w:ascii="Times New Roman" w:hAnsi="Times New Roman"/>
          <w:sz w:val="20"/>
          <w:szCs w:val="20"/>
        </w:rPr>
      </w:pPr>
      <w:r w:rsidRPr="00391598">
        <w:rPr>
          <w:rFonts w:ascii="Times New Roman" w:hAnsi="Times New Roman"/>
          <w:sz w:val="20"/>
          <w:szCs w:val="20"/>
        </w:rPr>
        <w:t>Upon request of the BLM, the operator, purchaser, or transporter must provide such records to the BLM as may be required by regulation, written order, Onshore Order, Notice to Lessees, or Condition(s) of Approval.</w:t>
      </w:r>
    </w:p>
    <w:p w:rsidR="00126D6F" w:rsidRPr="00391598" w:rsidP="00126D6F" w14:paraId="1D974454" w14:textId="77777777">
      <w:pPr>
        <w:widowControl/>
        <w:autoSpaceDE/>
        <w:autoSpaceDN/>
        <w:adjustRightInd/>
        <w:rPr>
          <w:rFonts w:ascii="Times New Roman" w:hAnsi="Times New Roman"/>
          <w:sz w:val="20"/>
          <w:szCs w:val="20"/>
        </w:rPr>
      </w:pPr>
    </w:p>
    <w:p w:rsidR="00126D6F" w:rsidRPr="00391598" w:rsidP="00126D6F" w14:paraId="4F2516A4" w14:textId="77777777">
      <w:pPr>
        <w:widowControl/>
        <w:autoSpaceDE/>
        <w:autoSpaceDN/>
        <w:adjustRightInd/>
        <w:rPr>
          <w:rFonts w:ascii="Times New Roman" w:hAnsi="Times New Roman"/>
          <w:sz w:val="20"/>
          <w:szCs w:val="20"/>
        </w:rPr>
      </w:pPr>
      <w:r w:rsidRPr="00391598">
        <w:rPr>
          <w:rFonts w:ascii="Times New Roman" w:hAnsi="Times New Roman"/>
          <w:sz w:val="20"/>
          <w:szCs w:val="20"/>
        </w:rPr>
        <w:t>All records must be legible.  All records requiring a signature must include the signer’s printed name.</w:t>
      </w:r>
    </w:p>
    <w:p w:rsidR="00126D6F" w:rsidRPr="00391598" w:rsidP="00126D6F" w14:paraId="5CE28065" w14:textId="77777777">
      <w:pPr>
        <w:widowControl/>
        <w:autoSpaceDE/>
        <w:autoSpaceDN/>
        <w:adjustRightInd/>
        <w:rPr>
          <w:rFonts w:ascii="Times New Roman" w:hAnsi="Times New Roman"/>
          <w:sz w:val="20"/>
          <w:szCs w:val="20"/>
        </w:rPr>
      </w:pPr>
    </w:p>
    <w:p w:rsidR="00126D6F" w:rsidRPr="00391598" w:rsidP="00126D6F" w14:paraId="78649554" w14:textId="77777777">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needs this information </w:t>
      </w:r>
      <w:r w:rsidRPr="00391598">
        <w:rPr>
          <w:rFonts w:ascii="Times New Roman" w:hAnsi="Times New Roman"/>
          <w:sz w:val="20"/>
          <w:szCs w:val="20"/>
        </w:rPr>
        <w:t>in order to</w:t>
      </w:r>
      <w:r w:rsidRPr="00391598">
        <w:rPr>
          <w:rFonts w:ascii="Times New Roman" w:hAnsi="Times New Roman"/>
          <w:sz w:val="20"/>
          <w:szCs w:val="20"/>
        </w:rPr>
        <w:t xml:space="preserve"> monitor oil and gas operations in accordance with its statutory obligations.</w:t>
      </w:r>
    </w:p>
    <w:p w:rsidR="009500CD" w:rsidRPr="00391598" w:rsidP="00126D6F" w14:paraId="207CB518" w14:textId="77777777">
      <w:pPr>
        <w:widowControl/>
        <w:autoSpaceDE/>
        <w:autoSpaceDN/>
        <w:adjustRightInd/>
        <w:rPr>
          <w:rFonts w:ascii="Times New Roman" w:hAnsi="Times New Roman"/>
          <w:sz w:val="20"/>
          <w:szCs w:val="20"/>
        </w:rPr>
      </w:pPr>
    </w:p>
    <w:p w:rsidR="009500CD" w:rsidRPr="00391598" w:rsidP="00126D6F" w14:paraId="133B9ED3" w14:textId="5F5B0B45">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uses these records </w:t>
      </w:r>
      <w:r w:rsidRPr="00391598" w:rsidR="00F973AB">
        <w:rPr>
          <w:rFonts w:ascii="Times New Roman" w:hAnsi="Times New Roman"/>
          <w:sz w:val="20"/>
          <w:szCs w:val="20"/>
        </w:rPr>
        <w:t xml:space="preserve">to </w:t>
      </w:r>
      <w:r w:rsidRPr="00391598" w:rsidR="001F21D3">
        <w:rPr>
          <w:rFonts w:ascii="Times New Roman" w:hAnsi="Times New Roman"/>
          <w:sz w:val="20"/>
          <w:szCs w:val="20"/>
        </w:rPr>
        <w:t xml:space="preserve">both </w:t>
      </w:r>
      <w:r w:rsidRPr="00391598" w:rsidR="00F973AB">
        <w:rPr>
          <w:rFonts w:ascii="Times New Roman" w:hAnsi="Times New Roman"/>
          <w:sz w:val="20"/>
          <w:szCs w:val="20"/>
        </w:rPr>
        <w:t xml:space="preserve">verify source records for compliance with measurement rules and </w:t>
      </w:r>
      <w:r w:rsidRPr="00391598" w:rsidR="008C45C0">
        <w:rPr>
          <w:rFonts w:ascii="Times New Roman" w:hAnsi="Times New Roman"/>
          <w:sz w:val="20"/>
          <w:szCs w:val="20"/>
        </w:rPr>
        <w:t xml:space="preserve">conduct oil and gas production audits to confirm production reporting accuracy. </w:t>
      </w:r>
      <w:r w:rsidRPr="00391598" w:rsidR="005B4FBB">
        <w:rPr>
          <w:rFonts w:ascii="Times New Roman" w:hAnsi="Times New Roman"/>
          <w:sz w:val="20"/>
          <w:szCs w:val="20"/>
        </w:rPr>
        <w:t>The information activities</w:t>
      </w:r>
      <w:r w:rsidRPr="00391598" w:rsidR="00CE7819">
        <w:rPr>
          <w:rFonts w:ascii="Times New Roman" w:hAnsi="Times New Roman"/>
          <w:sz w:val="20"/>
          <w:szCs w:val="20"/>
        </w:rPr>
        <w:t xml:space="preserve"> are required to confirm that </w:t>
      </w:r>
      <w:r w:rsidRPr="00391598" w:rsidR="005A5623">
        <w:rPr>
          <w:rFonts w:ascii="Times New Roman" w:hAnsi="Times New Roman"/>
          <w:sz w:val="20"/>
          <w:szCs w:val="20"/>
        </w:rPr>
        <w:t xml:space="preserve">the Federal government and Indian mineral interest owners are </w:t>
      </w:r>
      <w:r w:rsidRPr="00391598" w:rsidR="00BE4403">
        <w:rPr>
          <w:rFonts w:ascii="Times New Roman" w:hAnsi="Times New Roman"/>
          <w:sz w:val="20"/>
          <w:szCs w:val="20"/>
        </w:rPr>
        <w:t xml:space="preserve">receiving the royalty payments owed to them. </w:t>
      </w:r>
    </w:p>
    <w:p w:rsidR="00FB3C24" w:rsidRPr="00391598" w:rsidP="00D6364C" w14:paraId="4C29338F" w14:textId="77777777">
      <w:pPr>
        <w:rPr>
          <w:rFonts w:ascii="Times New Roman" w:hAnsi="Times New Roman"/>
          <w:sz w:val="20"/>
          <w:szCs w:val="20"/>
        </w:rPr>
      </w:pPr>
    </w:p>
    <w:p w:rsidR="007E5176" w:rsidP="00E9771C" w14:paraId="6E0BBA95" w14:textId="77777777">
      <w:pPr>
        <w:rPr>
          <w:rFonts w:ascii="Times New Roman" w:hAnsi="Times New Roman"/>
          <w:i/>
          <w:sz w:val="20"/>
          <w:szCs w:val="20"/>
        </w:rPr>
      </w:pPr>
    </w:p>
    <w:p w:rsidR="007E5176" w:rsidP="00E9771C" w14:paraId="0841FB69" w14:textId="77777777">
      <w:pPr>
        <w:rPr>
          <w:rFonts w:ascii="Times New Roman" w:hAnsi="Times New Roman"/>
          <w:i/>
          <w:sz w:val="20"/>
          <w:szCs w:val="20"/>
        </w:rPr>
      </w:pPr>
    </w:p>
    <w:p w:rsidR="00E9771C" w:rsidRPr="00391598" w:rsidP="00E9771C" w14:paraId="6DF56842" w14:textId="5301D47F">
      <w:pPr>
        <w:rPr>
          <w:rFonts w:ascii="Times New Roman" w:hAnsi="Times New Roman"/>
          <w:sz w:val="20"/>
          <w:szCs w:val="20"/>
        </w:rPr>
      </w:pPr>
      <w:r w:rsidRPr="00391598">
        <w:rPr>
          <w:rFonts w:ascii="Times New Roman" w:hAnsi="Times New Roman"/>
          <w:i/>
          <w:sz w:val="20"/>
          <w:szCs w:val="20"/>
        </w:rPr>
        <w:t xml:space="preserve">Reporting Theft or Mishandling of Oil </w:t>
      </w:r>
      <w:r w:rsidRPr="00391598" w:rsidR="001C5FFF">
        <w:rPr>
          <w:rFonts w:ascii="Times New Roman" w:hAnsi="Times New Roman"/>
          <w:i/>
          <w:sz w:val="20"/>
          <w:szCs w:val="20"/>
        </w:rPr>
        <w:t>–</w:t>
      </w:r>
      <w:r w:rsidRPr="00391598">
        <w:rPr>
          <w:rFonts w:ascii="Times New Roman" w:hAnsi="Times New Roman"/>
          <w:i/>
          <w:sz w:val="20"/>
          <w:szCs w:val="20"/>
        </w:rPr>
        <w:t xml:space="preserve"> </w:t>
      </w:r>
      <w:r w:rsidRPr="00391598" w:rsidR="001C5FFF">
        <w:rPr>
          <w:rFonts w:ascii="Times New Roman" w:hAnsi="Times New Roman"/>
          <w:i/>
          <w:sz w:val="20"/>
          <w:szCs w:val="20"/>
        </w:rPr>
        <w:t>43 CFR 3173.8</w:t>
      </w:r>
    </w:p>
    <w:p w:rsidR="00E9771C" w:rsidRPr="00391598" w:rsidP="00E9771C" w14:paraId="7AAD98FE" w14:textId="77777777">
      <w:pPr>
        <w:rPr>
          <w:rFonts w:ascii="Times New Roman" w:hAnsi="Times New Roman"/>
          <w:sz w:val="20"/>
          <w:szCs w:val="20"/>
        </w:rPr>
      </w:pPr>
    </w:p>
    <w:p w:rsidR="001C796E" w:rsidRPr="00391598" w:rsidP="001C796E" w14:paraId="7F25F326" w14:textId="77777777">
      <w:pPr>
        <w:widowControl/>
        <w:autoSpaceDE/>
        <w:autoSpaceDN/>
        <w:adjustRightInd/>
        <w:rPr>
          <w:rFonts w:ascii="Times New Roman" w:hAnsi="Times New Roman"/>
          <w:sz w:val="20"/>
          <w:szCs w:val="20"/>
        </w:rPr>
      </w:pPr>
      <w:r w:rsidRPr="00391598">
        <w:rPr>
          <w:rFonts w:ascii="Times New Roman" w:hAnsi="Times New Roman"/>
          <w:sz w:val="20"/>
          <w:szCs w:val="20"/>
        </w:rPr>
        <w:t>Section 3173.8 requires an operator, purchaser, or transporter to report an incident of apparent theft or mishandling of oil.  The deadline for such a report is no later than the next business day after discovery of the incident.  All oral reports must be followed up with a written incident report within 10 business days of the oral report.</w:t>
      </w:r>
    </w:p>
    <w:p w:rsidR="004B7B26" w:rsidRPr="00391598" w:rsidP="001C796E" w14:paraId="395129FA" w14:textId="77777777">
      <w:pPr>
        <w:widowControl/>
        <w:autoSpaceDE/>
        <w:autoSpaceDN/>
        <w:adjustRightInd/>
        <w:rPr>
          <w:rFonts w:ascii="Times New Roman" w:hAnsi="Times New Roman"/>
          <w:sz w:val="20"/>
          <w:szCs w:val="20"/>
          <w:highlight w:val="yellow"/>
        </w:rPr>
      </w:pPr>
    </w:p>
    <w:p w:rsidR="001056B8" w:rsidRPr="00391598" w:rsidP="001C796E" w14:paraId="357BAEBB" w14:textId="02F54687">
      <w:pPr>
        <w:widowControl/>
        <w:autoSpaceDE/>
        <w:autoSpaceDN/>
        <w:adjustRightInd/>
        <w:rPr>
          <w:rFonts w:ascii="Times New Roman" w:hAnsi="Times New Roman"/>
          <w:sz w:val="20"/>
          <w:szCs w:val="20"/>
        </w:rPr>
      </w:pPr>
      <w:r w:rsidRPr="00391598">
        <w:rPr>
          <w:rFonts w:ascii="Times New Roman" w:hAnsi="Times New Roman"/>
          <w:sz w:val="20"/>
          <w:szCs w:val="20"/>
        </w:rPr>
        <w:t xml:space="preserve"> The BLM requires </w:t>
      </w:r>
      <w:r w:rsidRPr="00391598" w:rsidR="00D511B3">
        <w:rPr>
          <w:rFonts w:ascii="Times New Roman" w:hAnsi="Times New Roman"/>
          <w:sz w:val="20"/>
          <w:szCs w:val="20"/>
        </w:rPr>
        <w:t xml:space="preserve">the reporting of theft or mishandling of oil to </w:t>
      </w:r>
      <w:r w:rsidRPr="00391598" w:rsidR="00CF6D53">
        <w:rPr>
          <w:rFonts w:ascii="Times New Roman" w:hAnsi="Times New Roman"/>
          <w:sz w:val="20"/>
          <w:szCs w:val="20"/>
        </w:rPr>
        <w:t xml:space="preserve">make a </w:t>
      </w:r>
      <w:r w:rsidRPr="00391598" w:rsidR="00D511B3">
        <w:rPr>
          <w:rFonts w:ascii="Times New Roman" w:hAnsi="Times New Roman"/>
          <w:sz w:val="20"/>
          <w:szCs w:val="20"/>
        </w:rPr>
        <w:t>determin</w:t>
      </w:r>
      <w:r w:rsidRPr="00391598" w:rsidR="00CF6D53">
        <w:rPr>
          <w:rFonts w:ascii="Times New Roman" w:hAnsi="Times New Roman"/>
          <w:sz w:val="20"/>
          <w:szCs w:val="20"/>
        </w:rPr>
        <w:t>ation</w:t>
      </w:r>
      <w:r w:rsidRPr="00391598" w:rsidR="00CF6D53">
        <w:rPr>
          <w:rFonts w:ascii="Times New Roman" w:hAnsi="Times New Roman"/>
          <w:sz w:val="20"/>
          <w:szCs w:val="20"/>
        </w:rPr>
        <w:t xml:space="preserve"> based on the information provided</w:t>
      </w:r>
      <w:r w:rsidRPr="00391598" w:rsidR="00D511B3">
        <w:rPr>
          <w:rFonts w:ascii="Times New Roman" w:hAnsi="Times New Roman"/>
          <w:sz w:val="20"/>
          <w:szCs w:val="20"/>
        </w:rPr>
        <w:t xml:space="preserve"> whether the loss of oil is an avoidable (royalty obligation) or an unavoidable (no </w:t>
      </w:r>
      <w:r w:rsidRPr="00391598" w:rsidR="00CF6D53">
        <w:rPr>
          <w:rFonts w:ascii="Times New Roman" w:hAnsi="Times New Roman"/>
          <w:sz w:val="20"/>
          <w:szCs w:val="20"/>
        </w:rPr>
        <w:t>royalty obligation)</w:t>
      </w:r>
      <w:r w:rsidRPr="00391598" w:rsidR="003032DE">
        <w:rPr>
          <w:rFonts w:ascii="Times New Roman" w:hAnsi="Times New Roman"/>
          <w:sz w:val="20"/>
          <w:szCs w:val="20"/>
        </w:rPr>
        <w:t xml:space="preserve"> loss</w:t>
      </w:r>
      <w:r w:rsidRPr="00391598" w:rsidR="00CF6D53">
        <w:rPr>
          <w:rFonts w:ascii="Times New Roman" w:hAnsi="Times New Roman"/>
          <w:sz w:val="20"/>
          <w:szCs w:val="20"/>
        </w:rPr>
        <w:t xml:space="preserve">. </w:t>
      </w:r>
      <w:r w:rsidRPr="00391598" w:rsidR="003859D5">
        <w:rPr>
          <w:rFonts w:ascii="Times New Roman" w:hAnsi="Times New Roman"/>
          <w:sz w:val="20"/>
          <w:szCs w:val="20"/>
        </w:rPr>
        <w:t xml:space="preserve">This is a very rare occurrence. However, the BLM does need to make the avoidable/unavoidable loss determination should mishandling or theft occur at a facility. </w:t>
      </w:r>
    </w:p>
    <w:p w:rsidR="00E9771C" w:rsidRPr="00391598" w:rsidP="005A6B81" w14:paraId="78303F32" w14:textId="77777777">
      <w:pPr>
        <w:rPr>
          <w:rFonts w:ascii="Times New Roman" w:hAnsi="Times New Roman"/>
          <w:b/>
          <w:i/>
          <w:sz w:val="20"/>
          <w:szCs w:val="20"/>
        </w:rPr>
      </w:pPr>
    </w:p>
    <w:p w:rsidR="00555E26" w:rsidRPr="00391598" w:rsidP="005A6B81" w14:paraId="5E199938" w14:textId="70D6B6D0">
      <w:pPr>
        <w:rPr>
          <w:rFonts w:ascii="Times New Roman" w:hAnsi="Times New Roman"/>
          <w:b/>
          <w:i/>
          <w:sz w:val="20"/>
          <w:szCs w:val="20"/>
        </w:rPr>
      </w:pPr>
      <w:r w:rsidRPr="00391598">
        <w:rPr>
          <w:rFonts w:ascii="Times New Roman" w:hAnsi="Times New Roman"/>
          <w:b/>
          <w:i/>
          <w:sz w:val="20"/>
          <w:szCs w:val="20"/>
        </w:rPr>
        <w:t>Site Facility Diagrams</w:t>
      </w:r>
      <w:r w:rsidRPr="00391598" w:rsidR="005A6B81">
        <w:rPr>
          <w:rFonts w:ascii="Times New Roman" w:hAnsi="Times New Roman"/>
          <w:b/>
          <w:i/>
          <w:sz w:val="20"/>
          <w:szCs w:val="20"/>
        </w:rPr>
        <w:t xml:space="preserve"> -- </w:t>
      </w:r>
      <w:r w:rsidRPr="00391598" w:rsidR="0000704C">
        <w:rPr>
          <w:rFonts w:ascii="Times New Roman" w:hAnsi="Times New Roman"/>
          <w:b/>
          <w:i/>
          <w:sz w:val="20"/>
          <w:szCs w:val="20"/>
        </w:rPr>
        <w:t xml:space="preserve">43 </w:t>
      </w:r>
      <w:r w:rsidRPr="00391598" w:rsidR="00F967A8">
        <w:rPr>
          <w:rFonts w:ascii="Times New Roman" w:hAnsi="Times New Roman"/>
          <w:b/>
          <w:i/>
          <w:sz w:val="20"/>
          <w:szCs w:val="20"/>
        </w:rPr>
        <w:t>C</w:t>
      </w:r>
      <w:r w:rsidRPr="00391598" w:rsidR="00056F45">
        <w:rPr>
          <w:rFonts w:ascii="Times New Roman" w:hAnsi="Times New Roman"/>
          <w:b/>
          <w:i/>
          <w:sz w:val="20"/>
          <w:szCs w:val="20"/>
        </w:rPr>
        <w:t>FR 3173.11</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0B279C" w:rsidRPr="00391598" w:rsidP="003A200B" w14:paraId="1717D595" w14:textId="77777777">
      <w:pPr>
        <w:rPr>
          <w:rFonts w:ascii="Times New Roman" w:hAnsi="Times New Roman"/>
          <w:sz w:val="20"/>
          <w:szCs w:val="20"/>
        </w:rPr>
      </w:pPr>
    </w:p>
    <w:p w:rsidR="003A200B" w:rsidRPr="00391598" w:rsidP="003A200B" w14:paraId="08697F9D" w14:textId="77777777">
      <w:pPr>
        <w:tabs>
          <w:tab w:val="left" w:pos="1440"/>
        </w:tabs>
        <w:contextualSpacing/>
        <w:rPr>
          <w:rFonts w:ascii="Times New Roman" w:hAnsi="Times New Roman"/>
          <w:sz w:val="20"/>
          <w:szCs w:val="20"/>
        </w:rPr>
      </w:pPr>
      <w:r w:rsidRPr="00391598">
        <w:rPr>
          <w:rFonts w:ascii="Times New Roman" w:hAnsi="Times New Roman"/>
          <w:sz w:val="20"/>
          <w:szCs w:val="20"/>
        </w:rPr>
        <w:t>Section 3173.11 requires a site facility diagram for all facilities.  Section 3170.3 defines “facility” as a site and associated equipment used to:</w:t>
      </w:r>
    </w:p>
    <w:p w:rsidR="003A200B" w:rsidRPr="00391598" w:rsidP="003A200B" w14:paraId="52514C47" w14:textId="77777777">
      <w:pPr>
        <w:tabs>
          <w:tab w:val="left" w:pos="1440"/>
        </w:tabs>
        <w:contextualSpacing/>
        <w:rPr>
          <w:rFonts w:ascii="Times New Roman" w:hAnsi="Times New Roman"/>
          <w:sz w:val="20"/>
          <w:szCs w:val="20"/>
        </w:rPr>
      </w:pPr>
    </w:p>
    <w:p w:rsidR="003A200B" w:rsidRPr="00391598" w:rsidP="00613C1C" w14:paraId="13E81A02" w14:textId="77777777">
      <w:pPr>
        <w:numPr>
          <w:ilvl w:val="0"/>
          <w:numId w:val="4"/>
        </w:numPr>
        <w:contextualSpacing/>
        <w:rPr>
          <w:rFonts w:ascii="Times New Roman" w:hAnsi="Times New Roman"/>
          <w:sz w:val="20"/>
          <w:szCs w:val="20"/>
        </w:rPr>
      </w:pPr>
      <w:r w:rsidRPr="00391598">
        <w:rPr>
          <w:rFonts w:ascii="Times New Roman" w:hAnsi="Times New Roman"/>
          <w:sz w:val="20"/>
          <w:szCs w:val="20"/>
          <w:lang w:eastAsia="ar-SA"/>
        </w:rPr>
        <w:t xml:space="preserve">Process, treat, store, or measure oil or gas production from or allocated to a </w:t>
      </w:r>
      <w:r w:rsidRPr="00391598">
        <w:rPr>
          <w:rFonts w:ascii="Times New Roman" w:hAnsi="Times New Roman"/>
          <w:sz w:val="20"/>
          <w:szCs w:val="20"/>
          <w:lang w:eastAsia="ar-SA"/>
        </w:rPr>
        <w:br/>
        <w:t>Federal or Indian lease, unit, or CA that is located upstream of or at (and including) the approved point of royalty measurement; or</w:t>
      </w:r>
    </w:p>
    <w:p w:rsidR="003A200B" w:rsidRPr="00391598" w:rsidP="00613C1C" w14:paraId="4A3A8CE0" w14:textId="77777777">
      <w:pPr>
        <w:numPr>
          <w:ilvl w:val="0"/>
          <w:numId w:val="4"/>
        </w:numPr>
        <w:contextualSpacing/>
        <w:rPr>
          <w:rFonts w:ascii="Times New Roman" w:hAnsi="Times New Roman"/>
          <w:sz w:val="20"/>
          <w:szCs w:val="20"/>
        </w:rPr>
      </w:pPr>
      <w:r w:rsidRPr="00391598">
        <w:rPr>
          <w:rFonts w:ascii="Times New Roman" w:hAnsi="Times New Roman"/>
          <w:sz w:val="20"/>
          <w:szCs w:val="20"/>
          <w:lang w:eastAsia="ar-SA"/>
        </w:rPr>
        <w:t>Store, measure, or dispose of produced water that is located on a lease, unit, or CA.</w:t>
      </w:r>
    </w:p>
    <w:p w:rsidR="003A200B" w:rsidRPr="00391598" w:rsidP="003A200B" w14:paraId="19859ECE" w14:textId="77777777">
      <w:pPr>
        <w:contextualSpacing/>
        <w:rPr>
          <w:rFonts w:ascii="Times New Roman" w:hAnsi="Times New Roman"/>
          <w:sz w:val="20"/>
          <w:szCs w:val="20"/>
          <w:lang w:eastAsia="ar-SA"/>
        </w:rPr>
      </w:pPr>
    </w:p>
    <w:p w:rsidR="003A200B" w:rsidRPr="00391598" w:rsidP="003A200B" w14:paraId="3629F684" w14:textId="77777777">
      <w:pPr>
        <w:contextualSpacing/>
        <w:rPr>
          <w:rFonts w:ascii="Times New Roman" w:hAnsi="Times New Roman"/>
          <w:sz w:val="20"/>
          <w:szCs w:val="20"/>
        </w:rPr>
      </w:pPr>
      <w:r w:rsidRPr="00391598">
        <w:rPr>
          <w:rFonts w:ascii="Times New Roman" w:hAnsi="Times New Roman"/>
          <w:sz w:val="20"/>
          <w:szCs w:val="20"/>
          <w:lang w:eastAsia="ar-SA"/>
        </w:rPr>
        <w:t>Paragraphs (a) through (c) of section 3173.11 require that e</w:t>
      </w:r>
      <w:r w:rsidRPr="00391598">
        <w:rPr>
          <w:rFonts w:ascii="Times New Roman" w:hAnsi="Times New Roman"/>
          <w:sz w:val="20"/>
          <w:szCs w:val="20"/>
        </w:rPr>
        <w:t xml:space="preserve">ach site facility diagram be submitted with a </w:t>
      </w:r>
      <w:r w:rsidRPr="00391598">
        <w:rPr>
          <w:rFonts w:ascii="Times New Roman" w:hAnsi="Times New Roman"/>
          <w:bCs/>
          <w:sz w:val="20"/>
          <w:szCs w:val="20"/>
        </w:rPr>
        <w:t>completed</w:t>
      </w:r>
      <w:r w:rsidRPr="00391598">
        <w:rPr>
          <w:rFonts w:ascii="Times New Roman" w:hAnsi="Times New Roman"/>
          <w:sz w:val="20"/>
          <w:szCs w:val="20"/>
        </w:rPr>
        <w:t xml:space="preserve"> Sundry Notice.  The diagram itself should be formatted to fit on an 8½ x 11 </w:t>
      </w:r>
      <w:r w:rsidRPr="00391598">
        <w:rPr>
          <w:rFonts w:ascii="Times New Roman" w:hAnsi="Times New Roman"/>
          <w:sz w:val="20"/>
          <w:szCs w:val="20"/>
        </w:rPr>
        <w:t>sheet</w:t>
      </w:r>
      <w:r w:rsidRPr="00391598">
        <w:rPr>
          <w:rFonts w:ascii="Times New Roman" w:hAnsi="Times New Roman"/>
          <w:sz w:val="20"/>
          <w:szCs w:val="20"/>
        </w:rPr>
        <w:t xml:space="preserve"> of paper, if possible, and must be legible and comprehensible to an individual with an ordinary working knowledge of oilfield operations.  If more than one page is required, each page must be numbered (in the format “N of X pages”).  Section 3173.22(c) specifies that a site facility diagram must:</w:t>
      </w:r>
    </w:p>
    <w:p w:rsidR="003A200B" w:rsidRPr="00391598" w:rsidP="003A200B" w14:paraId="02E2E9D8" w14:textId="77777777">
      <w:pPr>
        <w:contextualSpacing/>
        <w:rPr>
          <w:rFonts w:ascii="Times New Roman" w:hAnsi="Times New Roman"/>
          <w:sz w:val="20"/>
          <w:szCs w:val="20"/>
        </w:rPr>
      </w:pPr>
    </w:p>
    <w:p w:rsidR="003A200B" w:rsidRPr="00391598" w:rsidP="00613C1C" w14:paraId="5631A64F"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Reflect the position of the production and water recovery equipment, piping for oil, gas, and water, and metering or other measuring systems in relation to each other, but need not be to </w:t>
      </w:r>
      <w:r w:rsidRPr="00391598">
        <w:rPr>
          <w:rFonts w:ascii="Times New Roman" w:hAnsi="Times New Roman"/>
          <w:sz w:val="20"/>
          <w:szCs w:val="20"/>
        </w:rPr>
        <w:t>scale;</w:t>
      </w:r>
    </w:p>
    <w:p w:rsidR="003A200B" w:rsidRPr="00391598" w:rsidP="00613C1C" w14:paraId="49C6104C"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Commencing with the header, identify all of the equipment, including, but not limited to, the header, wellhead, piping, tanks, and metering systems located on the site, and include the appropriate valves and any other equipment used in the handling, conditioning, or disposal of production and water, and indicate the direction of </w:t>
      </w:r>
      <w:r w:rsidRPr="00391598">
        <w:rPr>
          <w:rFonts w:ascii="Times New Roman" w:hAnsi="Times New Roman"/>
          <w:sz w:val="20"/>
          <w:szCs w:val="20"/>
        </w:rPr>
        <w:t>flow;</w:t>
      </w:r>
    </w:p>
    <w:p w:rsidR="003A200B" w:rsidRPr="00391598" w:rsidP="00613C1C" w14:paraId="4E6C1E28"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Identify by API number the wells flowing into </w:t>
      </w:r>
      <w:r w:rsidRPr="00391598">
        <w:rPr>
          <w:rFonts w:ascii="Times New Roman" w:hAnsi="Times New Roman"/>
          <w:sz w:val="20"/>
          <w:szCs w:val="20"/>
        </w:rPr>
        <w:t>headers;</w:t>
      </w:r>
    </w:p>
    <w:p w:rsidR="003A200B" w:rsidRPr="00391598" w:rsidP="00613C1C" w14:paraId="24CDC99D"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 xml:space="preserve">Indicate which valve(s) must be sealed and in what position during the production and sales phases and during the conduct of other production activities (e.g., circulating tanks or drawing off water), which may be shown by an attachment, if </w:t>
      </w:r>
      <w:r w:rsidRPr="00391598">
        <w:rPr>
          <w:rFonts w:ascii="Times New Roman" w:hAnsi="Times New Roman"/>
          <w:sz w:val="20"/>
          <w:szCs w:val="20"/>
        </w:rPr>
        <w:t>necessary;</w:t>
      </w:r>
    </w:p>
    <w:p w:rsidR="003A200B" w:rsidRPr="00391598" w:rsidP="00613C1C" w14:paraId="05BC40CA"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Clearly identify the lease, unit production area (PA), or CA to which the diagram applies and the land description of the facility, and the name of the company submitting the diagram, with co-located facilities being identified for each lease, unit PA, or CA; and</w:t>
      </w:r>
    </w:p>
    <w:p w:rsidR="003A200B" w:rsidRPr="00391598" w:rsidP="00613C1C" w14:paraId="220E3411" w14:textId="77777777">
      <w:pPr>
        <w:pStyle w:val="ListParagraph"/>
        <w:widowControl/>
        <w:numPr>
          <w:ilvl w:val="0"/>
          <w:numId w:val="3"/>
        </w:numPr>
        <w:suppressAutoHyphens/>
        <w:autoSpaceDE/>
        <w:autoSpaceDN/>
        <w:adjustRightInd/>
        <w:rPr>
          <w:rFonts w:ascii="Times New Roman" w:hAnsi="Times New Roman"/>
          <w:sz w:val="20"/>
          <w:szCs w:val="20"/>
        </w:rPr>
      </w:pPr>
      <w:r w:rsidRPr="00391598">
        <w:rPr>
          <w:rFonts w:ascii="Times New Roman" w:hAnsi="Times New Roman"/>
          <w:sz w:val="20"/>
          <w:szCs w:val="20"/>
        </w:rPr>
        <w:t>Clearly identify as an attachment all meters and measurement equipment.  Specifically identify all approved and assigned facility measurement points (FMPs).</w:t>
      </w:r>
    </w:p>
    <w:p w:rsidR="003A200B" w:rsidRPr="00391598" w:rsidP="003A200B" w14:paraId="15F029E0" w14:textId="77777777">
      <w:pPr>
        <w:tabs>
          <w:tab w:val="left" w:pos="900"/>
        </w:tabs>
        <w:contextualSpacing/>
        <w:rPr>
          <w:rFonts w:ascii="Times New Roman" w:hAnsi="Times New Roman"/>
          <w:sz w:val="20"/>
          <w:szCs w:val="20"/>
        </w:rPr>
      </w:pPr>
    </w:p>
    <w:p w:rsidR="003A200B" w:rsidRPr="00391598" w:rsidP="003A200B" w14:paraId="3983249B" w14:textId="77777777">
      <w:pPr>
        <w:tabs>
          <w:tab w:val="left" w:pos="900"/>
        </w:tabs>
        <w:contextualSpacing/>
        <w:rPr>
          <w:rFonts w:ascii="Times New Roman" w:hAnsi="Times New Roman"/>
          <w:sz w:val="20"/>
          <w:szCs w:val="20"/>
        </w:rPr>
      </w:pPr>
      <w:r w:rsidRPr="00391598">
        <w:rPr>
          <w:rFonts w:ascii="Times New Roman" w:hAnsi="Times New Roman"/>
          <w:sz w:val="20"/>
          <w:szCs w:val="20"/>
        </w:rPr>
        <w:t>If another operator operates a co-located facility, the site facility diagram must depict the co-located facilities on the diagram or list them on an attachment and identify them by company name, facility name(s), lease, unit PA, or CA number, and FMP number(s).  When describing co-located facilities operated by one operator, the site facility diagram must include a skeleton diagram of the co-located facility, showing equipment only.  For storage facilities common to co-located facilities operated by one operator, one diagram would be sufficient.</w:t>
      </w:r>
    </w:p>
    <w:p w:rsidR="003A200B" w:rsidRPr="00391598" w:rsidP="003A200B" w14:paraId="77202AEB" w14:textId="77777777">
      <w:pPr>
        <w:tabs>
          <w:tab w:val="left" w:pos="1440"/>
        </w:tabs>
        <w:contextualSpacing/>
        <w:rPr>
          <w:rFonts w:ascii="Times New Roman" w:hAnsi="Times New Roman"/>
          <w:sz w:val="20"/>
          <w:szCs w:val="20"/>
        </w:rPr>
      </w:pPr>
    </w:p>
    <w:p w:rsidR="003A200B" w:rsidRPr="00391598" w:rsidP="003A200B" w14:paraId="281B66B1" w14:textId="77777777">
      <w:pPr>
        <w:tabs>
          <w:tab w:val="left" w:pos="1440"/>
        </w:tabs>
        <w:contextualSpacing/>
        <w:rPr>
          <w:rFonts w:ascii="Times New Roman" w:hAnsi="Times New Roman"/>
          <w:sz w:val="20"/>
          <w:szCs w:val="20"/>
        </w:rPr>
      </w:pPr>
      <w:r w:rsidRPr="00391598">
        <w:rPr>
          <w:rFonts w:ascii="Times New Roman" w:hAnsi="Times New Roman"/>
          <w:sz w:val="20"/>
          <w:szCs w:val="20"/>
        </w:rPr>
        <w:t>If the operator claims royalty-free use, the site facility diagram must clearly identify on the diagram or as an attachment, the equipment for which the operator claims royalty-free use.</w:t>
      </w:r>
    </w:p>
    <w:p w:rsidR="003A200B" w:rsidRPr="00391598" w:rsidP="003A200B" w14:paraId="3E3F6EBD" w14:textId="77777777">
      <w:pPr>
        <w:tabs>
          <w:tab w:val="left" w:pos="1440"/>
        </w:tabs>
        <w:contextualSpacing/>
        <w:rPr>
          <w:rFonts w:ascii="Times New Roman" w:hAnsi="Times New Roman"/>
          <w:sz w:val="20"/>
          <w:szCs w:val="20"/>
        </w:rPr>
      </w:pPr>
    </w:p>
    <w:p w:rsidR="003A200B" w:rsidRPr="00391598" w:rsidP="003A200B" w14:paraId="22882BB8" w14:textId="77777777">
      <w:pPr>
        <w:tabs>
          <w:tab w:val="left" w:pos="1440"/>
        </w:tabs>
        <w:contextualSpacing/>
        <w:rPr>
          <w:rFonts w:ascii="Times New Roman" w:hAnsi="Times New Roman"/>
          <w:sz w:val="20"/>
          <w:szCs w:val="20"/>
        </w:rPr>
      </w:pPr>
      <w:r w:rsidRPr="00391598">
        <w:rPr>
          <w:rFonts w:ascii="Times New Roman" w:hAnsi="Times New Roman"/>
          <w:sz w:val="20"/>
          <w:szCs w:val="20"/>
        </w:rPr>
        <w:t>Section 3173.11(d) specifies the timing requirements for submission of a new site facility diagram for facilities for which the BLM will assign an FMP number.  Section 3173.11(e) specifies similar timing requirements for submission of a new site facility for which an FMP number is not required (e.g., facilities th</w:t>
      </w:r>
      <w:r w:rsidRPr="00391598" w:rsidR="00B4204E">
        <w:rPr>
          <w:rFonts w:ascii="Times New Roman" w:hAnsi="Times New Roman"/>
          <w:sz w:val="20"/>
          <w:szCs w:val="20"/>
        </w:rPr>
        <w:t xml:space="preserve">at dispose of produced water).  </w:t>
      </w:r>
      <w:r w:rsidRPr="00391598">
        <w:rPr>
          <w:rFonts w:ascii="Times New Roman" w:hAnsi="Times New Roman"/>
          <w:sz w:val="20"/>
          <w:szCs w:val="20"/>
        </w:rPr>
        <w:t>The timing requirements also vary depending on the date the relevant facilities become operational.</w:t>
      </w:r>
    </w:p>
    <w:p w:rsidR="003A200B" w:rsidRPr="00391598" w:rsidP="003A200B" w14:paraId="5D01EA43" w14:textId="77777777">
      <w:pPr>
        <w:tabs>
          <w:tab w:val="left" w:pos="1440"/>
        </w:tabs>
        <w:contextualSpacing/>
        <w:rPr>
          <w:rFonts w:ascii="Times New Roman" w:hAnsi="Times New Roman"/>
          <w:sz w:val="20"/>
          <w:szCs w:val="20"/>
        </w:rPr>
      </w:pPr>
    </w:p>
    <w:p w:rsidR="003A200B" w:rsidRPr="00391598" w:rsidP="003A200B" w14:paraId="2D8503ED" w14:textId="5101E055">
      <w:pPr>
        <w:tabs>
          <w:tab w:val="left" w:pos="1440"/>
        </w:tabs>
        <w:contextualSpacing/>
        <w:rPr>
          <w:rFonts w:ascii="Times New Roman" w:hAnsi="Times New Roman"/>
          <w:sz w:val="20"/>
          <w:szCs w:val="20"/>
        </w:rPr>
      </w:pPr>
      <w:r w:rsidRPr="00391598">
        <w:rPr>
          <w:rFonts w:ascii="Times New Roman" w:hAnsi="Times New Roman"/>
          <w:sz w:val="20"/>
          <w:szCs w:val="20"/>
        </w:rPr>
        <w:t xml:space="preserve">Section 3173.11(f) specifies that after a site facility diagram has been submitted, operators have an ongoing obligation to update and amend </w:t>
      </w:r>
      <w:r w:rsidRPr="00391598" w:rsidR="0093381F">
        <w:rPr>
          <w:rFonts w:ascii="Times New Roman" w:hAnsi="Times New Roman"/>
          <w:sz w:val="20"/>
          <w:szCs w:val="20"/>
        </w:rPr>
        <w:t xml:space="preserve">a site facility diagram </w:t>
      </w:r>
      <w:r w:rsidRPr="00391598">
        <w:rPr>
          <w:rFonts w:ascii="Times New Roman" w:hAnsi="Times New Roman"/>
          <w:sz w:val="20"/>
          <w:szCs w:val="20"/>
        </w:rPr>
        <w:t xml:space="preserve">within 30 days after: </w:t>
      </w:r>
      <w:r w:rsidR="002003F0">
        <w:rPr>
          <w:rFonts w:ascii="Times New Roman" w:hAnsi="Times New Roman"/>
          <w:sz w:val="20"/>
          <w:szCs w:val="20"/>
        </w:rPr>
        <w:t>Yes</w:t>
      </w:r>
      <w:r w:rsidR="004B3184">
        <w:rPr>
          <w:rFonts w:ascii="Times New Roman" w:hAnsi="Times New Roman"/>
          <w:sz w:val="20"/>
          <w:szCs w:val="20"/>
        </w:rPr>
        <w:t xml:space="preserve"> </w:t>
      </w:r>
      <w:r w:rsidRPr="00391598">
        <w:rPr>
          <w:rFonts w:ascii="Times New Roman" w:hAnsi="Times New Roman"/>
          <w:sz w:val="20"/>
          <w:szCs w:val="20"/>
        </w:rPr>
        <w:t xml:space="preserve">(1) Such facilities are modified; (2) A </w:t>
      </w:r>
      <w:r w:rsidRPr="00391598">
        <w:rPr>
          <w:rFonts w:ascii="Times New Roman" w:hAnsi="Times New Roman"/>
          <w:sz w:val="20"/>
          <w:szCs w:val="20"/>
        </w:rPr>
        <w:t>non-Federal</w:t>
      </w:r>
      <w:r w:rsidRPr="00391598">
        <w:rPr>
          <w:rFonts w:ascii="Times New Roman" w:hAnsi="Times New Roman"/>
          <w:sz w:val="20"/>
          <w:szCs w:val="20"/>
        </w:rPr>
        <w:t xml:space="preserve"> facility located on a Federal lease or federally approved unit or </w:t>
      </w:r>
      <w:r w:rsidRPr="00391598">
        <w:rPr>
          <w:rFonts w:ascii="Times New Roman" w:hAnsi="Times New Roman"/>
          <w:sz w:val="20"/>
          <w:szCs w:val="20"/>
        </w:rPr>
        <w:t>communitized</w:t>
      </w:r>
      <w:r w:rsidRPr="00391598">
        <w:rPr>
          <w:rFonts w:ascii="Times New Roman" w:hAnsi="Times New Roman"/>
          <w:sz w:val="20"/>
          <w:szCs w:val="20"/>
        </w:rPr>
        <w:t xml:space="preserve"> area is constructed or modified; or (3) There is a change in operator.</w:t>
      </w:r>
    </w:p>
    <w:p w:rsidR="000B279C" w:rsidRPr="00391598" w:rsidP="003A200B" w14:paraId="62F4710A" w14:textId="77777777">
      <w:pPr>
        <w:rPr>
          <w:rFonts w:ascii="Times New Roman" w:hAnsi="Times New Roman"/>
          <w:sz w:val="20"/>
          <w:szCs w:val="20"/>
        </w:rPr>
      </w:pPr>
    </w:p>
    <w:p w:rsidR="00CB131B" w:rsidRPr="00391598" w:rsidP="00CB131B" w14:paraId="3D17EE99" w14:textId="0B28A30D">
      <w:pPr>
        <w:contextualSpacing/>
        <w:rPr>
          <w:rFonts w:ascii="Times New Roman" w:hAnsi="Times New Roman"/>
          <w:sz w:val="20"/>
          <w:szCs w:val="20"/>
          <w:lang w:eastAsia="ar-SA"/>
        </w:rPr>
      </w:pPr>
      <w:r w:rsidRPr="00391598">
        <w:rPr>
          <w:rFonts w:ascii="Times New Roman" w:hAnsi="Times New Roman"/>
          <w:sz w:val="20"/>
          <w:szCs w:val="20"/>
        </w:rPr>
        <w:t xml:space="preserve"> A site facility diagram</w:t>
      </w:r>
      <w:r w:rsidRPr="00391598" w:rsidR="004F102B">
        <w:rPr>
          <w:rFonts w:ascii="Times New Roman" w:hAnsi="Times New Roman"/>
          <w:sz w:val="20"/>
          <w:szCs w:val="20"/>
        </w:rPr>
        <w:t xml:space="preserve"> (SFD)</w:t>
      </w:r>
      <w:r w:rsidRPr="00391598">
        <w:rPr>
          <w:rFonts w:ascii="Times New Roman" w:hAnsi="Times New Roman"/>
          <w:sz w:val="20"/>
          <w:szCs w:val="20"/>
        </w:rPr>
        <w:t xml:space="preserve"> is one of the BLM’s primary mechanisms for monitoring operators’ compliance with measurement regulations and policy.  These IC activities enable the BLM to verify, among other things, royalty-free-use volumes reported by the operator on its Oil and Gas Operations Reports.  These IC activities </w:t>
      </w:r>
      <w:r w:rsidRPr="00391598">
        <w:rPr>
          <w:rFonts w:ascii="Times New Roman" w:hAnsi="Times New Roman"/>
          <w:sz w:val="20"/>
          <w:szCs w:val="20"/>
          <w:lang w:eastAsia="ar-SA"/>
        </w:rPr>
        <w:t xml:space="preserve">also </w:t>
      </w:r>
      <w:r w:rsidRPr="00391598">
        <w:rPr>
          <w:rFonts w:ascii="Times New Roman" w:hAnsi="Times New Roman"/>
          <w:sz w:val="20"/>
          <w:szCs w:val="20"/>
        </w:rPr>
        <w:t>enhance</w:t>
      </w:r>
      <w:r w:rsidRPr="00391598">
        <w:rPr>
          <w:rFonts w:ascii="Times New Roman" w:hAnsi="Times New Roman"/>
          <w:sz w:val="20"/>
          <w:szCs w:val="20"/>
          <w:lang w:eastAsia="ar-SA"/>
        </w:rPr>
        <w:t xml:space="preserve"> production accountability and help to</w:t>
      </w:r>
      <w:r w:rsidRPr="00391598" w:rsidR="00FE504F">
        <w:rPr>
          <w:rFonts w:ascii="Times New Roman" w:hAnsi="Times New Roman"/>
          <w:sz w:val="20"/>
          <w:szCs w:val="20"/>
          <w:lang w:eastAsia="ar-SA"/>
        </w:rPr>
        <w:t xml:space="preserve"> verify measurement locations and</w:t>
      </w:r>
      <w:r w:rsidRPr="00391598">
        <w:rPr>
          <w:rFonts w:ascii="Times New Roman" w:hAnsi="Times New Roman"/>
          <w:sz w:val="20"/>
          <w:szCs w:val="20"/>
          <w:lang w:eastAsia="ar-SA"/>
        </w:rPr>
        <w:t xml:space="preserve"> determine if unapproved commingling of production is occurring.</w:t>
      </w:r>
      <w:r w:rsidRPr="00391598" w:rsidR="008B3E37">
        <w:rPr>
          <w:rFonts w:ascii="Times New Roman" w:hAnsi="Times New Roman"/>
          <w:sz w:val="20"/>
          <w:szCs w:val="20"/>
          <w:lang w:eastAsia="ar-SA"/>
        </w:rPr>
        <w:t xml:space="preserve"> </w:t>
      </w:r>
      <w:r w:rsidRPr="00391598" w:rsidR="008B3E37">
        <w:rPr>
          <w:rFonts w:ascii="Times New Roman" w:hAnsi="Times New Roman"/>
          <w:sz w:val="20"/>
          <w:szCs w:val="20"/>
        </w:rPr>
        <w:t>A SFD is used by Petroleum Engineering Technicians while conduction on-site production inspections.</w:t>
      </w:r>
    </w:p>
    <w:p w:rsidR="00FA7F9C" w:rsidRPr="00391598" w:rsidP="003A200B" w14:paraId="64FAFC5D" w14:textId="77777777">
      <w:pPr>
        <w:rPr>
          <w:rFonts w:ascii="Times New Roman" w:hAnsi="Times New Roman"/>
          <w:sz w:val="20"/>
          <w:szCs w:val="20"/>
        </w:rPr>
      </w:pPr>
    </w:p>
    <w:p w:rsidR="002538C5" w:rsidRPr="00391598" w:rsidP="005A6B81" w14:paraId="56A17395" w14:textId="77777777">
      <w:pPr>
        <w:pStyle w:val="ListParagraph"/>
        <w:ind w:left="0"/>
        <w:rPr>
          <w:rFonts w:ascii="Times New Roman" w:hAnsi="Times New Roman"/>
          <w:b/>
          <w:i/>
          <w:sz w:val="20"/>
          <w:szCs w:val="20"/>
        </w:rPr>
      </w:pPr>
      <w:r w:rsidRPr="00391598">
        <w:rPr>
          <w:rFonts w:ascii="Times New Roman" w:hAnsi="Times New Roman"/>
          <w:b/>
          <w:i/>
          <w:sz w:val="20"/>
          <w:szCs w:val="20"/>
        </w:rPr>
        <w:t>Request for Approval of an FMP for Future Measurement Facilities</w:t>
      </w:r>
      <w:r w:rsidRPr="00391598" w:rsidR="005A6B81">
        <w:rPr>
          <w:rFonts w:ascii="Times New Roman" w:hAnsi="Times New Roman"/>
          <w:b/>
          <w:i/>
          <w:sz w:val="20"/>
          <w:szCs w:val="20"/>
        </w:rPr>
        <w:t xml:space="preserve"> -- </w:t>
      </w:r>
      <w:r w:rsidRPr="00391598" w:rsidR="00F967A8">
        <w:rPr>
          <w:rFonts w:ascii="Times New Roman" w:hAnsi="Times New Roman"/>
          <w:b/>
          <w:i/>
          <w:sz w:val="20"/>
          <w:szCs w:val="20"/>
        </w:rPr>
        <w:t>43 CFR 3173.12(d</w:t>
      </w:r>
      <w:r w:rsidRPr="00391598">
        <w:rPr>
          <w:rFonts w:ascii="Times New Roman" w:hAnsi="Times New Roman"/>
          <w:b/>
          <w:i/>
          <w:sz w:val="20"/>
          <w:szCs w:val="20"/>
        </w:rPr>
        <w:t>)</w:t>
      </w:r>
    </w:p>
    <w:p w:rsidR="002538C5" w:rsidRPr="00391598" w:rsidP="005A6B81" w14:paraId="0ADC0B00" w14:textId="77777777">
      <w:pPr>
        <w:pStyle w:val="ListParagraph"/>
        <w:ind w:left="0"/>
        <w:rPr>
          <w:rFonts w:ascii="Times New Roman" w:hAnsi="Times New Roman"/>
          <w:b/>
          <w:i/>
          <w:sz w:val="20"/>
          <w:szCs w:val="20"/>
        </w:rPr>
      </w:pPr>
      <w:r w:rsidRPr="00391598">
        <w:rPr>
          <w:rFonts w:ascii="Times New Roman" w:hAnsi="Times New Roman"/>
          <w:b/>
          <w:i/>
          <w:sz w:val="20"/>
          <w:szCs w:val="20"/>
        </w:rPr>
        <w:t>Form 3160-5</w:t>
      </w:r>
      <w:r w:rsidRPr="00391598" w:rsidR="0093381F">
        <w:rPr>
          <w:rFonts w:ascii="Times New Roman" w:hAnsi="Times New Roman"/>
          <w:b/>
          <w:i/>
          <w:sz w:val="20"/>
          <w:szCs w:val="20"/>
        </w:rPr>
        <w:t>; and</w:t>
      </w:r>
      <w:r w:rsidRPr="00391598" w:rsidR="005A6B81">
        <w:rPr>
          <w:rFonts w:ascii="Times New Roman" w:hAnsi="Times New Roman"/>
          <w:b/>
          <w:i/>
          <w:sz w:val="20"/>
          <w:szCs w:val="20"/>
        </w:rPr>
        <w:t xml:space="preserve"> </w:t>
      </w:r>
      <w:r w:rsidRPr="00391598" w:rsidR="00650E1A">
        <w:rPr>
          <w:rFonts w:ascii="Times New Roman" w:hAnsi="Times New Roman"/>
          <w:b/>
          <w:i/>
          <w:sz w:val="20"/>
          <w:szCs w:val="20"/>
        </w:rPr>
        <w:t>Request for Approval of an FMP for Existing Measurement Facilities</w:t>
      </w:r>
      <w:r w:rsidRPr="00391598" w:rsidR="005A6B81">
        <w:rPr>
          <w:rFonts w:ascii="Times New Roman" w:hAnsi="Times New Roman"/>
          <w:b/>
          <w:i/>
          <w:sz w:val="20"/>
          <w:szCs w:val="20"/>
        </w:rPr>
        <w:t xml:space="preserve"> – </w:t>
      </w:r>
      <w:r w:rsidRPr="00391598" w:rsidR="00650E1A">
        <w:rPr>
          <w:rFonts w:ascii="Times New Roman" w:hAnsi="Times New Roman"/>
          <w:b/>
          <w:i/>
          <w:sz w:val="20"/>
          <w:szCs w:val="20"/>
        </w:rPr>
        <w:t>43</w:t>
      </w:r>
      <w:r w:rsidRPr="00391598" w:rsidR="005A6B81">
        <w:rPr>
          <w:rFonts w:ascii="Times New Roman" w:hAnsi="Times New Roman"/>
          <w:b/>
          <w:i/>
          <w:sz w:val="20"/>
          <w:szCs w:val="20"/>
        </w:rPr>
        <w:t xml:space="preserve"> </w:t>
      </w:r>
      <w:r w:rsidRPr="00391598" w:rsidR="00650E1A">
        <w:rPr>
          <w:rFonts w:ascii="Times New Roman" w:hAnsi="Times New Roman"/>
          <w:b/>
          <w:i/>
          <w:sz w:val="20"/>
          <w:szCs w:val="20"/>
        </w:rPr>
        <w:t>CFR 3173.12(e)</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93381F" w:rsidRPr="00391598" w:rsidP="0093381F" w14:paraId="369EB9BF" w14:textId="77777777">
      <w:pPr>
        <w:pStyle w:val="ListParagraph"/>
        <w:ind w:left="0"/>
        <w:rPr>
          <w:rFonts w:ascii="Times New Roman" w:hAnsi="Times New Roman"/>
          <w:sz w:val="20"/>
          <w:szCs w:val="20"/>
        </w:rPr>
      </w:pPr>
    </w:p>
    <w:p w:rsidR="0093381F" w:rsidRPr="00391598" w:rsidP="0093381F" w14:paraId="02489774" w14:textId="77777777">
      <w:pPr>
        <w:tabs>
          <w:tab w:val="left" w:pos="360"/>
          <w:tab w:val="left" w:pos="720"/>
        </w:tabs>
        <w:suppressAutoHyphens/>
        <w:rPr>
          <w:rFonts w:ascii="Times New Roman" w:hAnsi="Times New Roman"/>
          <w:sz w:val="20"/>
          <w:szCs w:val="20"/>
          <w:lang w:eastAsia="ar-SA"/>
        </w:rPr>
      </w:pPr>
      <w:r w:rsidRPr="00391598">
        <w:rPr>
          <w:rFonts w:ascii="Times New Roman" w:hAnsi="Times New Roman"/>
          <w:sz w:val="20"/>
          <w:szCs w:val="20"/>
        </w:rPr>
        <w:t>Section 3173.12 requires</w:t>
      </w:r>
      <w:r w:rsidRPr="00391598">
        <w:rPr>
          <w:rFonts w:ascii="Times New Roman" w:hAnsi="Times New Roman"/>
          <w:sz w:val="20"/>
          <w:szCs w:val="20"/>
          <w:lang w:eastAsia="ar-SA"/>
        </w:rPr>
        <w:t xml:space="preserve"> operators to obtain BLM approval of facility measurement points (FMPs).  </w:t>
      </w:r>
      <w:r w:rsidRPr="00391598">
        <w:rPr>
          <w:rFonts w:ascii="Times New Roman" w:hAnsi="Times New Roman"/>
          <w:sz w:val="20"/>
          <w:szCs w:val="20"/>
        </w:rPr>
        <w:t xml:space="preserve">An FMP is </w:t>
      </w:r>
      <w:r w:rsidRPr="00391598">
        <w:rPr>
          <w:rFonts w:ascii="Times New Roman" w:hAnsi="Times New Roman"/>
          <w:sz w:val="20"/>
          <w:szCs w:val="20"/>
          <w:lang w:eastAsia="ar-SA"/>
        </w:rPr>
        <w:t>a BLM-approved point where oil or gas produced from a Federal or Indian lease, unit, or CA is measured and the measurement affects the calculation of the volume or quality of production on which royalty is owed.  See 43 CFR 3170.3.</w:t>
      </w:r>
    </w:p>
    <w:p w:rsidR="0093381F" w:rsidRPr="00391598" w:rsidP="0093381F" w14:paraId="35E6E00F" w14:textId="77777777">
      <w:pPr>
        <w:tabs>
          <w:tab w:val="left" w:pos="360"/>
          <w:tab w:val="left" w:pos="720"/>
        </w:tabs>
        <w:suppressAutoHyphens/>
        <w:rPr>
          <w:rFonts w:ascii="Times New Roman" w:hAnsi="Times New Roman"/>
          <w:sz w:val="20"/>
          <w:szCs w:val="20"/>
          <w:lang w:eastAsia="ar-SA"/>
        </w:rPr>
      </w:pPr>
    </w:p>
    <w:p w:rsidR="0093381F" w:rsidRPr="00391598" w:rsidP="0093381F" w14:paraId="752E6BA7" w14:textId="77777777">
      <w:pPr>
        <w:tabs>
          <w:tab w:val="left" w:pos="1440"/>
        </w:tabs>
        <w:contextualSpacing/>
        <w:rPr>
          <w:rFonts w:ascii="Times New Roman" w:hAnsi="Times New Roman"/>
          <w:sz w:val="20"/>
          <w:szCs w:val="20"/>
        </w:rPr>
      </w:pPr>
      <w:r w:rsidRPr="00391598">
        <w:rPr>
          <w:rFonts w:ascii="Times New Roman" w:hAnsi="Times New Roman"/>
          <w:sz w:val="20"/>
          <w:szCs w:val="20"/>
        </w:rPr>
        <w:t xml:space="preserve">Section 3173.12(d) applies to permanent measurement facilities that come into service after January 17, 2017.  Section 3173.12(e) applies to permanent measurement facilities in service before January 17, 2017.  </w:t>
      </w:r>
      <w:r w:rsidRPr="00391598">
        <w:rPr>
          <w:rFonts w:ascii="Times New Roman" w:hAnsi="Times New Roman"/>
          <w:sz w:val="20"/>
          <w:szCs w:val="20"/>
        </w:rPr>
        <w:t>Both of these</w:t>
      </w:r>
      <w:r w:rsidRPr="00391598">
        <w:rPr>
          <w:rFonts w:ascii="Times New Roman" w:hAnsi="Times New Roman"/>
          <w:sz w:val="20"/>
          <w:szCs w:val="20"/>
        </w:rPr>
        <w:t xml:space="preserve"> </w:t>
      </w:r>
      <w:r w:rsidRPr="00391598" w:rsidR="003B6560">
        <w:rPr>
          <w:rFonts w:ascii="Times New Roman" w:hAnsi="Times New Roman"/>
          <w:sz w:val="20"/>
          <w:szCs w:val="20"/>
        </w:rPr>
        <w:t>IC</w:t>
      </w:r>
      <w:r w:rsidRPr="00391598">
        <w:rPr>
          <w:rFonts w:ascii="Times New Roman" w:hAnsi="Times New Roman"/>
          <w:sz w:val="20"/>
          <w:szCs w:val="20"/>
        </w:rPr>
        <w:t xml:space="preserve"> activities are one-time only.</w:t>
      </w:r>
    </w:p>
    <w:p w:rsidR="0093381F" w:rsidRPr="00391598" w:rsidP="0093381F" w14:paraId="10E4CC19" w14:textId="77777777">
      <w:pPr>
        <w:suppressAutoHyphens/>
        <w:rPr>
          <w:rFonts w:ascii="Times New Roman" w:hAnsi="Times New Roman"/>
          <w:bCs/>
          <w:sz w:val="20"/>
          <w:szCs w:val="20"/>
        </w:rPr>
      </w:pPr>
    </w:p>
    <w:p w:rsidR="0093381F" w:rsidRPr="00391598" w:rsidP="0093381F" w14:paraId="34769A3F" w14:textId="77777777">
      <w:pPr>
        <w:suppressAutoHyphens/>
        <w:rPr>
          <w:rFonts w:ascii="Times New Roman" w:hAnsi="Times New Roman"/>
          <w:bCs/>
          <w:sz w:val="20"/>
          <w:szCs w:val="20"/>
        </w:rPr>
      </w:pPr>
      <w:r w:rsidRPr="00391598">
        <w:rPr>
          <w:rFonts w:ascii="Times New Roman" w:hAnsi="Times New Roman"/>
          <w:sz w:val="20"/>
          <w:szCs w:val="20"/>
          <w:lang w:eastAsia="ar-SA"/>
        </w:rPr>
        <w:t>These activities assist the BLM in verifying production.  Upon receiving an initial request for an FMP, the BLM will approve it if it meets the requirements of this rule, and assign each FMP a unique identifying number, which the operator, transporter, or purchaser will use when reporting production results to the Office of Natural Resources Revenue (ONRR).</w:t>
      </w:r>
    </w:p>
    <w:p w:rsidR="0093381F" w:rsidRPr="00391598" w:rsidP="0093381F" w14:paraId="45084172" w14:textId="77777777">
      <w:pPr>
        <w:pStyle w:val="ListParagraph"/>
        <w:ind w:left="0"/>
        <w:rPr>
          <w:rFonts w:ascii="Times New Roman" w:hAnsi="Times New Roman"/>
          <w:bCs/>
          <w:sz w:val="20"/>
          <w:szCs w:val="20"/>
        </w:rPr>
      </w:pPr>
    </w:p>
    <w:p w:rsidR="0093381F" w:rsidRPr="00391598" w:rsidP="0093381F" w14:paraId="68C39518" w14:textId="77777777">
      <w:pPr>
        <w:pStyle w:val="ListParagraph"/>
        <w:ind w:left="0"/>
        <w:rPr>
          <w:rFonts w:ascii="Times New Roman" w:hAnsi="Times New Roman"/>
          <w:sz w:val="20"/>
          <w:szCs w:val="20"/>
        </w:rPr>
      </w:pPr>
      <w:r w:rsidRPr="00391598">
        <w:rPr>
          <w:rFonts w:ascii="Times New Roman" w:hAnsi="Times New Roman"/>
          <w:sz w:val="20"/>
          <w:szCs w:val="20"/>
        </w:rPr>
        <w:t>All requests for an FMP must include the following:</w:t>
      </w:r>
    </w:p>
    <w:p w:rsidR="0093381F" w:rsidRPr="00391598" w:rsidP="0093381F" w14:paraId="323B9C07" w14:textId="77777777">
      <w:pPr>
        <w:pStyle w:val="ListParagraph"/>
        <w:ind w:left="0"/>
        <w:rPr>
          <w:rFonts w:ascii="Times New Roman" w:hAnsi="Times New Roman"/>
          <w:sz w:val="20"/>
          <w:szCs w:val="20"/>
        </w:rPr>
      </w:pPr>
    </w:p>
    <w:p w:rsidR="0093381F" w:rsidRPr="00391598" w:rsidP="00613C1C" w14:paraId="33DD780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A complete Sundry </w:t>
      </w:r>
      <w:r w:rsidRPr="00391598">
        <w:rPr>
          <w:rFonts w:ascii="Times New Roman" w:hAnsi="Times New Roman"/>
          <w:bCs/>
          <w:sz w:val="20"/>
          <w:szCs w:val="20"/>
        </w:rPr>
        <w:t>Notice;</w:t>
      </w:r>
    </w:p>
    <w:p w:rsidR="0093381F" w:rsidRPr="00391598" w:rsidP="00613C1C" w14:paraId="5251B8CC"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The applicable Measurement Type Code specified in the BLM’s </w:t>
      </w:r>
      <w:r w:rsidRPr="00391598">
        <w:rPr>
          <w:rFonts w:ascii="Times New Roman" w:hAnsi="Times New Roman"/>
          <w:sz w:val="20"/>
          <w:szCs w:val="20"/>
        </w:rPr>
        <w:t>Well Information System (WIS</w:t>
      </w:r>
      <w:r w:rsidRPr="00391598">
        <w:rPr>
          <w:rFonts w:ascii="Times New Roman" w:hAnsi="Times New Roman"/>
          <w:sz w:val="20"/>
          <w:szCs w:val="20"/>
        </w:rPr>
        <w:t>)</w:t>
      </w:r>
      <w:r w:rsidRPr="00391598">
        <w:rPr>
          <w:rFonts w:ascii="Times New Roman" w:hAnsi="Times New Roman"/>
          <w:bCs/>
          <w:sz w:val="20"/>
          <w:szCs w:val="20"/>
        </w:rPr>
        <w:t>;</w:t>
      </w:r>
    </w:p>
    <w:p w:rsidR="0093381F" w:rsidRPr="00391598" w:rsidP="00613C1C" w14:paraId="242B3C4F"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For gas measurement, identification of the operator/purchaser/transporter unique station number, meter tube size or serial number, and type of secondary </w:t>
      </w:r>
      <w:r w:rsidRPr="00391598">
        <w:rPr>
          <w:rFonts w:ascii="Times New Roman" w:hAnsi="Times New Roman"/>
          <w:bCs/>
          <w:sz w:val="20"/>
          <w:szCs w:val="20"/>
        </w:rPr>
        <w:t>device;</w:t>
      </w:r>
    </w:p>
    <w:p w:rsidR="0093381F" w:rsidRPr="00391598" w:rsidP="00613C1C" w14:paraId="29B56024"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 xml:space="preserve">For oil measurement, identification of the oil tank number(s) or tank serial number(s) and size of each tank, and whether the oil was measured by LACT or CMS if not measured by tank </w:t>
      </w:r>
      <w:r w:rsidRPr="00391598">
        <w:rPr>
          <w:rFonts w:ascii="Times New Roman" w:hAnsi="Times New Roman"/>
          <w:bCs/>
          <w:sz w:val="20"/>
          <w:szCs w:val="20"/>
        </w:rPr>
        <w:t>gauge;</w:t>
      </w:r>
    </w:p>
    <w:p w:rsidR="0093381F" w:rsidRPr="00391598" w:rsidP="00613C1C" w14:paraId="2E361CD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Where production from more than one well will flow to the requested FMP, a list of the API well numbers associated with the FMP; and</w:t>
      </w:r>
    </w:p>
    <w:p w:rsidR="0093381F" w:rsidRPr="00391598" w:rsidP="00613C1C" w14:paraId="6CFC72A9"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sz w:val="20"/>
          <w:szCs w:val="20"/>
        </w:rPr>
      </w:pPr>
      <w:r w:rsidRPr="00391598">
        <w:rPr>
          <w:rFonts w:ascii="Times New Roman" w:hAnsi="Times New Roman"/>
          <w:bCs/>
          <w:sz w:val="20"/>
          <w:szCs w:val="20"/>
        </w:rPr>
        <w:t>FMP location by land description.</w:t>
      </w:r>
    </w:p>
    <w:p w:rsidR="0093381F" w:rsidRPr="00391598" w:rsidP="0093381F" w14:paraId="2BC7BD73" w14:textId="77777777">
      <w:pPr>
        <w:tabs>
          <w:tab w:val="left" w:pos="0"/>
        </w:tabs>
        <w:outlineLvl w:val="2"/>
        <w:rPr>
          <w:rFonts w:ascii="Times New Roman" w:hAnsi="Times New Roman"/>
          <w:bCs/>
          <w:sz w:val="20"/>
          <w:szCs w:val="20"/>
        </w:rPr>
      </w:pPr>
    </w:p>
    <w:p w:rsidR="0093381F" w:rsidRPr="00391598" w:rsidP="0093381F" w14:paraId="28BBA897" w14:textId="77777777">
      <w:pPr>
        <w:tabs>
          <w:tab w:val="left" w:pos="0"/>
        </w:tabs>
        <w:outlineLvl w:val="2"/>
        <w:rPr>
          <w:rFonts w:ascii="Times New Roman" w:hAnsi="Times New Roman"/>
          <w:bCs/>
          <w:sz w:val="20"/>
          <w:szCs w:val="20"/>
        </w:rPr>
      </w:pPr>
      <w:r w:rsidRPr="00391598">
        <w:rPr>
          <w:rFonts w:ascii="Times New Roman" w:hAnsi="Times New Roman"/>
          <w:bCs/>
          <w:sz w:val="20"/>
          <w:szCs w:val="20"/>
        </w:rPr>
        <w:t xml:space="preserve">Section 3173.12(d) applies to each permanent measurement facility that comes into service after January 17, 2017 (i.e., the effective date of the final site security rule).  This provision requires the operator to apply for approval of an FMP before any production leaves the facility.  This provision does not apply to temporary measurement equipment </w:t>
      </w:r>
      <w:r w:rsidRPr="00391598">
        <w:rPr>
          <w:rFonts w:ascii="Times New Roman" w:hAnsi="Times New Roman"/>
          <w:bCs/>
          <w:sz w:val="20"/>
          <w:szCs w:val="20"/>
        </w:rPr>
        <w:t>used during well testing operations.  Each request must meet the requirements listed above.</w:t>
      </w:r>
    </w:p>
    <w:p w:rsidR="0093381F" w:rsidRPr="00391598" w:rsidP="0093381F" w14:paraId="423F6B18" w14:textId="77777777">
      <w:pPr>
        <w:tabs>
          <w:tab w:val="left" w:pos="0"/>
        </w:tabs>
        <w:outlineLvl w:val="2"/>
        <w:rPr>
          <w:rFonts w:ascii="Times New Roman" w:hAnsi="Times New Roman"/>
          <w:bCs/>
          <w:sz w:val="20"/>
          <w:szCs w:val="20"/>
        </w:rPr>
      </w:pPr>
    </w:p>
    <w:p w:rsidR="0093381F" w:rsidRPr="00391598" w:rsidP="0093381F" w14:paraId="15FC4114" w14:textId="77777777">
      <w:pPr>
        <w:tabs>
          <w:tab w:val="left" w:pos="0"/>
        </w:tabs>
        <w:outlineLvl w:val="2"/>
        <w:rPr>
          <w:rFonts w:ascii="Times New Roman" w:hAnsi="Times New Roman"/>
          <w:bCs/>
          <w:sz w:val="20"/>
          <w:szCs w:val="20"/>
        </w:rPr>
      </w:pPr>
      <w:r w:rsidRPr="00391598">
        <w:rPr>
          <w:rFonts w:ascii="Times New Roman" w:hAnsi="Times New Roman"/>
          <w:bCs/>
          <w:sz w:val="20"/>
          <w:szCs w:val="20"/>
        </w:rPr>
        <w:t>Section 3173.12(e) applies to each permanent measurement facility that came into service on or before January 17, 2017, and requires the operator comply with the following deadlines for submission of an application for approval of an FMP:</w:t>
      </w:r>
    </w:p>
    <w:p w:rsidR="0093381F" w:rsidRPr="00391598" w:rsidP="0093381F" w14:paraId="09594914" w14:textId="77777777">
      <w:pPr>
        <w:tabs>
          <w:tab w:val="left" w:pos="0"/>
        </w:tabs>
        <w:outlineLvl w:val="2"/>
        <w:rPr>
          <w:rFonts w:ascii="Times New Roman" w:hAnsi="Times New Roman"/>
          <w:bCs/>
          <w:sz w:val="20"/>
          <w:szCs w:val="20"/>
        </w:rPr>
      </w:pPr>
    </w:p>
    <w:p w:rsidR="0093381F" w:rsidRPr="00391598" w:rsidP="00613C1C" w14:paraId="41552935" w14:textId="77777777">
      <w:pPr>
        <w:widowControl/>
        <w:numPr>
          <w:ilvl w:val="0"/>
          <w:numId w:val="10"/>
        </w:numPr>
        <w:autoSpaceDE/>
        <w:autoSpaceDN/>
        <w:adjustRightInd/>
        <w:spacing w:after="4" w:line="228" w:lineRule="auto"/>
        <w:ind w:right="43"/>
        <w:rPr>
          <w:rFonts w:ascii="Times New Roman" w:hAnsi="Times New Roman"/>
          <w:sz w:val="20"/>
          <w:szCs w:val="20"/>
        </w:rPr>
      </w:pPr>
      <w:r w:rsidRPr="00391598">
        <w:rPr>
          <w:rFonts w:ascii="Times New Roman" w:hAnsi="Times New Roman"/>
          <w:sz w:val="20"/>
          <w:szCs w:val="20"/>
        </w:rPr>
        <w:t>For a stand-alone lease, unit PA, or CA that produced 10,000 Mcf</w:t>
      </w:r>
      <w:r>
        <w:rPr>
          <w:rStyle w:val="FootnoteReference"/>
          <w:rFonts w:ascii="Times New Roman" w:hAnsi="Times New Roman"/>
          <w:sz w:val="20"/>
          <w:szCs w:val="20"/>
        </w:rPr>
        <w:footnoteReference w:id="2"/>
      </w:r>
      <w:r w:rsidRPr="00391598">
        <w:rPr>
          <w:rFonts w:ascii="Times New Roman" w:hAnsi="Times New Roman"/>
          <w:sz w:val="20"/>
          <w:szCs w:val="20"/>
        </w:rPr>
        <w:t xml:space="preserve"> or more of gas per month or 100 </w:t>
      </w:r>
      <w:r w:rsidRPr="00391598">
        <w:rPr>
          <w:rFonts w:ascii="Times New Roman" w:hAnsi="Times New Roman"/>
          <w:sz w:val="20"/>
          <w:szCs w:val="20"/>
        </w:rPr>
        <w:t>bbl</w:t>
      </w:r>
      <w:r>
        <w:rPr>
          <w:rStyle w:val="FootnoteReference"/>
          <w:rFonts w:ascii="Times New Roman" w:hAnsi="Times New Roman"/>
          <w:sz w:val="20"/>
          <w:szCs w:val="20"/>
        </w:rPr>
        <w:footnoteReference w:id="3"/>
      </w:r>
      <w:r w:rsidRPr="00391598">
        <w:rPr>
          <w:rFonts w:ascii="Times New Roman" w:hAnsi="Times New Roman"/>
          <w:sz w:val="20"/>
          <w:szCs w:val="20"/>
        </w:rPr>
        <w:t xml:space="preserve"> or more of oil per month, by January 17, </w:t>
      </w:r>
      <w:r w:rsidRPr="00391598">
        <w:rPr>
          <w:rFonts w:ascii="Times New Roman" w:hAnsi="Times New Roman"/>
          <w:sz w:val="20"/>
          <w:szCs w:val="20"/>
        </w:rPr>
        <w:t>2018;</w:t>
      </w:r>
    </w:p>
    <w:p w:rsidR="0093381F" w:rsidRPr="00391598" w:rsidP="00613C1C" w14:paraId="7B1A9EC8"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 xml:space="preserve">For a stand-alone lease, unit PA, or CA that produced 1,500 Mcf or more, but less than 10,000 Mcf of gas per month, or 10 </w:t>
      </w:r>
      <w:r w:rsidRPr="00391598">
        <w:rPr>
          <w:rFonts w:ascii="Times New Roman" w:hAnsi="Times New Roman"/>
          <w:sz w:val="20"/>
          <w:szCs w:val="20"/>
        </w:rPr>
        <w:t>bbl</w:t>
      </w:r>
      <w:r w:rsidRPr="00391598">
        <w:rPr>
          <w:rFonts w:ascii="Times New Roman" w:hAnsi="Times New Roman"/>
          <w:sz w:val="20"/>
          <w:szCs w:val="20"/>
        </w:rPr>
        <w:t xml:space="preserve"> or more, but less than 100 </w:t>
      </w:r>
      <w:r w:rsidRPr="00391598">
        <w:rPr>
          <w:rFonts w:ascii="Times New Roman" w:hAnsi="Times New Roman"/>
          <w:sz w:val="20"/>
          <w:szCs w:val="20"/>
        </w:rPr>
        <w:t>bbl</w:t>
      </w:r>
      <w:r w:rsidRPr="00391598">
        <w:rPr>
          <w:rFonts w:ascii="Times New Roman" w:hAnsi="Times New Roman"/>
          <w:sz w:val="20"/>
          <w:szCs w:val="20"/>
        </w:rPr>
        <w:t xml:space="preserve"> of oil per month, by January 17, </w:t>
      </w:r>
      <w:r w:rsidRPr="00391598">
        <w:rPr>
          <w:rFonts w:ascii="Times New Roman" w:hAnsi="Times New Roman"/>
          <w:sz w:val="20"/>
          <w:szCs w:val="20"/>
        </w:rPr>
        <w:t>2019;</w:t>
      </w:r>
    </w:p>
    <w:p w:rsidR="0093381F" w:rsidRPr="00391598" w:rsidP="00613C1C" w14:paraId="474A5844"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 xml:space="preserve">For a stand-alone lease, unit PA, or CA that produced less than 1,500 Mcf of gas per month or less than 10 </w:t>
      </w:r>
      <w:r w:rsidRPr="00391598">
        <w:rPr>
          <w:rFonts w:ascii="Times New Roman" w:hAnsi="Times New Roman"/>
          <w:sz w:val="20"/>
          <w:szCs w:val="20"/>
        </w:rPr>
        <w:t>bbl</w:t>
      </w:r>
      <w:r w:rsidRPr="00391598">
        <w:rPr>
          <w:rFonts w:ascii="Times New Roman" w:hAnsi="Times New Roman"/>
          <w:sz w:val="20"/>
          <w:szCs w:val="20"/>
        </w:rPr>
        <w:t xml:space="preserve"> of oil per month, by January 17, 2020; and</w:t>
      </w:r>
    </w:p>
    <w:p w:rsidR="0093381F" w:rsidRPr="00391598" w:rsidP="00613C1C" w14:paraId="0A28FB0E" w14:textId="77777777">
      <w:pPr>
        <w:widowControl/>
        <w:numPr>
          <w:ilvl w:val="0"/>
          <w:numId w:val="10"/>
        </w:numPr>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For a stand-alone lease, unit PA, or CA that has not produced for a year or more before January 17, 2017, the operator must apply for an FMP prior to the resumption of production.</w:t>
      </w:r>
    </w:p>
    <w:p w:rsidR="0093381F" w:rsidRPr="00391598" w:rsidP="00BE6C20" w14:paraId="6133ED19" w14:textId="77777777">
      <w:pPr>
        <w:pStyle w:val="ListParagraph"/>
        <w:ind w:left="0"/>
        <w:rPr>
          <w:rFonts w:ascii="Times New Roman" w:hAnsi="Times New Roman"/>
          <w:sz w:val="20"/>
          <w:szCs w:val="20"/>
        </w:rPr>
      </w:pPr>
    </w:p>
    <w:p w:rsidR="00FA7F9C" w:rsidRPr="00391598" w:rsidP="00FA7F9C" w14:paraId="04DAD7DB" w14:textId="2636AA4C">
      <w:pPr>
        <w:rPr>
          <w:rFonts w:ascii="Times New Roman" w:hAnsi="Times New Roman"/>
          <w:caps/>
          <w:sz w:val="20"/>
          <w:szCs w:val="20"/>
        </w:rPr>
      </w:pPr>
      <w:r w:rsidRPr="00391598">
        <w:rPr>
          <w:rFonts w:ascii="Times New Roman" w:hAnsi="Times New Roman"/>
          <w:sz w:val="20"/>
          <w:szCs w:val="20"/>
        </w:rPr>
        <w:t xml:space="preserve">Note: Due to </w:t>
      </w:r>
      <w:r w:rsidRPr="00391598" w:rsidR="006E739D">
        <w:rPr>
          <w:rFonts w:ascii="Times New Roman" w:hAnsi="Times New Roman"/>
          <w:sz w:val="20"/>
          <w:szCs w:val="20"/>
        </w:rPr>
        <w:t>competing priorities</w:t>
      </w:r>
      <w:r w:rsidRPr="00391598" w:rsidR="00E91B64">
        <w:rPr>
          <w:rFonts w:ascii="Times New Roman" w:hAnsi="Times New Roman"/>
          <w:sz w:val="20"/>
          <w:szCs w:val="20"/>
        </w:rPr>
        <w:t xml:space="preserve">. BLM’s </w:t>
      </w:r>
      <w:r w:rsidRPr="00391598" w:rsidR="006E739D">
        <w:rPr>
          <w:rFonts w:ascii="Times New Roman" w:hAnsi="Times New Roman"/>
          <w:sz w:val="20"/>
          <w:szCs w:val="20"/>
        </w:rPr>
        <w:t>leadership deci</w:t>
      </w:r>
      <w:r w:rsidRPr="00391598" w:rsidR="00E91B64">
        <w:rPr>
          <w:rFonts w:ascii="Times New Roman" w:hAnsi="Times New Roman"/>
          <w:sz w:val="20"/>
          <w:szCs w:val="20"/>
        </w:rPr>
        <w:t>ded</w:t>
      </w:r>
      <w:r w:rsidRPr="00391598" w:rsidR="006E739D">
        <w:rPr>
          <w:rFonts w:ascii="Times New Roman" w:hAnsi="Times New Roman"/>
          <w:sz w:val="20"/>
          <w:szCs w:val="20"/>
        </w:rPr>
        <w:t xml:space="preserve"> to forgo further development of BLM’s </w:t>
      </w:r>
      <w:r w:rsidRPr="00391598" w:rsidR="00E91B64">
        <w:rPr>
          <w:rFonts w:ascii="Times New Roman" w:hAnsi="Times New Roman"/>
          <w:sz w:val="20"/>
          <w:szCs w:val="20"/>
        </w:rPr>
        <w:t xml:space="preserve">electronic database, </w:t>
      </w:r>
      <w:r w:rsidRPr="00391598" w:rsidR="006E739D">
        <w:rPr>
          <w:rFonts w:ascii="Times New Roman" w:hAnsi="Times New Roman"/>
          <w:sz w:val="20"/>
          <w:szCs w:val="20"/>
        </w:rPr>
        <w:t xml:space="preserve">Automated </w:t>
      </w:r>
      <w:r w:rsidRPr="00391598" w:rsidR="00CF1FD0">
        <w:rPr>
          <w:rFonts w:ascii="Times New Roman" w:hAnsi="Times New Roman"/>
          <w:sz w:val="20"/>
          <w:szCs w:val="20"/>
        </w:rPr>
        <w:t xml:space="preserve">Fluid Mineral </w:t>
      </w:r>
      <w:r w:rsidRPr="00391598" w:rsidR="00712846">
        <w:rPr>
          <w:rFonts w:ascii="Times New Roman" w:hAnsi="Times New Roman"/>
          <w:sz w:val="20"/>
          <w:szCs w:val="20"/>
        </w:rPr>
        <w:t>Support System (AFMSS)</w:t>
      </w:r>
      <w:r w:rsidRPr="00391598" w:rsidR="0051486E">
        <w:rPr>
          <w:rFonts w:ascii="Times New Roman" w:hAnsi="Times New Roman"/>
          <w:sz w:val="20"/>
          <w:szCs w:val="20"/>
        </w:rPr>
        <w:t xml:space="preserve">. </w:t>
      </w:r>
      <w:r w:rsidRPr="00391598" w:rsidR="0004458C">
        <w:rPr>
          <w:rFonts w:ascii="Times New Roman" w:hAnsi="Times New Roman"/>
          <w:sz w:val="20"/>
          <w:szCs w:val="20"/>
        </w:rPr>
        <w:t>Th</w:t>
      </w:r>
      <w:r w:rsidRPr="00391598" w:rsidR="009A0270">
        <w:rPr>
          <w:rFonts w:ascii="Times New Roman" w:hAnsi="Times New Roman"/>
          <w:sz w:val="20"/>
          <w:szCs w:val="20"/>
        </w:rPr>
        <w:t xml:space="preserve">e decision to </w:t>
      </w:r>
      <w:r w:rsidRPr="00391598" w:rsidR="00BD2E2E">
        <w:rPr>
          <w:rFonts w:ascii="Times New Roman" w:hAnsi="Times New Roman"/>
          <w:sz w:val="20"/>
          <w:szCs w:val="20"/>
        </w:rPr>
        <w:t xml:space="preserve">cease further </w:t>
      </w:r>
      <w:r w:rsidRPr="00391598" w:rsidR="00574DD5">
        <w:rPr>
          <w:rFonts w:ascii="Times New Roman" w:hAnsi="Times New Roman"/>
          <w:sz w:val="20"/>
          <w:szCs w:val="20"/>
        </w:rPr>
        <w:t xml:space="preserve">AFMSS development resulted </w:t>
      </w:r>
      <w:r w:rsidRPr="00391598" w:rsidR="00303FB0">
        <w:rPr>
          <w:rFonts w:ascii="Times New Roman" w:hAnsi="Times New Roman"/>
          <w:sz w:val="20"/>
          <w:szCs w:val="20"/>
        </w:rPr>
        <w:t xml:space="preserve">in the FMP module never having been developed. </w:t>
      </w:r>
      <w:r w:rsidRPr="00391598" w:rsidR="001100D3">
        <w:rPr>
          <w:rFonts w:ascii="Times New Roman" w:hAnsi="Times New Roman"/>
          <w:sz w:val="20"/>
          <w:szCs w:val="20"/>
        </w:rPr>
        <w:t xml:space="preserve">Since the effective date of subpart 3173, the </w:t>
      </w:r>
      <w:r w:rsidRPr="00391598" w:rsidR="00400F43">
        <w:rPr>
          <w:rFonts w:ascii="Times New Roman" w:hAnsi="Times New Roman"/>
          <w:sz w:val="20"/>
          <w:szCs w:val="20"/>
        </w:rPr>
        <w:t xml:space="preserve">BLM has not had any operator or BLM information collection </w:t>
      </w:r>
      <w:r w:rsidRPr="00391598" w:rsidR="00D005CF">
        <w:rPr>
          <w:rFonts w:ascii="Times New Roman" w:hAnsi="Times New Roman"/>
          <w:sz w:val="20"/>
          <w:szCs w:val="20"/>
        </w:rPr>
        <w:t>activities</w:t>
      </w:r>
      <w:r w:rsidRPr="00391598" w:rsidR="00400F43">
        <w:rPr>
          <w:rFonts w:ascii="Times New Roman" w:hAnsi="Times New Roman"/>
          <w:sz w:val="20"/>
          <w:szCs w:val="20"/>
        </w:rPr>
        <w:t xml:space="preserve"> </w:t>
      </w:r>
      <w:r w:rsidRPr="00391598" w:rsidR="00FF3318">
        <w:rPr>
          <w:rFonts w:ascii="Times New Roman" w:hAnsi="Times New Roman"/>
          <w:sz w:val="20"/>
          <w:szCs w:val="20"/>
        </w:rPr>
        <w:t xml:space="preserve">related to the implementation of the </w:t>
      </w:r>
      <w:r w:rsidR="00F41C3A">
        <w:rPr>
          <w:rFonts w:ascii="Times New Roman" w:hAnsi="Times New Roman"/>
          <w:sz w:val="20"/>
          <w:szCs w:val="20"/>
        </w:rPr>
        <w:t>F</w:t>
      </w:r>
      <w:r w:rsidRPr="00391598" w:rsidR="00FF3318">
        <w:rPr>
          <w:rFonts w:ascii="Times New Roman" w:hAnsi="Times New Roman"/>
          <w:sz w:val="20"/>
          <w:szCs w:val="20"/>
        </w:rPr>
        <w:t>MP requirements</w:t>
      </w:r>
      <w:r w:rsidRPr="00391598" w:rsidR="00D35193">
        <w:rPr>
          <w:rFonts w:ascii="Times New Roman" w:hAnsi="Times New Roman"/>
          <w:sz w:val="20"/>
          <w:szCs w:val="20"/>
        </w:rPr>
        <w:t xml:space="preserve">. </w:t>
      </w:r>
      <w:r w:rsidRPr="00391598" w:rsidR="00D35193">
        <w:rPr>
          <w:rFonts w:ascii="Times New Roman" w:hAnsi="Times New Roman"/>
          <w:sz w:val="20"/>
          <w:szCs w:val="20"/>
        </w:rPr>
        <w:t>Therefore</w:t>
      </w:r>
      <w:r w:rsidRPr="00391598" w:rsidR="00D35193">
        <w:rPr>
          <w:rFonts w:ascii="Times New Roman" w:hAnsi="Times New Roman"/>
          <w:sz w:val="20"/>
          <w:szCs w:val="20"/>
        </w:rPr>
        <w:t xml:space="preserve"> the BLM will continue to maintain information collection activit</w:t>
      </w:r>
      <w:r w:rsidRPr="00391598" w:rsidR="00FF3318">
        <w:rPr>
          <w:rFonts w:ascii="Times New Roman" w:hAnsi="Times New Roman"/>
          <w:sz w:val="20"/>
          <w:szCs w:val="20"/>
        </w:rPr>
        <w:t>ies</w:t>
      </w:r>
      <w:r w:rsidRPr="00391598" w:rsidR="00D35193">
        <w:rPr>
          <w:rFonts w:ascii="Times New Roman" w:hAnsi="Times New Roman"/>
          <w:sz w:val="20"/>
          <w:szCs w:val="20"/>
        </w:rPr>
        <w:t xml:space="preserve"> within this </w:t>
      </w:r>
      <w:r w:rsidRPr="00391598" w:rsidR="00AE16FB">
        <w:rPr>
          <w:rFonts w:ascii="Times New Roman" w:hAnsi="Times New Roman"/>
          <w:sz w:val="20"/>
          <w:szCs w:val="20"/>
        </w:rPr>
        <w:t xml:space="preserve">OMB control number, but will use it as a placeholder for the time when BLM is able to </w:t>
      </w:r>
      <w:r w:rsidRPr="00391598" w:rsidR="00F60090">
        <w:rPr>
          <w:rFonts w:ascii="Times New Roman" w:hAnsi="Times New Roman"/>
          <w:sz w:val="20"/>
          <w:szCs w:val="20"/>
        </w:rPr>
        <w:t>effectively implement the FMP requirements</w:t>
      </w:r>
      <w:r w:rsidRPr="00391598" w:rsidR="00970EB2">
        <w:rPr>
          <w:rFonts w:ascii="Times New Roman" w:hAnsi="Times New Roman"/>
          <w:sz w:val="20"/>
          <w:szCs w:val="20"/>
        </w:rPr>
        <w:t xml:space="preserve"> following the development of the new electronic database. Currently, the BLM is working to redesign and build a new electronic database. The new electronic database will have the ability to receive applications for FMPs and assign FMP numbers.</w:t>
      </w:r>
    </w:p>
    <w:p w:rsidR="00FA7F9C" w:rsidRPr="00391598" w:rsidP="00BE6C20" w14:paraId="79AEB9B8" w14:textId="77777777">
      <w:pPr>
        <w:pStyle w:val="ListParagraph"/>
        <w:ind w:left="0"/>
        <w:rPr>
          <w:rFonts w:ascii="Times New Roman" w:hAnsi="Times New Roman"/>
          <w:sz w:val="20"/>
          <w:szCs w:val="20"/>
        </w:rPr>
      </w:pPr>
    </w:p>
    <w:p w:rsidR="00A51C8B" w:rsidRPr="00391598" w:rsidP="005A6B81" w14:paraId="201BCDF2" w14:textId="77777777">
      <w:pPr>
        <w:pStyle w:val="ListParagraph"/>
        <w:ind w:left="0"/>
        <w:rPr>
          <w:rFonts w:ascii="Times New Roman" w:hAnsi="Times New Roman"/>
          <w:b/>
          <w:i/>
          <w:sz w:val="20"/>
          <w:szCs w:val="20"/>
        </w:rPr>
      </w:pPr>
      <w:r w:rsidRPr="00391598">
        <w:rPr>
          <w:rFonts w:ascii="Times New Roman" w:hAnsi="Times New Roman"/>
          <w:b/>
          <w:i/>
          <w:sz w:val="20"/>
          <w:szCs w:val="20"/>
        </w:rPr>
        <w:t>Modifications to an FMP</w:t>
      </w:r>
      <w:r w:rsidRPr="00391598" w:rsidR="005A6B81">
        <w:rPr>
          <w:rFonts w:ascii="Times New Roman" w:hAnsi="Times New Roman"/>
          <w:b/>
          <w:i/>
          <w:sz w:val="20"/>
          <w:szCs w:val="20"/>
        </w:rPr>
        <w:t xml:space="preserve"> -- </w:t>
      </w:r>
      <w:r w:rsidRPr="00391598" w:rsidR="00BE6C20">
        <w:rPr>
          <w:rFonts w:ascii="Times New Roman" w:hAnsi="Times New Roman"/>
          <w:b/>
          <w:i/>
          <w:sz w:val="20"/>
          <w:szCs w:val="20"/>
        </w:rPr>
        <w:t xml:space="preserve">43 </w:t>
      </w:r>
      <w:r w:rsidRPr="00391598" w:rsidR="00577067">
        <w:rPr>
          <w:rFonts w:ascii="Times New Roman" w:hAnsi="Times New Roman"/>
          <w:b/>
          <w:i/>
          <w:sz w:val="20"/>
          <w:szCs w:val="20"/>
        </w:rPr>
        <w:t>C</w:t>
      </w:r>
      <w:r w:rsidRPr="00391598" w:rsidR="00BE6C20">
        <w:rPr>
          <w:rFonts w:ascii="Times New Roman" w:hAnsi="Times New Roman"/>
          <w:b/>
          <w:i/>
          <w:sz w:val="20"/>
          <w:szCs w:val="20"/>
        </w:rPr>
        <w:t>FR 3173.13(b)(1)</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2745EC" w:rsidRPr="00391598" w:rsidP="00BE6C20" w14:paraId="65B88C09" w14:textId="77777777">
      <w:pPr>
        <w:pStyle w:val="ListParagraph"/>
        <w:ind w:left="0"/>
        <w:rPr>
          <w:rFonts w:ascii="Times New Roman" w:hAnsi="Times New Roman"/>
          <w:sz w:val="20"/>
          <w:szCs w:val="20"/>
        </w:rPr>
      </w:pPr>
    </w:p>
    <w:p w:rsidR="00BE6C20" w:rsidRPr="00391598" w:rsidP="0076112A" w14:paraId="73E12E47" w14:textId="77777777">
      <w:pPr>
        <w:tabs>
          <w:tab w:val="left" w:pos="360"/>
          <w:tab w:val="left" w:pos="720"/>
        </w:tabs>
        <w:rPr>
          <w:rFonts w:ascii="Times New Roman" w:hAnsi="Times New Roman"/>
          <w:sz w:val="20"/>
          <w:szCs w:val="20"/>
        </w:rPr>
      </w:pPr>
      <w:r w:rsidRPr="00391598">
        <w:rPr>
          <w:rFonts w:ascii="Times New Roman" w:hAnsi="Times New Roman"/>
          <w:sz w:val="20"/>
          <w:szCs w:val="20"/>
        </w:rPr>
        <w:t xml:space="preserve">Section 3173.13(b)(1) requires each operator with an approved FMP to file a Sundry Notice that describes any changes or modifications made to an FMP within 30 days after the change.  The Sundry Notice must include </w:t>
      </w:r>
      <w:r w:rsidRPr="00391598">
        <w:rPr>
          <w:rFonts w:ascii="Times New Roman" w:hAnsi="Times New Roman"/>
          <w:bCs/>
          <w:sz w:val="20"/>
          <w:szCs w:val="20"/>
        </w:rPr>
        <w:t>tank numbers or serial numbers and sizes for oil FMPs, unique station numbers, meter tube sizes or serial numbers, and type of secondary devices for gas FMPs, and for all FMPs with more than one well, the API numbers for all wells associated with the facility.  In addition, the Sundry Notice must specify what was changed,</w:t>
      </w:r>
      <w:r w:rsidRPr="00391598">
        <w:rPr>
          <w:rFonts w:ascii="Times New Roman" w:hAnsi="Times New Roman"/>
          <w:bCs/>
          <w:iCs/>
          <w:sz w:val="20"/>
          <w:szCs w:val="20"/>
        </w:rPr>
        <w:t xml:space="preserve"> </w:t>
      </w:r>
      <w:r w:rsidRPr="00391598">
        <w:rPr>
          <w:rFonts w:ascii="Times New Roman" w:hAnsi="Times New Roman"/>
          <w:bCs/>
          <w:sz w:val="20"/>
          <w:szCs w:val="20"/>
        </w:rPr>
        <w:t xml:space="preserve">the effective date, and include, if appropriate, an amended site facility diagram.  </w:t>
      </w:r>
      <w:r w:rsidRPr="00391598" w:rsidR="00F3247D">
        <w:rPr>
          <w:rFonts w:ascii="Times New Roman" w:hAnsi="Times New Roman"/>
          <w:sz w:val="20"/>
          <w:szCs w:val="20"/>
        </w:rPr>
        <w:t xml:space="preserve">This IC </w:t>
      </w:r>
      <w:r w:rsidRPr="00391598">
        <w:rPr>
          <w:rFonts w:ascii="Times New Roman" w:hAnsi="Times New Roman"/>
          <w:sz w:val="20"/>
          <w:szCs w:val="20"/>
        </w:rPr>
        <w:t xml:space="preserve">activity assists the BLM in accurate accounting of </w:t>
      </w:r>
      <w:r w:rsidRPr="00391598">
        <w:rPr>
          <w:rFonts w:ascii="Times New Roman" w:hAnsi="Times New Roman"/>
          <w:sz w:val="20"/>
          <w:szCs w:val="20"/>
          <w:lang w:eastAsia="ar-SA"/>
        </w:rPr>
        <w:t>oil and gas production</w:t>
      </w:r>
      <w:r w:rsidRPr="00391598">
        <w:rPr>
          <w:rFonts w:ascii="Times New Roman" w:hAnsi="Times New Roman"/>
          <w:sz w:val="20"/>
          <w:szCs w:val="20"/>
        </w:rPr>
        <w:t>.</w:t>
      </w:r>
    </w:p>
    <w:p w:rsidR="00BE6C20" w:rsidRPr="00391598" w:rsidP="00BE6C20" w14:paraId="20B9410C" w14:textId="77777777">
      <w:pPr>
        <w:pStyle w:val="ListParagraph"/>
        <w:ind w:left="0"/>
        <w:outlineLvl w:val="2"/>
        <w:rPr>
          <w:rFonts w:ascii="Times New Roman" w:hAnsi="Times New Roman"/>
          <w:sz w:val="20"/>
          <w:szCs w:val="20"/>
        </w:rPr>
      </w:pPr>
    </w:p>
    <w:p w:rsidR="00FA7F9C" w:rsidRPr="00391598" w:rsidP="00FA7F9C" w14:paraId="471BDDCE" w14:textId="0C935FB6">
      <w:pPr>
        <w:rPr>
          <w:rFonts w:ascii="Times New Roman" w:hAnsi="Times New Roman"/>
          <w:sz w:val="20"/>
          <w:szCs w:val="20"/>
        </w:rPr>
      </w:pPr>
      <w:r w:rsidRPr="00391598">
        <w:rPr>
          <w:rFonts w:ascii="Times New Roman" w:hAnsi="Times New Roman"/>
          <w:sz w:val="20"/>
          <w:szCs w:val="20"/>
        </w:rPr>
        <w:t xml:space="preserve"> As mentioned earlier, the BLM has been unable to implement </w:t>
      </w:r>
      <w:r w:rsidRPr="00391598" w:rsidR="00B6196A">
        <w:rPr>
          <w:rFonts w:ascii="Times New Roman" w:hAnsi="Times New Roman"/>
          <w:sz w:val="20"/>
          <w:szCs w:val="20"/>
        </w:rPr>
        <w:t>the requirements associated with FMP approvals, FMP number assignments, or modifications to FMPs</w:t>
      </w:r>
      <w:r w:rsidRPr="00391598" w:rsidR="00903560">
        <w:rPr>
          <w:rFonts w:ascii="Times New Roman" w:hAnsi="Times New Roman"/>
          <w:sz w:val="20"/>
          <w:szCs w:val="20"/>
        </w:rPr>
        <w:t xml:space="preserve"> due to the unavailability of these functions within the electronic database. </w:t>
      </w:r>
      <w:r w:rsidRPr="00391598" w:rsidR="00E24EA3">
        <w:rPr>
          <w:rFonts w:ascii="Times New Roman" w:hAnsi="Times New Roman"/>
          <w:sz w:val="20"/>
          <w:szCs w:val="20"/>
        </w:rPr>
        <w:t xml:space="preserve">The BLM will maintain these information collection activities as placeholders within this OMB control number for future use when the BLM </w:t>
      </w:r>
      <w:r w:rsidRPr="00391598" w:rsidR="00270599">
        <w:rPr>
          <w:rFonts w:ascii="Times New Roman" w:hAnsi="Times New Roman"/>
          <w:sz w:val="20"/>
          <w:szCs w:val="20"/>
        </w:rPr>
        <w:t xml:space="preserve">brings its new electronic database online. </w:t>
      </w:r>
    </w:p>
    <w:p w:rsidR="00FA7F9C" w:rsidRPr="00391598" w:rsidP="00BE6C20" w14:paraId="0B84EA8C" w14:textId="77777777">
      <w:pPr>
        <w:pStyle w:val="ListParagraph"/>
        <w:ind w:left="0"/>
        <w:outlineLvl w:val="2"/>
        <w:rPr>
          <w:rFonts w:ascii="Times New Roman" w:hAnsi="Times New Roman"/>
          <w:sz w:val="20"/>
          <w:szCs w:val="20"/>
        </w:rPr>
      </w:pPr>
    </w:p>
    <w:p w:rsidR="0076112A" w:rsidRPr="00391598" w:rsidP="005A6B81" w14:paraId="7E012885" w14:textId="77777777">
      <w:pPr>
        <w:pStyle w:val="ListParagraph"/>
        <w:ind w:left="0"/>
        <w:outlineLvl w:val="2"/>
        <w:rPr>
          <w:rFonts w:ascii="Times New Roman" w:hAnsi="Times New Roman"/>
          <w:b/>
          <w:i/>
          <w:sz w:val="20"/>
          <w:szCs w:val="20"/>
        </w:rPr>
      </w:pPr>
      <w:r w:rsidRPr="00391598">
        <w:rPr>
          <w:rFonts w:ascii="Times New Roman" w:hAnsi="Times New Roman"/>
          <w:b/>
          <w:i/>
          <w:sz w:val="20"/>
          <w:szCs w:val="20"/>
        </w:rPr>
        <w:t>Request for Approval of a CAA</w:t>
      </w:r>
      <w:r w:rsidRPr="00391598" w:rsidR="005A6B81">
        <w:rPr>
          <w:rFonts w:ascii="Times New Roman" w:hAnsi="Times New Roman"/>
          <w:b/>
          <w:i/>
          <w:sz w:val="20"/>
          <w:szCs w:val="20"/>
        </w:rPr>
        <w:t xml:space="preserve"> -- </w:t>
      </w:r>
      <w:r w:rsidRPr="00391598" w:rsidR="000C3E22">
        <w:rPr>
          <w:rFonts w:ascii="Times New Roman" w:hAnsi="Times New Roman"/>
          <w:b/>
          <w:i/>
          <w:sz w:val="20"/>
          <w:szCs w:val="20"/>
        </w:rPr>
        <w:t xml:space="preserve">43 </w:t>
      </w:r>
      <w:r w:rsidRPr="00391598">
        <w:rPr>
          <w:rFonts w:ascii="Times New Roman" w:hAnsi="Times New Roman"/>
          <w:b/>
          <w:i/>
          <w:sz w:val="20"/>
          <w:szCs w:val="20"/>
        </w:rPr>
        <w:t>FR 3173.1</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r w:rsidRPr="00391598" w:rsidR="00656FA6">
        <w:rPr>
          <w:rFonts w:ascii="Times New Roman" w:hAnsi="Times New Roman"/>
          <w:b/>
          <w:i/>
          <w:sz w:val="20"/>
          <w:szCs w:val="20"/>
        </w:rPr>
        <w:t xml:space="preserve"> and Related Information</w:t>
      </w:r>
      <w:r w:rsidRPr="00391598">
        <w:rPr>
          <w:rFonts w:ascii="Times New Roman" w:hAnsi="Times New Roman"/>
          <w:b/>
          <w:i/>
          <w:sz w:val="20"/>
          <w:szCs w:val="20"/>
        </w:rPr>
        <w:t>; and</w:t>
      </w:r>
      <w:r w:rsidRPr="00391598" w:rsidR="005A6B81">
        <w:rPr>
          <w:rFonts w:ascii="Times New Roman" w:hAnsi="Times New Roman"/>
          <w:b/>
          <w:i/>
          <w:sz w:val="20"/>
          <w:szCs w:val="20"/>
        </w:rPr>
        <w:t xml:space="preserve"> </w:t>
      </w:r>
      <w:r w:rsidRPr="00391598" w:rsidR="00812DEA">
        <w:rPr>
          <w:rFonts w:ascii="Times New Roman" w:hAnsi="Times New Roman"/>
          <w:b/>
          <w:i/>
          <w:sz w:val="20"/>
          <w:szCs w:val="20"/>
        </w:rPr>
        <w:t>Response to Notice of Insufficient CAA</w:t>
      </w:r>
      <w:r w:rsidRPr="00391598" w:rsidR="005A6B81">
        <w:rPr>
          <w:rFonts w:ascii="Times New Roman" w:hAnsi="Times New Roman"/>
          <w:b/>
          <w:i/>
          <w:sz w:val="20"/>
          <w:szCs w:val="20"/>
        </w:rPr>
        <w:t xml:space="preserve"> -- </w:t>
      </w:r>
      <w:r w:rsidRPr="00391598">
        <w:rPr>
          <w:rFonts w:ascii="Times New Roman" w:hAnsi="Times New Roman"/>
          <w:b/>
          <w:i/>
          <w:sz w:val="20"/>
          <w:szCs w:val="20"/>
        </w:rPr>
        <w:t>43 CFR 3173.1</w:t>
      </w:r>
      <w:r w:rsidRPr="00391598" w:rsidR="00812DEA">
        <w:rPr>
          <w:rFonts w:ascii="Times New Roman" w:hAnsi="Times New Roman"/>
          <w:b/>
          <w:i/>
          <w:sz w:val="20"/>
          <w:szCs w:val="20"/>
        </w:rPr>
        <w:t>6</w:t>
      </w:r>
      <w:r w:rsidRPr="00391598" w:rsidR="00656FA6">
        <w:rPr>
          <w:rFonts w:ascii="Times New Roman" w:hAnsi="Times New Roman"/>
          <w:b/>
          <w:i/>
          <w:sz w:val="20"/>
          <w:szCs w:val="20"/>
        </w:rPr>
        <w:t xml:space="preserve"> and Related Information</w:t>
      </w:r>
      <w:r w:rsidRPr="00391598" w:rsidR="005A6B81">
        <w:rPr>
          <w:rFonts w:ascii="Times New Roman" w:hAnsi="Times New Roman"/>
          <w:b/>
          <w:i/>
          <w:sz w:val="20"/>
          <w:szCs w:val="20"/>
        </w:rPr>
        <w:t xml:space="preserve"> (</w:t>
      </w:r>
      <w:r w:rsidRPr="00391598">
        <w:rPr>
          <w:rFonts w:ascii="Times New Roman" w:hAnsi="Times New Roman"/>
          <w:b/>
          <w:i/>
          <w:sz w:val="20"/>
          <w:szCs w:val="20"/>
        </w:rPr>
        <w:t>Form 3160-5</w:t>
      </w:r>
      <w:r w:rsidRPr="00391598" w:rsidR="005A6B81">
        <w:rPr>
          <w:rFonts w:ascii="Times New Roman" w:hAnsi="Times New Roman"/>
          <w:b/>
          <w:i/>
          <w:sz w:val="20"/>
          <w:szCs w:val="20"/>
        </w:rPr>
        <w:t>)</w:t>
      </w:r>
    </w:p>
    <w:p w:rsidR="0076112A" w:rsidRPr="00391598" w:rsidP="0076112A" w14:paraId="0D7C7B3E" w14:textId="77777777">
      <w:pPr>
        <w:pStyle w:val="ListParagraph"/>
        <w:ind w:left="0"/>
        <w:outlineLvl w:val="2"/>
        <w:rPr>
          <w:rFonts w:ascii="Times New Roman" w:hAnsi="Times New Roman"/>
          <w:sz w:val="20"/>
          <w:szCs w:val="20"/>
        </w:rPr>
      </w:pPr>
    </w:p>
    <w:p w:rsidR="0076112A" w:rsidRPr="00391598" w:rsidP="0076112A" w14:paraId="7B90B5FD" w14:textId="76047E8D">
      <w:pPr>
        <w:rPr>
          <w:rFonts w:ascii="Times New Roman" w:hAnsi="Times New Roman"/>
          <w:sz w:val="20"/>
          <w:szCs w:val="20"/>
        </w:rPr>
      </w:pPr>
      <w:r w:rsidRPr="00391598">
        <w:rPr>
          <w:rFonts w:ascii="Times New Roman" w:hAnsi="Times New Roman"/>
          <w:sz w:val="20"/>
          <w:szCs w:val="20"/>
        </w:rPr>
        <w:t>A co</w:t>
      </w:r>
      <w:r w:rsidRPr="00391598" w:rsidR="00070073">
        <w:rPr>
          <w:rFonts w:ascii="Times New Roman" w:hAnsi="Times New Roman"/>
          <w:sz w:val="20"/>
          <w:szCs w:val="20"/>
        </w:rPr>
        <w:t>mmingli</w:t>
      </w:r>
      <w:r w:rsidRPr="00391598" w:rsidR="00004D4D">
        <w:rPr>
          <w:rFonts w:ascii="Times New Roman" w:hAnsi="Times New Roman"/>
          <w:sz w:val="20"/>
          <w:szCs w:val="20"/>
        </w:rPr>
        <w:t>ng and</w:t>
      </w:r>
      <w:r w:rsidRPr="00391598">
        <w:rPr>
          <w:rFonts w:ascii="Times New Roman" w:hAnsi="Times New Roman"/>
          <w:sz w:val="20"/>
          <w:szCs w:val="20"/>
        </w:rPr>
        <w:t xml:space="preserve"> allocation a</w:t>
      </w:r>
      <w:r w:rsidRPr="00391598" w:rsidR="00004D4D">
        <w:rPr>
          <w:rFonts w:ascii="Times New Roman" w:hAnsi="Times New Roman"/>
          <w:sz w:val="20"/>
          <w:szCs w:val="20"/>
        </w:rPr>
        <w:t>pproval</w:t>
      </w:r>
      <w:r w:rsidRPr="00391598">
        <w:rPr>
          <w:rFonts w:ascii="Times New Roman" w:hAnsi="Times New Roman"/>
          <w:sz w:val="20"/>
          <w:szCs w:val="20"/>
        </w:rPr>
        <w:t xml:space="preserve"> (CAA) </w:t>
      </w:r>
      <w:r w:rsidRPr="00391598" w:rsidR="008D5525">
        <w:rPr>
          <w:rFonts w:ascii="Times New Roman" w:hAnsi="Times New Roman"/>
          <w:sz w:val="20"/>
          <w:szCs w:val="20"/>
        </w:rPr>
        <w:t xml:space="preserve">allows an </w:t>
      </w:r>
      <w:r w:rsidRPr="00391598" w:rsidR="008D5525">
        <w:rPr>
          <w:rFonts w:ascii="Times New Roman" w:hAnsi="Times New Roman"/>
          <w:sz w:val="20"/>
          <w:szCs w:val="20"/>
        </w:rPr>
        <w:t xml:space="preserve">operator </w:t>
      </w:r>
      <w:r w:rsidRPr="00391598">
        <w:rPr>
          <w:rFonts w:ascii="Times New Roman" w:hAnsi="Times New Roman"/>
          <w:sz w:val="20"/>
          <w:szCs w:val="20"/>
        </w:rPr>
        <w:t xml:space="preserve"> to</w:t>
      </w:r>
      <w:r w:rsidRPr="00391598">
        <w:rPr>
          <w:rFonts w:ascii="Times New Roman" w:hAnsi="Times New Roman"/>
          <w:sz w:val="20"/>
          <w:szCs w:val="20"/>
        </w:rPr>
        <w:t xml:space="preserve"> combine production from two or more sources (i.e., leases, unit PAs, CAs, or non-Federal or non-Indian properties) before that product reaches an FMP.</w:t>
      </w:r>
      <w:r w:rsidRPr="00391598" w:rsidR="00431876">
        <w:rPr>
          <w:rFonts w:ascii="Times New Roman" w:hAnsi="Times New Roman"/>
          <w:sz w:val="20"/>
          <w:szCs w:val="20"/>
        </w:rPr>
        <w:t xml:space="preserve">  </w:t>
      </w:r>
      <w:r w:rsidRPr="00391598">
        <w:rPr>
          <w:rFonts w:ascii="Times New Roman" w:hAnsi="Times New Roman"/>
          <w:sz w:val="20"/>
          <w:szCs w:val="20"/>
        </w:rPr>
        <w:t>See 43 CFR 3173.1; see also 43 CFR 3173.14 (conditions for approval of a commingling and allocation agreement).</w:t>
      </w:r>
    </w:p>
    <w:p w:rsidR="0076112A" w:rsidRPr="00391598" w:rsidP="0076112A" w14:paraId="79A29B26" w14:textId="77777777">
      <w:pPr>
        <w:rPr>
          <w:rFonts w:ascii="Times New Roman" w:hAnsi="Times New Roman"/>
          <w:sz w:val="20"/>
          <w:szCs w:val="20"/>
        </w:rPr>
      </w:pPr>
    </w:p>
    <w:p w:rsidR="0076112A" w:rsidRPr="00391598" w:rsidP="0076112A" w14:paraId="6E2704E7" w14:textId="77777777">
      <w:pPr>
        <w:ind w:left="-15" w:right="45"/>
        <w:rPr>
          <w:rFonts w:ascii="Times New Roman" w:hAnsi="Times New Roman"/>
          <w:sz w:val="20"/>
          <w:szCs w:val="20"/>
        </w:rPr>
      </w:pPr>
      <w:r w:rsidRPr="00391598">
        <w:rPr>
          <w:rFonts w:ascii="Times New Roman" w:hAnsi="Times New Roman"/>
          <w:sz w:val="20"/>
          <w:szCs w:val="20"/>
        </w:rPr>
        <w:t xml:space="preserve">The regulation that requires approval of a CAA is at 43 CFR 3173.15 (see 81 FR at 81432 to 81433).  Section 3173.16 (see 81 FR at 81433) requires an operator to submit information to correct any inconsistencies or deficiencies identified by the BLM, where an operator’s request for assignment of an FMP number (see 43 CFR 3173.12) includes a facility associated with a CAA existing on January 17, 2017.  </w:t>
      </w:r>
      <w:r w:rsidRPr="00391598">
        <w:rPr>
          <w:rFonts w:ascii="Times New Roman" w:hAnsi="Times New Roman"/>
          <w:sz w:val="20"/>
          <w:szCs w:val="20"/>
        </w:rPr>
        <w:t>Both of these</w:t>
      </w:r>
      <w:r w:rsidRPr="00391598">
        <w:rPr>
          <w:rFonts w:ascii="Times New Roman" w:hAnsi="Times New Roman"/>
          <w:sz w:val="20"/>
          <w:szCs w:val="20"/>
        </w:rPr>
        <w:t xml:space="preserve"> </w:t>
      </w:r>
      <w:r w:rsidRPr="00391598" w:rsidR="00AC7537">
        <w:rPr>
          <w:rFonts w:ascii="Times New Roman" w:hAnsi="Times New Roman"/>
          <w:sz w:val="20"/>
          <w:szCs w:val="20"/>
        </w:rPr>
        <w:t>IC</w:t>
      </w:r>
      <w:r w:rsidRPr="00391598">
        <w:rPr>
          <w:rFonts w:ascii="Times New Roman" w:hAnsi="Times New Roman"/>
          <w:sz w:val="20"/>
          <w:szCs w:val="20"/>
        </w:rPr>
        <w:t xml:space="preserve"> activities are one-time only.</w:t>
      </w:r>
    </w:p>
    <w:p w:rsidR="0076112A" w:rsidRPr="00391598" w:rsidP="0076112A" w14:paraId="69F3F4BF" w14:textId="77777777">
      <w:pPr>
        <w:ind w:left="-15" w:right="45"/>
        <w:rPr>
          <w:rFonts w:ascii="Times New Roman" w:hAnsi="Times New Roman"/>
          <w:sz w:val="20"/>
          <w:szCs w:val="20"/>
        </w:rPr>
      </w:pPr>
    </w:p>
    <w:p w:rsidR="0076112A" w:rsidRPr="00391598" w:rsidP="0076112A" w14:paraId="4F0133B4" w14:textId="77777777">
      <w:pPr>
        <w:ind w:left="-15" w:right="45"/>
        <w:rPr>
          <w:rFonts w:ascii="Times New Roman" w:hAnsi="Times New Roman"/>
          <w:sz w:val="20"/>
          <w:szCs w:val="20"/>
        </w:rPr>
      </w:pPr>
      <w:r w:rsidRPr="00391598">
        <w:rPr>
          <w:rFonts w:ascii="Times New Roman" w:hAnsi="Times New Roman"/>
          <w:sz w:val="20"/>
          <w:szCs w:val="20"/>
        </w:rPr>
        <w:t>Section 3173.15 requires – with some reservations -- the following information in a request for a CAA:</w:t>
      </w:r>
    </w:p>
    <w:p w:rsidR="0076112A" w:rsidRPr="00391598" w:rsidP="0076112A" w14:paraId="7C2964F1" w14:textId="77777777">
      <w:pPr>
        <w:ind w:left="-15" w:right="45"/>
        <w:rPr>
          <w:rFonts w:ascii="Times New Roman" w:hAnsi="Times New Roman"/>
          <w:sz w:val="20"/>
          <w:szCs w:val="20"/>
        </w:rPr>
      </w:pPr>
    </w:p>
    <w:p w:rsidR="0076112A" w:rsidRPr="00391598" w:rsidP="00613C1C" w14:paraId="5B12689C"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completed Sundry Notice for approval of commingling and </w:t>
      </w:r>
      <w:r w:rsidRPr="00391598">
        <w:rPr>
          <w:rFonts w:ascii="Times New Roman" w:hAnsi="Times New Roman"/>
          <w:sz w:val="20"/>
          <w:szCs w:val="20"/>
        </w:rPr>
        <w:t>allocation;</w:t>
      </w:r>
    </w:p>
    <w:p w:rsidR="0076112A" w:rsidRPr="00391598" w:rsidP="00613C1C" w14:paraId="6C441AA3"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completed Sundry Notice for approval of off-lease measurement under §3173.23, if any of the proposed FMPs are outside the boundaries of any of the leases, units, or CAs from which production would be commingled (which may be included in the same Sundry Notice as the request for approval of commingling and allocation), except as provided in the reservations listed </w:t>
      </w:r>
      <w:r w:rsidRPr="00391598">
        <w:rPr>
          <w:rFonts w:ascii="Times New Roman" w:hAnsi="Times New Roman"/>
          <w:sz w:val="20"/>
          <w:szCs w:val="20"/>
        </w:rPr>
        <w:t>below;</w:t>
      </w:r>
    </w:p>
    <w:p w:rsidR="0076112A" w:rsidRPr="00391598" w:rsidP="00613C1C" w14:paraId="0BBEC39F"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proposed allocation agreement, including an allocation methodology (including allocation of produced water), with an example of how the methodology is applied, signed by each operator of each of the leases, unit PAs, or CAs from which production would be included in the </w:t>
      </w:r>
      <w:r w:rsidRPr="00391598">
        <w:rPr>
          <w:rFonts w:ascii="Times New Roman" w:hAnsi="Times New Roman"/>
          <w:sz w:val="20"/>
          <w:szCs w:val="20"/>
        </w:rPr>
        <w:t>CAA;</w:t>
      </w:r>
    </w:p>
    <w:p w:rsidR="0076112A" w:rsidRPr="00391598" w:rsidP="00613C1C" w14:paraId="30636D86"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list of all Federal or Indian lease, unit PA, or CA numbers in the proposed CAA, specifying the type of production (i.e., oil, gas, or both) for which commingling is </w:t>
      </w:r>
      <w:r w:rsidRPr="00391598">
        <w:rPr>
          <w:rFonts w:ascii="Times New Roman" w:hAnsi="Times New Roman"/>
          <w:sz w:val="20"/>
          <w:szCs w:val="20"/>
        </w:rPr>
        <w:t>requested;</w:t>
      </w:r>
    </w:p>
    <w:p w:rsidR="0076112A" w:rsidRPr="00391598" w:rsidP="00613C1C" w14:paraId="716D8172" w14:textId="77777777">
      <w:pPr>
        <w:widowControl/>
        <w:numPr>
          <w:ilvl w:val="0"/>
          <w:numId w:val="15"/>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topographic map or maps of appropriate scale showing the following: </w:t>
      </w:r>
    </w:p>
    <w:p w:rsidR="0076112A" w:rsidRPr="00391598" w:rsidP="00613C1C" w14:paraId="110BF578" w14:textId="77777777">
      <w:pPr>
        <w:widowControl/>
        <w:numPr>
          <w:ilvl w:val="0"/>
          <w:numId w:val="16"/>
        </w:numPr>
        <w:autoSpaceDE/>
        <w:autoSpaceDN/>
        <w:adjustRightInd/>
        <w:ind w:left="1080" w:right="43"/>
        <w:rPr>
          <w:rFonts w:ascii="Times New Roman" w:hAnsi="Times New Roman"/>
          <w:sz w:val="20"/>
          <w:szCs w:val="20"/>
        </w:rPr>
      </w:pPr>
      <w:r w:rsidRPr="00391598">
        <w:rPr>
          <w:rFonts w:ascii="Times New Roman" w:hAnsi="Times New Roman"/>
          <w:sz w:val="20"/>
          <w:szCs w:val="20"/>
        </w:rPr>
        <w:t xml:space="preserve">The boundaries of all the leases, units, unit </w:t>
      </w:r>
      <w:r w:rsidRPr="00391598">
        <w:rPr>
          <w:rFonts w:ascii="Times New Roman" w:hAnsi="Times New Roman"/>
          <w:sz w:val="20"/>
          <w:szCs w:val="20"/>
        </w:rPr>
        <w:t>PAs</w:t>
      </w:r>
      <w:r w:rsidRPr="00391598">
        <w:rPr>
          <w:rFonts w:ascii="Times New Roman" w:hAnsi="Times New Roman"/>
          <w:sz w:val="20"/>
          <w:szCs w:val="20"/>
        </w:rPr>
        <w:t xml:space="preserve">, or </w:t>
      </w:r>
      <w:r w:rsidRPr="00391598">
        <w:rPr>
          <w:rFonts w:ascii="Times New Roman" w:hAnsi="Times New Roman"/>
          <w:sz w:val="20"/>
          <w:szCs w:val="20"/>
        </w:rPr>
        <w:t>communitized</w:t>
      </w:r>
      <w:r w:rsidRPr="00391598">
        <w:rPr>
          <w:rFonts w:ascii="Times New Roman" w:hAnsi="Times New Roman"/>
          <w:sz w:val="20"/>
          <w:szCs w:val="20"/>
        </w:rPr>
        <w:t xml:space="preserve"> areas whose production is proposed to be commingled; and</w:t>
      </w:r>
    </w:p>
    <w:p w:rsidR="0076112A" w:rsidRPr="00391598" w:rsidP="00613C1C" w14:paraId="12D4A43C" w14:textId="77777777">
      <w:pPr>
        <w:widowControl/>
        <w:numPr>
          <w:ilvl w:val="0"/>
          <w:numId w:val="16"/>
        </w:numPr>
        <w:autoSpaceDE/>
        <w:autoSpaceDN/>
        <w:adjustRightInd/>
        <w:ind w:left="1080" w:right="43"/>
        <w:rPr>
          <w:rFonts w:ascii="Times New Roman" w:hAnsi="Times New Roman"/>
          <w:sz w:val="20"/>
          <w:szCs w:val="20"/>
        </w:rPr>
      </w:pPr>
      <w:r w:rsidRPr="00391598">
        <w:rPr>
          <w:rFonts w:ascii="Times New Roman" w:hAnsi="Times New Roman"/>
          <w:sz w:val="20"/>
          <w:szCs w:val="20"/>
        </w:rPr>
        <w:t xml:space="preserve">The location of existing or planned facilities and the relative location of all wellheads (including the API number) and piping included in the CAA, and existing FMPs or FMPs proposed to be installed to the extent known or </w:t>
      </w:r>
      <w:r w:rsidRPr="00391598">
        <w:rPr>
          <w:rFonts w:ascii="Times New Roman" w:hAnsi="Times New Roman"/>
          <w:sz w:val="20"/>
          <w:szCs w:val="20"/>
        </w:rPr>
        <w:t>anticipated;</w:t>
      </w:r>
    </w:p>
    <w:p w:rsidR="0076112A" w:rsidRPr="00391598" w:rsidP="00613C1C" w14:paraId="02AD48A6"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surface use plan of operations if new surface disturbance is proposed for the FMP and its associated facilities are located on BLM-managed land within the boundaries of the lease, units and </w:t>
      </w:r>
      <w:r w:rsidRPr="00391598">
        <w:rPr>
          <w:rFonts w:ascii="Times New Roman" w:hAnsi="Times New Roman"/>
          <w:sz w:val="20"/>
          <w:szCs w:val="20"/>
        </w:rPr>
        <w:t>communitized</w:t>
      </w:r>
      <w:r w:rsidRPr="00391598">
        <w:rPr>
          <w:rFonts w:ascii="Times New Roman" w:hAnsi="Times New Roman"/>
          <w:sz w:val="20"/>
          <w:szCs w:val="20"/>
        </w:rPr>
        <w:t xml:space="preserve"> areas from which production would be </w:t>
      </w:r>
      <w:r w:rsidRPr="00391598">
        <w:rPr>
          <w:rFonts w:ascii="Times New Roman" w:hAnsi="Times New Roman"/>
          <w:sz w:val="20"/>
          <w:szCs w:val="20"/>
        </w:rPr>
        <w:t>commingled;</w:t>
      </w:r>
    </w:p>
    <w:p w:rsidR="0076112A" w:rsidRPr="00391598" w:rsidP="00613C1C" w14:paraId="4CC8BA48"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right-of-way grant application (Standard Form 299), filed under 43 CFR part 2880, if the proposed FMP is on a pipeline, or under 43 CFR part 2800, if the proposed FMP is a meter or storage </w:t>
      </w:r>
      <w:r w:rsidRPr="00391598">
        <w:rPr>
          <w:rFonts w:ascii="Times New Roman" w:hAnsi="Times New Roman"/>
          <w:sz w:val="20"/>
          <w:szCs w:val="20"/>
        </w:rPr>
        <w:t>tank;</w:t>
      </w:r>
    </w:p>
    <w:p w:rsidR="0076112A" w:rsidRPr="00391598" w:rsidP="00613C1C" w14:paraId="4B9F3BEB"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Written approval from the appropriate surface-management agency, if new surface disturbance is proposed for the FMP and its associated facilities are located on Federal land managed by an agency other than the </w:t>
      </w:r>
      <w:r w:rsidRPr="00391598">
        <w:rPr>
          <w:rFonts w:ascii="Times New Roman" w:hAnsi="Times New Roman"/>
          <w:sz w:val="20"/>
          <w:szCs w:val="20"/>
        </w:rPr>
        <w:t>BLM;</w:t>
      </w:r>
    </w:p>
    <w:p w:rsidR="0076112A" w:rsidRPr="00391598" w:rsidP="00613C1C" w14:paraId="36CA7618"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 xml:space="preserve">A right-of-way grant application for the proposed FMP, filed under 25 CFR part 169, with the appropriate BIA office, if any of the proposed surface facilities are on Indian land outside the lease, unit, or </w:t>
      </w:r>
      <w:r w:rsidRPr="00391598">
        <w:rPr>
          <w:rFonts w:ascii="Times New Roman" w:hAnsi="Times New Roman"/>
          <w:sz w:val="20"/>
          <w:szCs w:val="20"/>
        </w:rPr>
        <w:t>communitized</w:t>
      </w:r>
      <w:r w:rsidRPr="00391598">
        <w:rPr>
          <w:rFonts w:ascii="Times New Roman" w:hAnsi="Times New Roman"/>
          <w:sz w:val="20"/>
          <w:szCs w:val="20"/>
        </w:rPr>
        <w:t xml:space="preserve"> area from which the production would be </w:t>
      </w:r>
      <w:r w:rsidRPr="00391598">
        <w:rPr>
          <w:rFonts w:ascii="Times New Roman" w:hAnsi="Times New Roman"/>
          <w:sz w:val="20"/>
          <w:szCs w:val="20"/>
        </w:rPr>
        <w:t>commingled;</w:t>
      </w:r>
    </w:p>
    <w:p w:rsidR="0076112A" w:rsidRPr="00391598" w:rsidP="00613C1C" w14:paraId="10215AC0" w14:textId="77777777">
      <w:pPr>
        <w:widowControl/>
        <w:numPr>
          <w:ilvl w:val="0"/>
          <w:numId w:val="17"/>
        </w:numPr>
        <w:autoSpaceDE/>
        <w:autoSpaceDN/>
        <w:adjustRightInd/>
        <w:ind w:right="45"/>
        <w:rPr>
          <w:rFonts w:ascii="Times New Roman" w:hAnsi="Times New Roman"/>
          <w:sz w:val="20"/>
          <w:szCs w:val="20"/>
        </w:rPr>
      </w:pPr>
      <w:r w:rsidRPr="00391598">
        <w:rPr>
          <w:rFonts w:ascii="Times New Roman" w:hAnsi="Times New Roman"/>
          <w:sz w:val="20"/>
          <w:szCs w:val="20"/>
        </w:rPr>
        <w:t>Documentation demonstrating that each of the leases, unit PAs, or CAs proposed for inclusion in the CAA is producing in paying quantities (or, in the case of Federal leases, is capable of production in paying quantities) pending approval of the CAA; and</w:t>
      </w:r>
    </w:p>
    <w:p w:rsidR="0076112A" w:rsidRPr="00391598" w:rsidP="00613C1C" w14:paraId="6AA33E08" w14:textId="77777777">
      <w:pPr>
        <w:widowControl/>
        <w:numPr>
          <w:ilvl w:val="0"/>
          <w:numId w:val="17"/>
        </w:numPr>
        <w:autoSpaceDE/>
        <w:autoSpaceDN/>
        <w:adjustRightInd/>
        <w:rPr>
          <w:rFonts w:ascii="Times New Roman" w:hAnsi="Times New Roman"/>
          <w:sz w:val="20"/>
          <w:szCs w:val="20"/>
        </w:rPr>
      </w:pPr>
      <w:r w:rsidRPr="00391598">
        <w:rPr>
          <w:rFonts w:ascii="Times New Roman" w:hAnsi="Times New Roman"/>
          <w:sz w:val="20"/>
          <w:szCs w:val="20"/>
        </w:rPr>
        <w:t xml:space="preserve">All gas analyses, including Btu content (if the CAA request includes gas) and all oil gravities (if the CAA request includes oil) for previous periods of production from the leases, units, unit </w:t>
      </w:r>
      <w:r w:rsidRPr="00391598">
        <w:rPr>
          <w:rFonts w:ascii="Times New Roman" w:hAnsi="Times New Roman"/>
          <w:sz w:val="20"/>
          <w:szCs w:val="20"/>
        </w:rPr>
        <w:t>PAs</w:t>
      </w:r>
      <w:r w:rsidRPr="00391598">
        <w:rPr>
          <w:rFonts w:ascii="Times New Roman" w:hAnsi="Times New Roman"/>
          <w:sz w:val="20"/>
          <w:szCs w:val="20"/>
        </w:rPr>
        <w:t xml:space="preserve">, or </w:t>
      </w:r>
      <w:r w:rsidRPr="00391598">
        <w:rPr>
          <w:rFonts w:ascii="Times New Roman" w:hAnsi="Times New Roman"/>
          <w:sz w:val="20"/>
          <w:szCs w:val="20"/>
        </w:rPr>
        <w:t>communitized</w:t>
      </w:r>
      <w:r w:rsidRPr="00391598">
        <w:rPr>
          <w:rFonts w:ascii="Times New Roman" w:hAnsi="Times New Roman"/>
          <w:sz w:val="20"/>
          <w:szCs w:val="20"/>
        </w:rPr>
        <w:t xml:space="preserve"> areas proposed for inclusion in the CAA, up to 6 years before the date of the application for approval of the CAA. Gas analysis and oil gravity data is not needed if the CAA falls under §3173.14(a)(1).</w:t>
      </w:r>
    </w:p>
    <w:p w:rsidR="0076112A" w:rsidRPr="00391598" w:rsidP="0076112A" w14:paraId="138FA149" w14:textId="77777777">
      <w:pPr>
        <w:widowControl/>
        <w:autoSpaceDE/>
        <w:autoSpaceDN/>
        <w:adjustRightInd/>
        <w:ind w:right="45"/>
        <w:rPr>
          <w:rFonts w:ascii="Times New Roman" w:hAnsi="Times New Roman"/>
          <w:sz w:val="20"/>
          <w:szCs w:val="20"/>
        </w:rPr>
      </w:pPr>
    </w:p>
    <w:p w:rsidR="0076112A" w:rsidRPr="00391598" w:rsidP="0076112A" w14:paraId="082B21F9" w14:textId="77777777">
      <w:pPr>
        <w:widowControl/>
        <w:autoSpaceDE/>
        <w:autoSpaceDN/>
        <w:adjustRightInd/>
        <w:ind w:right="45"/>
        <w:rPr>
          <w:rFonts w:ascii="Times New Roman" w:hAnsi="Times New Roman"/>
          <w:sz w:val="20"/>
          <w:szCs w:val="20"/>
        </w:rPr>
      </w:pPr>
      <w:r w:rsidRPr="00391598">
        <w:rPr>
          <w:rFonts w:ascii="Times New Roman" w:hAnsi="Times New Roman"/>
          <w:sz w:val="20"/>
          <w:szCs w:val="20"/>
        </w:rPr>
        <w:t>The reservations are as follows:</w:t>
      </w:r>
    </w:p>
    <w:p w:rsidR="0076112A" w:rsidRPr="00391598" w:rsidP="0076112A" w14:paraId="79C306A0" w14:textId="77777777">
      <w:pPr>
        <w:widowControl/>
        <w:autoSpaceDE/>
        <w:autoSpaceDN/>
        <w:adjustRightInd/>
        <w:ind w:right="45"/>
        <w:rPr>
          <w:rFonts w:ascii="Times New Roman" w:hAnsi="Times New Roman"/>
          <w:sz w:val="20"/>
          <w:szCs w:val="20"/>
        </w:rPr>
      </w:pPr>
    </w:p>
    <w:p w:rsidR="0076112A" w:rsidRPr="00391598" w:rsidP="00613C1C" w14:paraId="49E218AB" w14:textId="77777777">
      <w:pPr>
        <w:numPr>
          <w:ilvl w:val="0"/>
          <w:numId w:val="14"/>
        </w:numPr>
        <w:ind w:right="45"/>
        <w:rPr>
          <w:rFonts w:ascii="Times New Roman" w:hAnsi="Times New Roman"/>
          <w:sz w:val="20"/>
          <w:szCs w:val="20"/>
        </w:rPr>
      </w:pPr>
      <w:r w:rsidRPr="00391598">
        <w:rPr>
          <w:rFonts w:ascii="Times New Roman" w:hAnsi="Times New Roman"/>
          <w:sz w:val="20"/>
          <w:szCs w:val="20"/>
        </w:rPr>
        <w:t xml:space="preserve">If off-lease measurement is a feature of the commingling and allocation proposal, then a separate Sundry Notice under 43 CFR 3173.23 is not necessary as long as the information required under section 3173.23 is included as part of the request for approval of commingling and </w:t>
      </w:r>
      <w:r w:rsidRPr="00391598">
        <w:rPr>
          <w:rFonts w:ascii="Times New Roman" w:hAnsi="Times New Roman"/>
          <w:sz w:val="20"/>
          <w:szCs w:val="20"/>
        </w:rPr>
        <w:t>allocation;</w:t>
      </w:r>
    </w:p>
    <w:p w:rsidR="0076112A" w:rsidRPr="00391598" w:rsidP="00613C1C" w14:paraId="01D92B5F" w14:textId="77777777">
      <w:pPr>
        <w:numPr>
          <w:ilvl w:val="0"/>
          <w:numId w:val="14"/>
        </w:numPr>
        <w:ind w:right="45"/>
        <w:rPr>
          <w:rFonts w:ascii="Times New Roman" w:hAnsi="Times New Roman"/>
          <w:sz w:val="20"/>
          <w:szCs w:val="20"/>
        </w:rPr>
      </w:pPr>
      <w:r w:rsidRPr="00391598">
        <w:rPr>
          <w:rFonts w:ascii="Times New Roman" w:hAnsi="Times New Roman"/>
          <w:sz w:val="20"/>
          <w:szCs w:val="20"/>
        </w:rPr>
        <w:t>A surface plan of operations may be included in the same Sundry Notice as the request for approval of commingling and allocation; and</w:t>
      </w:r>
    </w:p>
    <w:p w:rsidR="0076112A" w:rsidRPr="00391598" w:rsidP="00613C1C" w14:paraId="0361876C" w14:textId="77777777">
      <w:pPr>
        <w:widowControl/>
        <w:numPr>
          <w:ilvl w:val="0"/>
          <w:numId w:val="14"/>
        </w:numPr>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 xml:space="preserve">The requirement for a right-of-way application filed under 43 CFR part 2880 applies only when new surface disturbance is proposed for the FMP, and its associated facilities are located on BLM-managed land outside any of the leases, units, or </w:t>
      </w:r>
      <w:r w:rsidRPr="00391598">
        <w:rPr>
          <w:rFonts w:ascii="Times New Roman" w:hAnsi="Times New Roman"/>
          <w:sz w:val="20"/>
          <w:szCs w:val="20"/>
        </w:rPr>
        <w:t>communitized</w:t>
      </w:r>
      <w:r w:rsidRPr="00391598">
        <w:rPr>
          <w:rFonts w:ascii="Times New Roman" w:hAnsi="Times New Roman"/>
          <w:sz w:val="20"/>
          <w:szCs w:val="20"/>
        </w:rPr>
        <w:t xml:space="preserve"> areas whose production would be commingled.</w:t>
      </w:r>
    </w:p>
    <w:p w:rsidR="0076112A" w:rsidRPr="00391598" w:rsidP="0076112A" w14:paraId="4F94FEA5" w14:textId="77777777">
      <w:pPr>
        <w:widowControl/>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Section 3173.16 provides that, upon review of an operator’s request for assignment of an FMP number for a facility associated with an existing CAA:</w:t>
      </w:r>
    </w:p>
    <w:p w:rsidR="0076112A" w:rsidRPr="00391598" w:rsidP="00613C1C" w14:paraId="21F9EA8F" w14:textId="4F260E6C">
      <w:pPr>
        <w:widowControl/>
        <w:numPr>
          <w:ilvl w:val="0"/>
          <w:numId w:val="18"/>
        </w:numPr>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 xml:space="preserve">The BLM will </w:t>
      </w:r>
      <w:r w:rsidRPr="00391598" w:rsidR="0087557E">
        <w:rPr>
          <w:rFonts w:ascii="Times New Roman" w:hAnsi="Times New Roman"/>
          <w:sz w:val="20"/>
          <w:szCs w:val="20"/>
        </w:rPr>
        <w:t xml:space="preserve">allow </w:t>
      </w:r>
      <w:r w:rsidRPr="00391598">
        <w:rPr>
          <w:rFonts w:ascii="Times New Roman" w:hAnsi="Times New Roman"/>
          <w:sz w:val="20"/>
          <w:szCs w:val="20"/>
        </w:rPr>
        <w:t>the existing CAA (and any off-lease measurement, if applicable) if it meets certain conditions enumerated at section 3173.16(a)(1) or (a)(2)</w:t>
      </w:r>
      <w:r>
        <w:rPr>
          <w:rStyle w:val="FootnoteReference"/>
          <w:rFonts w:ascii="Times New Roman" w:hAnsi="Times New Roman"/>
          <w:sz w:val="20"/>
          <w:szCs w:val="20"/>
        </w:rPr>
        <w:footnoteReference w:id="4"/>
      </w:r>
      <w:r w:rsidRPr="00391598">
        <w:rPr>
          <w:rFonts w:ascii="Times New Roman" w:hAnsi="Times New Roman"/>
          <w:sz w:val="20"/>
          <w:szCs w:val="20"/>
        </w:rPr>
        <w:t>; or</w:t>
      </w:r>
    </w:p>
    <w:p w:rsidR="0076112A" w:rsidRPr="00391598" w:rsidP="00613C1C" w14:paraId="0BA8265A" w14:textId="77777777">
      <w:pPr>
        <w:widowControl/>
        <w:numPr>
          <w:ilvl w:val="0"/>
          <w:numId w:val="18"/>
        </w:numPr>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If the existing CAA does not meet the conditions at section 3173.16(a)(1) or (a)(2), the BLM will take action to address any inconsistencies or deficiencies regarding the minimum standards and requirements for a CAA under §3173.14.</w:t>
      </w:r>
    </w:p>
    <w:p w:rsidR="0076112A" w:rsidRPr="00391598" w:rsidP="0076112A" w14:paraId="4CD3F93A" w14:textId="77777777">
      <w:pPr>
        <w:widowControl/>
        <w:autoSpaceDE/>
        <w:autoSpaceDN/>
        <w:adjustRightInd/>
        <w:spacing w:after="139" w:line="228" w:lineRule="auto"/>
        <w:ind w:right="45"/>
        <w:rPr>
          <w:rFonts w:ascii="Times New Roman" w:hAnsi="Times New Roman"/>
          <w:sz w:val="20"/>
          <w:szCs w:val="20"/>
        </w:rPr>
      </w:pPr>
      <w:r w:rsidRPr="00391598">
        <w:rPr>
          <w:rFonts w:ascii="Times New Roman" w:hAnsi="Times New Roman"/>
          <w:sz w:val="20"/>
          <w:szCs w:val="20"/>
        </w:rPr>
        <w:t>In the former case, the BLM will not collect any information from the operator.  In the latter case, the BLM may take one of two actions.</w:t>
      </w:r>
    </w:p>
    <w:p w:rsidR="0076112A" w:rsidRPr="00391598" w:rsidP="0076112A" w14:paraId="7B0CF830" w14:textId="77777777">
      <w:pPr>
        <w:ind w:left="-15" w:right="45"/>
        <w:rPr>
          <w:rFonts w:ascii="Times New Roman" w:hAnsi="Times New Roman"/>
          <w:sz w:val="20"/>
          <w:szCs w:val="20"/>
        </w:rPr>
      </w:pPr>
      <w:r w:rsidRPr="00391598">
        <w:rPr>
          <w:rFonts w:ascii="Times New Roman" w:hAnsi="Times New Roman"/>
          <w:sz w:val="20"/>
          <w:szCs w:val="20"/>
        </w:rPr>
        <w:t xml:space="preserve">Under the first option, the BLM will notify the operator in writing of any inconsistencies or </w:t>
      </w:r>
      <w:r w:rsidRPr="00391598">
        <w:rPr>
          <w:rFonts w:ascii="Times New Roman" w:hAnsi="Times New Roman"/>
          <w:sz w:val="20"/>
          <w:szCs w:val="20"/>
        </w:rPr>
        <w:t>deficiencies, and</w:t>
      </w:r>
      <w:r w:rsidRPr="00391598">
        <w:rPr>
          <w:rFonts w:ascii="Times New Roman" w:hAnsi="Times New Roman"/>
          <w:sz w:val="20"/>
          <w:szCs w:val="20"/>
        </w:rPr>
        <w:t xml:space="preserve"> require the operator to make corrections in the CAA.  The operator must comply within 20 business days after receipt of the BLM’s </w:t>
      </w:r>
      <w:r w:rsidRPr="00391598">
        <w:rPr>
          <w:rFonts w:ascii="Times New Roman" w:hAnsi="Times New Roman"/>
          <w:sz w:val="20"/>
          <w:szCs w:val="20"/>
        </w:rPr>
        <w:t>notice, but</w:t>
      </w:r>
      <w:r w:rsidRPr="00391598">
        <w:rPr>
          <w:rFonts w:ascii="Times New Roman" w:hAnsi="Times New Roman"/>
          <w:sz w:val="20"/>
          <w:szCs w:val="20"/>
        </w:rPr>
        <w:t xml:space="preserve"> may request an extension of time.  When the BLM is satisfied that the operator has corrected any inconsistencies or deficiencies, the BLM will terminate the existing CAA and grant a new CAA based on the operator’s corrections.  If the existing CAA does not meet the standards and requirements of §3173.14 and the operator does not correct the deficiencies, the AO may terminate the existing CAA under 43 CFR 3173.20 and deny the request for an FMP number for the facility associated with the existing CAA.</w:t>
      </w:r>
    </w:p>
    <w:p w:rsidR="0076112A" w:rsidRPr="00391598" w:rsidP="0076112A" w14:paraId="3B9A4CA3" w14:textId="77777777">
      <w:pPr>
        <w:ind w:left="-15" w:right="45"/>
        <w:rPr>
          <w:rFonts w:ascii="Times New Roman" w:hAnsi="Times New Roman"/>
          <w:sz w:val="20"/>
          <w:szCs w:val="20"/>
        </w:rPr>
      </w:pPr>
    </w:p>
    <w:p w:rsidR="0076112A" w:rsidRPr="00391598" w:rsidP="0076112A" w14:paraId="297AE527" w14:textId="77777777">
      <w:pPr>
        <w:widowControl/>
        <w:autoSpaceDE/>
        <w:autoSpaceDN/>
        <w:adjustRightInd/>
        <w:spacing w:line="228" w:lineRule="auto"/>
        <w:rPr>
          <w:rFonts w:ascii="Times New Roman" w:hAnsi="Times New Roman"/>
          <w:sz w:val="20"/>
          <w:szCs w:val="20"/>
        </w:rPr>
      </w:pPr>
      <w:r w:rsidRPr="00391598">
        <w:rPr>
          <w:rFonts w:ascii="Times New Roman" w:hAnsi="Times New Roman"/>
          <w:sz w:val="20"/>
          <w:szCs w:val="20"/>
        </w:rPr>
        <w:t>Under the second option, the BLM may terminate the existing CAA and grant a new CAA with new or amended conditions of approval to make the approval consistent with the requirements under §3173.14.  The operator may appeal the conditions of approval of the new CAA, in which case the existing CAA approval will continue in effect during the pendency of the appeal.</w:t>
      </w:r>
    </w:p>
    <w:p w:rsidR="00511A9D" w:rsidRPr="00391598" w:rsidP="0076112A" w14:paraId="6AB5DE22" w14:textId="77777777">
      <w:pPr>
        <w:pStyle w:val="ListParagraph"/>
        <w:ind w:left="0"/>
        <w:outlineLvl w:val="2"/>
        <w:rPr>
          <w:rFonts w:ascii="Times New Roman" w:hAnsi="Times New Roman"/>
          <w:sz w:val="20"/>
          <w:szCs w:val="20"/>
        </w:rPr>
      </w:pPr>
    </w:p>
    <w:p w:rsidR="00A8760D" w:rsidRPr="00391598" w:rsidP="00A8760D" w14:paraId="697BC406" w14:textId="4A5C230C">
      <w:pPr>
        <w:rPr>
          <w:rFonts w:ascii="Times New Roman" w:hAnsi="Times New Roman"/>
          <w:sz w:val="20"/>
          <w:szCs w:val="20"/>
        </w:rPr>
      </w:pPr>
      <w:r w:rsidRPr="00391598">
        <w:rPr>
          <w:rFonts w:ascii="Times New Roman" w:hAnsi="Times New Roman"/>
          <w:sz w:val="20"/>
          <w:szCs w:val="20"/>
        </w:rPr>
        <w:t xml:space="preserve">Generally, operators apply to the BLM for a CAA to </w:t>
      </w:r>
      <w:r w:rsidRPr="00391598" w:rsidR="00515D02">
        <w:rPr>
          <w:rFonts w:ascii="Times New Roman" w:hAnsi="Times New Roman"/>
          <w:sz w:val="20"/>
          <w:szCs w:val="20"/>
        </w:rPr>
        <w:t xml:space="preserve">reduce capital expenditures for constructing production facilities. </w:t>
      </w:r>
      <w:r w:rsidRPr="00391598" w:rsidR="0031070F">
        <w:rPr>
          <w:rFonts w:ascii="Times New Roman" w:hAnsi="Times New Roman"/>
          <w:sz w:val="20"/>
          <w:szCs w:val="20"/>
        </w:rPr>
        <w:t xml:space="preserve">If an operator </w:t>
      </w:r>
      <w:r w:rsidRPr="00391598" w:rsidR="0031070F">
        <w:rPr>
          <w:rFonts w:ascii="Times New Roman" w:hAnsi="Times New Roman"/>
          <w:sz w:val="20"/>
          <w:szCs w:val="20"/>
        </w:rPr>
        <w:t>is able to</w:t>
      </w:r>
      <w:r w:rsidRPr="00391598" w:rsidR="0031070F">
        <w:rPr>
          <w:rFonts w:ascii="Times New Roman" w:hAnsi="Times New Roman"/>
          <w:sz w:val="20"/>
          <w:szCs w:val="20"/>
        </w:rPr>
        <w:t xml:space="preserve"> obtain commingling approval, it requires fewer </w:t>
      </w:r>
      <w:r w:rsidRPr="00391598" w:rsidR="006844C8">
        <w:rPr>
          <w:rFonts w:ascii="Times New Roman" w:hAnsi="Times New Roman"/>
          <w:sz w:val="20"/>
          <w:szCs w:val="20"/>
        </w:rPr>
        <w:t xml:space="preserve">separators and tanks at the facility. </w:t>
      </w:r>
      <w:r w:rsidRPr="00391598" w:rsidR="003552CC">
        <w:rPr>
          <w:rFonts w:ascii="Times New Roman" w:hAnsi="Times New Roman"/>
          <w:sz w:val="20"/>
          <w:szCs w:val="20"/>
        </w:rPr>
        <w:t>In order to</w:t>
      </w:r>
      <w:r w:rsidRPr="00391598" w:rsidR="003552CC">
        <w:rPr>
          <w:rFonts w:ascii="Times New Roman" w:hAnsi="Times New Roman"/>
          <w:sz w:val="20"/>
          <w:szCs w:val="20"/>
        </w:rPr>
        <w:t xml:space="preserve"> approve commingling of surface production, the BLM has </w:t>
      </w:r>
      <w:r w:rsidRPr="00391598" w:rsidR="00D3547D">
        <w:rPr>
          <w:rFonts w:ascii="Times New Roman" w:hAnsi="Times New Roman"/>
          <w:sz w:val="20"/>
          <w:szCs w:val="20"/>
        </w:rPr>
        <w:t xml:space="preserve">to review the </w:t>
      </w:r>
      <w:r w:rsidRPr="00391598" w:rsidR="00410EFE">
        <w:rPr>
          <w:rFonts w:ascii="Times New Roman" w:hAnsi="Times New Roman"/>
          <w:sz w:val="20"/>
          <w:szCs w:val="20"/>
        </w:rPr>
        <w:t>application and ensure that it fulfills the requirements for commingling and is in the public’s or Indian mineral interest owner’s</w:t>
      </w:r>
      <w:r w:rsidRPr="00391598" w:rsidR="00FF4EEE">
        <w:rPr>
          <w:rFonts w:ascii="Times New Roman" w:hAnsi="Times New Roman"/>
          <w:sz w:val="20"/>
          <w:szCs w:val="20"/>
        </w:rPr>
        <w:t xml:space="preserve"> best interest</w:t>
      </w:r>
      <w:r w:rsidRPr="00391598" w:rsidR="00E36F6D">
        <w:rPr>
          <w:rFonts w:ascii="Times New Roman" w:hAnsi="Times New Roman"/>
          <w:sz w:val="20"/>
          <w:szCs w:val="20"/>
        </w:rPr>
        <w:t xml:space="preserve">. </w:t>
      </w:r>
      <w:r w:rsidRPr="00391598" w:rsidR="007C64CB">
        <w:rPr>
          <w:rFonts w:ascii="Times New Roman" w:hAnsi="Times New Roman"/>
          <w:sz w:val="20"/>
          <w:szCs w:val="20"/>
        </w:rPr>
        <w:t xml:space="preserve">Only if commingling is approved appropriately can accurate </w:t>
      </w:r>
      <w:r w:rsidRPr="00391598" w:rsidR="00136C20">
        <w:rPr>
          <w:rFonts w:ascii="Times New Roman" w:hAnsi="Times New Roman"/>
          <w:sz w:val="20"/>
          <w:szCs w:val="20"/>
        </w:rPr>
        <w:t xml:space="preserve">allocation </w:t>
      </w:r>
      <w:r w:rsidRPr="00391598" w:rsidR="007C64CB">
        <w:rPr>
          <w:rFonts w:ascii="Times New Roman" w:hAnsi="Times New Roman"/>
          <w:sz w:val="20"/>
          <w:szCs w:val="20"/>
        </w:rPr>
        <w:t>of production</w:t>
      </w:r>
      <w:r w:rsidRPr="00391598" w:rsidR="00136C20">
        <w:rPr>
          <w:rFonts w:ascii="Times New Roman" w:hAnsi="Times New Roman"/>
          <w:sz w:val="20"/>
          <w:szCs w:val="20"/>
        </w:rPr>
        <w:t xml:space="preserve"> </w:t>
      </w:r>
      <w:r w:rsidRPr="00391598" w:rsidR="002321F1">
        <w:rPr>
          <w:rFonts w:ascii="Times New Roman" w:hAnsi="Times New Roman"/>
          <w:sz w:val="20"/>
          <w:szCs w:val="20"/>
        </w:rPr>
        <w:t xml:space="preserve">to the mineral interest owner </w:t>
      </w:r>
      <w:r w:rsidRPr="00391598" w:rsidR="00136C20">
        <w:rPr>
          <w:rFonts w:ascii="Times New Roman" w:hAnsi="Times New Roman"/>
          <w:sz w:val="20"/>
          <w:szCs w:val="20"/>
        </w:rPr>
        <w:t xml:space="preserve">be assured. </w:t>
      </w:r>
      <w:r w:rsidRPr="00391598" w:rsidR="007C64CB">
        <w:rPr>
          <w:rFonts w:ascii="Times New Roman" w:hAnsi="Times New Roman"/>
          <w:sz w:val="20"/>
          <w:szCs w:val="20"/>
        </w:rPr>
        <w:t xml:space="preserve">The approval/denial of an application to commingle directly affects the </w:t>
      </w:r>
      <w:r w:rsidRPr="00391598" w:rsidR="00EF6BA4">
        <w:rPr>
          <w:rFonts w:ascii="Times New Roman" w:hAnsi="Times New Roman"/>
          <w:sz w:val="20"/>
          <w:szCs w:val="20"/>
        </w:rPr>
        <w:t xml:space="preserve">volume attributable to a Federal or Indian lease and therefore, the royalties owed. </w:t>
      </w:r>
    </w:p>
    <w:p w:rsidR="00A8760D" w:rsidRPr="00391598" w:rsidP="0076112A" w14:paraId="59D7C50B" w14:textId="77777777">
      <w:pPr>
        <w:pStyle w:val="ListParagraph"/>
        <w:ind w:left="0"/>
        <w:outlineLvl w:val="2"/>
        <w:rPr>
          <w:rFonts w:ascii="Times New Roman" w:hAnsi="Times New Roman"/>
          <w:sz w:val="20"/>
          <w:szCs w:val="20"/>
        </w:rPr>
      </w:pPr>
    </w:p>
    <w:p w:rsidR="00431876" w:rsidRPr="00391598" w:rsidP="006B3D83" w14:paraId="5E17BDCE" w14:textId="77777777">
      <w:pPr>
        <w:pStyle w:val="ListParagraph"/>
        <w:ind w:left="0"/>
        <w:rPr>
          <w:rFonts w:ascii="Times New Roman" w:hAnsi="Times New Roman"/>
          <w:b/>
          <w:i/>
          <w:sz w:val="20"/>
          <w:szCs w:val="20"/>
        </w:rPr>
      </w:pPr>
      <w:r w:rsidRPr="00391598">
        <w:rPr>
          <w:rFonts w:ascii="Times New Roman" w:hAnsi="Times New Roman"/>
          <w:b/>
          <w:i/>
          <w:sz w:val="20"/>
          <w:szCs w:val="20"/>
        </w:rPr>
        <w:t xml:space="preserve">Request </w:t>
      </w:r>
      <w:r w:rsidRPr="00391598" w:rsidR="00656FA6">
        <w:rPr>
          <w:rFonts w:ascii="Times New Roman" w:hAnsi="Times New Roman"/>
          <w:b/>
          <w:i/>
          <w:sz w:val="20"/>
          <w:szCs w:val="20"/>
        </w:rPr>
        <w:t>to Modify</w:t>
      </w:r>
      <w:r w:rsidRPr="00391598">
        <w:rPr>
          <w:rFonts w:ascii="Times New Roman" w:hAnsi="Times New Roman"/>
          <w:b/>
          <w:i/>
          <w:sz w:val="20"/>
          <w:szCs w:val="20"/>
        </w:rPr>
        <w:t xml:space="preserve"> </w:t>
      </w:r>
      <w:r w:rsidRPr="00391598" w:rsidR="005F7FD5">
        <w:rPr>
          <w:rFonts w:ascii="Times New Roman" w:hAnsi="Times New Roman"/>
          <w:b/>
          <w:i/>
          <w:sz w:val="20"/>
          <w:szCs w:val="20"/>
        </w:rPr>
        <w:t xml:space="preserve">or Terminate </w:t>
      </w:r>
      <w:r w:rsidRPr="00391598">
        <w:rPr>
          <w:rFonts w:ascii="Times New Roman" w:hAnsi="Times New Roman"/>
          <w:b/>
          <w:i/>
          <w:sz w:val="20"/>
          <w:szCs w:val="20"/>
        </w:rPr>
        <w:t>a CAA</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3173.18</w:t>
      </w:r>
      <w:r w:rsidRPr="00391598" w:rsidR="00656FA6">
        <w:rPr>
          <w:rFonts w:ascii="Times New Roman" w:hAnsi="Times New Roman"/>
          <w:b/>
          <w:i/>
          <w:sz w:val="20"/>
          <w:szCs w:val="20"/>
        </w:rPr>
        <w:t xml:space="preserve"> and 3173.20</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w:t>
      </w:r>
      <w:r w:rsidRPr="00391598" w:rsidR="00656FA6">
        <w:rPr>
          <w:rFonts w:ascii="Times New Roman" w:hAnsi="Times New Roman"/>
          <w:b/>
          <w:i/>
          <w:sz w:val="20"/>
          <w:szCs w:val="20"/>
        </w:rPr>
        <w:t xml:space="preserve"> and Related Information</w:t>
      </w:r>
      <w:r w:rsidRPr="00391598" w:rsidR="006B3D83">
        <w:rPr>
          <w:rFonts w:ascii="Times New Roman" w:hAnsi="Times New Roman"/>
          <w:b/>
          <w:i/>
          <w:sz w:val="20"/>
          <w:szCs w:val="20"/>
        </w:rPr>
        <w:t>)</w:t>
      </w:r>
    </w:p>
    <w:p w:rsidR="00511A9D" w:rsidRPr="00391598" w:rsidP="00431876" w14:paraId="4FD9608D" w14:textId="77777777">
      <w:pPr>
        <w:pStyle w:val="ListParagraph"/>
        <w:ind w:left="0"/>
        <w:outlineLvl w:val="2"/>
        <w:rPr>
          <w:rFonts w:ascii="Times New Roman" w:hAnsi="Times New Roman"/>
          <w:sz w:val="20"/>
          <w:szCs w:val="20"/>
        </w:rPr>
      </w:pPr>
    </w:p>
    <w:p w:rsidR="00431876" w:rsidRPr="00391598" w:rsidP="00431876" w14:paraId="6159DD75" w14:textId="77777777">
      <w:pPr>
        <w:pStyle w:val="ListParagraph"/>
        <w:ind w:left="0"/>
        <w:rPr>
          <w:rFonts w:ascii="Times New Roman" w:hAnsi="Times New Roman"/>
          <w:sz w:val="20"/>
          <w:szCs w:val="20"/>
        </w:rPr>
      </w:pPr>
      <w:r w:rsidRPr="00391598">
        <w:rPr>
          <w:rFonts w:ascii="Times New Roman" w:hAnsi="Times New Roman"/>
          <w:sz w:val="20"/>
          <w:szCs w:val="20"/>
        </w:rPr>
        <w:t>Section 3173.18 provides that a CAA must be modified when additional leases, unit PAs, or CAs are proposed for inclusion in the CAA, or any of the leases, unit PAs, or CAs within the CAA terminate or permanently cease production.  The following information is required in a request to modify a CAA:</w:t>
      </w:r>
    </w:p>
    <w:p w:rsidR="00431876" w:rsidRPr="00391598" w:rsidP="00431876" w14:paraId="4F91C258" w14:textId="77777777">
      <w:pPr>
        <w:pStyle w:val="ListParagraph"/>
        <w:ind w:left="0"/>
        <w:rPr>
          <w:rFonts w:ascii="Times New Roman" w:hAnsi="Times New Roman"/>
          <w:sz w:val="20"/>
          <w:szCs w:val="20"/>
        </w:rPr>
      </w:pPr>
    </w:p>
    <w:p w:rsidR="00431876" w:rsidRPr="00391598" w:rsidP="00613C1C" w14:paraId="25D998F1"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 xml:space="preserve">A completed Sundry Notice describing the modification </w:t>
      </w:r>
      <w:r w:rsidRPr="00391598">
        <w:rPr>
          <w:rFonts w:ascii="Times New Roman" w:hAnsi="Times New Roman"/>
          <w:sz w:val="20"/>
          <w:szCs w:val="20"/>
        </w:rPr>
        <w:t>requested;</w:t>
      </w:r>
    </w:p>
    <w:p w:rsidR="00431876" w:rsidRPr="00391598" w:rsidP="00613C1C" w14:paraId="27CD0967"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new allocation methodology, if appropriate, and an example of how the methodology is applied; and</w:t>
      </w:r>
    </w:p>
    <w:p w:rsidR="00431876" w:rsidRPr="00391598" w:rsidP="00613C1C" w14:paraId="7FEE8291" w14:textId="77777777">
      <w:pPr>
        <w:pStyle w:val="ListParagraph"/>
        <w:widowControl/>
        <w:numPr>
          <w:ilvl w:val="0"/>
          <w:numId w:val="6"/>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Certification by each operator that it agrees to the CAA modification.</w:t>
      </w:r>
    </w:p>
    <w:p w:rsidR="00431876" w:rsidRPr="00391598" w:rsidP="00D101F2" w14:paraId="7C13DFD2" w14:textId="77777777">
      <w:pPr>
        <w:pStyle w:val="ListParagraph"/>
        <w:widowControl/>
        <w:suppressAutoHyphens/>
        <w:autoSpaceDE/>
        <w:autoSpaceDN/>
        <w:adjustRightInd/>
        <w:ind w:left="0"/>
        <w:contextualSpacing w:val="0"/>
        <w:rPr>
          <w:rFonts w:ascii="Times New Roman" w:hAnsi="Times New Roman"/>
          <w:sz w:val="20"/>
          <w:szCs w:val="20"/>
        </w:rPr>
      </w:pPr>
    </w:p>
    <w:p w:rsidR="00431876" w:rsidRPr="00391598" w:rsidP="00431876" w14:paraId="217E71E7" w14:textId="77777777">
      <w:pPr>
        <w:rPr>
          <w:rFonts w:ascii="Times New Roman" w:hAnsi="Times New Roman"/>
          <w:sz w:val="20"/>
          <w:szCs w:val="20"/>
          <w:lang w:eastAsia="ar-SA"/>
        </w:rPr>
      </w:pPr>
      <w:r w:rsidRPr="00391598">
        <w:rPr>
          <w:rFonts w:ascii="Times New Roman" w:hAnsi="Times New Roman"/>
          <w:sz w:val="20"/>
          <w:szCs w:val="20"/>
        </w:rPr>
        <w:t xml:space="preserve">This </w:t>
      </w:r>
      <w:r w:rsidRPr="00391598" w:rsidR="00F3247D">
        <w:rPr>
          <w:rFonts w:ascii="Times New Roman" w:hAnsi="Times New Roman"/>
          <w:sz w:val="20"/>
          <w:szCs w:val="20"/>
        </w:rPr>
        <w:t xml:space="preserve">IC </w:t>
      </w:r>
      <w:r w:rsidRPr="00391598">
        <w:rPr>
          <w:rFonts w:ascii="Times New Roman" w:hAnsi="Times New Roman"/>
          <w:sz w:val="20"/>
          <w:szCs w:val="20"/>
        </w:rPr>
        <w:t xml:space="preserve">activity helps the BLM obtain the </w:t>
      </w:r>
      <w:r w:rsidRPr="00391598">
        <w:rPr>
          <w:rFonts w:ascii="Times New Roman" w:hAnsi="Times New Roman"/>
          <w:sz w:val="20"/>
          <w:szCs w:val="20"/>
          <w:lang w:eastAsia="ar-SA"/>
        </w:rPr>
        <w:t>production data that is necessary to verify production from Federal or Indian leases covered by CAAs.</w:t>
      </w:r>
    </w:p>
    <w:p w:rsidR="00431876" w:rsidRPr="00391598" w:rsidP="00D101F2" w14:paraId="0AE47314" w14:textId="77777777">
      <w:pPr>
        <w:pStyle w:val="ListParagraph"/>
        <w:ind w:left="0"/>
        <w:outlineLvl w:val="2"/>
        <w:rPr>
          <w:rFonts w:ascii="Times New Roman" w:hAnsi="Times New Roman"/>
          <w:sz w:val="20"/>
          <w:szCs w:val="20"/>
        </w:rPr>
      </w:pPr>
    </w:p>
    <w:p w:rsidR="00D101F2" w:rsidRPr="00391598" w:rsidP="00D101F2" w14:paraId="791F76AB" w14:textId="18F0239A">
      <w:pPr>
        <w:pStyle w:val="ListParagraph"/>
        <w:ind w:left="0"/>
        <w:rPr>
          <w:rFonts w:ascii="Times New Roman" w:hAnsi="Times New Roman"/>
          <w:sz w:val="20"/>
          <w:szCs w:val="20"/>
        </w:rPr>
      </w:pPr>
      <w:r w:rsidRPr="00391598">
        <w:rPr>
          <w:rFonts w:ascii="Times New Roman" w:hAnsi="Times New Roman"/>
          <w:sz w:val="20"/>
          <w:szCs w:val="20"/>
        </w:rPr>
        <w:t>Section 3173.20 authorizes an operator to request</w:t>
      </w:r>
      <w:r w:rsidRPr="00391598" w:rsidR="00CE7F11">
        <w:rPr>
          <w:rFonts w:ascii="Times New Roman" w:hAnsi="Times New Roman"/>
          <w:sz w:val="20"/>
          <w:szCs w:val="20"/>
        </w:rPr>
        <w:t xml:space="preserve"> a modification or</w:t>
      </w:r>
      <w:r w:rsidRPr="00391598">
        <w:rPr>
          <w:rFonts w:ascii="Times New Roman" w:hAnsi="Times New Roman"/>
          <w:sz w:val="20"/>
          <w:szCs w:val="20"/>
        </w:rPr>
        <w:t xml:space="preserve"> termination of a CAA.  The operator must submit a Sundry Notice to the BLM requesting the</w:t>
      </w:r>
      <w:r w:rsidRPr="00391598" w:rsidR="005B3D3A">
        <w:rPr>
          <w:rFonts w:ascii="Times New Roman" w:hAnsi="Times New Roman"/>
          <w:sz w:val="20"/>
          <w:szCs w:val="20"/>
        </w:rPr>
        <w:t xml:space="preserve"> modification or</w:t>
      </w:r>
      <w:r w:rsidRPr="00391598">
        <w:rPr>
          <w:rFonts w:ascii="Times New Roman" w:hAnsi="Times New Roman"/>
          <w:sz w:val="20"/>
          <w:szCs w:val="20"/>
        </w:rPr>
        <w:t xml:space="preserve"> termination.  The notice must identify the FMP(s) for the lease(s), unit(s), or CA(s) previously subject to the CAA.</w:t>
      </w:r>
    </w:p>
    <w:p w:rsidR="00D101F2" w:rsidRPr="00391598" w:rsidP="00D101F2" w14:paraId="471864FF" w14:textId="77777777">
      <w:pPr>
        <w:pStyle w:val="ListParagraph"/>
        <w:ind w:left="0"/>
        <w:outlineLvl w:val="2"/>
        <w:rPr>
          <w:rFonts w:ascii="Times New Roman" w:hAnsi="Times New Roman"/>
          <w:sz w:val="20"/>
          <w:szCs w:val="20"/>
        </w:rPr>
      </w:pPr>
    </w:p>
    <w:p w:rsidR="00A8760D" w:rsidRPr="00391598" w:rsidP="00A8760D" w14:paraId="5176A9BE" w14:textId="1CB57992">
      <w:pPr>
        <w:rPr>
          <w:rFonts w:ascii="Times New Roman" w:hAnsi="Times New Roman"/>
          <w:sz w:val="20"/>
          <w:szCs w:val="20"/>
        </w:rPr>
      </w:pPr>
      <w:r w:rsidRPr="00391598">
        <w:rPr>
          <w:rFonts w:ascii="Times New Roman" w:hAnsi="Times New Roman"/>
          <w:sz w:val="20"/>
          <w:szCs w:val="20"/>
        </w:rPr>
        <w:t xml:space="preserve">An operator </w:t>
      </w:r>
      <w:r w:rsidRPr="00391598" w:rsidR="00122B51">
        <w:rPr>
          <w:rFonts w:ascii="Times New Roman" w:hAnsi="Times New Roman"/>
          <w:sz w:val="20"/>
          <w:szCs w:val="20"/>
        </w:rPr>
        <w:t>may</w:t>
      </w:r>
      <w:r w:rsidRPr="00391598" w:rsidR="00240EDA">
        <w:rPr>
          <w:rFonts w:ascii="Times New Roman" w:hAnsi="Times New Roman"/>
          <w:sz w:val="20"/>
          <w:szCs w:val="20"/>
        </w:rPr>
        <w:t xml:space="preserve"> apply to the B</w:t>
      </w:r>
      <w:r w:rsidRPr="00391598" w:rsidR="00CD095F">
        <w:rPr>
          <w:rFonts w:ascii="Times New Roman" w:hAnsi="Times New Roman"/>
          <w:sz w:val="20"/>
          <w:szCs w:val="20"/>
        </w:rPr>
        <w:t>LM to</w:t>
      </w:r>
      <w:r w:rsidRPr="00391598" w:rsidR="00122B51">
        <w:rPr>
          <w:rFonts w:ascii="Times New Roman" w:hAnsi="Times New Roman"/>
          <w:sz w:val="20"/>
          <w:szCs w:val="20"/>
        </w:rPr>
        <w:t xml:space="preserve"> modify or terminate an existing CAA </w:t>
      </w:r>
      <w:r w:rsidRPr="00391598" w:rsidR="00DD51FD">
        <w:rPr>
          <w:rFonts w:ascii="Times New Roman" w:hAnsi="Times New Roman"/>
          <w:sz w:val="20"/>
          <w:szCs w:val="20"/>
        </w:rPr>
        <w:t>for any number of reasons including, but not limited to</w:t>
      </w:r>
      <w:r w:rsidRPr="00391598" w:rsidR="00CD095F">
        <w:rPr>
          <w:rFonts w:ascii="Times New Roman" w:hAnsi="Times New Roman"/>
          <w:sz w:val="20"/>
          <w:szCs w:val="20"/>
        </w:rPr>
        <w:t xml:space="preserve">, a change in measurement, allocation methodology, </w:t>
      </w:r>
      <w:r w:rsidRPr="00391598" w:rsidR="00465B30">
        <w:rPr>
          <w:rFonts w:ascii="Times New Roman" w:hAnsi="Times New Roman"/>
          <w:sz w:val="20"/>
          <w:szCs w:val="20"/>
        </w:rPr>
        <w:t>or cessation of production from a leas</w:t>
      </w:r>
      <w:r w:rsidRPr="00391598" w:rsidR="00204CE1">
        <w:rPr>
          <w:rFonts w:ascii="Times New Roman" w:hAnsi="Times New Roman"/>
          <w:sz w:val="20"/>
          <w:szCs w:val="20"/>
        </w:rPr>
        <w:t xml:space="preserve">e, unit PA, or CA participating in the CAA. The BLM would need to evaluate the </w:t>
      </w:r>
      <w:r w:rsidRPr="00391598" w:rsidR="00E03176">
        <w:rPr>
          <w:rFonts w:ascii="Times New Roman" w:hAnsi="Times New Roman"/>
          <w:sz w:val="20"/>
          <w:szCs w:val="20"/>
        </w:rPr>
        <w:t xml:space="preserve">CAA modification to ensure </w:t>
      </w:r>
      <w:r w:rsidRPr="00391598" w:rsidR="002A3F82">
        <w:rPr>
          <w:rFonts w:ascii="Times New Roman" w:hAnsi="Times New Roman"/>
          <w:sz w:val="20"/>
          <w:szCs w:val="20"/>
        </w:rPr>
        <w:t>it continues to meet the requirements of the rule</w:t>
      </w:r>
      <w:r w:rsidRPr="00391598" w:rsidR="00353D7A">
        <w:rPr>
          <w:rFonts w:ascii="Times New Roman" w:hAnsi="Times New Roman"/>
          <w:sz w:val="20"/>
          <w:szCs w:val="20"/>
        </w:rPr>
        <w:t xml:space="preserve"> and production accountability and verifiability are maintained.</w:t>
      </w:r>
      <w:r w:rsidRPr="00391598" w:rsidR="00ED58D4">
        <w:rPr>
          <w:rFonts w:ascii="Times New Roman" w:hAnsi="Times New Roman"/>
          <w:sz w:val="20"/>
          <w:szCs w:val="20"/>
        </w:rPr>
        <w:t xml:space="preserve"> When an operator terminates a CAA, the BLM needs to be informed </w:t>
      </w:r>
      <w:r w:rsidRPr="00391598" w:rsidR="00596E70">
        <w:rPr>
          <w:rFonts w:ascii="Times New Roman" w:hAnsi="Times New Roman"/>
          <w:sz w:val="20"/>
          <w:szCs w:val="20"/>
        </w:rPr>
        <w:t xml:space="preserve">to </w:t>
      </w:r>
      <w:r w:rsidRPr="00391598" w:rsidR="002D6E28">
        <w:rPr>
          <w:rFonts w:ascii="Times New Roman" w:hAnsi="Times New Roman"/>
          <w:sz w:val="20"/>
          <w:szCs w:val="20"/>
        </w:rPr>
        <w:t xml:space="preserve">have the </w:t>
      </w:r>
      <w:r w:rsidRPr="00391598" w:rsidR="00E14EC8">
        <w:rPr>
          <w:rFonts w:ascii="Times New Roman" w:hAnsi="Times New Roman"/>
          <w:sz w:val="20"/>
          <w:szCs w:val="20"/>
        </w:rPr>
        <w:t xml:space="preserve">discretion to </w:t>
      </w:r>
      <w:r w:rsidRPr="00391598" w:rsidR="00596E70">
        <w:rPr>
          <w:rFonts w:ascii="Times New Roman" w:hAnsi="Times New Roman"/>
          <w:sz w:val="20"/>
          <w:szCs w:val="20"/>
        </w:rPr>
        <w:t xml:space="preserve">inspect the facilities and ensure production is </w:t>
      </w:r>
      <w:r w:rsidRPr="00391598" w:rsidR="00E14EC8">
        <w:rPr>
          <w:rFonts w:ascii="Times New Roman" w:hAnsi="Times New Roman"/>
          <w:sz w:val="20"/>
          <w:szCs w:val="20"/>
        </w:rPr>
        <w:t xml:space="preserve">properly </w:t>
      </w:r>
      <w:r w:rsidRPr="00391598" w:rsidR="00596E70">
        <w:rPr>
          <w:rFonts w:ascii="Times New Roman" w:hAnsi="Times New Roman"/>
          <w:sz w:val="20"/>
          <w:szCs w:val="20"/>
        </w:rPr>
        <w:t xml:space="preserve">segregated. </w:t>
      </w:r>
    </w:p>
    <w:p w:rsidR="00A8760D" w:rsidRPr="00391598" w:rsidP="00D101F2" w14:paraId="356CDF86" w14:textId="77777777">
      <w:pPr>
        <w:pStyle w:val="ListParagraph"/>
        <w:ind w:left="0"/>
        <w:outlineLvl w:val="2"/>
        <w:rPr>
          <w:rFonts w:ascii="Times New Roman" w:hAnsi="Times New Roman"/>
          <w:sz w:val="20"/>
          <w:szCs w:val="20"/>
        </w:rPr>
      </w:pPr>
    </w:p>
    <w:p w:rsidR="001830E1" w:rsidRPr="00391598" w:rsidP="006B3D83" w14:paraId="0DE7739D" w14:textId="77777777">
      <w:pPr>
        <w:pStyle w:val="ListParagraph"/>
        <w:ind w:left="0"/>
        <w:outlineLvl w:val="2"/>
        <w:rPr>
          <w:rFonts w:ascii="Times New Roman" w:hAnsi="Times New Roman"/>
          <w:b/>
          <w:i/>
          <w:sz w:val="20"/>
          <w:szCs w:val="20"/>
        </w:rPr>
      </w:pPr>
      <w:r w:rsidRPr="00391598">
        <w:rPr>
          <w:rFonts w:ascii="Times New Roman" w:hAnsi="Times New Roman"/>
          <w:b/>
          <w:i/>
          <w:sz w:val="20"/>
          <w:szCs w:val="20"/>
        </w:rPr>
        <w:t>Request for Ap</w:t>
      </w:r>
      <w:r w:rsidRPr="00391598" w:rsidR="00952F8F">
        <w:rPr>
          <w:rFonts w:ascii="Times New Roman" w:hAnsi="Times New Roman"/>
          <w:b/>
          <w:i/>
          <w:sz w:val="20"/>
          <w:szCs w:val="20"/>
        </w:rPr>
        <w:t xml:space="preserve">proval </w:t>
      </w:r>
      <w:r w:rsidRPr="00391598" w:rsidR="002A2849">
        <w:rPr>
          <w:rFonts w:ascii="Times New Roman" w:hAnsi="Times New Roman"/>
          <w:b/>
          <w:i/>
          <w:sz w:val="20"/>
          <w:szCs w:val="20"/>
        </w:rPr>
        <w:t xml:space="preserve">or Termination </w:t>
      </w:r>
      <w:r w:rsidRPr="00391598" w:rsidR="00952F8F">
        <w:rPr>
          <w:rFonts w:ascii="Times New Roman" w:hAnsi="Times New Roman"/>
          <w:b/>
          <w:i/>
          <w:sz w:val="20"/>
          <w:szCs w:val="20"/>
        </w:rPr>
        <w:t>of Off-Lease Measurement</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3173.23</w:t>
      </w:r>
      <w:r w:rsidRPr="00391598" w:rsidR="002A2849">
        <w:rPr>
          <w:rFonts w:ascii="Times New Roman" w:hAnsi="Times New Roman"/>
          <w:b/>
          <w:i/>
          <w:sz w:val="20"/>
          <w:szCs w:val="20"/>
        </w:rPr>
        <w:t xml:space="preserve"> and 3173.27</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 and Related Information</w:t>
      </w:r>
      <w:r w:rsidRPr="00391598" w:rsidR="006B3D83">
        <w:rPr>
          <w:rFonts w:ascii="Times New Roman" w:hAnsi="Times New Roman"/>
          <w:b/>
          <w:i/>
          <w:sz w:val="20"/>
          <w:szCs w:val="20"/>
        </w:rPr>
        <w:t>)</w:t>
      </w:r>
      <w:r w:rsidRPr="00391598" w:rsidR="00F2607D">
        <w:rPr>
          <w:rFonts w:ascii="Times New Roman" w:hAnsi="Times New Roman"/>
          <w:b/>
          <w:i/>
          <w:sz w:val="20"/>
          <w:szCs w:val="20"/>
        </w:rPr>
        <w:t>; and</w:t>
      </w:r>
      <w:r w:rsidRPr="00391598" w:rsidR="006B3D83">
        <w:rPr>
          <w:rFonts w:ascii="Times New Roman" w:hAnsi="Times New Roman"/>
          <w:b/>
          <w:i/>
          <w:sz w:val="20"/>
          <w:szCs w:val="20"/>
        </w:rPr>
        <w:t xml:space="preserve"> </w:t>
      </w:r>
      <w:r w:rsidRPr="00391598">
        <w:rPr>
          <w:rFonts w:ascii="Times New Roman" w:hAnsi="Times New Roman"/>
          <w:b/>
          <w:i/>
          <w:sz w:val="20"/>
          <w:szCs w:val="20"/>
        </w:rPr>
        <w:t>Response to Notice of Insufficien</w:t>
      </w:r>
      <w:r w:rsidRPr="00391598" w:rsidR="00952F8F">
        <w:rPr>
          <w:rFonts w:ascii="Times New Roman" w:hAnsi="Times New Roman"/>
          <w:b/>
          <w:i/>
          <w:sz w:val="20"/>
          <w:szCs w:val="20"/>
        </w:rPr>
        <w:t xml:space="preserve">t Off-Lease Measurement </w:t>
      </w:r>
      <w:r w:rsidRPr="00391598" w:rsidR="00F2607D">
        <w:rPr>
          <w:rFonts w:ascii="Times New Roman" w:hAnsi="Times New Roman"/>
          <w:b/>
          <w:i/>
          <w:sz w:val="20"/>
          <w:szCs w:val="20"/>
        </w:rPr>
        <w:t>Approval</w:t>
      </w:r>
      <w:r w:rsidRPr="00391598" w:rsidR="006B3D83">
        <w:rPr>
          <w:rFonts w:ascii="Times New Roman" w:hAnsi="Times New Roman"/>
          <w:b/>
          <w:i/>
          <w:sz w:val="20"/>
          <w:szCs w:val="20"/>
        </w:rPr>
        <w:t xml:space="preserve"> -- </w:t>
      </w:r>
      <w:r w:rsidRPr="00391598">
        <w:rPr>
          <w:rFonts w:ascii="Times New Roman" w:hAnsi="Times New Roman"/>
          <w:b/>
          <w:i/>
          <w:sz w:val="20"/>
          <w:szCs w:val="20"/>
        </w:rPr>
        <w:t>43 CFR 3173.25</w:t>
      </w:r>
      <w:r w:rsidRPr="00391598" w:rsidR="006B3D83">
        <w:rPr>
          <w:rFonts w:ascii="Times New Roman" w:hAnsi="Times New Roman"/>
          <w:b/>
          <w:i/>
          <w:sz w:val="20"/>
          <w:szCs w:val="20"/>
        </w:rPr>
        <w:t xml:space="preserve"> (</w:t>
      </w:r>
      <w:r w:rsidRPr="00391598">
        <w:rPr>
          <w:rFonts w:ascii="Times New Roman" w:hAnsi="Times New Roman"/>
          <w:b/>
          <w:i/>
          <w:sz w:val="20"/>
          <w:szCs w:val="20"/>
        </w:rPr>
        <w:t>Form 3160-5 and Related Information</w:t>
      </w:r>
      <w:r w:rsidRPr="00391598" w:rsidR="006B3D83">
        <w:rPr>
          <w:rFonts w:ascii="Times New Roman" w:hAnsi="Times New Roman"/>
          <w:b/>
          <w:i/>
          <w:sz w:val="20"/>
          <w:szCs w:val="20"/>
        </w:rPr>
        <w:t>)</w:t>
      </w:r>
    </w:p>
    <w:p w:rsidR="00282C2A" w:rsidRPr="00391598" w:rsidP="00F2607D" w14:paraId="034B13DF" w14:textId="77777777">
      <w:pPr>
        <w:pStyle w:val="ListParagraph"/>
        <w:ind w:left="0"/>
        <w:rPr>
          <w:rFonts w:ascii="Times New Roman" w:hAnsi="Times New Roman"/>
          <w:sz w:val="20"/>
          <w:szCs w:val="20"/>
        </w:rPr>
      </w:pPr>
    </w:p>
    <w:p w:rsidR="002A2849" w:rsidRPr="00391598" w:rsidP="002A2849" w14:paraId="72461093" w14:textId="77777777">
      <w:pPr>
        <w:suppressAutoHyphens/>
        <w:rPr>
          <w:rFonts w:ascii="Times New Roman" w:hAnsi="Times New Roman"/>
          <w:sz w:val="20"/>
          <w:szCs w:val="20"/>
          <w:lang w:eastAsia="ar-SA"/>
        </w:rPr>
      </w:pPr>
      <w:r w:rsidRPr="00391598">
        <w:rPr>
          <w:rFonts w:ascii="Times New Roman" w:hAnsi="Times New Roman"/>
          <w:sz w:val="20"/>
          <w:szCs w:val="20"/>
          <w:lang w:eastAsia="ar-SA"/>
        </w:rPr>
        <w:t xml:space="preserve">These </w:t>
      </w:r>
      <w:r w:rsidRPr="00391598" w:rsidR="00D3000D">
        <w:rPr>
          <w:rFonts w:ascii="Times New Roman" w:hAnsi="Times New Roman"/>
          <w:sz w:val="20"/>
          <w:szCs w:val="20"/>
          <w:lang w:eastAsia="ar-SA"/>
        </w:rPr>
        <w:t>IC</w:t>
      </w:r>
      <w:r w:rsidRPr="00391598">
        <w:rPr>
          <w:rFonts w:ascii="Times New Roman" w:hAnsi="Times New Roman"/>
          <w:sz w:val="20"/>
          <w:szCs w:val="20"/>
          <w:lang w:eastAsia="ar-SA"/>
        </w:rPr>
        <w:t xml:space="preserve"> activities assist the BLM in reducing discrepancies between operator-allocated volumes, which operators report to ONRR, and the volumes that the BLM calculates during follow-up audits.  The BLM will allow off-lease measurement of production only from a single Federal or Indian lease, unit PA, CA, or CAA, and only at an approved FMP.</w:t>
      </w:r>
    </w:p>
    <w:p w:rsidR="002A2849" w:rsidRPr="00391598" w:rsidP="002A2849" w14:paraId="04F6CAF3" w14:textId="77777777">
      <w:pPr>
        <w:suppressAutoHyphens/>
        <w:rPr>
          <w:rFonts w:ascii="Times New Roman" w:hAnsi="Times New Roman"/>
          <w:sz w:val="20"/>
          <w:szCs w:val="20"/>
          <w:lang w:eastAsia="ar-SA"/>
        </w:rPr>
      </w:pPr>
    </w:p>
    <w:p w:rsidR="002A2849" w:rsidRPr="00391598" w:rsidP="002A2849" w14:paraId="0AD473EB" w14:textId="77777777">
      <w:pPr>
        <w:tabs>
          <w:tab w:val="left" w:pos="1440"/>
        </w:tabs>
        <w:contextualSpacing/>
        <w:rPr>
          <w:rFonts w:ascii="Times New Roman" w:hAnsi="Times New Roman"/>
          <w:sz w:val="20"/>
          <w:szCs w:val="20"/>
        </w:rPr>
      </w:pPr>
      <w:r w:rsidRPr="00391598">
        <w:rPr>
          <w:rFonts w:ascii="Times New Roman" w:hAnsi="Times New Roman"/>
          <w:sz w:val="20"/>
          <w:szCs w:val="20"/>
        </w:rPr>
        <w:t xml:space="preserve">These </w:t>
      </w:r>
      <w:r w:rsidRPr="00391598" w:rsidR="00D3000D">
        <w:rPr>
          <w:rFonts w:ascii="Times New Roman" w:hAnsi="Times New Roman"/>
          <w:sz w:val="20"/>
          <w:szCs w:val="20"/>
        </w:rPr>
        <w:t>IC</w:t>
      </w:r>
      <w:r w:rsidRPr="00391598">
        <w:rPr>
          <w:rFonts w:ascii="Times New Roman" w:hAnsi="Times New Roman"/>
          <w:sz w:val="20"/>
          <w:szCs w:val="20"/>
        </w:rPr>
        <w:t xml:space="preserve"> activities are “on occasion.”</w:t>
      </w:r>
    </w:p>
    <w:p w:rsidR="002A2849" w:rsidRPr="00391598" w:rsidP="002A2849" w14:paraId="136FB539" w14:textId="77777777">
      <w:pPr>
        <w:pStyle w:val="ListParagraph"/>
        <w:ind w:left="0"/>
        <w:rPr>
          <w:rFonts w:ascii="Times New Roman" w:hAnsi="Times New Roman"/>
          <w:bCs/>
          <w:sz w:val="20"/>
          <w:szCs w:val="20"/>
        </w:rPr>
      </w:pPr>
    </w:p>
    <w:p w:rsidR="00D867A8" w:rsidRPr="00391598" w:rsidP="002A2849" w14:paraId="3F87FDAF" w14:textId="77777777">
      <w:pPr>
        <w:pStyle w:val="ListParagraph"/>
        <w:ind w:left="0"/>
        <w:rPr>
          <w:rFonts w:ascii="Times New Roman" w:hAnsi="Times New Roman"/>
          <w:i/>
          <w:sz w:val="20"/>
          <w:szCs w:val="20"/>
        </w:rPr>
      </w:pPr>
      <w:r w:rsidRPr="00391598">
        <w:rPr>
          <w:rFonts w:ascii="Times New Roman" w:hAnsi="Times New Roman"/>
          <w:i/>
          <w:sz w:val="20"/>
          <w:szCs w:val="20"/>
        </w:rPr>
        <w:t>Request for Approval</w:t>
      </w:r>
      <w:r w:rsidRPr="00391598" w:rsidR="00C33A0B">
        <w:rPr>
          <w:rFonts w:ascii="Times New Roman" w:hAnsi="Times New Roman"/>
          <w:i/>
          <w:sz w:val="20"/>
          <w:szCs w:val="20"/>
        </w:rPr>
        <w:t xml:space="preserve"> (43 CFR 3173.23)</w:t>
      </w:r>
    </w:p>
    <w:p w:rsidR="00D867A8" w:rsidRPr="00391598" w:rsidP="002A2849" w14:paraId="5F1C0255" w14:textId="77777777">
      <w:pPr>
        <w:pStyle w:val="ListParagraph"/>
        <w:ind w:left="0"/>
        <w:rPr>
          <w:rFonts w:ascii="Times New Roman" w:hAnsi="Times New Roman"/>
          <w:sz w:val="20"/>
          <w:szCs w:val="20"/>
        </w:rPr>
      </w:pPr>
    </w:p>
    <w:p w:rsidR="002A2849" w:rsidRPr="00391598" w:rsidP="002A2849" w14:paraId="509255F6" w14:textId="77777777">
      <w:pPr>
        <w:pStyle w:val="ListParagraph"/>
        <w:ind w:left="0"/>
        <w:rPr>
          <w:rFonts w:ascii="Times New Roman" w:hAnsi="Times New Roman"/>
          <w:sz w:val="20"/>
          <w:szCs w:val="20"/>
        </w:rPr>
      </w:pPr>
      <w:r w:rsidRPr="00391598">
        <w:rPr>
          <w:rFonts w:ascii="Times New Roman" w:hAnsi="Times New Roman"/>
          <w:sz w:val="20"/>
          <w:szCs w:val="20"/>
        </w:rPr>
        <w:t>Regulations at section 3173.23(a) through (j) require the following information in an application for approval of off-lease measurement:</w:t>
      </w:r>
    </w:p>
    <w:p w:rsidR="002A2849" w:rsidRPr="00391598" w:rsidP="002A2849" w14:paraId="18F8AB77" w14:textId="77777777">
      <w:pPr>
        <w:pStyle w:val="ListParagraph"/>
        <w:ind w:left="0"/>
        <w:rPr>
          <w:rFonts w:ascii="Times New Roman" w:hAnsi="Times New Roman"/>
          <w:sz w:val="20"/>
          <w:szCs w:val="20"/>
        </w:rPr>
      </w:pPr>
    </w:p>
    <w:p w:rsidR="002A2849" w:rsidRPr="00391598" w:rsidP="00613C1C" w14:paraId="16D6B9B1" w14:textId="77777777">
      <w:pPr>
        <w:pStyle w:val="ListParagraph"/>
        <w:numPr>
          <w:ilvl w:val="0"/>
          <w:numId w:val="8"/>
        </w:numPr>
        <w:rPr>
          <w:rFonts w:ascii="Times New Roman" w:hAnsi="Times New Roman"/>
          <w:sz w:val="20"/>
          <w:szCs w:val="20"/>
        </w:rPr>
      </w:pPr>
      <w:r w:rsidRPr="00391598">
        <w:rPr>
          <w:rFonts w:ascii="Times New Roman" w:hAnsi="Times New Roman"/>
          <w:sz w:val="20"/>
          <w:szCs w:val="20"/>
        </w:rPr>
        <w:t xml:space="preserve">A completed Sundry </w:t>
      </w:r>
      <w:r w:rsidRPr="00391598">
        <w:rPr>
          <w:rFonts w:ascii="Times New Roman" w:hAnsi="Times New Roman"/>
          <w:sz w:val="20"/>
          <w:szCs w:val="20"/>
        </w:rPr>
        <w:t>Notice;</w:t>
      </w:r>
    </w:p>
    <w:p w:rsidR="002A2849" w:rsidRPr="00391598" w:rsidP="00613C1C" w14:paraId="469E7D63"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 xml:space="preserve">Justification for off-lease </w:t>
      </w:r>
      <w:r w:rsidRPr="00391598">
        <w:rPr>
          <w:rFonts w:ascii="Times New Roman" w:hAnsi="Times New Roman"/>
          <w:sz w:val="20"/>
          <w:szCs w:val="20"/>
        </w:rPr>
        <w:t>measurement;</w:t>
      </w:r>
    </w:p>
    <w:p w:rsidR="002A2849" w:rsidRPr="00391598" w:rsidP="00613C1C" w14:paraId="493D20BF"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topographic map of appropriate scale showing the boundary of the lease(s), unit(s), or CA(s) from which the production originates, the location of existing or planned facilities, the relative location of all wellheads (including the API number for each well) and piping included in the off-lease measurement proposal, and existing FMPs or FMPs proposed to be installed to the extent known or anticipated;</w:t>
      </w:r>
    </w:p>
    <w:p w:rsidR="002A2849" w:rsidRPr="00391598" w:rsidP="00613C1C" w14:paraId="491E1ACD"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The surface ownership of all land on which equipment is, or is proposed to be, located; and</w:t>
      </w:r>
    </w:p>
    <w:p w:rsidR="002A2849" w:rsidRPr="00391598" w:rsidP="00613C1C" w14:paraId="22F6F507" w14:textId="77777777">
      <w:pPr>
        <w:pStyle w:val="ListParagraph"/>
        <w:widowControl/>
        <w:numPr>
          <w:ilvl w:val="0"/>
          <w:numId w:val="7"/>
        </w:numPr>
        <w:suppressAutoHyphens/>
        <w:autoSpaceDE/>
        <w:autoSpaceDN/>
        <w:adjustRightInd/>
        <w:contextualSpacing w:val="0"/>
        <w:rPr>
          <w:rFonts w:ascii="Times New Roman" w:hAnsi="Times New Roman"/>
          <w:sz w:val="20"/>
          <w:szCs w:val="20"/>
        </w:rPr>
      </w:pPr>
      <w:r w:rsidRPr="00391598">
        <w:rPr>
          <w:rFonts w:ascii="Times New Roman" w:hAnsi="Times New Roman"/>
          <w:sz w:val="20"/>
          <w:szCs w:val="20"/>
        </w:rPr>
        <w:t>A statement that indicates whether the proposal includes all, or only a portion of, the production from the lease, unit, or CA and if the proposal includes only a portion of the production, the application would be required to identify the FMP(s) where the remainder of the production from the lease, unit, or CA is measured or is proposed to be measured.</w:t>
      </w:r>
    </w:p>
    <w:p w:rsidR="00D867A8" w:rsidRPr="00391598" w:rsidP="002A2849" w14:paraId="7722DD1D" w14:textId="77777777">
      <w:pPr>
        <w:tabs>
          <w:tab w:val="left" w:pos="900"/>
        </w:tabs>
        <w:rPr>
          <w:rFonts w:ascii="Times New Roman" w:hAnsi="Times New Roman"/>
          <w:sz w:val="20"/>
          <w:szCs w:val="20"/>
        </w:rPr>
      </w:pPr>
    </w:p>
    <w:p w:rsidR="002A2849" w:rsidRPr="00391598" w:rsidP="002A2849" w14:paraId="0F899DFF" w14:textId="77777777">
      <w:pPr>
        <w:tabs>
          <w:tab w:val="left" w:pos="900"/>
        </w:tabs>
        <w:rPr>
          <w:rFonts w:ascii="Times New Roman" w:hAnsi="Times New Roman"/>
          <w:sz w:val="20"/>
          <w:szCs w:val="20"/>
        </w:rPr>
      </w:pPr>
      <w:r w:rsidRPr="00391598">
        <w:rPr>
          <w:rFonts w:ascii="Times New Roman" w:hAnsi="Times New Roman"/>
          <w:sz w:val="20"/>
          <w:szCs w:val="20"/>
        </w:rPr>
        <w:t>If any of the proposed off-lease measurement facilities are located on non-federally owned surface, the application must include a written concurrence signed by the owner(s) of the surface and the owner(s) of the measurement facilities, including each owner(s)’ name, address, and telephone number, granting the BLM unrestricted access to the off-lease measurement facility and the surface on which it is located, for the purpose of inspecting any production, measurement, water handling, or transportation equipment located on the non-Federal surface up to and including the FMP, and for otherwise verifying production accountability. If the ownership of the non-Federal surface or of the measurement facility changes, the operator must obtain and provide to the BLM the written concurrence required under this paragraph from the new owner(s) within 30 days of the change in ownership.</w:t>
      </w:r>
    </w:p>
    <w:p w:rsidR="002A2849" w:rsidRPr="00391598" w:rsidP="002A2849" w14:paraId="2D7EE7E0" w14:textId="77777777">
      <w:pPr>
        <w:tabs>
          <w:tab w:val="left" w:pos="900"/>
        </w:tabs>
        <w:rPr>
          <w:rFonts w:ascii="Times New Roman" w:hAnsi="Times New Roman"/>
          <w:bCs/>
          <w:sz w:val="20"/>
          <w:szCs w:val="20"/>
        </w:rPr>
      </w:pPr>
    </w:p>
    <w:p w:rsidR="00D62BB2" w:rsidRPr="00391598" w:rsidP="002A2849" w14:paraId="7892449A" w14:textId="77777777">
      <w:pPr>
        <w:tabs>
          <w:tab w:val="left" w:pos="900"/>
        </w:tabs>
        <w:rPr>
          <w:rFonts w:ascii="Times New Roman" w:hAnsi="Times New Roman"/>
          <w:sz w:val="20"/>
          <w:szCs w:val="20"/>
        </w:rPr>
      </w:pPr>
      <w:r w:rsidRPr="00391598">
        <w:rPr>
          <w:rFonts w:ascii="Times New Roman" w:hAnsi="Times New Roman"/>
          <w:sz w:val="20"/>
          <w:szCs w:val="20"/>
        </w:rPr>
        <w:t xml:space="preserve">A right-of-way application must be submitted along with </w:t>
      </w:r>
      <w:r w:rsidRPr="00391598" w:rsidR="00B55C45">
        <w:rPr>
          <w:rFonts w:ascii="Times New Roman" w:hAnsi="Times New Roman"/>
          <w:sz w:val="20"/>
          <w:szCs w:val="20"/>
        </w:rPr>
        <w:t xml:space="preserve">the information listed above if </w:t>
      </w:r>
      <w:r w:rsidRPr="00391598" w:rsidR="002A2849">
        <w:rPr>
          <w:rFonts w:ascii="Times New Roman" w:hAnsi="Times New Roman"/>
          <w:sz w:val="20"/>
          <w:szCs w:val="20"/>
        </w:rPr>
        <w:t>a proposed off-lease FMP w</w:t>
      </w:r>
      <w:r w:rsidRPr="00391598">
        <w:rPr>
          <w:rFonts w:ascii="Times New Roman" w:hAnsi="Times New Roman"/>
          <w:sz w:val="20"/>
          <w:szCs w:val="20"/>
        </w:rPr>
        <w:t>ith facilities on BLM land would:</w:t>
      </w:r>
    </w:p>
    <w:p w:rsidR="00D62BB2" w:rsidRPr="00391598" w:rsidP="002A2849" w14:paraId="1E5ECC0C" w14:textId="77777777">
      <w:pPr>
        <w:tabs>
          <w:tab w:val="left" w:pos="900"/>
        </w:tabs>
        <w:rPr>
          <w:rFonts w:ascii="Times New Roman" w:hAnsi="Times New Roman"/>
          <w:sz w:val="20"/>
          <w:szCs w:val="20"/>
        </w:rPr>
      </w:pPr>
    </w:p>
    <w:p w:rsidR="00D62BB2" w:rsidRPr="00391598" w:rsidP="00613C1C" w14:paraId="35C6A4D4" w14:textId="77777777">
      <w:pPr>
        <w:numPr>
          <w:ilvl w:val="0"/>
          <w:numId w:val="25"/>
        </w:numPr>
        <w:tabs>
          <w:tab w:val="left" w:pos="900"/>
        </w:tabs>
        <w:rPr>
          <w:rFonts w:ascii="Times New Roman" w:hAnsi="Times New Roman"/>
          <w:sz w:val="20"/>
          <w:szCs w:val="20"/>
        </w:rPr>
      </w:pPr>
      <w:r w:rsidRPr="00391598">
        <w:rPr>
          <w:rFonts w:ascii="Times New Roman" w:hAnsi="Times New Roman"/>
          <w:sz w:val="20"/>
          <w:szCs w:val="20"/>
        </w:rPr>
        <w:t>Would i</w:t>
      </w:r>
      <w:r w:rsidRPr="00391598" w:rsidR="002A2849">
        <w:rPr>
          <w:rFonts w:ascii="Times New Roman" w:hAnsi="Times New Roman"/>
          <w:sz w:val="20"/>
          <w:szCs w:val="20"/>
        </w:rPr>
        <w:t>nvolve new surface disturbance and consi</w:t>
      </w:r>
      <w:r w:rsidRPr="00391598">
        <w:rPr>
          <w:rFonts w:ascii="Times New Roman" w:hAnsi="Times New Roman"/>
          <w:sz w:val="20"/>
          <w:szCs w:val="20"/>
        </w:rPr>
        <w:t>sts of a meter or storage tank; or</w:t>
      </w:r>
    </w:p>
    <w:p w:rsidR="00D62BB2" w:rsidRPr="00391598" w:rsidP="00613C1C" w14:paraId="20AE22E6" w14:textId="77777777">
      <w:pPr>
        <w:numPr>
          <w:ilvl w:val="0"/>
          <w:numId w:val="25"/>
        </w:numPr>
        <w:tabs>
          <w:tab w:val="left" w:pos="900"/>
        </w:tabs>
        <w:rPr>
          <w:rFonts w:ascii="Times New Roman" w:hAnsi="Times New Roman"/>
          <w:sz w:val="20"/>
          <w:szCs w:val="20"/>
        </w:rPr>
      </w:pPr>
      <w:r w:rsidRPr="00391598">
        <w:rPr>
          <w:rFonts w:ascii="Times New Roman" w:hAnsi="Times New Roman"/>
          <w:sz w:val="20"/>
          <w:szCs w:val="20"/>
        </w:rPr>
        <w:t>I</w:t>
      </w:r>
      <w:r w:rsidRPr="00391598" w:rsidR="002A2849">
        <w:rPr>
          <w:rFonts w:ascii="Times New Roman" w:hAnsi="Times New Roman"/>
          <w:sz w:val="20"/>
          <w:szCs w:val="20"/>
        </w:rPr>
        <w:t>s on a pipeline</w:t>
      </w:r>
      <w:r w:rsidRPr="00391598">
        <w:rPr>
          <w:rFonts w:ascii="Times New Roman" w:hAnsi="Times New Roman"/>
          <w:sz w:val="20"/>
          <w:szCs w:val="20"/>
        </w:rPr>
        <w:t>.</w:t>
      </w:r>
    </w:p>
    <w:p w:rsidR="00D62BB2" w:rsidRPr="00391598" w:rsidP="00D62BB2" w14:paraId="537D88C7" w14:textId="77777777">
      <w:pPr>
        <w:tabs>
          <w:tab w:val="left" w:pos="900"/>
        </w:tabs>
        <w:rPr>
          <w:rFonts w:ascii="Times New Roman" w:hAnsi="Times New Roman"/>
          <w:sz w:val="20"/>
          <w:szCs w:val="20"/>
        </w:rPr>
      </w:pPr>
    </w:p>
    <w:p w:rsidR="002A2849" w:rsidRPr="00391598" w:rsidP="00D62BB2" w14:paraId="11F50F1D" w14:textId="77777777">
      <w:pPr>
        <w:tabs>
          <w:tab w:val="left" w:pos="900"/>
        </w:tabs>
        <w:rPr>
          <w:rFonts w:ascii="Times New Roman" w:hAnsi="Times New Roman"/>
          <w:sz w:val="20"/>
          <w:szCs w:val="20"/>
        </w:rPr>
      </w:pPr>
      <w:r w:rsidRPr="00391598">
        <w:rPr>
          <w:rFonts w:ascii="Times New Roman" w:hAnsi="Times New Roman"/>
          <w:sz w:val="20"/>
          <w:szCs w:val="20"/>
        </w:rPr>
        <w:t>Applications for rights-of-way (SF-299) are authorized under control number 0596-0082, which is administered by the U.S. Forest Service on behalf of several federal agencies, including the BLM. If new surface disturbance if proposed for an FMP that includes facilities on Federal land managed by an agency other than the BLM, written approval is required from that agency. A right-of-way grant application must also be submitted with the appropriate BIA office if any of the proposed facilities are on Indian lands outside of the producing area.</w:t>
      </w:r>
    </w:p>
    <w:p w:rsidR="002A2849" w:rsidRPr="00391598" w:rsidP="002A2849" w14:paraId="015196B1" w14:textId="77777777">
      <w:pPr>
        <w:tabs>
          <w:tab w:val="left" w:pos="900"/>
        </w:tabs>
        <w:rPr>
          <w:rFonts w:ascii="Times New Roman" w:hAnsi="Times New Roman"/>
          <w:bCs/>
          <w:sz w:val="20"/>
          <w:szCs w:val="20"/>
        </w:rPr>
      </w:pPr>
    </w:p>
    <w:p w:rsidR="002A2849" w:rsidRPr="00391598" w:rsidP="002A2849" w14:paraId="320EBEE5" w14:textId="77777777">
      <w:pPr>
        <w:tabs>
          <w:tab w:val="left" w:pos="900"/>
        </w:tabs>
        <w:rPr>
          <w:rFonts w:ascii="Times New Roman" w:hAnsi="Times New Roman"/>
          <w:sz w:val="20"/>
          <w:szCs w:val="20"/>
        </w:rPr>
      </w:pPr>
      <w:r w:rsidRPr="00391598">
        <w:rPr>
          <w:rFonts w:ascii="Times New Roman" w:hAnsi="Times New Roman"/>
          <w:sz w:val="20"/>
          <w:szCs w:val="20"/>
        </w:rPr>
        <w:t xml:space="preserve">If the operator proposes to use production from the lease, </w:t>
      </w:r>
      <w:r w:rsidRPr="00391598">
        <w:rPr>
          <w:rFonts w:ascii="Times New Roman" w:hAnsi="Times New Roman"/>
          <w:sz w:val="20"/>
          <w:szCs w:val="20"/>
        </w:rPr>
        <w:t>unit</w:t>
      </w:r>
      <w:r w:rsidRPr="00391598">
        <w:rPr>
          <w:rFonts w:ascii="Times New Roman" w:hAnsi="Times New Roman"/>
          <w:sz w:val="20"/>
          <w:szCs w:val="20"/>
        </w:rPr>
        <w:t xml:space="preserve"> or CA as fuel at the off-lease measurement facility without payment of royalty, the application must include an application for approval of off-lease royalty-free use under applicable rules.</w:t>
      </w:r>
    </w:p>
    <w:p w:rsidR="002A2849" w:rsidRPr="00391598" w:rsidP="002A2849" w14:paraId="7ABE32AD" w14:textId="77777777">
      <w:pPr>
        <w:tabs>
          <w:tab w:val="left" w:pos="900"/>
        </w:tabs>
        <w:rPr>
          <w:rFonts w:ascii="Times New Roman" w:hAnsi="Times New Roman"/>
          <w:bCs/>
          <w:sz w:val="20"/>
          <w:szCs w:val="20"/>
        </w:rPr>
      </w:pPr>
    </w:p>
    <w:p w:rsidR="002A2849" w:rsidRPr="00391598" w:rsidP="002A2849" w14:paraId="6DAB1A3B" w14:textId="77777777">
      <w:pPr>
        <w:tabs>
          <w:tab w:val="left" w:pos="900"/>
        </w:tabs>
        <w:rPr>
          <w:rFonts w:ascii="Times New Roman" w:hAnsi="Times New Roman"/>
          <w:sz w:val="20"/>
          <w:szCs w:val="20"/>
          <w:lang w:eastAsia="ar-SA"/>
        </w:rPr>
      </w:pPr>
      <w:r w:rsidRPr="00391598">
        <w:rPr>
          <w:rFonts w:ascii="Times New Roman" w:hAnsi="Times New Roman"/>
          <w:sz w:val="20"/>
          <w:szCs w:val="20"/>
        </w:rPr>
        <w:t>Section 3173.23(k) provides that to apply for an amendment of an existing approval of off-lease measurement, the operator must s</w:t>
      </w:r>
      <w:r w:rsidRPr="00391598" w:rsidR="00D62BB2">
        <w:rPr>
          <w:rFonts w:ascii="Times New Roman" w:hAnsi="Times New Roman"/>
          <w:sz w:val="20"/>
          <w:szCs w:val="20"/>
        </w:rPr>
        <w:t>ubmit a completed Sundry Notice</w:t>
      </w:r>
      <w:r w:rsidRPr="00391598">
        <w:rPr>
          <w:rFonts w:ascii="Times New Roman" w:hAnsi="Times New Roman"/>
          <w:sz w:val="20"/>
          <w:szCs w:val="20"/>
        </w:rPr>
        <w:t xml:space="preserve">, and information listed at paragraphs (b) through (j) of section 3173.23 to the extent the previously submitted information has changed.  </w:t>
      </w:r>
      <w:r w:rsidRPr="00391598">
        <w:rPr>
          <w:rFonts w:ascii="Times New Roman" w:hAnsi="Times New Roman"/>
          <w:sz w:val="20"/>
          <w:szCs w:val="20"/>
          <w:lang w:eastAsia="ar-SA"/>
        </w:rPr>
        <w:t xml:space="preserve">This </w:t>
      </w:r>
      <w:r w:rsidRPr="00391598" w:rsidR="00F3247D">
        <w:rPr>
          <w:rFonts w:ascii="Times New Roman" w:hAnsi="Times New Roman"/>
          <w:sz w:val="20"/>
          <w:szCs w:val="20"/>
          <w:lang w:eastAsia="ar-SA"/>
        </w:rPr>
        <w:t xml:space="preserve">IC </w:t>
      </w:r>
      <w:r w:rsidRPr="00391598">
        <w:rPr>
          <w:rFonts w:ascii="Times New Roman" w:hAnsi="Times New Roman"/>
          <w:sz w:val="20"/>
          <w:szCs w:val="20"/>
          <w:lang w:eastAsia="ar-SA"/>
        </w:rPr>
        <w:t>activity assists the BLM in reducing discrepancies between operator-allocated volumes, which operators report to ONRR, and the volumes that the BLM calculates during follow-up audits.</w:t>
      </w:r>
    </w:p>
    <w:p w:rsidR="002A2849" w:rsidRPr="00391598" w:rsidP="002A2849" w14:paraId="581A49EF" w14:textId="77777777">
      <w:pPr>
        <w:tabs>
          <w:tab w:val="left" w:pos="900"/>
        </w:tabs>
        <w:rPr>
          <w:rFonts w:ascii="Times New Roman" w:hAnsi="Times New Roman"/>
          <w:sz w:val="20"/>
          <w:szCs w:val="20"/>
          <w:lang w:eastAsia="ar-SA"/>
        </w:rPr>
      </w:pPr>
    </w:p>
    <w:p w:rsidR="00D867A8" w:rsidRPr="00391598" w:rsidP="002A2849" w14:paraId="0D1AAF74" w14:textId="69109011">
      <w:pPr>
        <w:pStyle w:val="ListParagraph"/>
        <w:ind w:left="0"/>
        <w:rPr>
          <w:rFonts w:ascii="Times New Roman" w:hAnsi="Times New Roman"/>
          <w:sz w:val="20"/>
          <w:szCs w:val="20"/>
        </w:rPr>
      </w:pPr>
      <w:r w:rsidRPr="00391598">
        <w:rPr>
          <w:rFonts w:ascii="Times New Roman" w:hAnsi="Times New Roman"/>
          <w:sz w:val="20"/>
          <w:szCs w:val="20"/>
        </w:rPr>
        <w:t xml:space="preserve">The BLM </w:t>
      </w:r>
      <w:r w:rsidRPr="00391598" w:rsidR="00FC49A6">
        <w:rPr>
          <w:rFonts w:ascii="Times New Roman" w:hAnsi="Times New Roman"/>
          <w:sz w:val="20"/>
          <w:szCs w:val="20"/>
        </w:rPr>
        <w:t xml:space="preserve">receives a sundry notice to approve or terminate </w:t>
      </w:r>
      <w:r w:rsidRPr="00391598" w:rsidR="00C9299F">
        <w:rPr>
          <w:rFonts w:ascii="Times New Roman" w:hAnsi="Times New Roman"/>
          <w:sz w:val="20"/>
          <w:szCs w:val="20"/>
        </w:rPr>
        <w:t>the ability of an operator to locate the FMP outside of the lease, unit PA, or CA boundaries</w:t>
      </w:r>
      <w:r w:rsidRPr="00391598" w:rsidR="00012123">
        <w:rPr>
          <w:rFonts w:ascii="Times New Roman" w:hAnsi="Times New Roman"/>
          <w:sz w:val="20"/>
          <w:szCs w:val="20"/>
        </w:rPr>
        <w:t>. The BLM uses th</w:t>
      </w:r>
      <w:r w:rsidRPr="00391598" w:rsidR="00300C78">
        <w:rPr>
          <w:rFonts w:ascii="Times New Roman" w:hAnsi="Times New Roman"/>
          <w:sz w:val="20"/>
          <w:szCs w:val="20"/>
        </w:rPr>
        <w:t>e location of the FMP</w:t>
      </w:r>
      <w:r w:rsidRPr="00391598" w:rsidR="004A2301">
        <w:rPr>
          <w:rFonts w:ascii="Times New Roman" w:hAnsi="Times New Roman"/>
          <w:sz w:val="20"/>
          <w:szCs w:val="20"/>
        </w:rPr>
        <w:t xml:space="preserve"> to conduct production inspection activities</w:t>
      </w:r>
      <w:r w:rsidRPr="00391598" w:rsidR="00631C88">
        <w:rPr>
          <w:rFonts w:ascii="Times New Roman" w:hAnsi="Times New Roman"/>
          <w:sz w:val="20"/>
          <w:szCs w:val="20"/>
        </w:rPr>
        <w:t xml:space="preserve"> in the field. </w:t>
      </w:r>
      <w:r w:rsidRPr="00391598" w:rsidR="00066D3E">
        <w:rPr>
          <w:rFonts w:ascii="Times New Roman" w:hAnsi="Times New Roman"/>
          <w:sz w:val="20"/>
          <w:szCs w:val="20"/>
        </w:rPr>
        <w:t xml:space="preserve">All the </w:t>
      </w:r>
      <w:r w:rsidRPr="00391598" w:rsidR="002C0AF2">
        <w:rPr>
          <w:rFonts w:ascii="Times New Roman" w:hAnsi="Times New Roman"/>
          <w:sz w:val="20"/>
          <w:szCs w:val="20"/>
        </w:rPr>
        <w:t>rules</w:t>
      </w:r>
      <w:r w:rsidR="004F50FB">
        <w:rPr>
          <w:rFonts w:ascii="Times New Roman" w:hAnsi="Times New Roman"/>
          <w:sz w:val="20"/>
          <w:szCs w:val="20"/>
        </w:rPr>
        <w:t>’</w:t>
      </w:r>
      <w:r w:rsidRPr="00391598" w:rsidR="002C0AF2">
        <w:rPr>
          <w:rFonts w:ascii="Times New Roman" w:hAnsi="Times New Roman"/>
          <w:sz w:val="20"/>
          <w:szCs w:val="20"/>
        </w:rPr>
        <w:t xml:space="preserve"> </w:t>
      </w:r>
      <w:r w:rsidRPr="00391598" w:rsidR="00066D3E">
        <w:rPr>
          <w:rFonts w:ascii="Times New Roman" w:hAnsi="Times New Roman"/>
          <w:sz w:val="20"/>
          <w:szCs w:val="20"/>
        </w:rPr>
        <w:t>measurement requirements a</w:t>
      </w:r>
      <w:r w:rsidRPr="00391598" w:rsidR="002C0AF2">
        <w:rPr>
          <w:rFonts w:ascii="Times New Roman" w:hAnsi="Times New Roman"/>
          <w:sz w:val="20"/>
          <w:szCs w:val="20"/>
        </w:rPr>
        <w:t>pply to</w:t>
      </w:r>
      <w:r w:rsidRPr="00391598" w:rsidR="00066D3E">
        <w:rPr>
          <w:rFonts w:ascii="Times New Roman" w:hAnsi="Times New Roman"/>
          <w:sz w:val="20"/>
          <w:szCs w:val="20"/>
        </w:rPr>
        <w:t xml:space="preserve"> FMPs</w:t>
      </w:r>
      <w:r w:rsidRPr="00391598" w:rsidR="007301FB">
        <w:rPr>
          <w:rFonts w:ascii="Times New Roman" w:hAnsi="Times New Roman"/>
          <w:sz w:val="20"/>
          <w:szCs w:val="20"/>
        </w:rPr>
        <w:t xml:space="preserve"> specifically. A BLM inspector needs to know if the FMP is located on- or off-lease to ensure that they are inspecting the correct meters. </w:t>
      </w:r>
    </w:p>
    <w:p w:rsidR="00D867A8" w:rsidRPr="00391598" w:rsidP="002A2849" w14:paraId="53C9B7E7" w14:textId="77777777">
      <w:pPr>
        <w:pStyle w:val="ListParagraph"/>
        <w:ind w:left="0"/>
        <w:rPr>
          <w:rFonts w:ascii="Times New Roman" w:hAnsi="Times New Roman"/>
          <w:sz w:val="20"/>
          <w:szCs w:val="20"/>
        </w:rPr>
      </w:pPr>
      <w:r w:rsidRPr="00391598">
        <w:rPr>
          <w:rFonts w:ascii="Times New Roman" w:hAnsi="Times New Roman"/>
          <w:i/>
          <w:sz w:val="20"/>
          <w:szCs w:val="20"/>
        </w:rPr>
        <w:t>Response to Notice</w:t>
      </w:r>
      <w:r w:rsidRPr="00391598" w:rsidR="00A2066C">
        <w:rPr>
          <w:rFonts w:ascii="Times New Roman" w:hAnsi="Times New Roman"/>
          <w:i/>
          <w:sz w:val="20"/>
          <w:szCs w:val="20"/>
        </w:rPr>
        <w:t xml:space="preserve"> (43 CFR 3173.25)</w:t>
      </w:r>
    </w:p>
    <w:p w:rsidR="00A2066C" w:rsidRPr="00391598" w:rsidP="002A2849" w14:paraId="7CA0ECAF" w14:textId="77777777">
      <w:pPr>
        <w:pStyle w:val="ListParagraph"/>
        <w:ind w:left="0"/>
        <w:rPr>
          <w:rFonts w:ascii="Times New Roman" w:hAnsi="Times New Roman"/>
          <w:sz w:val="20"/>
          <w:szCs w:val="20"/>
        </w:rPr>
      </w:pPr>
    </w:p>
    <w:p w:rsidR="00D867A8" w:rsidRPr="00391598" w:rsidP="00D62BB2" w14:paraId="44A4F8A0" w14:textId="77777777">
      <w:pPr>
        <w:tabs>
          <w:tab w:val="left" w:pos="900"/>
        </w:tabs>
        <w:rPr>
          <w:rFonts w:ascii="Times New Roman" w:hAnsi="Times New Roman"/>
          <w:sz w:val="20"/>
          <w:szCs w:val="20"/>
          <w:lang w:eastAsia="ar-SA"/>
        </w:rPr>
      </w:pPr>
      <w:r w:rsidRPr="00391598">
        <w:rPr>
          <w:rFonts w:ascii="Times New Roman" w:hAnsi="Times New Roman"/>
          <w:bCs/>
          <w:sz w:val="20"/>
          <w:szCs w:val="20"/>
        </w:rPr>
        <w:t>U</w:t>
      </w:r>
      <w:r w:rsidRPr="00391598">
        <w:rPr>
          <w:rFonts w:ascii="Times New Roman" w:hAnsi="Times New Roman"/>
          <w:sz w:val="20"/>
          <w:szCs w:val="20"/>
        </w:rPr>
        <w:t xml:space="preserve">pon receipt of an operator’s request for assignment of an FMP number for a facility associated with an off-lease measurement approval existing on the effective date of the final rule, the BLM will review the existing approval for consistency with the requirements at 43 CFR 3173.22.  Section 3173.25 provides that the BLM will notify the operator of any inconsistencies or deficiencies.  If the operator receives such a notice, the operator must correct the identified flaws, provide additional information, or request an extension of time from the BLM, within 20 business days after receiving the notice.  </w:t>
      </w:r>
      <w:r w:rsidRPr="00391598" w:rsidR="00F3247D">
        <w:rPr>
          <w:rFonts w:ascii="Times New Roman" w:hAnsi="Times New Roman"/>
          <w:sz w:val="20"/>
          <w:szCs w:val="20"/>
          <w:lang w:eastAsia="ar-SA"/>
        </w:rPr>
        <w:t>This IC</w:t>
      </w:r>
      <w:r w:rsidRPr="00391598">
        <w:rPr>
          <w:rFonts w:ascii="Times New Roman" w:hAnsi="Times New Roman"/>
          <w:sz w:val="20"/>
          <w:szCs w:val="20"/>
          <w:lang w:eastAsia="ar-SA"/>
        </w:rPr>
        <w:t xml:space="preserve"> activity assists the BLM in reducing discrepancies between operator-allocated volumes, which operators report to ONRR, and the volumes that the BLM calculates during follow-up audits.</w:t>
      </w:r>
    </w:p>
    <w:p w:rsidR="00576B21" w:rsidRPr="00391598" w:rsidP="00F2607D" w14:paraId="07E2E021" w14:textId="77777777">
      <w:pPr>
        <w:pStyle w:val="ListParagraph"/>
        <w:ind w:left="0"/>
        <w:rPr>
          <w:rFonts w:ascii="Times New Roman" w:hAnsi="Times New Roman"/>
          <w:sz w:val="20"/>
          <w:szCs w:val="20"/>
        </w:rPr>
      </w:pPr>
    </w:p>
    <w:p w:rsidR="00F77F14" w:rsidRPr="00391598" w:rsidP="00F2607D" w14:paraId="2A12C865" w14:textId="3B73BBA3">
      <w:pPr>
        <w:pStyle w:val="ListParagraph"/>
        <w:ind w:left="0"/>
        <w:rPr>
          <w:rFonts w:ascii="Times New Roman" w:hAnsi="Times New Roman"/>
          <w:sz w:val="20"/>
          <w:szCs w:val="20"/>
        </w:rPr>
      </w:pPr>
      <w:r w:rsidRPr="00391598">
        <w:rPr>
          <w:rFonts w:ascii="Times New Roman" w:hAnsi="Times New Roman"/>
          <w:sz w:val="20"/>
          <w:szCs w:val="20"/>
        </w:rPr>
        <w:t>Since the BLM has been unable to implement the requirement</w:t>
      </w:r>
      <w:r w:rsidRPr="00391598" w:rsidR="00EC2E7A">
        <w:rPr>
          <w:rFonts w:ascii="Times New Roman" w:hAnsi="Times New Roman"/>
          <w:sz w:val="20"/>
          <w:szCs w:val="20"/>
        </w:rPr>
        <w:t>s for</w:t>
      </w:r>
      <w:r w:rsidRPr="00391598">
        <w:rPr>
          <w:rFonts w:ascii="Times New Roman" w:hAnsi="Times New Roman"/>
          <w:sz w:val="20"/>
          <w:szCs w:val="20"/>
        </w:rPr>
        <w:t xml:space="preserve"> FMPs and FMP number assignments</w:t>
      </w:r>
      <w:r w:rsidRPr="00391598" w:rsidR="00BD20AC">
        <w:rPr>
          <w:rFonts w:ascii="Times New Roman" w:hAnsi="Times New Roman"/>
          <w:sz w:val="20"/>
          <w:szCs w:val="20"/>
        </w:rPr>
        <w:t xml:space="preserve">, </w:t>
      </w:r>
      <w:r w:rsidRPr="00391598" w:rsidR="00C347CA">
        <w:rPr>
          <w:rFonts w:ascii="Times New Roman" w:hAnsi="Times New Roman"/>
          <w:sz w:val="20"/>
          <w:szCs w:val="20"/>
        </w:rPr>
        <w:t xml:space="preserve">the </w:t>
      </w:r>
      <w:r w:rsidRPr="00391598" w:rsidR="00EC2E7A">
        <w:rPr>
          <w:rFonts w:ascii="Times New Roman" w:hAnsi="Times New Roman"/>
          <w:sz w:val="20"/>
          <w:szCs w:val="20"/>
        </w:rPr>
        <w:t>ability for the BLM to review a</w:t>
      </w:r>
      <w:r w:rsidRPr="00391598" w:rsidR="00303FCA">
        <w:rPr>
          <w:rFonts w:ascii="Times New Roman" w:hAnsi="Times New Roman"/>
          <w:sz w:val="20"/>
          <w:szCs w:val="20"/>
        </w:rPr>
        <w:t xml:space="preserve"> historic off-lease measurement approval </w:t>
      </w:r>
      <w:r w:rsidRPr="00391598" w:rsidR="00F53727">
        <w:rPr>
          <w:rFonts w:ascii="Times New Roman" w:hAnsi="Times New Roman"/>
          <w:sz w:val="20"/>
          <w:szCs w:val="20"/>
        </w:rPr>
        <w:t xml:space="preserve">during the FMP </w:t>
      </w:r>
      <w:r w:rsidRPr="00391598" w:rsidR="00C83C4C">
        <w:rPr>
          <w:rFonts w:ascii="Times New Roman" w:hAnsi="Times New Roman"/>
          <w:sz w:val="20"/>
          <w:szCs w:val="20"/>
        </w:rPr>
        <w:t xml:space="preserve">approval process has never been implemented. </w:t>
      </w:r>
      <w:r w:rsidRPr="00391598" w:rsidR="00B852AC">
        <w:rPr>
          <w:rFonts w:ascii="Times New Roman" w:hAnsi="Times New Roman"/>
          <w:sz w:val="20"/>
          <w:szCs w:val="20"/>
        </w:rPr>
        <w:t>As a result of this delay in implementation, the BLM is reducing the information collection activit</w:t>
      </w:r>
      <w:r w:rsidRPr="00391598" w:rsidR="009500ED">
        <w:rPr>
          <w:rFonts w:ascii="Times New Roman" w:hAnsi="Times New Roman"/>
          <w:sz w:val="20"/>
          <w:szCs w:val="20"/>
        </w:rPr>
        <w:t xml:space="preserve">y in Table 12-2 to </w:t>
      </w:r>
      <w:r w:rsidRPr="00391598" w:rsidR="006169A6">
        <w:rPr>
          <w:rFonts w:ascii="Times New Roman" w:hAnsi="Times New Roman"/>
          <w:sz w:val="20"/>
          <w:szCs w:val="20"/>
        </w:rPr>
        <w:t xml:space="preserve">one response as a placeholder for the activity when BLM </w:t>
      </w:r>
      <w:r w:rsidRPr="00391598" w:rsidR="00F11F87">
        <w:rPr>
          <w:rFonts w:ascii="Times New Roman" w:hAnsi="Times New Roman"/>
          <w:sz w:val="20"/>
          <w:szCs w:val="20"/>
        </w:rPr>
        <w:t>can</w:t>
      </w:r>
      <w:r w:rsidRPr="00391598" w:rsidR="006169A6">
        <w:rPr>
          <w:rFonts w:ascii="Times New Roman" w:hAnsi="Times New Roman"/>
          <w:sz w:val="20"/>
          <w:szCs w:val="20"/>
        </w:rPr>
        <w:t xml:space="preserve"> implement the </w:t>
      </w:r>
      <w:r w:rsidRPr="00391598" w:rsidR="00167124">
        <w:rPr>
          <w:rFonts w:ascii="Times New Roman" w:hAnsi="Times New Roman"/>
          <w:sz w:val="20"/>
          <w:szCs w:val="20"/>
        </w:rPr>
        <w:t xml:space="preserve">requirement. </w:t>
      </w:r>
    </w:p>
    <w:p w:rsidR="00D04912" w:rsidRPr="00391598" w:rsidP="00D04912" w14:paraId="6519D1E9" w14:textId="77777777">
      <w:pPr>
        <w:pStyle w:val="ListParagraph"/>
        <w:ind w:left="0"/>
        <w:rPr>
          <w:rFonts w:ascii="Times New Roman" w:hAnsi="Times New Roman"/>
          <w:sz w:val="20"/>
          <w:szCs w:val="20"/>
        </w:rPr>
      </w:pPr>
      <w:r w:rsidRPr="00391598">
        <w:rPr>
          <w:rFonts w:ascii="Times New Roman" w:hAnsi="Times New Roman"/>
          <w:i/>
          <w:sz w:val="20"/>
          <w:szCs w:val="20"/>
        </w:rPr>
        <w:t>Request for Termination (43 CFR 3173.27)</w:t>
      </w:r>
    </w:p>
    <w:p w:rsidR="00D04912" w:rsidRPr="00391598" w:rsidP="00D04912" w14:paraId="2A96D0F4" w14:textId="77777777">
      <w:pPr>
        <w:pStyle w:val="ListParagraph"/>
        <w:ind w:left="0"/>
        <w:rPr>
          <w:rFonts w:ascii="Times New Roman" w:hAnsi="Times New Roman"/>
          <w:sz w:val="20"/>
          <w:szCs w:val="20"/>
        </w:rPr>
      </w:pPr>
    </w:p>
    <w:p w:rsidR="00D04912" w:rsidRPr="00391598" w:rsidP="00D04912" w14:paraId="76DAFD66" w14:textId="77777777">
      <w:pPr>
        <w:pStyle w:val="ListParagraph"/>
        <w:ind w:left="0"/>
        <w:rPr>
          <w:rFonts w:ascii="Times New Roman" w:hAnsi="Times New Roman"/>
          <w:sz w:val="20"/>
          <w:szCs w:val="20"/>
        </w:rPr>
      </w:pPr>
      <w:r w:rsidRPr="00391598">
        <w:rPr>
          <w:rFonts w:ascii="Times New Roman" w:hAnsi="Times New Roman"/>
          <w:sz w:val="20"/>
          <w:szCs w:val="20"/>
        </w:rPr>
        <w:t>Section 3173.27 authorizes the BLM to terminate an off-lease measurement approval and allows the off-lease measurement approval to be terminated by the operator.  The operator must submit a Sundry Notice to the BLM requesting the termination in which the notice must identify the new FMP(s) for the lease(s), unit(s), or CA(s) previously subject to the off-lease measurement approval.</w:t>
      </w:r>
    </w:p>
    <w:p w:rsidR="00D04912" w:rsidRPr="00391598" w:rsidP="00F2607D" w14:paraId="0B70B728" w14:textId="77777777">
      <w:pPr>
        <w:pStyle w:val="ListParagraph"/>
        <w:ind w:left="0"/>
        <w:rPr>
          <w:rFonts w:ascii="Times New Roman" w:hAnsi="Times New Roman"/>
          <w:sz w:val="20"/>
          <w:szCs w:val="20"/>
        </w:rPr>
      </w:pPr>
    </w:p>
    <w:p w:rsidR="00F77F14" w:rsidRPr="00391598" w:rsidP="00F77F14" w14:paraId="02FC2A75" w14:textId="61F21F6C">
      <w:pPr>
        <w:rPr>
          <w:rFonts w:ascii="Times New Roman" w:hAnsi="Times New Roman"/>
          <w:sz w:val="20"/>
          <w:szCs w:val="20"/>
        </w:rPr>
      </w:pPr>
      <w:r w:rsidRPr="00391598">
        <w:rPr>
          <w:rFonts w:ascii="Times New Roman" w:hAnsi="Times New Roman"/>
          <w:sz w:val="20"/>
          <w:szCs w:val="20"/>
        </w:rPr>
        <w:t xml:space="preserve">The BLM needs to know where the </w:t>
      </w:r>
      <w:r w:rsidRPr="00391598" w:rsidR="008978AA">
        <w:rPr>
          <w:rFonts w:ascii="Times New Roman" w:hAnsi="Times New Roman"/>
          <w:sz w:val="20"/>
          <w:szCs w:val="20"/>
        </w:rPr>
        <w:t xml:space="preserve">FMP </w:t>
      </w:r>
      <w:r w:rsidRPr="00391598" w:rsidR="008978AA">
        <w:rPr>
          <w:rFonts w:ascii="Times New Roman" w:hAnsi="Times New Roman"/>
          <w:sz w:val="20"/>
          <w:szCs w:val="20"/>
        </w:rPr>
        <w:t>is located in</w:t>
      </w:r>
      <w:r w:rsidRPr="00391598" w:rsidR="008978AA">
        <w:rPr>
          <w:rFonts w:ascii="Times New Roman" w:hAnsi="Times New Roman"/>
          <w:sz w:val="20"/>
          <w:szCs w:val="20"/>
        </w:rPr>
        <w:t xml:space="preserve"> order to </w:t>
      </w:r>
      <w:r w:rsidRPr="00391598" w:rsidR="00686F44">
        <w:rPr>
          <w:rFonts w:ascii="Times New Roman" w:hAnsi="Times New Roman"/>
          <w:sz w:val="20"/>
          <w:szCs w:val="20"/>
        </w:rPr>
        <w:t xml:space="preserve">inspect and </w:t>
      </w:r>
      <w:r w:rsidRPr="00391598" w:rsidR="008978AA">
        <w:rPr>
          <w:rFonts w:ascii="Times New Roman" w:hAnsi="Times New Roman"/>
          <w:sz w:val="20"/>
          <w:szCs w:val="20"/>
        </w:rPr>
        <w:t>enforce the measurement rules. This information collection activity provides a record for BLM inspectors to understand if there had been an off-lease measurement ap</w:t>
      </w:r>
      <w:r w:rsidRPr="00391598" w:rsidR="00FB1F85">
        <w:rPr>
          <w:rFonts w:ascii="Times New Roman" w:hAnsi="Times New Roman"/>
          <w:sz w:val="20"/>
          <w:szCs w:val="20"/>
        </w:rPr>
        <w:t xml:space="preserve">proval in place that was terminated </w:t>
      </w:r>
      <w:r w:rsidRPr="00391598" w:rsidR="00686F44">
        <w:rPr>
          <w:rFonts w:ascii="Times New Roman" w:hAnsi="Times New Roman"/>
          <w:sz w:val="20"/>
          <w:szCs w:val="20"/>
        </w:rPr>
        <w:t>either by the BLM or the operator</w:t>
      </w:r>
      <w:r w:rsidRPr="00391598" w:rsidR="00FB1F85">
        <w:rPr>
          <w:rFonts w:ascii="Times New Roman" w:hAnsi="Times New Roman"/>
          <w:sz w:val="20"/>
          <w:szCs w:val="20"/>
        </w:rPr>
        <w:t xml:space="preserve">. </w:t>
      </w:r>
      <w:r w:rsidRPr="00391598" w:rsidR="00CD6C65">
        <w:rPr>
          <w:rFonts w:ascii="Times New Roman" w:hAnsi="Times New Roman"/>
          <w:sz w:val="20"/>
          <w:szCs w:val="20"/>
        </w:rPr>
        <w:t xml:space="preserve">In addition, the operator is </w:t>
      </w:r>
      <w:r w:rsidRPr="00391598" w:rsidR="00CD6C65">
        <w:rPr>
          <w:rFonts w:ascii="Times New Roman" w:hAnsi="Times New Roman"/>
          <w:sz w:val="20"/>
          <w:szCs w:val="20"/>
        </w:rPr>
        <w:t xml:space="preserve">responsible for establishing a new </w:t>
      </w:r>
      <w:r w:rsidRPr="00391598" w:rsidR="006126F9">
        <w:rPr>
          <w:rFonts w:ascii="Times New Roman" w:hAnsi="Times New Roman"/>
          <w:sz w:val="20"/>
          <w:szCs w:val="20"/>
        </w:rPr>
        <w:t xml:space="preserve">FMP that is subject to inspection and enforcement. This information collection activity allows the BLM to understand where the meter is located that is subject to inspection. </w:t>
      </w:r>
    </w:p>
    <w:p w:rsidR="00F77F14" w:rsidRPr="00391598" w:rsidP="00F2607D" w14:paraId="316A8598" w14:textId="77777777">
      <w:pPr>
        <w:pStyle w:val="ListParagraph"/>
        <w:ind w:left="0"/>
        <w:rPr>
          <w:rFonts w:ascii="Times New Roman" w:hAnsi="Times New Roman"/>
          <w:sz w:val="20"/>
          <w:szCs w:val="20"/>
        </w:rPr>
      </w:pPr>
    </w:p>
    <w:p w:rsidR="00B54E51" w:rsidRPr="00391598" w:rsidP="006B3D83" w14:paraId="25BD08D6" w14:textId="1D505B8C">
      <w:pPr>
        <w:rPr>
          <w:rFonts w:ascii="Times New Roman" w:hAnsi="Times New Roman"/>
          <w:b/>
          <w:i/>
          <w:sz w:val="20"/>
          <w:szCs w:val="20"/>
        </w:rPr>
      </w:pPr>
      <w:r w:rsidRPr="00391598">
        <w:rPr>
          <w:rFonts w:ascii="Times New Roman" w:hAnsi="Times New Roman"/>
          <w:b/>
          <w:i/>
          <w:sz w:val="20"/>
          <w:szCs w:val="20"/>
        </w:rPr>
        <w:t xml:space="preserve">Measurement </w:t>
      </w:r>
      <w:r w:rsidRPr="00391598" w:rsidR="00952F8F">
        <w:rPr>
          <w:rFonts w:ascii="Times New Roman" w:hAnsi="Times New Roman"/>
          <w:b/>
          <w:i/>
          <w:sz w:val="20"/>
          <w:szCs w:val="20"/>
        </w:rPr>
        <w:t>Tickets</w:t>
      </w:r>
      <w:r w:rsidRPr="00391598" w:rsidR="006B3D83">
        <w:rPr>
          <w:rFonts w:ascii="Times New Roman" w:hAnsi="Times New Roman"/>
          <w:b/>
          <w:i/>
          <w:sz w:val="20"/>
          <w:szCs w:val="20"/>
        </w:rPr>
        <w:t xml:space="preserve"> -- </w:t>
      </w:r>
      <w:r w:rsidRPr="00391598" w:rsidR="00952F8F">
        <w:rPr>
          <w:rFonts w:ascii="Times New Roman" w:hAnsi="Times New Roman"/>
          <w:b/>
          <w:i/>
          <w:sz w:val="20"/>
          <w:szCs w:val="20"/>
        </w:rPr>
        <w:t>43 CFR 3174.12</w:t>
      </w:r>
      <w:r w:rsidRPr="00391598" w:rsidR="006B3D83">
        <w:rPr>
          <w:rFonts w:ascii="Times New Roman" w:hAnsi="Times New Roman"/>
          <w:b/>
          <w:i/>
          <w:sz w:val="20"/>
          <w:szCs w:val="20"/>
        </w:rPr>
        <w:t xml:space="preserve"> (</w:t>
      </w:r>
      <w:r w:rsidRPr="00391598">
        <w:rPr>
          <w:rFonts w:ascii="Times New Roman" w:hAnsi="Times New Roman"/>
          <w:b/>
          <w:i/>
          <w:sz w:val="20"/>
          <w:szCs w:val="20"/>
        </w:rPr>
        <w:t>Monthl</w:t>
      </w:r>
      <w:r w:rsidRPr="00391598" w:rsidR="00DE56C7">
        <w:rPr>
          <w:rFonts w:ascii="Times New Roman" w:hAnsi="Times New Roman"/>
          <w:b/>
          <w:i/>
          <w:sz w:val="20"/>
          <w:szCs w:val="20"/>
        </w:rPr>
        <w:t>y</w:t>
      </w:r>
      <w:r w:rsidRPr="00391598" w:rsidR="006B3D83">
        <w:rPr>
          <w:rFonts w:ascii="Times New Roman" w:hAnsi="Times New Roman"/>
          <w:b/>
          <w:i/>
          <w:sz w:val="20"/>
          <w:szCs w:val="20"/>
        </w:rPr>
        <w:t>)</w:t>
      </w:r>
    </w:p>
    <w:p w:rsidR="00FC44FE" w:rsidRPr="00391598" w:rsidP="00D4417F" w14:paraId="6008D215" w14:textId="77777777">
      <w:pPr>
        <w:tabs>
          <w:tab w:val="left" w:pos="360"/>
          <w:tab w:val="left" w:pos="630"/>
        </w:tabs>
        <w:rPr>
          <w:rFonts w:ascii="Times New Roman" w:hAnsi="Times New Roman"/>
          <w:color w:val="333333"/>
          <w:sz w:val="20"/>
          <w:szCs w:val="20"/>
        </w:rPr>
      </w:pPr>
    </w:p>
    <w:p w:rsidR="00FC44FE" w:rsidRPr="00391598" w:rsidP="00FC44FE" w14:paraId="4D704F63" w14:textId="77777777">
      <w:pPr>
        <w:rPr>
          <w:rFonts w:ascii="Times New Roman" w:hAnsi="Times New Roman"/>
          <w:sz w:val="20"/>
          <w:szCs w:val="20"/>
        </w:rPr>
      </w:pPr>
      <w:r w:rsidRPr="00391598">
        <w:rPr>
          <w:rFonts w:ascii="Times New Roman" w:hAnsi="Times New Roman"/>
          <w:sz w:val="20"/>
          <w:szCs w:val="20"/>
        </w:rPr>
        <w:t>Section 3174.12 specifies the requirements for measurement tickets.  The information enables the BLM to verify the quantity and quality of oil removed from a lease during production audits.</w:t>
      </w:r>
    </w:p>
    <w:p w:rsidR="00FC44FE" w:rsidRPr="00391598" w:rsidP="00FC44FE" w14:paraId="68A2680C" w14:textId="77777777">
      <w:pPr>
        <w:rPr>
          <w:rFonts w:ascii="Times New Roman" w:hAnsi="Times New Roman"/>
          <w:sz w:val="20"/>
          <w:szCs w:val="20"/>
        </w:rPr>
      </w:pPr>
    </w:p>
    <w:p w:rsidR="00FC44FE" w:rsidRPr="00391598" w:rsidP="00FC44FE" w14:paraId="397E8175" w14:textId="77777777">
      <w:pPr>
        <w:rPr>
          <w:rFonts w:ascii="Times New Roman" w:hAnsi="Times New Roman"/>
          <w:sz w:val="20"/>
          <w:szCs w:val="20"/>
        </w:rPr>
      </w:pPr>
      <w:r w:rsidRPr="00391598">
        <w:rPr>
          <w:rFonts w:ascii="Times New Roman" w:hAnsi="Times New Roman"/>
          <w:sz w:val="20"/>
          <w:szCs w:val="20"/>
        </w:rPr>
        <w:t>The specific requirements, as described below, depend on the method by which an operator measures oil.</w:t>
      </w:r>
    </w:p>
    <w:p w:rsidR="00FC44FE" w:rsidRPr="00391598" w:rsidP="00FC44FE" w14:paraId="45392AF6" w14:textId="77777777">
      <w:pPr>
        <w:rPr>
          <w:rFonts w:ascii="Times New Roman" w:hAnsi="Times New Roman"/>
          <w:sz w:val="20"/>
          <w:szCs w:val="20"/>
        </w:rPr>
      </w:pPr>
    </w:p>
    <w:p w:rsidR="00FC44FE" w:rsidRPr="00391598" w:rsidP="00FC44FE" w14:paraId="3D3207D1" w14:textId="77777777">
      <w:pPr>
        <w:ind w:left="-14" w:right="41"/>
        <w:rPr>
          <w:rFonts w:ascii="Times New Roman" w:hAnsi="Times New Roman"/>
          <w:sz w:val="20"/>
          <w:szCs w:val="20"/>
        </w:rPr>
      </w:pPr>
      <w:r w:rsidRPr="00391598">
        <w:rPr>
          <w:rFonts w:ascii="Times New Roman" w:hAnsi="Times New Roman"/>
          <w:i/>
          <w:sz w:val="20"/>
          <w:szCs w:val="20"/>
        </w:rPr>
        <w:t>Measurement of oil by tank gauging</w:t>
      </w:r>
    </w:p>
    <w:p w:rsidR="00FC44FE" w:rsidRPr="00391598" w:rsidP="00FC44FE" w14:paraId="4362BEB5" w14:textId="77777777">
      <w:pPr>
        <w:ind w:left="-14" w:right="41"/>
        <w:rPr>
          <w:rFonts w:ascii="Times New Roman" w:hAnsi="Times New Roman"/>
          <w:sz w:val="20"/>
          <w:szCs w:val="20"/>
        </w:rPr>
      </w:pPr>
    </w:p>
    <w:p w:rsidR="00FC44FE" w:rsidRPr="00391598" w:rsidP="00FC44FE" w14:paraId="3E3B012B" w14:textId="77777777">
      <w:pPr>
        <w:ind w:left="-14" w:right="41"/>
        <w:rPr>
          <w:rFonts w:ascii="Times New Roman" w:hAnsi="Times New Roman"/>
          <w:sz w:val="20"/>
          <w:szCs w:val="20"/>
        </w:rPr>
      </w:pPr>
      <w:r w:rsidRPr="00391598">
        <w:rPr>
          <w:rFonts w:ascii="Times New Roman" w:hAnsi="Times New Roman"/>
          <w:sz w:val="20"/>
          <w:szCs w:val="20"/>
        </w:rPr>
        <w:t>After measuring oil by tank gauging, the operator, purchaser, or transporter, as appropriate, must complete a uniquely numbered measurement ticket, in either paper or electronic format, with the following information:</w:t>
      </w:r>
    </w:p>
    <w:p w:rsidR="00FC44FE" w:rsidRPr="00391598" w:rsidP="00FC44FE" w14:paraId="78A8992C" w14:textId="77777777">
      <w:pPr>
        <w:ind w:left="-14" w:right="41"/>
        <w:rPr>
          <w:rFonts w:ascii="Times New Roman" w:hAnsi="Times New Roman"/>
          <w:sz w:val="20"/>
          <w:szCs w:val="20"/>
        </w:rPr>
      </w:pPr>
      <w:r w:rsidRPr="00391598">
        <w:rPr>
          <w:rFonts w:ascii="Times New Roman" w:hAnsi="Times New Roman"/>
          <w:sz w:val="20"/>
          <w:szCs w:val="20"/>
        </w:rPr>
        <w:t xml:space="preserve"> </w:t>
      </w:r>
    </w:p>
    <w:p w:rsidR="00FC44FE" w:rsidRPr="00391598" w:rsidP="00613C1C" w14:paraId="770922EB"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Lease, unit PA, or CA </w:t>
      </w:r>
      <w:r w:rsidRPr="00391598">
        <w:rPr>
          <w:rFonts w:ascii="Times New Roman" w:hAnsi="Times New Roman"/>
          <w:sz w:val="20"/>
          <w:szCs w:val="20"/>
        </w:rPr>
        <w:t>number;</w:t>
      </w:r>
      <w:r w:rsidRPr="00391598">
        <w:rPr>
          <w:rFonts w:ascii="Times New Roman" w:hAnsi="Times New Roman"/>
          <w:sz w:val="20"/>
          <w:szCs w:val="20"/>
        </w:rPr>
        <w:t xml:space="preserve"> </w:t>
      </w:r>
    </w:p>
    <w:p w:rsidR="00FC44FE" w:rsidRPr="00391598" w:rsidP="00613C1C" w14:paraId="348D8DFA"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Unique tank number and nominal tank </w:t>
      </w:r>
      <w:r w:rsidRPr="00391598">
        <w:rPr>
          <w:rFonts w:ascii="Times New Roman" w:hAnsi="Times New Roman"/>
          <w:sz w:val="20"/>
          <w:szCs w:val="20"/>
        </w:rPr>
        <w:t>capacity;</w:t>
      </w:r>
    </w:p>
    <w:p w:rsidR="00FC44FE" w:rsidRPr="00391598" w:rsidP="00613C1C" w14:paraId="358C8C5C"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Opening and closing dates and </w:t>
      </w:r>
      <w:r w:rsidRPr="00391598">
        <w:rPr>
          <w:rFonts w:ascii="Times New Roman" w:hAnsi="Times New Roman"/>
          <w:sz w:val="20"/>
          <w:szCs w:val="20"/>
        </w:rPr>
        <w:t>times;</w:t>
      </w:r>
    </w:p>
    <w:p w:rsidR="00FC44FE" w:rsidRPr="00391598" w:rsidP="00613C1C" w14:paraId="6BF16569"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Opening and closing gauges and observed temperatures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26CC4BA2"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Observed volume for opening and closing gauge, using tank specific calibration charts (</w:t>
      </w:r>
      <w:r w:rsidRPr="00391598">
        <w:rPr>
          <w:rFonts w:ascii="Times New Roman" w:hAnsi="Times New Roman"/>
          <w:sz w:val="20"/>
          <w:szCs w:val="20"/>
        </w:rPr>
        <w:t>see  43</w:t>
      </w:r>
      <w:r w:rsidRPr="00391598">
        <w:rPr>
          <w:rFonts w:ascii="Times New Roman" w:hAnsi="Times New Roman"/>
          <w:sz w:val="20"/>
          <w:szCs w:val="20"/>
        </w:rPr>
        <w:t xml:space="preserve"> CFR 3174.5(c)); </w:t>
      </w:r>
    </w:p>
    <w:p w:rsidR="00FC44FE" w:rsidRPr="00391598" w:rsidP="00613C1C" w14:paraId="067E3B47"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Total gross standard volume removed from the tank following API 11.1 (incorporated by reference, see 43 CFR 3174.3</w:t>
      </w:r>
      <w:r w:rsidRPr="00391598">
        <w:rPr>
          <w:rFonts w:ascii="Times New Roman" w:hAnsi="Times New Roman"/>
          <w:sz w:val="20"/>
          <w:szCs w:val="20"/>
        </w:rPr>
        <w:t>);</w:t>
      </w:r>
    </w:p>
    <w:p w:rsidR="00FC44FE" w:rsidRPr="00391598" w:rsidP="00613C1C" w14:paraId="33B4D9D3"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Observed API oil gravity and temperature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3C1554FC"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API oil gravity at 60 </w:t>
      </w:r>
      <w:r w:rsidRPr="00391598">
        <w:rPr>
          <w:rFonts w:ascii="Times New Roman" w:eastAsia="Segoe UI Symbol" w:hAnsi="Times New Roman"/>
          <w:sz w:val="20"/>
          <w:szCs w:val="20"/>
        </w:rPr>
        <w:t>°</w:t>
      </w:r>
      <w:r w:rsidRPr="00391598">
        <w:rPr>
          <w:rFonts w:ascii="Times New Roman" w:hAnsi="Times New Roman"/>
          <w:sz w:val="20"/>
          <w:szCs w:val="20"/>
        </w:rPr>
        <w:t>F, following API 11.1 (incorporated by reference, see 43 CFR 3174.3</w:t>
      </w:r>
      <w:r w:rsidRPr="00391598">
        <w:rPr>
          <w:rFonts w:ascii="Times New Roman" w:hAnsi="Times New Roman"/>
          <w:sz w:val="20"/>
          <w:szCs w:val="20"/>
        </w:rPr>
        <w:t>);</w:t>
      </w:r>
    </w:p>
    <w:p w:rsidR="00FC44FE" w:rsidRPr="00391598" w:rsidP="00613C1C" w14:paraId="196A1F84"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Sediment and water (S&amp;W) content </w:t>
      </w:r>
      <w:r w:rsidRPr="00391598">
        <w:rPr>
          <w:rFonts w:ascii="Times New Roman" w:hAnsi="Times New Roman"/>
          <w:sz w:val="20"/>
          <w:szCs w:val="20"/>
        </w:rPr>
        <w:t>percent;</w:t>
      </w:r>
    </w:p>
    <w:p w:rsidR="00FC44FE" w:rsidRPr="00391598" w:rsidP="00613C1C" w14:paraId="1747C7DF"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Unique number of each seal removed and </w:t>
      </w:r>
      <w:r w:rsidRPr="00391598">
        <w:rPr>
          <w:rFonts w:ascii="Times New Roman" w:hAnsi="Times New Roman"/>
          <w:sz w:val="20"/>
          <w:szCs w:val="20"/>
        </w:rPr>
        <w:t>installed;</w:t>
      </w:r>
    </w:p>
    <w:p w:rsidR="00FC44FE" w:rsidRPr="00391598" w:rsidP="00613C1C" w14:paraId="37CB8357"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Name of the individual performing the tank gauging; and</w:t>
      </w:r>
    </w:p>
    <w:p w:rsidR="00FC44FE" w:rsidRPr="00391598" w:rsidP="00613C1C" w14:paraId="157A6578" w14:textId="77777777">
      <w:pPr>
        <w:widowControl/>
        <w:numPr>
          <w:ilvl w:val="0"/>
          <w:numId w:val="26"/>
        </w:numPr>
        <w:autoSpaceDE/>
        <w:autoSpaceDN/>
        <w:adjustRightInd/>
        <w:spacing w:line="235" w:lineRule="auto"/>
        <w:rPr>
          <w:rFonts w:ascii="Times New Roman" w:hAnsi="Times New Roman"/>
          <w:sz w:val="20"/>
          <w:szCs w:val="20"/>
        </w:rPr>
      </w:pPr>
      <w:r w:rsidRPr="00391598">
        <w:rPr>
          <w:rFonts w:ascii="Times New Roman" w:hAnsi="Times New Roman"/>
          <w:sz w:val="20"/>
          <w:szCs w:val="20"/>
        </w:rPr>
        <w:t xml:space="preserve">Name of the operator. </w:t>
      </w:r>
    </w:p>
    <w:p w:rsidR="00FC44FE" w:rsidRPr="00391598" w:rsidP="00FC44FE" w14:paraId="13935D4D" w14:textId="77777777">
      <w:pPr>
        <w:ind w:left="720" w:hanging="720"/>
        <w:rPr>
          <w:rFonts w:ascii="Times New Roman" w:hAnsi="Times New Roman"/>
          <w:sz w:val="20"/>
          <w:szCs w:val="20"/>
        </w:rPr>
      </w:pPr>
    </w:p>
    <w:p w:rsidR="00FC44FE" w:rsidRPr="00391598" w:rsidP="00FC44FE" w14:paraId="176F0900" w14:textId="77777777">
      <w:pPr>
        <w:rPr>
          <w:rFonts w:ascii="Times New Roman" w:hAnsi="Times New Roman"/>
          <w:i/>
          <w:sz w:val="20"/>
          <w:szCs w:val="20"/>
        </w:rPr>
      </w:pPr>
      <w:r w:rsidRPr="00391598">
        <w:rPr>
          <w:rFonts w:ascii="Times New Roman" w:hAnsi="Times New Roman"/>
          <w:i/>
          <w:sz w:val="20"/>
          <w:szCs w:val="20"/>
        </w:rPr>
        <w:t>Measurement of oil by a Coriolis measurement system (CMS) or a lease automated custody transfer (LACT) system</w:t>
      </w:r>
    </w:p>
    <w:p w:rsidR="00FC44FE" w:rsidRPr="00391598" w:rsidP="00FC44FE" w14:paraId="19B8F70E" w14:textId="77777777">
      <w:pPr>
        <w:rPr>
          <w:rFonts w:ascii="Times New Roman" w:hAnsi="Times New Roman"/>
          <w:sz w:val="20"/>
          <w:szCs w:val="20"/>
        </w:rPr>
      </w:pPr>
    </w:p>
    <w:p w:rsidR="00FC44FE" w:rsidRPr="00391598" w:rsidP="00FC44FE" w14:paraId="67EA9472" w14:textId="77777777">
      <w:pPr>
        <w:rPr>
          <w:rFonts w:ascii="Times New Roman" w:hAnsi="Times New Roman"/>
          <w:sz w:val="20"/>
          <w:szCs w:val="20"/>
        </w:rPr>
      </w:pPr>
      <w:r w:rsidRPr="00391598">
        <w:rPr>
          <w:rFonts w:ascii="Times New Roman" w:hAnsi="Times New Roman"/>
          <w:sz w:val="20"/>
          <w:szCs w:val="20"/>
        </w:rPr>
        <w:t>At the beginning of every month, before conducting proving operations on a LACT system or CMS, the operator, purchaser, or transporter, as appropriate, must complete a uniquely numbered measurement ticket, unless the operator is using a flow computer.</w:t>
      </w:r>
    </w:p>
    <w:p w:rsidR="00FC44FE" w:rsidRPr="00391598" w:rsidP="00FC44FE" w14:paraId="2D4DDABE" w14:textId="77777777">
      <w:pPr>
        <w:ind w:left="-14" w:right="41"/>
        <w:rPr>
          <w:rFonts w:ascii="Times New Roman" w:hAnsi="Times New Roman"/>
          <w:sz w:val="20"/>
          <w:szCs w:val="20"/>
        </w:rPr>
      </w:pPr>
    </w:p>
    <w:p w:rsidR="00FC44FE" w:rsidRPr="00391598" w:rsidP="00FC44FE" w14:paraId="1ECD7222" w14:textId="77777777">
      <w:pPr>
        <w:ind w:left="-14" w:right="41"/>
        <w:rPr>
          <w:rFonts w:ascii="Times New Roman" w:hAnsi="Times New Roman"/>
          <w:sz w:val="20"/>
          <w:szCs w:val="20"/>
        </w:rPr>
      </w:pPr>
      <w:r w:rsidRPr="00391598">
        <w:rPr>
          <w:rFonts w:ascii="Times New Roman" w:hAnsi="Times New Roman"/>
          <w:sz w:val="20"/>
          <w:szCs w:val="20"/>
        </w:rPr>
        <w:t xml:space="preserve">A run ticket pertaining to a LACT system or CMS may be submitted in either paper or electronic format, and must contain the following information: </w:t>
      </w:r>
    </w:p>
    <w:p w:rsidR="00FC44FE" w:rsidRPr="00391598" w:rsidP="00FC44FE" w14:paraId="4AA0444A" w14:textId="77777777">
      <w:pPr>
        <w:widowControl/>
        <w:autoSpaceDE/>
        <w:autoSpaceDN/>
        <w:adjustRightInd/>
        <w:spacing w:after="5" w:line="235" w:lineRule="auto"/>
        <w:ind w:right="41"/>
        <w:rPr>
          <w:rFonts w:ascii="Times New Roman" w:hAnsi="Times New Roman"/>
          <w:sz w:val="20"/>
          <w:szCs w:val="20"/>
        </w:rPr>
      </w:pPr>
    </w:p>
    <w:p w:rsidR="00FC44FE" w:rsidRPr="00391598" w:rsidP="00613C1C" w14:paraId="01689EBB"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Lease, unit PA, or CA </w:t>
      </w:r>
      <w:r w:rsidRPr="00391598">
        <w:rPr>
          <w:rFonts w:ascii="Times New Roman" w:hAnsi="Times New Roman"/>
          <w:sz w:val="20"/>
          <w:szCs w:val="20"/>
        </w:rPr>
        <w:t>number;</w:t>
      </w:r>
    </w:p>
    <w:p w:rsidR="00FC44FE" w:rsidRPr="00391598" w:rsidP="00613C1C" w14:paraId="259E293A"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Unique meter ID </w:t>
      </w:r>
      <w:r w:rsidRPr="00391598">
        <w:rPr>
          <w:rFonts w:ascii="Times New Roman" w:hAnsi="Times New Roman"/>
          <w:sz w:val="20"/>
          <w:szCs w:val="20"/>
        </w:rPr>
        <w:t>number;</w:t>
      </w:r>
    </w:p>
    <w:p w:rsidR="00FC44FE" w:rsidRPr="00391598" w:rsidP="00613C1C" w14:paraId="3FA05FE0"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Opening and closing </w:t>
      </w:r>
      <w:r w:rsidRPr="00391598">
        <w:rPr>
          <w:rFonts w:ascii="Times New Roman" w:hAnsi="Times New Roman"/>
          <w:sz w:val="20"/>
          <w:szCs w:val="20"/>
        </w:rPr>
        <w:t>dates;</w:t>
      </w:r>
    </w:p>
    <w:p w:rsidR="00FC44FE" w:rsidRPr="00391598" w:rsidP="00613C1C" w14:paraId="068AF67F"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Opening and closing totalizer readings of the indicated </w:t>
      </w:r>
      <w:r w:rsidRPr="00391598">
        <w:rPr>
          <w:rFonts w:ascii="Times New Roman" w:hAnsi="Times New Roman"/>
          <w:sz w:val="20"/>
          <w:szCs w:val="20"/>
        </w:rPr>
        <w:t>volume;</w:t>
      </w:r>
    </w:p>
    <w:p w:rsidR="00FC44FE" w:rsidRPr="00391598" w:rsidP="00613C1C" w14:paraId="1C1F2754"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Meter factor, indicating if it is a composite meter factor; Total gross standard volume removed through the LACT system or </w:t>
      </w:r>
      <w:r w:rsidRPr="00391598">
        <w:rPr>
          <w:rFonts w:ascii="Times New Roman" w:hAnsi="Times New Roman"/>
          <w:sz w:val="20"/>
          <w:szCs w:val="20"/>
        </w:rPr>
        <w:t>CMS;</w:t>
      </w:r>
    </w:p>
    <w:p w:rsidR="00FC44FE" w:rsidRPr="00391598" w:rsidP="00613C1C" w14:paraId="7234760A"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API oil gravity. For API oil gravity determined from a composite sample, the observed API oil gravity and temperature must be indicated in </w:t>
      </w:r>
      <w:r w:rsidRPr="00391598">
        <w:rPr>
          <w:rFonts w:ascii="Times New Roman" w:eastAsia="Segoe UI Symbol" w:hAnsi="Times New Roman"/>
          <w:sz w:val="20"/>
          <w:szCs w:val="20"/>
        </w:rPr>
        <w:t>°</w:t>
      </w:r>
      <w:r w:rsidRPr="00391598">
        <w:rPr>
          <w:rFonts w:ascii="Times New Roman" w:hAnsi="Times New Roman"/>
          <w:sz w:val="20"/>
          <w:szCs w:val="20"/>
        </w:rPr>
        <w:t xml:space="preserve">F and the API oil gravity must be indicated at 60 </w:t>
      </w:r>
      <w:r w:rsidRPr="00391598">
        <w:rPr>
          <w:rFonts w:ascii="Times New Roman" w:eastAsia="Segoe UI Symbol" w:hAnsi="Times New Roman"/>
          <w:sz w:val="20"/>
          <w:szCs w:val="20"/>
        </w:rPr>
        <w:t>°</w:t>
      </w:r>
      <w:r w:rsidRPr="00391598">
        <w:rPr>
          <w:rFonts w:ascii="Times New Roman" w:hAnsi="Times New Roman"/>
          <w:sz w:val="20"/>
          <w:szCs w:val="20"/>
        </w:rPr>
        <w:t xml:space="preserve">F. For API oil gravity determined from average density (CMS only), the average uncorrected density must be determined by the </w:t>
      </w:r>
      <w:r w:rsidRPr="00391598">
        <w:rPr>
          <w:rFonts w:ascii="Times New Roman" w:hAnsi="Times New Roman"/>
          <w:sz w:val="20"/>
          <w:szCs w:val="20"/>
        </w:rPr>
        <w:t>CMS;</w:t>
      </w:r>
    </w:p>
    <w:p w:rsidR="00FC44FE" w:rsidRPr="00391598" w:rsidP="00613C1C" w14:paraId="61A14422"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The average temperature in </w:t>
      </w:r>
      <w:r w:rsidRPr="00391598">
        <w:rPr>
          <w:rFonts w:ascii="Times New Roman" w:eastAsia="Segoe UI Symbol" w:hAnsi="Times New Roman"/>
          <w:sz w:val="20"/>
          <w:szCs w:val="20"/>
        </w:rPr>
        <w:t>°</w:t>
      </w:r>
      <w:r w:rsidRPr="00391598">
        <w:rPr>
          <w:rFonts w:ascii="Times New Roman" w:hAnsi="Times New Roman"/>
          <w:sz w:val="20"/>
          <w:szCs w:val="20"/>
        </w:rPr>
        <w:t>F;</w:t>
      </w:r>
    </w:p>
    <w:p w:rsidR="00FC44FE" w:rsidRPr="00391598" w:rsidP="00613C1C" w14:paraId="02BFB8C7"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The average flowing pressure in </w:t>
      </w:r>
      <w:r w:rsidRPr="00391598">
        <w:rPr>
          <w:rFonts w:ascii="Times New Roman" w:hAnsi="Times New Roman"/>
          <w:sz w:val="20"/>
          <w:szCs w:val="20"/>
        </w:rPr>
        <w:t>psig</w:t>
      </w:r>
      <w:r w:rsidRPr="00391598">
        <w:rPr>
          <w:rFonts w:ascii="Times New Roman" w:hAnsi="Times New Roman"/>
          <w:sz w:val="20"/>
          <w:szCs w:val="20"/>
        </w:rPr>
        <w:t>;</w:t>
      </w:r>
    </w:p>
    <w:p w:rsidR="00FC44FE" w:rsidRPr="00391598" w:rsidP="00613C1C" w14:paraId="10205767"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S&amp;W content </w:t>
      </w:r>
      <w:r w:rsidRPr="00391598">
        <w:rPr>
          <w:rFonts w:ascii="Times New Roman" w:hAnsi="Times New Roman"/>
          <w:sz w:val="20"/>
          <w:szCs w:val="20"/>
        </w:rPr>
        <w:t>percent;</w:t>
      </w:r>
    </w:p>
    <w:p w:rsidR="00FC44FE" w:rsidRPr="00391598" w:rsidP="00613C1C" w14:paraId="43C5CB3C"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 xml:space="preserve">Unique number of each seal removed and </w:t>
      </w:r>
      <w:r w:rsidRPr="00391598">
        <w:rPr>
          <w:rFonts w:ascii="Times New Roman" w:hAnsi="Times New Roman"/>
          <w:sz w:val="20"/>
          <w:szCs w:val="20"/>
        </w:rPr>
        <w:t>installed;</w:t>
      </w:r>
    </w:p>
    <w:p w:rsidR="00331D66" w:rsidRPr="00391598" w:rsidP="00613C1C" w14:paraId="16128BD9"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Name of the purchaser’s representative; and</w:t>
      </w:r>
    </w:p>
    <w:p w:rsidR="006C5201" w:rsidRPr="00391598" w:rsidP="00613C1C" w14:paraId="608BCF82" w14:textId="77777777">
      <w:pPr>
        <w:widowControl/>
        <w:numPr>
          <w:ilvl w:val="0"/>
          <w:numId w:val="27"/>
        </w:numPr>
        <w:autoSpaceDE/>
        <w:autoSpaceDN/>
        <w:adjustRightInd/>
        <w:rPr>
          <w:rFonts w:ascii="Times New Roman" w:hAnsi="Times New Roman"/>
          <w:sz w:val="20"/>
          <w:szCs w:val="20"/>
        </w:rPr>
      </w:pPr>
      <w:r w:rsidRPr="00391598">
        <w:rPr>
          <w:rFonts w:ascii="Times New Roman" w:hAnsi="Times New Roman"/>
          <w:sz w:val="20"/>
          <w:szCs w:val="20"/>
        </w:rPr>
        <w:t>Name of the operator.</w:t>
      </w:r>
    </w:p>
    <w:p w:rsidR="00F77F14" w:rsidRPr="00391598" w:rsidP="00F77F14" w14:paraId="7FD4B7EF" w14:textId="77777777">
      <w:pPr>
        <w:ind w:left="360"/>
        <w:rPr>
          <w:rFonts w:ascii="Times New Roman" w:hAnsi="Times New Roman"/>
          <w:sz w:val="20"/>
          <w:szCs w:val="20"/>
          <w:highlight w:val="yellow"/>
        </w:rPr>
      </w:pPr>
    </w:p>
    <w:p w:rsidR="00C36FAB" w:rsidP="00884A6D" w14:paraId="6EA49999" w14:textId="6B7F507D">
      <w:pPr>
        <w:pStyle w:val="NormalWeb"/>
        <w:tabs>
          <w:tab w:val="left" w:pos="360"/>
          <w:tab w:val="left" w:pos="630"/>
        </w:tabs>
        <w:spacing w:before="0" w:beforeAutospacing="0" w:after="0" w:afterAutospacing="0"/>
        <w:rPr>
          <w:sz w:val="20"/>
          <w:szCs w:val="20"/>
        </w:rPr>
      </w:pPr>
      <w:r w:rsidRPr="00391598">
        <w:rPr>
          <w:sz w:val="20"/>
          <w:szCs w:val="20"/>
        </w:rPr>
        <w:t xml:space="preserve">Measurement tickets or run tickets are required </w:t>
      </w:r>
      <w:r w:rsidRPr="00391598" w:rsidR="00A20D33">
        <w:rPr>
          <w:sz w:val="20"/>
          <w:szCs w:val="20"/>
        </w:rPr>
        <w:t xml:space="preserve">accounting of oil sold from Federal or Indian leases, unit PAs, or CAs. </w:t>
      </w:r>
      <w:r w:rsidRPr="00391598" w:rsidR="00F42F42">
        <w:rPr>
          <w:sz w:val="20"/>
          <w:szCs w:val="20"/>
        </w:rPr>
        <w:t xml:space="preserve">These tickers serve as source records (See 43 </w:t>
      </w:r>
      <w:r w:rsidRPr="00391598" w:rsidR="001E1B8C">
        <w:rPr>
          <w:sz w:val="20"/>
          <w:szCs w:val="20"/>
        </w:rPr>
        <w:t>C</w:t>
      </w:r>
      <w:r w:rsidRPr="00391598" w:rsidR="00F42F42">
        <w:rPr>
          <w:sz w:val="20"/>
          <w:szCs w:val="20"/>
        </w:rPr>
        <w:t>FR 3170.</w:t>
      </w:r>
      <w:r w:rsidRPr="00391598" w:rsidR="001E1B8C">
        <w:rPr>
          <w:sz w:val="20"/>
          <w:szCs w:val="20"/>
        </w:rPr>
        <w:t>3)</w:t>
      </w:r>
      <w:r w:rsidRPr="00391598" w:rsidR="003D52A8">
        <w:rPr>
          <w:sz w:val="20"/>
          <w:szCs w:val="20"/>
        </w:rPr>
        <w:t xml:space="preserve"> showing the volume and quality of the oil</w:t>
      </w:r>
      <w:r w:rsidRPr="00391598" w:rsidR="00316CB1">
        <w:rPr>
          <w:sz w:val="20"/>
          <w:szCs w:val="20"/>
        </w:rPr>
        <w:t xml:space="preserve"> from which ONRR bases its royalty calculation</w:t>
      </w:r>
      <w:r w:rsidRPr="00391598" w:rsidR="003D52A8">
        <w:rPr>
          <w:sz w:val="20"/>
          <w:szCs w:val="20"/>
        </w:rPr>
        <w:t xml:space="preserve">. </w:t>
      </w:r>
      <w:r w:rsidRPr="00391598" w:rsidR="00A23F18">
        <w:rPr>
          <w:sz w:val="20"/>
          <w:szCs w:val="20"/>
        </w:rPr>
        <w:t xml:space="preserve">Measurement tickets are the foundation of oil production royalty calculations. </w:t>
      </w:r>
      <w:r w:rsidRPr="00391598" w:rsidR="000D0223">
        <w:rPr>
          <w:sz w:val="20"/>
          <w:szCs w:val="20"/>
        </w:rPr>
        <w:t xml:space="preserve">These documents serve as the receipt of a sale for all parties involved in the transaction: oil operator, </w:t>
      </w:r>
      <w:r w:rsidRPr="00391598" w:rsidR="00FF48CF">
        <w:rPr>
          <w:sz w:val="20"/>
          <w:szCs w:val="20"/>
        </w:rPr>
        <w:t xml:space="preserve">oil purchaser, and mineral interest owner. The BLM requires </w:t>
      </w:r>
      <w:r w:rsidRPr="00391598" w:rsidR="00C64F3A">
        <w:rPr>
          <w:sz w:val="20"/>
          <w:szCs w:val="20"/>
        </w:rPr>
        <w:t xml:space="preserve">operators to </w:t>
      </w:r>
      <w:r w:rsidRPr="00391598" w:rsidR="00A95949">
        <w:rPr>
          <w:sz w:val="20"/>
          <w:szCs w:val="20"/>
        </w:rPr>
        <w:t xml:space="preserve">produce and maintain these records for the BLM should there be any dispute about the volume or quality of the oil sold and on which the Federal or Indian royalty is based. </w:t>
      </w:r>
      <w:r w:rsidRPr="00391598" w:rsidR="00070C32">
        <w:rPr>
          <w:sz w:val="20"/>
          <w:szCs w:val="20"/>
        </w:rPr>
        <w:t xml:space="preserve">At minimum the BLM requires an accounting of the oil </w:t>
      </w:r>
      <w:r w:rsidRPr="00391598" w:rsidR="006D5830">
        <w:rPr>
          <w:sz w:val="20"/>
          <w:szCs w:val="20"/>
        </w:rPr>
        <w:t>monthly</w:t>
      </w:r>
      <w:r w:rsidRPr="00391598" w:rsidR="00070C32">
        <w:rPr>
          <w:sz w:val="20"/>
          <w:szCs w:val="20"/>
        </w:rPr>
        <w:t xml:space="preserve"> which is consistent with ONRR’s reporting requirements. </w:t>
      </w:r>
      <w:r w:rsidRPr="00391598" w:rsidR="00F92F75">
        <w:rPr>
          <w:sz w:val="20"/>
          <w:szCs w:val="20"/>
        </w:rPr>
        <w:t xml:space="preserve">The BLM’s requirement for a minimum of a monthly measurement ticket is consistent with standard oil and gas industry practice. </w:t>
      </w:r>
      <w:r w:rsidRPr="00391598" w:rsidR="00235483">
        <w:rPr>
          <w:sz w:val="20"/>
          <w:szCs w:val="20"/>
        </w:rPr>
        <w:t>All of</w:t>
      </w:r>
      <w:r w:rsidRPr="00391598" w:rsidR="00235483">
        <w:rPr>
          <w:sz w:val="20"/>
          <w:szCs w:val="20"/>
        </w:rPr>
        <w:t xml:space="preserve"> the information required on the measurement tickets is</w:t>
      </w:r>
      <w:r w:rsidRPr="00391598" w:rsidR="00F92F75">
        <w:rPr>
          <w:sz w:val="20"/>
          <w:szCs w:val="20"/>
        </w:rPr>
        <w:t xml:space="preserve"> also</w:t>
      </w:r>
      <w:r w:rsidRPr="00391598" w:rsidR="00235483">
        <w:rPr>
          <w:sz w:val="20"/>
          <w:szCs w:val="20"/>
        </w:rPr>
        <w:t xml:space="preserve"> standard oil and gas industry practice. </w:t>
      </w:r>
      <w:r w:rsidRPr="00391598" w:rsidR="00F92F75">
        <w:rPr>
          <w:sz w:val="20"/>
          <w:szCs w:val="20"/>
        </w:rPr>
        <w:t xml:space="preserve">The BLM is not requiring anything beyond what would be required if </w:t>
      </w:r>
      <w:r w:rsidRPr="00391598" w:rsidR="00EA4249">
        <w:rPr>
          <w:sz w:val="20"/>
          <w:szCs w:val="20"/>
        </w:rPr>
        <w:t xml:space="preserve">the oil sold were all private minerals. </w:t>
      </w:r>
      <w:r w:rsidRPr="00391598" w:rsidR="00FA564B">
        <w:rPr>
          <w:sz w:val="20"/>
          <w:szCs w:val="20"/>
        </w:rPr>
        <w:t xml:space="preserve">The BLM requires the minimum and accepted industry practice. </w:t>
      </w:r>
    </w:p>
    <w:p w:rsidR="009326DA" w:rsidRPr="00391598" w:rsidP="00884A6D" w14:paraId="5FB11B8B" w14:textId="77777777">
      <w:pPr>
        <w:pStyle w:val="NormalWeb"/>
        <w:tabs>
          <w:tab w:val="left" w:pos="360"/>
          <w:tab w:val="left" w:pos="630"/>
        </w:tabs>
        <w:spacing w:before="0" w:beforeAutospacing="0" w:after="0" w:afterAutospacing="0"/>
        <w:rPr>
          <w:sz w:val="20"/>
          <w:szCs w:val="20"/>
          <w:u w:val="single"/>
        </w:rPr>
      </w:pPr>
    </w:p>
    <w:p w:rsidR="00FD4FA0" w:rsidRPr="00391598" w:rsidP="00FD4FA0" w14:paraId="3BA56796" w14:textId="77777777">
      <w:pPr>
        <w:tabs>
          <w:tab w:val="left" w:pos="360"/>
          <w:tab w:val="left" w:pos="630"/>
        </w:tabs>
        <w:rPr>
          <w:rFonts w:ascii="Times New Roman" w:hAnsi="Times New Roman"/>
          <w:sz w:val="20"/>
          <w:szCs w:val="20"/>
        </w:rPr>
      </w:pPr>
      <w:r w:rsidRPr="00391598">
        <w:rPr>
          <w:rFonts w:ascii="Times New Roman" w:hAnsi="Times New Roman"/>
          <w:b/>
          <w:sz w:val="20"/>
          <w:szCs w:val="20"/>
        </w:rPr>
        <w:t>3.</w:t>
      </w:r>
      <w:r w:rsidRPr="00391598">
        <w:rPr>
          <w:rFonts w:ascii="Times New Roman" w:hAnsi="Times New Roman"/>
          <w:b/>
          <w:sz w:val="20"/>
          <w:szCs w:val="2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A1615" w:rsidRPr="00391598" w:rsidP="0087557E" w14:paraId="5383B9A3" w14:textId="214625BE">
      <w:pPr>
        <w:tabs>
          <w:tab w:val="left" w:pos="360"/>
          <w:tab w:val="left" w:pos="630"/>
        </w:tabs>
        <w:rPr>
          <w:rFonts w:ascii="Times New Roman" w:hAnsi="Times New Roman"/>
          <w:sz w:val="20"/>
          <w:szCs w:val="20"/>
        </w:rPr>
      </w:pPr>
    </w:p>
    <w:p w:rsidR="007154C0" w:rsidP="00884A6D" w14:paraId="7B720C02" w14:textId="210435F5">
      <w:pPr>
        <w:tabs>
          <w:tab w:val="left" w:pos="360"/>
          <w:tab w:val="left" w:pos="630"/>
        </w:tabs>
        <w:rPr>
          <w:rFonts w:ascii="Times New Roman" w:hAnsi="Times New Roman"/>
          <w:sz w:val="20"/>
          <w:szCs w:val="20"/>
        </w:rPr>
      </w:pPr>
      <w:r w:rsidRPr="00391598">
        <w:rPr>
          <w:rFonts w:ascii="Times New Roman" w:hAnsi="Times New Roman"/>
          <w:sz w:val="20"/>
          <w:szCs w:val="20"/>
        </w:rPr>
        <w:t xml:space="preserve">As of January 17, 2017, and pursuant to 43 CFR § 3173.10(b), operators must file </w:t>
      </w:r>
      <w:r w:rsidRPr="00391598" w:rsidR="00B5240E">
        <w:rPr>
          <w:rFonts w:ascii="Times New Roman" w:hAnsi="Times New Roman"/>
          <w:sz w:val="20"/>
          <w:szCs w:val="20"/>
        </w:rPr>
        <w:t>the</w:t>
      </w:r>
      <w:r w:rsidRPr="00391598">
        <w:rPr>
          <w:rFonts w:ascii="Times New Roman" w:hAnsi="Times New Roman"/>
          <w:sz w:val="20"/>
          <w:szCs w:val="20"/>
        </w:rPr>
        <w:t xml:space="preserve"> </w:t>
      </w:r>
      <w:r w:rsidRPr="00391598" w:rsidR="00B5240E">
        <w:rPr>
          <w:rFonts w:ascii="Times New Roman" w:hAnsi="Times New Roman"/>
          <w:sz w:val="20"/>
          <w:szCs w:val="20"/>
        </w:rPr>
        <w:t>F</w:t>
      </w:r>
      <w:r w:rsidRPr="00391598">
        <w:rPr>
          <w:rFonts w:ascii="Times New Roman" w:hAnsi="Times New Roman"/>
          <w:sz w:val="20"/>
          <w:szCs w:val="20"/>
        </w:rPr>
        <w:t xml:space="preserve">orm </w:t>
      </w:r>
      <w:r w:rsidRPr="00391598" w:rsidR="005D01F9">
        <w:rPr>
          <w:rFonts w:ascii="Times New Roman" w:hAnsi="Times New Roman"/>
          <w:sz w:val="20"/>
          <w:szCs w:val="20"/>
        </w:rPr>
        <w:t xml:space="preserve">3160-5, </w:t>
      </w:r>
      <w:r w:rsidRPr="00391598" w:rsidR="005D01F9">
        <w:rPr>
          <w:rFonts w:ascii="Times New Roman" w:hAnsi="Times New Roman"/>
          <w:i/>
          <w:iCs/>
          <w:sz w:val="20"/>
          <w:szCs w:val="20"/>
        </w:rPr>
        <w:t>Sundry Notices and Reports on Wells</w:t>
      </w:r>
      <w:r w:rsidRPr="00391598" w:rsidR="005D01F9">
        <w:rPr>
          <w:rFonts w:ascii="Times New Roman" w:hAnsi="Times New Roman"/>
          <w:sz w:val="20"/>
          <w:szCs w:val="20"/>
        </w:rPr>
        <w:t xml:space="preserve">, </w:t>
      </w:r>
      <w:r w:rsidRPr="00391598">
        <w:rPr>
          <w:rFonts w:ascii="Times New Roman" w:hAnsi="Times New Roman"/>
          <w:sz w:val="20"/>
          <w:szCs w:val="20"/>
        </w:rPr>
        <w:t xml:space="preserve">and any associated documents using the Bureau of Land Management’s electronic commerce application, Automated Fluid Minerals Support System (AFMSS). </w:t>
      </w:r>
      <w:hyperlink r:id="rId6" w:history="1">
        <w:r w:rsidRPr="00391598">
          <w:rPr>
            <w:rStyle w:val="Hyperlink"/>
            <w:rFonts w:ascii="Times New Roman" w:hAnsi="Times New Roman"/>
            <w:sz w:val="20"/>
            <w:szCs w:val="20"/>
          </w:rPr>
          <w:t>https://afmss.blm.gov/afmss-gateway-ui/</w:t>
        </w:r>
      </w:hyperlink>
      <w:r w:rsidRPr="00391598">
        <w:rPr>
          <w:rFonts w:ascii="Times New Roman" w:hAnsi="Times New Roman"/>
          <w:sz w:val="20"/>
          <w:szCs w:val="20"/>
        </w:rPr>
        <w:t>.</w:t>
      </w:r>
    </w:p>
    <w:p w:rsidR="00390984" w:rsidP="00884A6D" w14:paraId="3C632E88" w14:textId="77777777">
      <w:pPr>
        <w:tabs>
          <w:tab w:val="left" w:pos="360"/>
          <w:tab w:val="left" w:pos="630"/>
        </w:tabs>
        <w:rPr>
          <w:rFonts w:ascii="Times New Roman" w:hAnsi="Times New Roman"/>
          <w:sz w:val="20"/>
          <w:szCs w:val="20"/>
        </w:rPr>
      </w:pPr>
    </w:p>
    <w:p w:rsidR="00390984" w:rsidRPr="00391598" w:rsidP="00390984" w14:paraId="6CCB05DE" w14:textId="17E7F80D">
      <w:pPr>
        <w:rPr>
          <w:rFonts w:ascii="Times New Roman" w:hAnsi="Times New Roman"/>
          <w:caps/>
          <w:sz w:val="20"/>
          <w:szCs w:val="20"/>
        </w:rPr>
      </w:pPr>
      <w:r w:rsidRPr="00391598">
        <w:rPr>
          <w:rFonts w:ascii="Times New Roman" w:hAnsi="Times New Roman"/>
          <w:sz w:val="20"/>
          <w:szCs w:val="20"/>
        </w:rPr>
        <w:t>Due to competing priorities</w:t>
      </w:r>
      <w:r w:rsidR="00574709">
        <w:rPr>
          <w:rFonts w:ascii="Times New Roman" w:hAnsi="Times New Roman"/>
          <w:sz w:val="20"/>
          <w:szCs w:val="20"/>
        </w:rPr>
        <w:t xml:space="preserve">, </w:t>
      </w:r>
      <w:r w:rsidRPr="00391598">
        <w:rPr>
          <w:rFonts w:ascii="Times New Roman" w:hAnsi="Times New Roman"/>
          <w:sz w:val="20"/>
          <w:szCs w:val="20"/>
        </w:rPr>
        <w:t xml:space="preserve">BLM’s leadership decided to forgo further development of BLM’s electronic database, AFMSS. The decision to cease further AFMSS development resulted in the FMP module never having been developed. Since the effective date of subpart 3173, the BLM has not had any operator or BLM information collection activities related to the implementation of the </w:t>
      </w:r>
      <w:r w:rsidR="00ED6C38">
        <w:rPr>
          <w:rFonts w:ascii="Times New Roman" w:hAnsi="Times New Roman"/>
          <w:sz w:val="20"/>
          <w:szCs w:val="20"/>
        </w:rPr>
        <w:t>F</w:t>
      </w:r>
      <w:r w:rsidRPr="00391598">
        <w:rPr>
          <w:rFonts w:ascii="Times New Roman" w:hAnsi="Times New Roman"/>
          <w:sz w:val="20"/>
          <w:szCs w:val="20"/>
        </w:rPr>
        <w:t>MP requirements</w:t>
      </w:r>
      <w:r w:rsidR="008C40B8">
        <w:rPr>
          <w:rFonts w:ascii="Times New Roman" w:hAnsi="Times New Roman"/>
          <w:sz w:val="20"/>
          <w:szCs w:val="20"/>
        </w:rPr>
        <w:t xml:space="preserve"> (</w:t>
      </w:r>
      <w:r w:rsidR="00BB0579">
        <w:rPr>
          <w:rFonts w:ascii="Times New Roman" w:hAnsi="Times New Roman"/>
          <w:sz w:val="20"/>
          <w:szCs w:val="20"/>
        </w:rPr>
        <w:t>§ 3173.</w:t>
      </w:r>
      <w:r w:rsidR="00A74B93">
        <w:rPr>
          <w:rFonts w:ascii="Times New Roman" w:hAnsi="Times New Roman"/>
          <w:sz w:val="20"/>
          <w:szCs w:val="20"/>
        </w:rPr>
        <w:t>12)</w:t>
      </w:r>
      <w:r w:rsidRPr="00391598">
        <w:rPr>
          <w:rFonts w:ascii="Times New Roman" w:hAnsi="Times New Roman"/>
          <w:sz w:val="20"/>
          <w:szCs w:val="20"/>
        </w:rPr>
        <w:t xml:space="preserve">. </w:t>
      </w:r>
      <w:r w:rsidRPr="00391598" w:rsidR="00ED6C38">
        <w:rPr>
          <w:rFonts w:ascii="Times New Roman" w:hAnsi="Times New Roman"/>
          <w:sz w:val="20"/>
          <w:szCs w:val="20"/>
        </w:rPr>
        <w:t>Therefore,</w:t>
      </w:r>
      <w:r w:rsidRPr="00391598">
        <w:rPr>
          <w:rFonts w:ascii="Times New Roman" w:hAnsi="Times New Roman"/>
          <w:sz w:val="20"/>
          <w:szCs w:val="20"/>
        </w:rPr>
        <w:t xml:space="preserve"> the BLM will continue to maintain information collection activities within this OMB control </w:t>
      </w:r>
      <w:r w:rsidRPr="00391598" w:rsidR="00495DF1">
        <w:rPr>
          <w:rFonts w:ascii="Times New Roman" w:hAnsi="Times New Roman"/>
          <w:sz w:val="20"/>
          <w:szCs w:val="20"/>
        </w:rPr>
        <w:t>number but</w:t>
      </w:r>
      <w:r w:rsidRPr="00391598">
        <w:rPr>
          <w:rFonts w:ascii="Times New Roman" w:hAnsi="Times New Roman"/>
          <w:sz w:val="20"/>
          <w:szCs w:val="20"/>
        </w:rPr>
        <w:t xml:space="preserve"> will use it as a placeholder for the time when BLM is able to effectively implement the FMP requirements following the development of the new electronic database. Currently, the BLM is working to redesign and build a new electronic database. The new electronic database will have the ability to receive applications for FMPs and assign FMP numbers.</w:t>
      </w:r>
    </w:p>
    <w:p w:rsidR="00C34788" w:rsidRPr="00391598" w:rsidP="00884A6D" w14:paraId="5D1E4D0F" w14:textId="77777777">
      <w:pPr>
        <w:tabs>
          <w:tab w:val="left" w:pos="360"/>
          <w:tab w:val="left" w:pos="630"/>
        </w:tabs>
        <w:rPr>
          <w:rFonts w:ascii="Times New Roman" w:hAnsi="Times New Roman"/>
          <w:sz w:val="20"/>
          <w:szCs w:val="20"/>
        </w:rPr>
      </w:pPr>
    </w:p>
    <w:p w:rsidR="00E95B02" w:rsidRPr="00391598" w:rsidP="00E95B02" w14:paraId="61439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4.</w:t>
      </w:r>
      <w:r w:rsidRPr="00391598">
        <w:rPr>
          <w:rFonts w:ascii="Times New Roman" w:hAnsi="Times New Roman"/>
          <w:b/>
          <w:sz w:val="20"/>
          <w:szCs w:val="20"/>
        </w:rPr>
        <w:tab/>
        <w:t>Describe efforts to identify duplication.  Show specifically why any similar information already available cannot be used or modified for use for the purposes described in Item 2 above.</w:t>
      </w:r>
    </w:p>
    <w:p w:rsidR="007154C0" w:rsidRPr="00391598" w:rsidP="00884A6D" w14:paraId="79BA9AF7"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391598" w:rsidP="00884A6D" w14:paraId="06D7F8DC"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No duplication of information occurs in the information we collect.  The requested information is unique to the </w:t>
      </w:r>
      <w:r w:rsidRPr="00391598" w:rsidR="00EB5961">
        <w:rPr>
          <w:rFonts w:ascii="Times New Roman" w:hAnsi="Times New Roman"/>
          <w:sz w:val="20"/>
          <w:szCs w:val="20"/>
        </w:rPr>
        <w:t>operator/operating rights owner</w:t>
      </w:r>
      <w:r w:rsidRPr="00391598">
        <w:rPr>
          <w:rFonts w:ascii="Times New Roman" w:hAnsi="Times New Roman"/>
          <w:sz w:val="20"/>
          <w:szCs w:val="20"/>
        </w:rPr>
        <w:t xml:space="preserve"> </w:t>
      </w:r>
      <w:r w:rsidRPr="00391598" w:rsidR="00B07BA9">
        <w:rPr>
          <w:rFonts w:ascii="Times New Roman" w:hAnsi="Times New Roman"/>
          <w:sz w:val="20"/>
          <w:szCs w:val="20"/>
        </w:rPr>
        <w:t xml:space="preserve">and the lease </w:t>
      </w:r>
      <w:r w:rsidRPr="00391598">
        <w:rPr>
          <w:rFonts w:ascii="Times New Roman" w:hAnsi="Times New Roman"/>
          <w:sz w:val="20"/>
          <w:szCs w:val="20"/>
        </w:rPr>
        <w:t>and is not available from any other data source.  No similar information is available or able to be modified. The information is re</w:t>
      </w:r>
      <w:r w:rsidRPr="00391598" w:rsidR="00656F1D">
        <w:rPr>
          <w:rFonts w:ascii="Times New Roman" w:hAnsi="Times New Roman"/>
          <w:sz w:val="20"/>
          <w:szCs w:val="20"/>
        </w:rPr>
        <w:t>quired to receive a benefit.</w:t>
      </w:r>
    </w:p>
    <w:p w:rsidR="007154C0" w:rsidRPr="00391598" w:rsidP="00884A6D" w14:paraId="2672BE9B" w14:textId="77777777">
      <w:pPr>
        <w:tabs>
          <w:tab w:val="left" w:pos="360"/>
          <w:tab w:val="left" w:pos="630"/>
        </w:tabs>
        <w:rPr>
          <w:rFonts w:ascii="Times New Roman" w:hAnsi="Times New Roman"/>
          <w:sz w:val="20"/>
          <w:szCs w:val="20"/>
        </w:rPr>
      </w:pPr>
    </w:p>
    <w:p w:rsidR="00936F0D" w:rsidRPr="00391598" w:rsidP="00936F0D" w14:paraId="1B06F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5.</w:t>
      </w:r>
      <w:r w:rsidRPr="00391598">
        <w:rPr>
          <w:rFonts w:ascii="Times New Roman" w:hAnsi="Times New Roman"/>
          <w:b/>
          <w:sz w:val="20"/>
          <w:szCs w:val="20"/>
        </w:rPr>
        <w:tab/>
        <w:t>If the collection of information impacts small businesses or other small entities, describe any methods used to minimize burden.</w:t>
      </w:r>
    </w:p>
    <w:p w:rsidR="007154C0" w:rsidRPr="00391598" w:rsidP="00884A6D" w14:paraId="75B1CCF4" w14:textId="77777777">
      <w:pPr>
        <w:tabs>
          <w:tab w:val="left" w:pos="360"/>
          <w:tab w:val="left" w:pos="630"/>
        </w:tabs>
        <w:rPr>
          <w:rFonts w:ascii="Times New Roman" w:hAnsi="Times New Roman"/>
          <w:sz w:val="20"/>
          <w:szCs w:val="20"/>
        </w:rPr>
      </w:pPr>
    </w:p>
    <w:p w:rsidR="004166C7" w:rsidRPr="00391598" w:rsidP="00884A6D" w14:paraId="4110AF9E" w14:textId="77777777">
      <w:pPr>
        <w:tabs>
          <w:tab w:val="left" w:pos="360"/>
          <w:tab w:val="left" w:pos="630"/>
        </w:tabs>
        <w:rPr>
          <w:rFonts w:ascii="Times New Roman" w:hAnsi="Times New Roman"/>
          <w:sz w:val="20"/>
          <w:szCs w:val="20"/>
        </w:rPr>
      </w:pPr>
      <w:r w:rsidRPr="00391598">
        <w:rPr>
          <w:rFonts w:ascii="Times New Roman" w:hAnsi="Times New Roman"/>
          <w:sz w:val="20"/>
          <w:szCs w:val="20"/>
        </w:rPr>
        <w:t>The BLM is not required to collection inf</w:t>
      </w:r>
      <w:r w:rsidRPr="00391598" w:rsidR="00E90EBC">
        <w:rPr>
          <w:rFonts w:ascii="Times New Roman" w:hAnsi="Times New Roman"/>
          <w:sz w:val="20"/>
          <w:szCs w:val="20"/>
        </w:rPr>
        <w:t xml:space="preserve">ormation on whether </w:t>
      </w:r>
      <w:r w:rsidRPr="00391598">
        <w:rPr>
          <w:rFonts w:ascii="Times New Roman" w:hAnsi="Times New Roman"/>
          <w:sz w:val="20"/>
          <w:szCs w:val="20"/>
        </w:rPr>
        <w:t xml:space="preserve">the respondents qualify as small businesses or small entities. </w:t>
      </w:r>
      <w:r w:rsidRPr="00391598" w:rsidR="00C10781">
        <w:rPr>
          <w:rFonts w:ascii="Times New Roman" w:hAnsi="Times New Roman"/>
          <w:sz w:val="20"/>
          <w:szCs w:val="20"/>
        </w:rPr>
        <w:t xml:space="preserve">Because oil and gas operations and production tend to be capital-intensive activities, the BLM estimates that only about five percent of the respondents are small businesses or other small entities.  </w:t>
      </w:r>
      <w:r w:rsidRPr="00391598">
        <w:rPr>
          <w:rFonts w:ascii="Times New Roman" w:hAnsi="Times New Roman"/>
          <w:sz w:val="20"/>
          <w:szCs w:val="20"/>
        </w:rPr>
        <w:t>The information require</w:t>
      </w:r>
      <w:r w:rsidRPr="00391598" w:rsidR="00C10781">
        <w:rPr>
          <w:rFonts w:ascii="Times New Roman" w:hAnsi="Times New Roman"/>
          <w:sz w:val="20"/>
          <w:szCs w:val="20"/>
        </w:rPr>
        <w:t>d</w:t>
      </w:r>
      <w:r w:rsidRPr="00391598">
        <w:rPr>
          <w:rFonts w:ascii="Times New Roman" w:hAnsi="Times New Roman"/>
          <w:sz w:val="20"/>
          <w:szCs w:val="20"/>
        </w:rPr>
        <w:t xml:space="preserve"> </w:t>
      </w:r>
      <w:r w:rsidRPr="00391598">
        <w:rPr>
          <w:rFonts w:ascii="Times New Roman" w:hAnsi="Times New Roman"/>
          <w:sz w:val="20"/>
          <w:szCs w:val="20"/>
        </w:rPr>
        <w:t xml:space="preserve">from all respondents is limited to the minimum necessary to authorize and </w:t>
      </w:r>
      <w:r w:rsidRPr="00391598" w:rsidR="005A13DE">
        <w:rPr>
          <w:rFonts w:ascii="Times New Roman" w:hAnsi="Times New Roman"/>
          <w:sz w:val="20"/>
          <w:szCs w:val="20"/>
        </w:rPr>
        <w:t>regulate</w:t>
      </w:r>
      <w:r w:rsidRPr="00391598">
        <w:rPr>
          <w:rFonts w:ascii="Times New Roman" w:hAnsi="Times New Roman"/>
          <w:sz w:val="20"/>
          <w:szCs w:val="20"/>
        </w:rPr>
        <w:t xml:space="preserve"> oil and g</w:t>
      </w:r>
      <w:r w:rsidRPr="00391598" w:rsidR="006731BC">
        <w:rPr>
          <w:rFonts w:ascii="Times New Roman" w:hAnsi="Times New Roman"/>
          <w:sz w:val="20"/>
          <w:szCs w:val="20"/>
        </w:rPr>
        <w:t>as operations on public lands.</w:t>
      </w:r>
    </w:p>
    <w:p w:rsidR="004166C7" w:rsidRPr="00391598" w:rsidP="00884A6D" w14:paraId="382E075B" w14:textId="77777777">
      <w:pPr>
        <w:tabs>
          <w:tab w:val="left" w:pos="360"/>
          <w:tab w:val="left" w:pos="630"/>
        </w:tabs>
        <w:rPr>
          <w:rFonts w:ascii="Times New Roman" w:hAnsi="Times New Roman"/>
          <w:sz w:val="20"/>
          <w:szCs w:val="20"/>
        </w:rPr>
      </w:pPr>
    </w:p>
    <w:p w:rsidR="00936F0D" w:rsidRPr="00391598" w:rsidP="00936F0D" w14:paraId="58DD0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6.</w:t>
      </w:r>
      <w:r w:rsidRPr="00391598">
        <w:rPr>
          <w:rFonts w:ascii="Times New Roman" w:hAnsi="Times New Roman"/>
          <w:b/>
          <w:sz w:val="20"/>
          <w:szCs w:val="20"/>
        </w:rPr>
        <w:tab/>
        <w:t>Describe the consequence to Federal program or policy activities if the collection is not conducted or is conducted less frequently, as well as any technical or legal obstacles to reducing burden.</w:t>
      </w:r>
    </w:p>
    <w:p w:rsidR="00936F0D" w:rsidRPr="00391598" w:rsidP="00884A6D" w14:paraId="3298F353" w14:textId="77777777">
      <w:pPr>
        <w:tabs>
          <w:tab w:val="left" w:pos="360"/>
          <w:tab w:val="left" w:pos="630"/>
        </w:tabs>
        <w:rPr>
          <w:rFonts w:ascii="Times New Roman" w:hAnsi="Times New Roman"/>
          <w:sz w:val="20"/>
          <w:szCs w:val="20"/>
        </w:rPr>
      </w:pPr>
    </w:p>
    <w:p w:rsidR="007154C0" w:rsidRPr="00391598" w:rsidP="0087557E" w14:paraId="22524484" w14:textId="0354BFF6">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 xml:space="preserve">The frequency </w:t>
      </w:r>
      <w:r w:rsidRPr="00391598" w:rsidR="007B6030">
        <w:rPr>
          <w:rFonts w:ascii="Times New Roman" w:hAnsi="Times New Roman"/>
          <w:sz w:val="20"/>
          <w:szCs w:val="20"/>
        </w:rPr>
        <w:t xml:space="preserve">the majority </w:t>
      </w:r>
      <w:r w:rsidRPr="00391598">
        <w:rPr>
          <w:rFonts w:ascii="Times New Roman" w:hAnsi="Times New Roman"/>
          <w:sz w:val="20"/>
          <w:szCs w:val="20"/>
        </w:rPr>
        <w:t>of</w:t>
      </w:r>
      <w:r w:rsidRPr="00391598">
        <w:rPr>
          <w:rFonts w:ascii="Times New Roman" w:hAnsi="Times New Roman"/>
          <w:sz w:val="20"/>
          <w:szCs w:val="20"/>
        </w:rPr>
        <w:t xml:space="preserve"> these information collections is “on occasion.” Therefore, less frequent data collection would mean not collecting the information. </w:t>
      </w:r>
      <w:r w:rsidRPr="00391598" w:rsidR="00DA2741">
        <w:rPr>
          <w:rFonts w:ascii="Times New Roman" w:hAnsi="Times New Roman"/>
          <w:sz w:val="20"/>
          <w:szCs w:val="20"/>
        </w:rPr>
        <w:t xml:space="preserve">If </w:t>
      </w:r>
      <w:r w:rsidRPr="00391598" w:rsidR="00CF5749">
        <w:rPr>
          <w:rFonts w:ascii="Times New Roman" w:hAnsi="Times New Roman"/>
          <w:sz w:val="20"/>
          <w:szCs w:val="20"/>
        </w:rPr>
        <w:t>we did not collect the information</w:t>
      </w:r>
      <w:r w:rsidRPr="00391598" w:rsidR="00DA2741">
        <w:rPr>
          <w:rFonts w:ascii="Times New Roman" w:hAnsi="Times New Roman"/>
          <w:sz w:val="20"/>
          <w:szCs w:val="20"/>
        </w:rPr>
        <w:t xml:space="preserve">, </w:t>
      </w:r>
      <w:r w:rsidRPr="00391598" w:rsidR="003D23C7">
        <w:rPr>
          <w:rFonts w:ascii="Times New Roman" w:hAnsi="Times New Roman"/>
          <w:sz w:val="20"/>
          <w:szCs w:val="20"/>
        </w:rPr>
        <w:t xml:space="preserve">or </w:t>
      </w:r>
      <w:r w:rsidRPr="00391598" w:rsidR="00C419B0">
        <w:rPr>
          <w:rFonts w:ascii="Times New Roman" w:hAnsi="Times New Roman"/>
          <w:sz w:val="20"/>
          <w:szCs w:val="20"/>
        </w:rPr>
        <w:t xml:space="preserve">we </w:t>
      </w:r>
      <w:r w:rsidRPr="00391598" w:rsidR="003D23C7">
        <w:rPr>
          <w:rFonts w:ascii="Times New Roman" w:hAnsi="Times New Roman"/>
          <w:sz w:val="20"/>
          <w:szCs w:val="20"/>
        </w:rPr>
        <w:t xml:space="preserve">collected it less frequently, </w:t>
      </w:r>
      <w:r w:rsidRPr="00391598" w:rsidR="009D245D">
        <w:rPr>
          <w:rFonts w:ascii="Times New Roman" w:hAnsi="Times New Roman"/>
          <w:sz w:val="20"/>
          <w:szCs w:val="20"/>
        </w:rPr>
        <w:t>oil and gas</w:t>
      </w:r>
      <w:r w:rsidRPr="00391598" w:rsidR="00C419B0">
        <w:rPr>
          <w:rFonts w:ascii="Times New Roman" w:hAnsi="Times New Roman"/>
          <w:sz w:val="20"/>
          <w:szCs w:val="20"/>
        </w:rPr>
        <w:t xml:space="preserve"> </w:t>
      </w:r>
      <w:r w:rsidRPr="00391598" w:rsidR="00DA2741">
        <w:rPr>
          <w:rFonts w:ascii="Times New Roman" w:hAnsi="Times New Roman"/>
          <w:sz w:val="20"/>
          <w:szCs w:val="20"/>
        </w:rPr>
        <w:t xml:space="preserve">leasing </w:t>
      </w:r>
      <w:r w:rsidRPr="00391598" w:rsidR="00DF17AA">
        <w:rPr>
          <w:rFonts w:ascii="Times New Roman" w:hAnsi="Times New Roman"/>
          <w:sz w:val="20"/>
          <w:szCs w:val="20"/>
        </w:rPr>
        <w:t xml:space="preserve">activities </w:t>
      </w:r>
      <w:r w:rsidRPr="00391598" w:rsidR="00CF5749">
        <w:rPr>
          <w:rFonts w:ascii="Times New Roman" w:hAnsi="Times New Roman"/>
          <w:sz w:val="20"/>
          <w:szCs w:val="20"/>
        </w:rPr>
        <w:t xml:space="preserve">and operations </w:t>
      </w:r>
      <w:r w:rsidRPr="00391598" w:rsidR="00DA2741">
        <w:rPr>
          <w:rFonts w:ascii="Times New Roman" w:hAnsi="Times New Roman"/>
          <w:sz w:val="20"/>
          <w:szCs w:val="20"/>
        </w:rPr>
        <w:t>could not occur</w:t>
      </w:r>
      <w:r w:rsidRPr="00391598" w:rsidR="003D23C7">
        <w:rPr>
          <w:rFonts w:ascii="Times New Roman" w:hAnsi="Times New Roman"/>
          <w:sz w:val="20"/>
          <w:szCs w:val="20"/>
        </w:rPr>
        <w:t xml:space="preserve"> on Federal or Indian </w:t>
      </w:r>
      <w:r w:rsidRPr="00391598" w:rsidR="00BE7530">
        <w:rPr>
          <w:rFonts w:ascii="Times New Roman" w:hAnsi="Times New Roman"/>
          <w:sz w:val="20"/>
          <w:szCs w:val="20"/>
        </w:rPr>
        <w:t xml:space="preserve">trust </w:t>
      </w:r>
      <w:r w:rsidRPr="00391598" w:rsidR="003D23C7">
        <w:rPr>
          <w:rFonts w:ascii="Times New Roman" w:hAnsi="Times New Roman"/>
          <w:sz w:val="20"/>
          <w:szCs w:val="20"/>
        </w:rPr>
        <w:t>leases in compliance with pertinent statutes.</w:t>
      </w:r>
      <w:r w:rsidRPr="00391598" w:rsidR="007B6030">
        <w:rPr>
          <w:rFonts w:ascii="Times New Roman" w:hAnsi="Times New Roman"/>
          <w:sz w:val="20"/>
          <w:szCs w:val="20"/>
        </w:rPr>
        <w:t xml:space="preserve"> </w:t>
      </w:r>
      <w:r w:rsidRPr="00391598" w:rsidR="00B96FD5">
        <w:rPr>
          <w:rFonts w:ascii="Times New Roman" w:hAnsi="Times New Roman"/>
          <w:sz w:val="20"/>
          <w:szCs w:val="20"/>
        </w:rPr>
        <w:t>However, som</w:t>
      </w:r>
      <w:r w:rsidRPr="00391598" w:rsidR="008A6502">
        <w:rPr>
          <w:rFonts w:ascii="Times New Roman" w:hAnsi="Times New Roman"/>
          <w:sz w:val="20"/>
          <w:szCs w:val="20"/>
        </w:rPr>
        <w:t>e</w:t>
      </w:r>
      <w:r w:rsidRPr="00391598" w:rsidR="00B96FD5">
        <w:rPr>
          <w:rFonts w:ascii="Times New Roman" w:hAnsi="Times New Roman"/>
          <w:sz w:val="20"/>
          <w:szCs w:val="20"/>
        </w:rPr>
        <w:t xml:space="preserve"> oil and gas information collection activities are more frequent. </w:t>
      </w:r>
      <w:r w:rsidRPr="00391598" w:rsidR="00E53AA2">
        <w:rPr>
          <w:rFonts w:ascii="Times New Roman" w:hAnsi="Times New Roman"/>
          <w:sz w:val="20"/>
          <w:szCs w:val="20"/>
        </w:rPr>
        <w:t>The measurement rules, collectively subparts 3173, 3174, and 3175, requirements are risk based</w:t>
      </w:r>
      <w:r w:rsidRPr="00391598" w:rsidR="00C23241">
        <w:rPr>
          <w:rFonts w:ascii="Times New Roman" w:hAnsi="Times New Roman"/>
          <w:sz w:val="20"/>
          <w:szCs w:val="20"/>
        </w:rPr>
        <w:t xml:space="preserve">. Requirements that are monthly or quarterly indicate </w:t>
      </w:r>
      <w:r w:rsidRPr="00391598" w:rsidR="00977BF1">
        <w:rPr>
          <w:rFonts w:ascii="Times New Roman" w:hAnsi="Times New Roman"/>
          <w:sz w:val="20"/>
          <w:szCs w:val="20"/>
        </w:rPr>
        <w:t>a higher oil or gas production volume with</w:t>
      </w:r>
      <w:r w:rsidRPr="00391598" w:rsidR="00C23241">
        <w:rPr>
          <w:rFonts w:ascii="Times New Roman" w:hAnsi="Times New Roman"/>
          <w:sz w:val="20"/>
          <w:szCs w:val="20"/>
        </w:rPr>
        <w:t xml:space="preserve"> </w:t>
      </w:r>
      <w:r w:rsidRPr="00391598" w:rsidR="008205BB">
        <w:rPr>
          <w:rFonts w:ascii="Times New Roman" w:hAnsi="Times New Roman"/>
          <w:sz w:val="20"/>
          <w:szCs w:val="20"/>
        </w:rPr>
        <w:t>corresponding</w:t>
      </w:r>
      <w:r w:rsidRPr="00391598" w:rsidR="00C23241">
        <w:rPr>
          <w:rFonts w:ascii="Times New Roman" w:hAnsi="Times New Roman"/>
          <w:sz w:val="20"/>
          <w:szCs w:val="20"/>
        </w:rPr>
        <w:t xml:space="preserve"> greater risk to Federal or Indian royalties. </w:t>
      </w:r>
      <w:r w:rsidRPr="00391598" w:rsidR="00E53AA2">
        <w:rPr>
          <w:rFonts w:ascii="Times New Roman" w:hAnsi="Times New Roman"/>
          <w:sz w:val="20"/>
          <w:szCs w:val="20"/>
        </w:rPr>
        <w:t>If the oil or</w:t>
      </w:r>
      <w:r w:rsidRPr="00391598" w:rsidR="00C01418">
        <w:rPr>
          <w:rFonts w:ascii="Times New Roman" w:hAnsi="Times New Roman"/>
          <w:sz w:val="20"/>
          <w:szCs w:val="20"/>
        </w:rPr>
        <w:t xml:space="preserve"> gas production is high or are directly tied to royalty payments, the BLM has </w:t>
      </w:r>
      <w:r w:rsidRPr="00391598" w:rsidR="0046642C">
        <w:rPr>
          <w:rFonts w:ascii="Times New Roman" w:hAnsi="Times New Roman"/>
          <w:sz w:val="20"/>
          <w:szCs w:val="20"/>
        </w:rPr>
        <w:t xml:space="preserve">a monthly or quarterly information collection activity. </w:t>
      </w:r>
      <w:r w:rsidRPr="00391598" w:rsidR="004C1ECC">
        <w:rPr>
          <w:rFonts w:ascii="Times New Roman" w:hAnsi="Times New Roman"/>
          <w:sz w:val="20"/>
          <w:szCs w:val="20"/>
        </w:rPr>
        <w:t>Oil and gas operators are required to report oil and gas production</w:t>
      </w:r>
      <w:r w:rsidRPr="00391598" w:rsidR="00EC47AB">
        <w:rPr>
          <w:rFonts w:ascii="Times New Roman" w:hAnsi="Times New Roman"/>
          <w:sz w:val="20"/>
          <w:szCs w:val="20"/>
        </w:rPr>
        <w:t xml:space="preserve"> and pay royalties </w:t>
      </w:r>
      <w:r w:rsidRPr="00391598" w:rsidR="004C1ECC">
        <w:rPr>
          <w:rFonts w:ascii="Times New Roman" w:hAnsi="Times New Roman"/>
          <w:sz w:val="20"/>
          <w:szCs w:val="20"/>
        </w:rPr>
        <w:t xml:space="preserve">to ONRR </w:t>
      </w:r>
      <w:r w:rsidRPr="00391598" w:rsidR="00324B4C">
        <w:rPr>
          <w:rFonts w:ascii="Times New Roman" w:hAnsi="Times New Roman"/>
          <w:sz w:val="20"/>
          <w:szCs w:val="20"/>
        </w:rPr>
        <w:t>monthly</w:t>
      </w:r>
      <w:r w:rsidRPr="00391598" w:rsidR="004C1ECC">
        <w:rPr>
          <w:rFonts w:ascii="Times New Roman" w:hAnsi="Times New Roman"/>
          <w:sz w:val="20"/>
          <w:szCs w:val="20"/>
        </w:rPr>
        <w:t>.</w:t>
      </w:r>
      <w:r w:rsidRPr="00391598" w:rsidR="00EC47AB">
        <w:rPr>
          <w:rFonts w:ascii="Times New Roman" w:hAnsi="Times New Roman"/>
          <w:sz w:val="20"/>
          <w:szCs w:val="20"/>
        </w:rPr>
        <w:t xml:space="preserve"> </w:t>
      </w:r>
      <w:r w:rsidRPr="00391598" w:rsidR="00DC7FD0">
        <w:rPr>
          <w:rFonts w:ascii="Times New Roman" w:hAnsi="Times New Roman"/>
          <w:sz w:val="20"/>
          <w:szCs w:val="20"/>
        </w:rPr>
        <w:t>The</w:t>
      </w:r>
      <w:r w:rsidRPr="00391598" w:rsidR="001A0FBC">
        <w:rPr>
          <w:rFonts w:ascii="Times New Roman" w:hAnsi="Times New Roman"/>
          <w:sz w:val="20"/>
          <w:szCs w:val="20"/>
        </w:rPr>
        <w:t xml:space="preserve"> frequency of </w:t>
      </w:r>
      <w:r w:rsidRPr="00391598" w:rsidR="00DC7FD0">
        <w:rPr>
          <w:rFonts w:ascii="Times New Roman" w:hAnsi="Times New Roman"/>
          <w:sz w:val="20"/>
          <w:szCs w:val="20"/>
        </w:rPr>
        <w:t xml:space="preserve">information collection activities </w:t>
      </w:r>
      <w:r w:rsidRPr="00391598" w:rsidR="001A0FBC">
        <w:rPr>
          <w:rFonts w:ascii="Times New Roman" w:hAnsi="Times New Roman"/>
          <w:sz w:val="20"/>
          <w:szCs w:val="20"/>
        </w:rPr>
        <w:t xml:space="preserve">is designed to align with the risk to </w:t>
      </w:r>
      <w:r w:rsidRPr="00391598" w:rsidR="007F64E2">
        <w:rPr>
          <w:rFonts w:ascii="Times New Roman" w:hAnsi="Times New Roman"/>
          <w:sz w:val="20"/>
          <w:szCs w:val="20"/>
        </w:rPr>
        <w:t xml:space="preserve">measurement or production reporting </w:t>
      </w:r>
      <w:r w:rsidRPr="00391598" w:rsidR="00EE1A8A">
        <w:rPr>
          <w:rFonts w:ascii="Times New Roman" w:hAnsi="Times New Roman"/>
          <w:sz w:val="20"/>
          <w:szCs w:val="20"/>
        </w:rPr>
        <w:t xml:space="preserve">that directly affects </w:t>
      </w:r>
      <w:r w:rsidRPr="00391598" w:rsidR="00725F32">
        <w:rPr>
          <w:rFonts w:ascii="Times New Roman" w:hAnsi="Times New Roman"/>
          <w:sz w:val="20"/>
          <w:szCs w:val="20"/>
        </w:rPr>
        <w:t xml:space="preserve">Federal or Indian royalty income. </w:t>
      </w:r>
      <w:r w:rsidRPr="00391598" w:rsidR="008E6FB3">
        <w:rPr>
          <w:rFonts w:ascii="Times New Roman" w:hAnsi="Times New Roman"/>
          <w:sz w:val="20"/>
          <w:szCs w:val="20"/>
        </w:rPr>
        <w:t xml:space="preserve">If the BLM were to reduce the frequency of information collection at high oil and gas production locations, the BLM </w:t>
      </w:r>
      <w:r w:rsidRPr="00391598" w:rsidR="00ED2717">
        <w:rPr>
          <w:rFonts w:ascii="Times New Roman" w:hAnsi="Times New Roman"/>
          <w:sz w:val="20"/>
          <w:szCs w:val="20"/>
        </w:rPr>
        <w:t xml:space="preserve">has less ability to verify the volume and quality of oil and gas for which royalty is owed. </w:t>
      </w:r>
      <w:r w:rsidRPr="00391598" w:rsidR="001A0AD7">
        <w:rPr>
          <w:rFonts w:ascii="Times New Roman" w:hAnsi="Times New Roman"/>
          <w:sz w:val="20"/>
          <w:szCs w:val="20"/>
        </w:rPr>
        <w:t>In turn, this puts at risk Federal and Indian royalty income as wells as reduces the BLM’s ability to enforce</w:t>
      </w:r>
      <w:r w:rsidRPr="00391598" w:rsidR="00830323">
        <w:rPr>
          <w:rFonts w:ascii="Times New Roman" w:hAnsi="Times New Roman"/>
          <w:sz w:val="20"/>
          <w:szCs w:val="20"/>
        </w:rPr>
        <w:t xml:space="preserve"> measurement requirements that direct affect royalty income.</w:t>
      </w:r>
      <w:r w:rsidRPr="00391598" w:rsidR="00617040">
        <w:rPr>
          <w:rFonts w:ascii="Times New Roman" w:hAnsi="Times New Roman"/>
          <w:sz w:val="20"/>
          <w:szCs w:val="20"/>
        </w:rPr>
        <w:t xml:space="preserve"> </w:t>
      </w:r>
    </w:p>
    <w:p w:rsidR="0087557E" w:rsidRPr="00391598" w:rsidP="0087557E" w14:paraId="1946D8B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D6689D" w:rsidRPr="00391598" w:rsidP="00D6689D" w14:paraId="491B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7.</w:t>
      </w:r>
      <w:r w:rsidRPr="00391598">
        <w:rPr>
          <w:rFonts w:ascii="Times New Roman" w:hAnsi="Times New Roman"/>
          <w:b/>
          <w:sz w:val="20"/>
          <w:szCs w:val="20"/>
        </w:rPr>
        <w:tab/>
        <w:t>Explain any special circumstances that would cause an information collection to be conducted in a manner:</w:t>
      </w:r>
    </w:p>
    <w:p w:rsidR="00D6689D" w:rsidRPr="00391598" w:rsidP="00D6689D" w14:paraId="32E90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report information to the agency more often than quarterly;</w:t>
      </w:r>
    </w:p>
    <w:p w:rsidR="00D6689D" w:rsidRPr="00391598" w:rsidP="00D6689D" w14:paraId="2FE2E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prepare a written response to a collection of information in fewer than 30 days after receipt of it;</w:t>
      </w:r>
    </w:p>
    <w:p w:rsidR="00D6689D" w:rsidRPr="00391598" w:rsidP="00D6689D" w14:paraId="2FEF8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submit more than an original and two copies of any document;</w:t>
      </w:r>
    </w:p>
    <w:p w:rsidR="00D6689D" w:rsidRPr="00391598" w:rsidP="00D6689D" w14:paraId="1337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retain records, other than health, medical, government contract, grant-in-aid, or tax records, for more than three years;</w:t>
      </w:r>
    </w:p>
    <w:p w:rsidR="00D6689D" w:rsidRPr="00391598" w:rsidP="00D6689D" w14:paraId="43205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in</w:t>
      </w:r>
      <w:r w:rsidRPr="00391598">
        <w:rPr>
          <w:rFonts w:ascii="Times New Roman" w:hAnsi="Times New Roman"/>
          <w:b/>
          <w:sz w:val="20"/>
          <w:szCs w:val="20"/>
        </w:rPr>
        <w:t xml:space="preserve"> connection with a statistical survey that is not designed to produce valid and reliable results that can be generalized to the universe of study;</w:t>
      </w:r>
    </w:p>
    <w:p w:rsidR="00D6689D" w:rsidRPr="00391598" w:rsidP="00D6689D" w14:paraId="4AC24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the use of a statistical data classification that has not been reviewed and approved by OMB;</w:t>
      </w:r>
    </w:p>
    <w:p w:rsidR="00D6689D" w:rsidRPr="00391598" w:rsidP="00D6689D" w14:paraId="1A7FA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that</w:t>
      </w:r>
      <w:r w:rsidRPr="00391598">
        <w:rPr>
          <w:rFonts w:ascii="Times New Roman" w:hAnsi="Times New Roman"/>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6689D" w:rsidRPr="00391598" w:rsidP="00D6689D" w14:paraId="2D95E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r>
      <w:r w:rsidRPr="00391598">
        <w:rPr>
          <w:rFonts w:ascii="Times New Roman" w:hAnsi="Times New Roman"/>
          <w:b/>
          <w:sz w:val="20"/>
          <w:szCs w:val="20"/>
        </w:rPr>
        <w:t>requiring</w:t>
      </w:r>
      <w:r w:rsidRPr="00391598">
        <w:rPr>
          <w:rFonts w:ascii="Times New Roman" w:hAnsi="Times New Roman"/>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7154C0" w:rsidRPr="00391598" w:rsidP="00884A6D" w14:paraId="6B7CCF02" w14:textId="77777777">
      <w:pPr>
        <w:tabs>
          <w:tab w:val="left" w:pos="360"/>
          <w:tab w:val="left" w:pos="630"/>
        </w:tabs>
        <w:rPr>
          <w:rFonts w:ascii="Times New Roman" w:hAnsi="Times New Roman"/>
          <w:sz w:val="20"/>
          <w:szCs w:val="20"/>
        </w:rPr>
      </w:pPr>
    </w:p>
    <w:p w:rsidR="004E2606" w:rsidRPr="00391598" w:rsidP="004E2606" w14:paraId="2E1E6BED" w14:textId="217621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 xml:space="preserve">Below are </w:t>
      </w:r>
      <w:r w:rsidRPr="00391598" w:rsidR="00AD0B1C">
        <w:rPr>
          <w:rFonts w:ascii="Times New Roman" w:hAnsi="Times New Roman"/>
          <w:sz w:val="20"/>
          <w:szCs w:val="20"/>
        </w:rPr>
        <w:t xml:space="preserve">the </w:t>
      </w:r>
      <w:r w:rsidRPr="00391598">
        <w:rPr>
          <w:rFonts w:ascii="Times New Roman" w:hAnsi="Times New Roman"/>
          <w:sz w:val="20"/>
          <w:szCs w:val="20"/>
        </w:rPr>
        <w:t xml:space="preserve">categories of regulations present special circumstances </w:t>
      </w:r>
      <w:r w:rsidRPr="00391598" w:rsidR="00FB5DD5">
        <w:rPr>
          <w:rFonts w:ascii="Times New Roman" w:hAnsi="Times New Roman"/>
          <w:sz w:val="20"/>
          <w:szCs w:val="20"/>
        </w:rPr>
        <w:t>as described by 5 CFR 1320.</w:t>
      </w:r>
      <w:r w:rsidRPr="00391598" w:rsidR="004F4F4E">
        <w:rPr>
          <w:rFonts w:ascii="Times New Roman" w:hAnsi="Times New Roman"/>
          <w:sz w:val="20"/>
          <w:szCs w:val="20"/>
        </w:rPr>
        <w:t>5</w:t>
      </w:r>
      <w:r w:rsidRPr="00391598" w:rsidR="006D4E59">
        <w:rPr>
          <w:rFonts w:ascii="Times New Roman" w:hAnsi="Times New Roman"/>
          <w:sz w:val="20"/>
          <w:szCs w:val="20"/>
        </w:rPr>
        <w:t>(d)</w:t>
      </w:r>
      <w:r w:rsidRPr="00391598" w:rsidR="00801DA3">
        <w:rPr>
          <w:rFonts w:ascii="Times New Roman" w:hAnsi="Times New Roman"/>
          <w:sz w:val="20"/>
          <w:szCs w:val="20"/>
        </w:rPr>
        <w:t>:</w:t>
      </w:r>
    </w:p>
    <w:p w:rsidR="004E2606" w:rsidRPr="00391598" w:rsidP="00EC1418" w14:paraId="5791C376" w14:textId="77777777">
      <w:pPr>
        <w:widowControl/>
        <w:rPr>
          <w:rFonts w:ascii="Times New Roman" w:hAnsi="Times New Roman"/>
          <w:sz w:val="20"/>
          <w:szCs w:val="20"/>
        </w:rPr>
      </w:pPr>
    </w:p>
    <w:p w:rsidR="004E2606" w:rsidRPr="00391598" w:rsidP="00EC1418" w14:paraId="0E045D16" w14:textId="0ACBE059">
      <w:pPr>
        <w:widowControl/>
        <w:rPr>
          <w:rFonts w:ascii="Times New Roman" w:hAnsi="Times New Roman"/>
          <w:sz w:val="20"/>
          <w:szCs w:val="20"/>
        </w:rPr>
      </w:pPr>
      <w:r w:rsidRPr="00391598">
        <w:rPr>
          <w:rFonts w:ascii="Times New Roman" w:hAnsi="Times New Roman"/>
          <w:i/>
          <w:sz w:val="20"/>
          <w:szCs w:val="20"/>
        </w:rPr>
        <w:t>Oil Measurement Tickets</w:t>
      </w:r>
    </w:p>
    <w:p w:rsidR="004E2606" w:rsidRPr="00391598" w:rsidP="00EC1418" w14:paraId="5873D8F3" w14:textId="77777777">
      <w:pPr>
        <w:widowControl/>
        <w:rPr>
          <w:rFonts w:ascii="Times New Roman" w:hAnsi="Times New Roman"/>
          <w:sz w:val="20"/>
          <w:szCs w:val="20"/>
        </w:rPr>
      </w:pPr>
    </w:p>
    <w:p w:rsidR="00BE4CE6" w:rsidRPr="00391598" w:rsidP="00BE4CE6" w14:paraId="6F56D8D0" w14:textId="77777777">
      <w:pPr>
        <w:ind w:left="-14" w:right="41"/>
        <w:rPr>
          <w:rFonts w:ascii="Times New Roman" w:hAnsi="Times New Roman"/>
          <w:sz w:val="20"/>
          <w:szCs w:val="20"/>
        </w:rPr>
      </w:pPr>
      <w:r w:rsidRPr="00391598">
        <w:rPr>
          <w:rFonts w:ascii="Times New Roman" w:hAnsi="Times New Roman"/>
          <w:sz w:val="20"/>
          <w:szCs w:val="20"/>
        </w:rPr>
        <w:t>At the beginning of every month, before conducting proving operations on a LACT system or CMS, the operator, purchaser, or transporter, as appropriate, must complete a uniquely numbered measurement ticket (i.e., run ticket), unless the operator is using a flow computer.  In addition, after measuring oil by tank gauging, the operator, purchaser, or transporter, as appropriate, must complete a uniquely numbered measurement ticket.  This second category of run tickets may be required more than once every quarter.</w:t>
      </w:r>
    </w:p>
    <w:p w:rsidR="00BE4CE6" w:rsidRPr="00391598" w:rsidP="00BE4CE6" w14:paraId="71C88B09" w14:textId="77777777">
      <w:pPr>
        <w:ind w:left="-14" w:right="41"/>
        <w:rPr>
          <w:rFonts w:ascii="Times New Roman" w:hAnsi="Times New Roman"/>
          <w:sz w:val="20"/>
          <w:szCs w:val="20"/>
        </w:rPr>
      </w:pPr>
    </w:p>
    <w:p w:rsidR="004E2606" w:rsidRPr="00391598" w:rsidP="002F46C3" w14:paraId="358AD2A1" w14:textId="17B663C0">
      <w:pPr>
        <w:rPr>
          <w:rFonts w:ascii="Times New Roman" w:hAnsi="Times New Roman"/>
          <w:sz w:val="20"/>
          <w:szCs w:val="20"/>
        </w:rPr>
      </w:pPr>
      <w:r w:rsidRPr="00391598">
        <w:rPr>
          <w:rFonts w:ascii="Times New Roman" w:hAnsi="Times New Roman"/>
          <w:sz w:val="20"/>
          <w:szCs w:val="20"/>
        </w:rPr>
        <w:t xml:space="preserve">These requirements are at 43 CFR 3174.12 (see final oil measurement rule, 81 FR at 81510).  </w:t>
      </w:r>
      <w:r w:rsidRPr="00391598">
        <w:rPr>
          <w:rFonts w:ascii="Times New Roman" w:hAnsi="Times New Roman"/>
          <w:sz w:val="20"/>
          <w:szCs w:val="20"/>
          <w:shd w:val="clear" w:color="auto" w:fill="FFFFFF"/>
        </w:rPr>
        <w:t xml:space="preserve">Run tickets are essential to </w:t>
      </w:r>
      <w:r w:rsidRPr="00391598" w:rsidR="008007A2">
        <w:rPr>
          <w:rFonts w:ascii="Times New Roman" w:hAnsi="Times New Roman"/>
          <w:sz w:val="20"/>
          <w:szCs w:val="20"/>
          <w:shd w:val="clear" w:color="auto" w:fill="FFFFFF"/>
        </w:rPr>
        <w:t>production accountability</w:t>
      </w:r>
      <w:r w:rsidRPr="00391598">
        <w:rPr>
          <w:rFonts w:ascii="Times New Roman" w:hAnsi="Times New Roman"/>
          <w:sz w:val="20"/>
          <w:szCs w:val="20"/>
          <w:shd w:val="clear" w:color="auto" w:fill="FFFFFF"/>
        </w:rPr>
        <w:t xml:space="preserve"> of onshore wells. They provide an accurate estimate of </w:t>
      </w:r>
      <w:r w:rsidRPr="00391598" w:rsidR="00472C6B">
        <w:rPr>
          <w:rFonts w:ascii="Times New Roman" w:hAnsi="Times New Roman"/>
          <w:sz w:val="20"/>
          <w:szCs w:val="20"/>
          <w:shd w:val="clear" w:color="auto" w:fill="FFFFFF"/>
        </w:rPr>
        <w:t xml:space="preserve">the volume of </w:t>
      </w:r>
      <w:r w:rsidRPr="00391598" w:rsidR="00837C8D">
        <w:rPr>
          <w:rFonts w:ascii="Times New Roman" w:hAnsi="Times New Roman"/>
          <w:sz w:val="20"/>
          <w:szCs w:val="20"/>
          <w:shd w:val="clear" w:color="auto" w:fill="FFFFFF"/>
        </w:rPr>
        <w:t>oil an</w:t>
      </w:r>
      <w:r w:rsidRPr="00391598">
        <w:rPr>
          <w:rFonts w:ascii="Times New Roman" w:hAnsi="Times New Roman"/>
          <w:sz w:val="20"/>
          <w:szCs w:val="20"/>
          <w:shd w:val="clear" w:color="auto" w:fill="FFFFFF"/>
        </w:rPr>
        <w:t xml:space="preserve"> </w:t>
      </w:r>
      <w:r w:rsidRPr="00391598" w:rsidR="00472C6B">
        <w:rPr>
          <w:rFonts w:ascii="Times New Roman" w:hAnsi="Times New Roman"/>
          <w:sz w:val="20"/>
          <w:szCs w:val="20"/>
          <w:shd w:val="clear" w:color="auto" w:fill="FFFFFF"/>
        </w:rPr>
        <w:t>oil and gas operator</w:t>
      </w:r>
      <w:r w:rsidRPr="00391598">
        <w:rPr>
          <w:rFonts w:ascii="Times New Roman" w:hAnsi="Times New Roman"/>
          <w:sz w:val="20"/>
          <w:szCs w:val="20"/>
          <w:shd w:val="clear" w:color="auto" w:fill="FFFFFF"/>
        </w:rPr>
        <w:t xml:space="preserve"> </w:t>
      </w:r>
      <w:r w:rsidRPr="00391598">
        <w:rPr>
          <w:rFonts w:ascii="Times New Roman" w:hAnsi="Times New Roman"/>
          <w:sz w:val="20"/>
          <w:szCs w:val="20"/>
          <w:shd w:val="clear" w:color="auto" w:fill="FFFFFF"/>
        </w:rPr>
        <w:t>is</w:t>
      </w:r>
      <w:r w:rsidRPr="00391598">
        <w:rPr>
          <w:rFonts w:ascii="Times New Roman" w:hAnsi="Times New Roman"/>
          <w:sz w:val="20"/>
          <w:szCs w:val="20"/>
          <w:shd w:val="clear" w:color="auto" w:fill="FFFFFF"/>
        </w:rPr>
        <w:t xml:space="preserve"> actually putting into a pipeline, and therefore what amount of payment </w:t>
      </w:r>
      <w:r w:rsidRPr="00391598" w:rsidR="002F46C3">
        <w:rPr>
          <w:rFonts w:ascii="Times New Roman" w:hAnsi="Times New Roman"/>
          <w:sz w:val="20"/>
          <w:szCs w:val="20"/>
          <w:shd w:val="clear" w:color="auto" w:fill="FFFFFF"/>
        </w:rPr>
        <w:t xml:space="preserve">the </w:t>
      </w:r>
      <w:r w:rsidRPr="00391598" w:rsidR="004D1A7A">
        <w:rPr>
          <w:rFonts w:ascii="Times New Roman" w:hAnsi="Times New Roman"/>
          <w:sz w:val="20"/>
          <w:szCs w:val="20"/>
          <w:shd w:val="clear" w:color="auto" w:fill="FFFFFF"/>
        </w:rPr>
        <w:t>operator</w:t>
      </w:r>
      <w:r w:rsidRPr="00391598" w:rsidR="002F46C3">
        <w:rPr>
          <w:rFonts w:ascii="Times New Roman" w:hAnsi="Times New Roman"/>
          <w:sz w:val="20"/>
          <w:szCs w:val="20"/>
          <w:shd w:val="clear" w:color="auto" w:fill="FFFFFF"/>
        </w:rPr>
        <w:t xml:space="preserve"> expects.  T</w:t>
      </w:r>
      <w:r w:rsidRPr="00391598">
        <w:rPr>
          <w:rFonts w:ascii="Times New Roman" w:hAnsi="Times New Roman"/>
          <w:sz w:val="20"/>
          <w:szCs w:val="20"/>
        </w:rPr>
        <w:t>he information in run tickets enables the BLM to verify the quantity and quality of oil removed from a lease during production audits.</w:t>
      </w:r>
    </w:p>
    <w:p w:rsidR="00801DA3" w:rsidRPr="00391598" w:rsidP="002F46C3" w14:paraId="29BF35CB" w14:textId="77777777">
      <w:pPr>
        <w:rPr>
          <w:rFonts w:ascii="Times New Roman" w:hAnsi="Times New Roman"/>
          <w:sz w:val="20"/>
          <w:szCs w:val="20"/>
        </w:rPr>
      </w:pPr>
    </w:p>
    <w:p w:rsidR="00BA5AC5" w:rsidRPr="00391598" w:rsidP="00980337" w14:paraId="7B9D7B5F" w14:textId="5DDCA1D1">
      <w:pPr>
        <w:widowControl/>
        <w:autoSpaceDE/>
        <w:autoSpaceDN/>
        <w:adjustRightInd/>
        <w:spacing w:after="4" w:line="228" w:lineRule="auto"/>
        <w:ind w:right="45"/>
        <w:rPr>
          <w:rFonts w:ascii="Times New Roman" w:hAnsi="Times New Roman"/>
          <w:sz w:val="20"/>
          <w:szCs w:val="20"/>
        </w:rPr>
      </w:pPr>
      <w:r w:rsidRPr="00391598">
        <w:rPr>
          <w:rFonts w:ascii="Times New Roman" w:hAnsi="Times New Roman"/>
          <w:sz w:val="20"/>
          <w:szCs w:val="20"/>
        </w:rPr>
        <w:t>The BLM requires</w:t>
      </w:r>
      <w:r w:rsidRPr="00391598" w:rsidR="00E07D2D">
        <w:rPr>
          <w:rFonts w:ascii="Times New Roman" w:hAnsi="Times New Roman"/>
          <w:sz w:val="20"/>
          <w:szCs w:val="20"/>
        </w:rPr>
        <w:t xml:space="preserve"> </w:t>
      </w:r>
      <w:r w:rsidRPr="00391598" w:rsidR="002E6A71">
        <w:rPr>
          <w:rFonts w:ascii="Times New Roman" w:hAnsi="Times New Roman"/>
          <w:sz w:val="20"/>
          <w:szCs w:val="20"/>
        </w:rPr>
        <w:t xml:space="preserve">measurement tickets or </w:t>
      </w:r>
      <w:r w:rsidRPr="00391598" w:rsidR="00E07D2D">
        <w:rPr>
          <w:rFonts w:ascii="Times New Roman" w:hAnsi="Times New Roman"/>
          <w:sz w:val="20"/>
          <w:szCs w:val="20"/>
        </w:rPr>
        <w:t xml:space="preserve">run tickets to </w:t>
      </w:r>
      <w:r w:rsidRPr="00391598" w:rsidR="002E6A71">
        <w:rPr>
          <w:rFonts w:ascii="Times New Roman" w:hAnsi="Times New Roman"/>
          <w:sz w:val="20"/>
          <w:szCs w:val="20"/>
        </w:rPr>
        <w:t xml:space="preserve">account for the oil sold from Federal and Indian </w:t>
      </w:r>
      <w:r w:rsidRPr="00391598" w:rsidR="006832BF">
        <w:rPr>
          <w:rFonts w:ascii="Times New Roman" w:hAnsi="Times New Roman"/>
          <w:sz w:val="20"/>
          <w:szCs w:val="20"/>
        </w:rPr>
        <w:t>leases, unit PAs, or CAs. These tickets provide a means for BLM to verify</w:t>
      </w:r>
      <w:r w:rsidRPr="00391598" w:rsidR="00256320">
        <w:rPr>
          <w:rFonts w:ascii="Times New Roman" w:hAnsi="Times New Roman"/>
          <w:sz w:val="20"/>
          <w:szCs w:val="20"/>
        </w:rPr>
        <w:t xml:space="preserve"> and audit</w:t>
      </w:r>
      <w:r w:rsidRPr="00391598" w:rsidR="006832BF">
        <w:rPr>
          <w:rFonts w:ascii="Times New Roman" w:hAnsi="Times New Roman"/>
          <w:sz w:val="20"/>
          <w:szCs w:val="20"/>
        </w:rPr>
        <w:t xml:space="preserve"> the volumes reported on the O</w:t>
      </w:r>
      <w:r w:rsidRPr="00391598" w:rsidR="00EC6300">
        <w:rPr>
          <w:rFonts w:ascii="Times New Roman" w:hAnsi="Times New Roman"/>
          <w:sz w:val="20"/>
          <w:szCs w:val="20"/>
        </w:rPr>
        <w:t>NRR’s Oil and Gas Operations Report (OGOR)</w:t>
      </w:r>
      <w:r w:rsidRPr="00391598" w:rsidR="00256320">
        <w:rPr>
          <w:rFonts w:ascii="Times New Roman" w:hAnsi="Times New Roman"/>
          <w:sz w:val="20"/>
          <w:szCs w:val="20"/>
        </w:rPr>
        <w:t xml:space="preserve">, the basis for royalty calculations. </w:t>
      </w:r>
      <w:r w:rsidRPr="00391598" w:rsidR="0068324B">
        <w:rPr>
          <w:rFonts w:ascii="Times New Roman" w:hAnsi="Times New Roman"/>
          <w:sz w:val="20"/>
          <w:szCs w:val="20"/>
        </w:rPr>
        <w:t xml:space="preserve">Discrepancies between the volume and quality of oil reported on the measurement tickets and the </w:t>
      </w:r>
      <w:r w:rsidRPr="00391598" w:rsidR="00286F7B">
        <w:rPr>
          <w:rFonts w:ascii="Times New Roman" w:hAnsi="Times New Roman"/>
          <w:sz w:val="20"/>
          <w:szCs w:val="20"/>
        </w:rPr>
        <w:t xml:space="preserve">volume and quality of oil reported on the OGOR may warrant further investigation by either the BLM </w:t>
      </w:r>
      <w:r w:rsidRPr="00391598" w:rsidR="00D84684">
        <w:rPr>
          <w:rFonts w:ascii="Times New Roman" w:hAnsi="Times New Roman"/>
          <w:sz w:val="20"/>
          <w:szCs w:val="20"/>
        </w:rPr>
        <w:t xml:space="preserve">and/or ONRR. </w:t>
      </w:r>
      <w:r w:rsidRPr="00391598" w:rsidR="001D5D04">
        <w:rPr>
          <w:rFonts w:ascii="Times New Roman" w:hAnsi="Times New Roman"/>
          <w:sz w:val="20"/>
          <w:szCs w:val="20"/>
        </w:rPr>
        <w:t>A m</w:t>
      </w:r>
      <w:r w:rsidRPr="00391598" w:rsidR="00D84684">
        <w:rPr>
          <w:rFonts w:ascii="Times New Roman" w:hAnsi="Times New Roman"/>
          <w:sz w:val="20"/>
          <w:szCs w:val="20"/>
        </w:rPr>
        <w:t>easurement ticket</w:t>
      </w:r>
      <w:r w:rsidRPr="00391598" w:rsidR="001D5D04">
        <w:rPr>
          <w:rFonts w:ascii="Times New Roman" w:hAnsi="Times New Roman"/>
          <w:sz w:val="20"/>
          <w:szCs w:val="20"/>
        </w:rPr>
        <w:t xml:space="preserve"> is a</w:t>
      </w:r>
      <w:r w:rsidRPr="00391598" w:rsidR="00D84684">
        <w:rPr>
          <w:rFonts w:ascii="Times New Roman" w:hAnsi="Times New Roman"/>
          <w:sz w:val="20"/>
          <w:szCs w:val="20"/>
        </w:rPr>
        <w:t xml:space="preserve"> “source record” </w:t>
      </w:r>
      <w:r w:rsidRPr="00391598" w:rsidR="001D5D04">
        <w:rPr>
          <w:rFonts w:ascii="Times New Roman" w:hAnsi="Times New Roman"/>
          <w:sz w:val="20"/>
          <w:szCs w:val="20"/>
        </w:rPr>
        <w:t>(See 43 CFR 317</w:t>
      </w:r>
      <w:r w:rsidRPr="00391598" w:rsidR="00E50071">
        <w:rPr>
          <w:rFonts w:ascii="Times New Roman" w:hAnsi="Times New Roman"/>
          <w:sz w:val="20"/>
          <w:szCs w:val="20"/>
        </w:rPr>
        <w:t xml:space="preserve">0.3) and the </w:t>
      </w:r>
      <w:r w:rsidRPr="00391598" w:rsidR="003E613B">
        <w:rPr>
          <w:rFonts w:ascii="Times New Roman" w:hAnsi="Times New Roman"/>
          <w:sz w:val="20"/>
          <w:szCs w:val="20"/>
        </w:rPr>
        <w:t xml:space="preserve">foundation of the calculation for the oil royalty obligation. </w:t>
      </w:r>
    </w:p>
    <w:p w:rsidR="00BA5AC5" w:rsidRPr="00391598" w:rsidP="00837C8D" w14:paraId="6392D828" w14:textId="262762D5">
      <w:pPr>
        <w:widowControl/>
        <w:autoSpaceDE/>
        <w:autoSpaceDN/>
        <w:adjustRightInd/>
        <w:ind w:right="43"/>
        <w:rPr>
          <w:rFonts w:ascii="Times New Roman" w:hAnsi="Times New Roman"/>
          <w:i/>
          <w:iCs/>
          <w:sz w:val="20"/>
          <w:szCs w:val="20"/>
        </w:rPr>
      </w:pPr>
      <w:r w:rsidRPr="00391598">
        <w:rPr>
          <w:rFonts w:ascii="Times New Roman" w:hAnsi="Times New Roman"/>
          <w:i/>
          <w:iCs/>
          <w:sz w:val="20"/>
          <w:szCs w:val="20"/>
        </w:rPr>
        <w:t>Recordkeeping</w:t>
      </w:r>
      <w:r w:rsidRPr="00391598" w:rsidR="00495056">
        <w:rPr>
          <w:rFonts w:ascii="Times New Roman" w:hAnsi="Times New Roman"/>
          <w:i/>
          <w:iCs/>
          <w:sz w:val="20"/>
          <w:szCs w:val="20"/>
        </w:rPr>
        <w:t xml:space="preserve"> and Records Retention</w:t>
      </w:r>
      <w:r w:rsidRPr="00391598">
        <w:rPr>
          <w:rFonts w:ascii="Times New Roman" w:hAnsi="Times New Roman"/>
          <w:i/>
          <w:iCs/>
          <w:sz w:val="20"/>
          <w:szCs w:val="20"/>
        </w:rPr>
        <w:t xml:space="preserve"> 43 CFR 3170.7</w:t>
      </w:r>
    </w:p>
    <w:p w:rsidR="00BA5AC5" w:rsidRPr="00391598" w:rsidP="00BA5AC5" w14:paraId="137B5F0F" w14:textId="77777777">
      <w:pPr>
        <w:pStyle w:val="NormalWeb"/>
        <w:tabs>
          <w:tab w:val="left" w:pos="360"/>
          <w:tab w:val="left" w:pos="630"/>
        </w:tabs>
        <w:spacing w:before="0" w:beforeAutospacing="0" w:after="0" w:afterAutospacing="0"/>
        <w:rPr>
          <w:sz w:val="20"/>
          <w:szCs w:val="20"/>
        </w:rPr>
      </w:pPr>
    </w:p>
    <w:p w:rsidR="00BD3016" w:rsidRPr="00391598" w:rsidP="00A2280F" w14:paraId="7EFA84D5" w14:textId="5F3D2844">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records retention requirements at 43 CFR 3170.7 apply not only to operators, but also to </w:t>
      </w:r>
      <w:r w:rsidRPr="00391598" w:rsidR="00A2280F">
        <w:rPr>
          <w:rFonts w:ascii="Times New Roman" w:hAnsi="Times New Roman"/>
          <w:sz w:val="20"/>
          <w:szCs w:val="20"/>
        </w:rPr>
        <w:t>l</w:t>
      </w:r>
      <w:r w:rsidRPr="00391598">
        <w:rPr>
          <w:rFonts w:ascii="Times New Roman" w:hAnsi="Times New Roman"/>
          <w:sz w:val="20"/>
          <w:szCs w:val="20"/>
        </w:rPr>
        <w:t>essees, operators, purchasers, transporters, and any other person directly involved in producing, transporting, purchasing, selling, or measuring oil or gas through the point of royalty measurement or the point of first sale, whichever is later</w:t>
      </w:r>
      <w:r w:rsidRPr="00391598" w:rsidR="00A2280F">
        <w:rPr>
          <w:rFonts w:ascii="Times New Roman" w:hAnsi="Times New Roman"/>
          <w:sz w:val="20"/>
          <w:szCs w:val="20"/>
        </w:rPr>
        <w:t>.  These persons</w:t>
      </w:r>
      <w:r w:rsidRPr="00391598">
        <w:rPr>
          <w:rFonts w:ascii="Times New Roman" w:hAnsi="Times New Roman"/>
          <w:sz w:val="20"/>
          <w:szCs w:val="20"/>
        </w:rPr>
        <w:t xml:space="preserve"> must retain all records, including source records, that are relevant to determining the quality, quantity, disposition, and verification of production attributable to Federal or Indian leases for </w:t>
      </w:r>
      <w:r w:rsidRPr="00391598" w:rsidR="000B7A68">
        <w:rPr>
          <w:rFonts w:ascii="Times New Roman" w:hAnsi="Times New Roman"/>
          <w:sz w:val="20"/>
          <w:szCs w:val="20"/>
        </w:rPr>
        <w:t>periods ran</w:t>
      </w:r>
      <w:r w:rsidRPr="00391598" w:rsidR="003868B8">
        <w:rPr>
          <w:rFonts w:ascii="Times New Roman" w:hAnsi="Times New Roman"/>
          <w:sz w:val="20"/>
          <w:szCs w:val="20"/>
        </w:rPr>
        <w:t xml:space="preserve">ging from 6 to 7 years as prescribed by </w:t>
      </w:r>
      <w:r w:rsidRPr="00391598">
        <w:rPr>
          <w:rFonts w:ascii="Times New Roman" w:hAnsi="Times New Roman"/>
          <w:sz w:val="20"/>
          <w:szCs w:val="20"/>
        </w:rPr>
        <w:t>paragraphs (</w:t>
      </w:r>
      <w:r w:rsidRPr="00391598" w:rsidR="005C4224">
        <w:rPr>
          <w:rFonts w:ascii="Times New Roman" w:hAnsi="Times New Roman"/>
          <w:sz w:val="20"/>
          <w:szCs w:val="20"/>
        </w:rPr>
        <w:t>c) through (e) of this section.</w:t>
      </w:r>
    </w:p>
    <w:p w:rsidR="00086098" w:rsidRPr="00391598" w:rsidP="00DE765A" w14:paraId="7F9037EA" w14:textId="77777777">
      <w:pPr>
        <w:widowControl/>
        <w:autoSpaceDE/>
        <w:autoSpaceDN/>
        <w:adjustRightInd/>
        <w:rPr>
          <w:rFonts w:ascii="Times New Roman" w:hAnsi="Times New Roman"/>
          <w:sz w:val="20"/>
          <w:szCs w:val="20"/>
        </w:rPr>
      </w:pPr>
    </w:p>
    <w:p w:rsidR="00086098" w:rsidRPr="00391598" w:rsidP="00DE765A" w14:paraId="5ABE0038" w14:textId="53DDFFD1">
      <w:pPr>
        <w:widowControl/>
        <w:autoSpaceDE/>
        <w:autoSpaceDN/>
        <w:adjustRightInd/>
        <w:rPr>
          <w:rFonts w:ascii="Times New Roman" w:hAnsi="Times New Roman"/>
          <w:sz w:val="20"/>
          <w:szCs w:val="20"/>
        </w:rPr>
      </w:pPr>
      <w:r w:rsidRPr="00391598">
        <w:rPr>
          <w:rFonts w:ascii="Times New Roman" w:hAnsi="Times New Roman"/>
          <w:sz w:val="20"/>
          <w:szCs w:val="20"/>
        </w:rPr>
        <w:t xml:space="preserve">The BLM needs this information </w:t>
      </w:r>
      <w:r w:rsidRPr="00391598">
        <w:rPr>
          <w:rFonts w:ascii="Times New Roman" w:hAnsi="Times New Roman"/>
          <w:sz w:val="20"/>
          <w:szCs w:val="20"/>
        </w:rPr>
        <w:t>in order to</w:t>
      </w:r>
      <w:r w:rsidRPr="00391598">
        <w:rPr>
          <w:rFonts w:ascii="Times New Roman" w:hAnsi="Times New Roman"/>
          <w:sz w:val="20"/>
          <w:szCs w:val="20"/>
        </w:rPr>
        <w:t xml:space="preserve"> monitor oil and gas operations in accordance with its statutory </w:t>
      </w:r>
      <w:r w:rsidRPr="00391598" w:rsidR="00AF5F4C">
        <w:rPr>
          <w:rFonts w:ascii="Times New Roman" w:hAnsi="Times New Roman"/>
          <w:sz w:val="20"/>
          <w:szCs w:val="20"/>
        </w:rPr>
        <w:t>obligations. The</w:t>
      </w:r>
      <w:r w:rsidRPr="00391598" w:rsidR="00A03DA2">
        <w:rPr>
          <w:rFonts w:ascii="Times New Roman" w:hAnsi="Times New Roman"/>
          <w:sz w:val="20"/>
          <w:szCs w:val="20"/>
        </w:rPr>
        <w:t xml:space="preserve"> BLM’s records retention requirements for Federal </w:t>
      </w:r>
      <w:r w:rsidRPr="00391598" w:rsidR="00775024">
        <w:rPr>
          <w:rFonts w:ascii="Times New Roman" w:hAnsi="Times New Roman"/>
          <w:sz w:val="20"/>
          <w:szCs w:val="20"/>
        </w:rPr>
        <w:t>oil and gas leases reflect the ones established in the 1996 amendments to the Federal Oil and Gas Royalty Management Act</w:t>
      </w:r>
      <w:r w:rsidRPr="00391598" w:rsidR="00B47632">
        <w:rPr>
          <w:rFonts w:ascii="Times New Roman" w:hAnsi="Times New Roman"/>
          <w:sz w:val="20"/>
          <w:szCs w:val="20"/>
        </w:rPr>
        <w:t xml:space="preserve"> (FOGRMA)</w:t>
      </w:r>
      <w:r w:rsidRPr="00391598" w:rsidR="008F63ED">
        <w:rPr>
          <w:rFonts w:ascii="Times New Roman" w:hAnsi="Times New Roman"/>
          <w:sz w:val="20"/>
          <w:szCs w:val="20"/>
        </w:rPr>
        <w:t>.</w:t>
      </w:r>
      <w:r>
        <w:rPr>
          <w:rStyle w:val="FootnoteReference"/>
          <w:rFonts w:ascii="Times New Roman" w:hAnsi="Times New Roman"/>
          <w:sz w:val="20"/>
          <w:szCs w:val="20"/>
        </w:rPr>
        <w:footnoteReference w:id="5"/>
      </w:r>
      <w:r w:rsidRPr="00391598" w:rsidR="009F4B4D">
        <w:rPr>
          <w:rFonts w:ascii="Times New Roman" w:hAnsi="Times New Roman"/>
          <w:sz w:val="20"/>
          <w:szCs w:val="20"/>
        </w:rPr>
        <w:t xml:space="preserve"> </w:t>
      </w:r>
      <w:r w:rsidRPr="00391598" w:rsidR="00D0066E">
        <w:rPr>
          <w:rFonts w:ascii="Times New Roman" w:hAnsi="Times New Roman"/>
          <w:sz w:val="20"/>
          <w:szCs w:val="20"/>
        </w:rPr>
        <w:t>The BLM bases its requirement to retain records under</w:t>
      </w:r>
      <w:r w:rsidRPr="00391598" w:rsidR="00051F55">
        <w:rPr>
          <w:rFonts w:ascii="Times New Roman" w:hAnsi="Times New Roman"/>
          <w:sz w:val="20"/>
          <w:szCs w:val="20"/>
        </w:rPr>
        <w:t xml:space="preserve"> </w:t>
      </w:r>
      <w:r w:rsidRPr="00391598" w:rsidR="00D0066E">
        <w:rPr>
          <w:rFonts w:ascii="Times New Roman" w:hAnsi="Times New Roman"/>
          <w:sz w:val="20"/>
          <w:szCs w:val="20"/>
        </w:rPr>
        <w:t>specific</w:t>
      </w:r>
      <w:r w:rsidRPr="00391598" w:rsidR="004A0B3A">
        <w:rPr>
          <w:rFonts w:ascii="Times New Roman" w:hAnsi="Times New Roman"/>
          <w:sz w:val="20"/>
          <w:szCs w:val="20"/>
        </w:rPr>
        <w:t xml:space="preserve"> </w:t>
      </w:r>
      <w:r w:rsidRPr="00391598" w:rsidR="00B47632">
        <w:rPr>
          <w:rFonts w:ascii="Times New Roman" w:hAnsi="Times New Roman"/>
          <w:sz w:val="20"/>
          <w:szCs w:val="20"/>
        </w:rPr>
        <w:t>circumstances beyond</w:t>
      </w:r>
      <w:r w:rsidRPr="00391598" w:rsidR="00051F55">
        <w:rPr>
          <w:rFonts w:ascii="Times New Roman" w:hAnsi="Times New Roman"/>
          <w:sz w:val="20"/>
          <w:szCs w:val="20"/>
        </w:rPr>
        <w:t xml:space="preserve"> 7 years</w:t>
      </w:r>
      <w:r w:rsidRPr="00391598" w:rsidR="00793911">
        <w:rPr>
          <w:rFonts w:ascii="Times New Roman" w:hAnsi="Times New Roman"/>
          <w:sz w:val="20"/>
          <w:szCs w:val="20"/>
        </w:rPr>
        <w:t xml:space="preserve"> </w:t>
      </w:r>
      <w:r w:rsidRPr="00391598" w:rsidR="002A3F7C">
        <w:rPr>
          <w:rFonts w:ascii="Times New Roman" w:hAnsi="Times New Roman"/>
          <w:sz w:val="20"/>
          <w:szCs w:val="20"/>
        </w:rPr>
        <w:t>o</w:t>
      </w:r>
      <w:r w:rsidRPr="00391598" w:rsidR="00793911">
        <w:rPr>
          <w:rFonts w:ascii="Times New Roman" w:hAnsi="Times New Roman"/>
          <w:sz w:val="20"/>
          <w:szCs w:val="20"/>
        </w:rPr>
        <w:t>n 30 U.S.C. 1724(f)</w:t>
      </w:r>
      <w:r w:rsidRPr="00391598" w:rsidR="00B47632">
        <w:rPr>
          <w:rFonts w:ascii="Times New Roman" w:hAnsi="Times New Roman"/>
          <w:sz w:val="20"/>
          <w:szCs w:val="20"/>
        </w:rPr>
        <w:t xml:space="preserve">, as required under FOGRMA. </w:t>
      </w:r>
      <w:r w:rsidRPr="00391598" w:rsidR="00E66EE9">
        <w:rPr>
          <w:rFonts w:ascii="Times New Roman" w:hAnsi="Times New Roman"/>
          <w:sz w:val="20"/>
          <w:szCs w:val="20"/>
        </w:rPr>
        <w:t xml:space="preserve">The requirement to retain Indian records for </w:t>
      </w:r>
      <w:r w:rsidRPr="00391598" w:rsidR="00854850">
        <w:rPr>
          <w:rFonts w:ascii="Times New Roman" w:hAnsi="Times New Roman"/>
          <w:sz w:val="20"/>
          <w:szCs w:val="20"/>
        </w:rPr>
        <w:t>6 years is also based on FOGRMA</w:t>
      </w:r>
      <w:r w:rsidRPr="00391598" w:rsidR="001F6179">
        <w:rPr>
          <w:rFonts w:ascii="Times New Roman" w:hAnsi="Times New Roman"/>
          <w:sz w:val="20"/>
          <w:szCs w:val="20"/>
        </w:rPr>
        <w:t xml:space="preserve">. See </w:t>
      </w:r>
      <w:r w:rsidRPr="00391598" w:rsidR="00645623">
        <w:rPr>
          <w:rFonts w:ascii="Times New Roman" w:hAnsi="Times New Roman"/>
          <w:sz w:val="20"/>
          <w:szCs w:val="20"/>
        </w:rPr>
        <w:t>30 U.S.C. 1713(b).</w:t>
      </w:r>
    </w:p>
    <w:p w:rsidR="00EC1418" w:rsidRPr="00391598" w:rsidP="00A2280F" w14:paraId="461B5A0E" w14:textId="77777777">
      <w:pPr>
        <w:tabs>
          <w:tab w:val="left" w:pos="360"/>
          <w:tab w:val="left" w:pos="630"/>
        </w:tabs>
        <w:rPr>
          <w:rFonts w:ascii="Times New Roman" w:hAnsi="Times New Roman"/>
          <w:sz w:val="20"/>
          <w:szCs w:val="20"/>
        </w:rPr>
      </w:pPr>
    </w:p>
    <w:p w:rsidR="00D6689D" w:rsidRPr="00391598" w:rsidP="00D6689D" w14:paraId="225AB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8.</w:t>
      </w:r>
      <w:r w:rsidRPr="00391598">
        <w:rPr>
          <w:rFonts w:ascii="Times New Roman" w:hAnsi="Times New Roman"/>
          <w:b/>
          <w:sz w:val="20"/>
          <w:szCs w:val="20"/>
        </w:rPr>
        <w:tab/>
        <w:t xml:space="preserve">If applicable, provide a copy and identify the date and page number of </w:t>
      </w:r>
      <w:r w:rsidRPr="00391598">
        <w:rPr>
          <w:rFonts w:ascii="Times New Roman" w:hAnsi="Times New Roman"/>
          <w:b/>
          <w:sz w:val="20"/>
          <w:szCs w:val="20"/>
        </w:rPr>
        <w:t>publication</w:t>
      </w:r>
      <w:r w:rsidRPr="00391598">
        <w:rPr>
          <w:rFonts w:ascii="Times New Roman" w:hAnsi="Times New Roman"/>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D6689D" w:rsidRPr="00391598" w:rsidP="00D6689D" w14:paraId="0C83F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391598" w:rsidP="00D6689D" w14:paraId="3CEBB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391598">
        <w:rPr>
          <w:rFonts w:ascii="Times New Roman" w:hAnsi="Times New Roman"/>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689D" w:rsidRPr="00391598" w:rsidP="00D6689D" w14:paraId="39AFF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D6689D" w:rsidRPr="00391598" w:rsidP="00D6689D" w14:paraId="2DCA4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0"/>
          <w:szCs w:val="20"/>
        </w:rPr>
      </w:pPr>
      <w:r w:rsidRPr="00391598">
        <w:rPr>
          <w:rFonts w:ascii="Times New Roman" w:hAnsi="Times New Roman"/>
          <w:b/>
          <w:sz w:val="20"/>
          <w:szCs w:val="20"/>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6689D" w:rsidRPr="00391598" w:rsidP="00884A6D" w14:paraId="4394844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651610" w:rsidRPr="00391598" w:rsidP="00651610" w14:paraId="33A40FA8" w14:textId="5584DC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391598">
        <w:rPr>
          <w:rFonts w:ascii="Times New Roman" w:hAnsi="Times New Roman"/>
          <w:sz w:val="20"/>
          <w:szCs w:val="20"/>
        </w:rPr>
        <w:t xml:space="preserve">On </w:t>
      </w:r>
      <w:r w:rsidR="00327AAA">
        <w:rPr>
          <w:rFonts w:ascii="Times New Roman" w:hAnsi="Times New Roman"/>
          <w:sz w:val="20"/>
          <w:szCs w:val="20"/>
        </w:rPr>
        <w:t>August 28</w:t>
      </w:r>
      <w:r w:rsidRPr="00391598" w:rsidR="00274C17">
        <w:rPr>
          <w:rFonts w:ascii="Times New Roman" w:hAnsi="Times New Roman"/>
          <w:sz w:val="20"/>
          <w:szCs w:val="20"/>
        </w:rPr>
        <w:t>,</w:t>
      </w:r>
      <w:r w:rsidRPr="00391598">
        <w:rPr>
          <w:rFonts w:ascii="Times New Roman" w:hAnsi="Times New Roman"/>
          <w:sz w:val="20"/>
          <w:szCs w:val="20"/>
        </w:rPr>
        <w:t xml:space="preserve"> </w:t>
      </w:r>
      <w:r w:rsidRPr="00391598" w:rsidR="007D0CC8">
        <w:rPr>
          <w:rFonts w:ascii="Times New Roman" w:hAnsi="Times New Roman"/>
          <w:sz w:val="20"/>
          <w:szCs w:val="20"/>
        </w:rPr>
        <w:t>2024</w:t>
      </w:r>
      <w:r w:rsidR="00DA437D">
        <w:rPr>
          <w:rFonts w:ascii="Times New Roman" w:hAnsi="Times New Roman"/>
          <w:sz w:val="20"/>
          <w:szCs w:val="20"/>
        </w:rPr>
        <w:t>,</w:t>
      </w:r>
      <w:r w:rsidRPr="00391598" w:rsidR="007D0CC8">
        <w:rPr>
          <w:rFonts w:ascii="Times New Roman" w:hAnsi="Times New Roman"/>
          <w:sz w:val="20"/>
          <w:szCs w:val="20"/>
        </w:rPr>
        <w:t xml:space="preserve"> </w:t>
      </w:r>
      <w:r w:rsidRPr="00391598">
        <w:rPr>
          <w:rFonts w:ascii="Times New Roman" w:hAnsi="Times New Roman"/>
          <w:sz w:val="20"/>
          <w:szCs w:val="20"/>
        </w:rPr>
        <w:t xml:space="preserve">the BLM published a </w:t>
      </w:r>
      <w:r w:rsidRPr="00391598">
        <w:rPr>
          <w:rFonts w:ascii="Times New Roman" w:hAnsi="Times New Roman"/>
          <w:i/>
          <w:iCs/>
          <w:sz w:val="20"/>
          <w:szCs w:val="20"/>
        </w:rPr>
        <w:t>Federal Register</w:t>
      </w:r>
      <w:r w:rsidRPr="00391598">
        <w:rPr>
          <w:rFonts w:ascii="Times New Roman" w:hAnsi="Times New Roman"/>
          <w:sz w:val="20"/>
          <w:szCs w:val="20"/>
        </w:rPr>
        <w:t xml:space="preserve"> notice soliciting comments for a period of 60 days on this collection of information (</w:t>
      </w:r>
      <w:r w:rsidRPr="00391598" w:rsidR="002306FE">
        <w:rPr>
          <w:rFonts w:ascii="Times New Roman" w:hAnsi="Times New Roman"/>
          <w:sz w:val="20"/>
          <w:szCs w:val="20"/>
        </w:rPr>
        <w:t xml:space="preserve">89 </w:t>
      </w:r>
      <w:r w:rsidRPr="00391598">
        <w:rPr>
          <w:rFonts w:ascii="Times New Roman" w:hAnsi="Times New Roman"/>
          <w:sz w:val="20"/>
          <w:szCs w:val="20"/>
        </w:rPr>
        <w:t xml:space="preserve">FR </w:t>
      </w:r>
      <w:r w:rsidRPr="00A907EC" w:rsidR="00A907EC">
        <w:rPr>
          <w:rFonts w:ascii="Times New Roman" w:hAnsi="Times New Roman"/>
          <w:sz w:val="20"/>
          <w:szCs w:val="20"/>
        </w:rPr>
        <w:t>68923</w:t>
      </w:r>
      <w:r w:rsidRPr="00391598">
        <w:rPr>
          <w:rFonts w:ascii="Times New Roman" w:hAnsi="Times New Roman"/>
          <w:sz w:val="20"/>
          <w:szCs w:val="20"/>
        </w:rPr>
        <w:t xml:space="preserve">).  The comment period closed on </w:t>
      </w:r>
      <w:r w:rsidR="00DA437D">
        <w:rPr>
          <w:rFonts w:ascii="Times New Roman" w:hAnsi="Times New Roman"/>
          <w:sz w:val="20"/>
          <w:szCs w:val="20"/>
        </w:rPr>
        <w:t>October 28</w:t>
      </w:r>
      <w:r w:rsidRPr="00391598" w:rsidR="007D0CC8">
        <w:rPr>
          <w:rFonts w:ascii="Times New Roman" w:hAnsi="Times New Roman"/>
          <w:sz w:val="20"/>
          <w:szCs w:val="20"/>
        </w:rPr>
        <w:t>, 2024</w:t>
      </w:r>
      <w:r w:rsidRPr="00391598">
        <w:rPr>
          <w:rFonts w:ascii="Times New Roman" w:hAnsi="Times New Roman"/>
          <w:sz w:val="20"/>
          <w:szCs w:val="20"/>
        </w:rPr>
        <w:t>. No comments were received in response to this</w:t>
      </w:r>
      <w:r w:rsidR="00DA437D">
        <w:rPr>
          <w:rFonts w:ascii="Times New Roman" w:hAnsi="Times New Roman"/>
          <w:sz w:val="20"/>
          <w:szCs w:val="20"/>
        </w:rPr>
        <w:t xml:space="preserve"> notice</w:t>
      </w:r>
      <w:r w:rsidRPr="00391598" w:rsidR="00F00B23">
        <w:rPr>
          <w:rFonts w:ascii="Times New Roman" w:hAnsi="Times New Roman"/>
          <w:sz w:val="20"/>
          <w:szCs w:val="20"/>
        </w:rPr>
        <w:t>.</w:t>
      </w:r>
    </w:p>
    <w:p w:rsidR="00651610" w:rsidRPr="00391598" w:rsidP="00651610" w14:paraId="37F974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p>
    <w:p w:rsidR="00651610" w:rsidRPr="00391598" w:rsidP="00651610" w14:paraId="7801BA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sz w:val="20"/>
          <w:szCs w:val="20"/>
        </w:rPr>
      </w:pPr>
      <w:r w:rsidRPr="00391598">
        <w:rPr>
          <w:rFonts w:ascii="Times New Roman" w:hAnsi="Times New Roman"/>
          <w:sz w:val="20"/>
          <w:szCs w:val="20"/>
        </w:rPr>
        <w:t>Additionally, as required by 5 CFR 1320.5(a)(1)(iv), BLM publish</w:t>
      </w:r>
      <w:r w:rsidRPr="00391598" w:rsidR="00274C17">
        <w:rPr>
          <w:rFonts w:ascii="Times New Roman" w:hAnsi="Times New Roman"/>
          <w:sz w:val="20"/>
          <w:szCs w:val="20"/>
        </w:rPr>
        <w:t>ed</w:t>
      </w:r>
      <w:r w:rsidRPr="00391598">
        <w:rPr>
          <w:rFonts w:ascii="Times New Roman" w:hAnsi="Times New Roman"/>
          <w:sz w:val="20"/>
          <w:szCs w:val="20"/>
        </w:rPr>
        <w:t xml:space="preserve"> a notice in the Federal Register </w:t>
      </w:r>
      <w:r w:rsidRPr="00391598">
        <w:rPr>
          <w:rFonts w:ascii="Times New Roman" w:hAnsi="Times New Roman"/>
          <w:sz w:val="20"/>
          <w:szCs w:val="20"/>
        </w:rPr>
        <w:t>announcing the submission of this request to OMB and allowing the public 30 days to send comments on the proposed extension of this OMB number to OMB.</w:t>
      </w:r>
    </w:p>
    <w:p w:rsidR="001649F0" w:rsidRPr="00391598" w:rsidP="0064408F" w14:paraId="755BB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64408F" w:rsidRPr="00391598" w:rsidP="0064408F" w14:paraId="5BCA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64408F" w:rsidRPr="00391598" w:rsidP="0064408F" w14:paraId="03B3319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E600B" w:rsidRPr="001071D1" w:rsidP="002E600B" w14:paraId="572FC851" w14:textId="2B16C0D7">
      <w:pPr>
        <w:numPr>
          <w:ilvl w:val="0"/>
          <w:numId w:val="32"/>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071D1">
        <w:rPr>
          <w:rFonts w:ascii="Times New Roman" w:hAnsi="Times New Roman"/>
          <w:sz w:val="20"/>
          <w:szCs w:val="20"/>
        </w:rPr>
        <w:t>Marathon - Dickinson, ND</w:t>
      </w:r>
    </w:p>
    <w:p w:rsidR="002E600B" w:rsidRPr="001071D1" w:rsidP="002E600B" w14:paraId="24FE5A74" w14:textId="22C2ED52">
      <w:pPr>
        <w:numPr>
          <w:ilvl w:val="0"/>
          <w:numId w:val="32"/>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071D1">
        <w:rPr>
          <w:rFonts w:ascii="Times New Roman" w:hAnsi="Times New Roman"/>
          <w:sz w:val="20"/>
          <w:szCs w:val="20"/>
        </w:rPr>
        <w:t>Devon - Oklahoma City, OK</w:t>
      </w:r>
    </w:p>
    <w:p w:rsidR="002E600B" w:rsidRPr="001071D1" w:rsidP="002E600B" w14:paraId="67483F34" w14:textId="1330AF17">
      <w:pPr>
        <w:numPr>
          <w:ilvl w:val="0"/>
          <w:numId w:val="32"/>
        </w:num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1071D1">
        <w:rPr>
          <w:rFonts w:ascii="Times New Roman" w:hAnsi="Times New Roman"/>
          <w:sz w:val="20"/>
          <w:szCs w:val="20"/>
        </w:rPr>
        <w:t>Hilcorp - Houston, TX</w:t>
      </w:r>
    </w:p>
    <w:p w:rsidR="00237E9B" w:rsidRPr="00391598" w:rsidP="0064408F" w14:paraId="583CA35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237E9B" w:rsidP="0064408F" w14:paraId="29536D2B" w14:textId="4B4688D1">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One respondent believes the</w:t>
      </w:r>
      <w:r w:rsidR="00AF51EF">
        <w:rPr>
          <w:rFonts w:ascii="Times New Roman" w:hAnsi="Times New Roman"/>
          <w:sz w:val="20"/>
          <w:szCs w:val="20"/>
        </w:rPr>
        <w:t xml:space="preserve"> BLM’s</w:t>
      </w:r>
      <w:r>
        <w:rPr>
          <w:rFonts w:ascii="Times New Roman" w:hAnsi="Times New Roman"/>
          <w:sz w:val="20"/>
          <w:szCs w:val="20"/>
        </w:rPr>
        <w:t xml:space="preserve"> hourly burden</w:t>
      </w:r>
      <w:r w:rsidR="00AF51EF">
        <w:rPr>
          <w:rFonts w:ascii="Times New Roman" w:hAnsi="Times New Roman"/>
          <w:sz w:val="20"/>
          <w:szCs w:val="20"/>
        </w:rPr>
        <w:t xml:space="preserve"> estimate</w:t>
      </w:r>
      <w:r>
        <w:rPr>
          <w:rFonts w:ascii="Times New Roman" w:hAnsi="Times New Roman"/>
          <w:sz w:val="20"/>
          <w:szCs w:val="20"/>
        </w:rPr>
        <w:t xml:space="preserve"> for preparing a </w:t>
      </w:r>
      <w:r w:rsidR="00AF51EF">
        <w:rPr>
          <w:rFonts w:ascii="Times New Roman" w:hAnsi="Times New Roman"/>
          <w:sz w:val="20"/>
          <w:szCs w:val="20"/>
        </w:rPr>
        <w:t>request for approval of commingling and allocation is</w:t>
      </w:r>
      <w:r w:rsidR="00DF6F7C">
        <w:rPr>
          <w:rFonts w:ascii="Times New Roman" w:hAnsi="Times New Roman"/>
          <w:sz w:val="20"/>
          <w:szCs w:val="20"/>
        </w:rPr>
        <w:t xml:space="preserve"> too low and be </w:t>
      </w:r>
      <w:r w:rsidR="009D270D">
        <w:rPr>
          <w:rFonts w:ascii="Times New Roman" w:hAnsi="Times New Roman"/>
          <w:sz w:val="20"/>
          <w:szCs w:val="20"/>
        </w:rPr>
        <w:t xml:space="preserve">increased to 160 hours to prepare this request. </w:t>
      </w:r>
      <w:r w:rsidR="006B6907">
        <w:rPr>
          <w:rFonts w:ascii="Times New Roman" w:hAnsi="Times New Roman"/>
          <w:sz w:val="20"/>
          <w:szCs w:val="20"/>
        </w:rPr>
        <w:t xml:space="preserve">Another respondent </w:t>
      </w:r>
      <w:r w:rsidR="00BC225F">
        <w:rPr>
          <w:rFonts w:ascii="Times New Roman" w:hAnsi="Times New Roman"/>
          <w:sz w:val="20"/>
          <w:szCs w:val="20"/>
        </w:rPr>
        <w:t>belie</w:t>
      </w:r>
      <w:r w:rsidR="008D4DD6">
        <w:rPr>
          <w:rFonts w:ascii="Times New Roman" w:hAnsi="Times New Roman"/>
          <w:sz w:val="20"/>
          <w:szCs w:val="20"/>
        </w:rPr>
        <w:t>ve</w:t>
      </w:r>
      <w:r w:rsidR="00BC225F">
        <w:rPr>
          <w:rFonts w:ascii="Times New Roman" w:hAnsi="Times New Roman"/>
          <w:sz w:val="20"/>
          <w:szCs w:val="20"/>
        </w:rPr>
        <w:t xml:space="preserve">s that a request for approval of commingling and allocation should be increased from 40 hours to 60 hours. </w:t>
      </w:r>
      <w:r w:rsidR="00AF51EF">
        <w:rPr>
          <w:rFonts w:ascii="Times New Roman" w:hAnsi="Times New Roman"/>
          <w:sz w:val="20"/>
          <w:szCs w:val="20"/>
        </w:rPr>
        <w:t xml:space="preserve"> </w:t>
      </w:r>
      <w:r w:rsidR="003004AB">
        <w:rPr>
          <w:rFonts w:ascii="Times New Roman" w:hAnsi="Times New Roman"/>
          <w:sz w:val="20"/>
          <w:szCs w:val="20"/>
        </w:rPr>
        <w:t xml:space="preserve">The BLM understands why respondents </w:t>
      </w:r>
      <w:r w:rsidR="00BE43A4">
        <w:rPr>
          <w:rFonts w:ascii="Times New Roman" w:hAnsi="Times New Roman"/>
          <w:sz w:val="20"/>
          <w:szCs w:val="20"/>
        </w:rPr>
        <w:t xml:space="preserve">believed this hourly burden should be increased. However, </w:t>
      </w:r>
      <w:r w:rsidR="00E949CE">
        <w:rPr>
          <w:rFonts w:ascii="Times New Roman" w:hAnsi="Times New Roman"/>
          <w:sz w:val="20"/>
          <w:szCs w:val="20"/>
        </w:rPr>
        <w:t xml:space="preserve">one respondent was including the time BLM </w:t>
      </w:r>
      <w:r w:rsidR="002A472E">
        <w:rPr>
          <w:rFonts w:ascii="Times New Roman" w:hAnsi="Times New Roman"/>
          <w:sz w:val="20"/>
          <w:szCs w:val="20"/>
        </w:rPr>
        <w:t xml:space="preserve">uses to adjudicate a request and </w:t>
      </w:r>
      <w:r w:rsidR="005677C7">
        <w:rPr>
          <w:rFonts w:ascii="Times New Roman" w:hAnsi="Times New Roman"/>
          <w:sz w:val="20"/>
          <w:szCs w:val="20"/>
        </w:rPr>
        <w:t>not simply the time required to prepare the request. T</w:t>
      </w:r>
      <w:r w:rsidR="002A472E">
        <w:rPr>
          <w:rFonts w:ascii="Times New Roman" w:hAnsi="Times New Roman"/>
          <w:sz w:val="20"/>
          <w:szCs w:val="20"/>
        </w:rPr>
        <w:t>he other respondent did not provide an explanation for the recommended increase in time</w:t>
      </w:r>
      <w:r w:rsidR="0045522A">
        <w:rPr>
          <w:rFonts w:ascii="Times New Roman" w:hAnsi="Times New Roman"/>
          <w:sz w:val="20"/>
          <w:szCs w:val="20"/>
        </w:rPr>
        <w:t xml:space="preserve">.  The BLM did not change the hourly burden for </w:t>
      </w:r>
      <w:r w:rsidR="004E4920">
        <w:rPr>
          <w:rFonts w:ascii="Times New Roman" w:hAnsi="Times New Roman"/>
          <w:sz w:val="20"/>
          <w:szCs w:val="20"/>
        </w:rPr>
        <w:t xml:space="preserve">the preparation of </w:t>
      </w:r>
      <w:r w:rsidR="00811B2F">
        <w:rPr>
          <w:rFonts w:ascii="Times New Roman" w:hAnsi="Times New Roman"/>
          <w:sz w:val="20"/>
          <w:szCs w:val="20"/>
        </w:rPr>
        <w:t>a request for approval of Commingling and Allocation of production</w:t>
      </w:r>
      <w:r w:rsidR="00BC2D56">
        <w:rPr>
          <w:rFonts w:ascii="Times New Roman" w:hAnsi="Times New Roman"/>
          <w:sz w:val="20"/>
          <w:szCs w:val="20"/>
        </w:rPr>
        <w:t xml:space="preserve"> (§ 317</w:t>
      </w:r>
      <w:r w:rsidR="0050728F">
        <w:rPr>
          <w:rFonts w:ascii="Times New Roman" w:hAnsi="Times New Roman"/>
          <w:sz w:val="20"/>
          <w:szCs w:val="20"/>
        </w:rPr>
        <w:t>3.15)</w:t>
      </w:r>
    </w:p>
    <w:p w:rsidR="00E45269" w:rsidP="0064408F" w14:paraId="5EB95CE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E45269" w:rsidP="0064408F" w14:paraId="4E73A261" w14:textId="779C3242">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One respondent </w:t>
      </w:r>
      <w:r w:rsidR="00BC2D56">
        <w:rPr>
          <w:rFonts w:ascii="Times New Roman" w:hAnsi="Times New Roman"/>
          <w:sz w:val="20"/>
          <w:szCs w:val="20"/>
        </w:rPr>
        <w:t xml:space="preserve">believes the BLM should increase the burden estimate to prepare </w:t>
      </w:r>
      <w:r w:rsidR="00E73060">
        <w:rPr>
          <w:rFonts w:ascii="Times New Roman" w:hAnsi="Times New Roman"/>
          <w:sz w:val="20"/>
          <w:szCs w:val="20"/>
        </w:rPr>
        <w:t>site facility diagrams (§ 3173.11)</w:t>
      </w:r>
      <w:r w:rsidR="00D1068F">
        <w:rPr>
          <w:rFonts w:ascii="Times New Roman" w:hAnsi="Times New Roman"/>
          <w:sz w:val="20"/>
          <w:szCs w:val="20"/>
        </w:rPr>
        <w:t xml:space="preserve"> from 8 hours per </w:t>
      </w:r>
      <w:r w:rsidR="00946323">
        <w:rPr>
          <w:rFonts w:ascii="Times New Roman" w:hAnsi="Times New Roman"/>
          <w:sz w:val="20"/>
          <w:szCs w:val="20"/>
        </w:rPr>
        <w:t>diagram</w:t>
      </w:r>
      <w:r w:rsidR="00D1068F">
        <w:rPr>
          <w:rFonts w:ascii="Times New Roman" w:hAnsi="Times New Roman"/>
          <w:sz w:val="20"/>
          <w:szCs w:val="20"/>
        </w:rPr>
        <w:t xml:space="preserve"> to 16 hours per </w:t>
      </w:r>
      <w:r w:rsidR="009E6D08">
        <w:rPr>
          <w:rFonts w:ascii="Times New Roman" w:hAnsi="Times New Roman"/>
          <w:sz w:val="20"/>
          <w:szCs w:val="20"/>
        </w:rPr>
        <w:t>diagram</w:t>
      </w:r>
      <w:r w:rsidR="00D1068F">
        <w:rPr>
          <w:rFonts w:ascii="Times New Roman" w:hAnsi="Times New Roman"/>
          <w:sz w:val="20"/>
          <w:szCs w:val="20"/>
        </w:rPr>
        <w:t xml:space="preserve">. </w:t>
      </w:r>
      <w:r w:rsidR="000A0561">
        <w:rPr>
          <w:rFonts w:ascii="Times New Roman" w:hAnsi="Times New Roman"/>
          <w:sz w:val="20"/>
          <w:szCs w:val="20"/>
        </w:rPr>
        <w:t xml:space="preserve">The BLM believes the time to prepare a site facility diagram is highly variable depending on </w:t>
      </w:r>
      <w:r w:rsidR="009164B4">
        <w:rPr>
          <w:rFonts w:ascii="Times New Roman" w:hAnsi="Times New Roman"/>
          <w:sz w:val="20"/>
          <w:szCs w:val="20"/>
        </w:rPr>
        <w:t xml:space="preserve">how large and complex the facility is and whether the diagram is prepared in-house by the operator or </w:t>
      </w:r>
      <w:r w:rsidR="0080699F">
        <w:rPr>
          <w:rFonts w:ascii="Times New Roman" w:hAnsi="Times New Roman"/>
          <w:sz w:val="20"/>
          <w:szCs w:val="20"/>
        </w:rPr>
        <w:t xml:space="preserve">prepared by a contractor. </w:t>
      </w:r>
      <w:r w:rsidR="00583415">
        <w:rPr>
          <w:rFonts w:ascii="Times New Roman" w:hAnsi="Times New Roman"/>
          <w:sz w:val="20"/>
          <w:szCs w:val="20"/>
        </w:rPr>
        <w:t xml:space="preserve">Since the respondent is a larger operator, the BLM believes </w:t>
      </w:r>
      <w:r w:rsidR="00D33AEC">
        <w:rPr>
          <w:rFonts w:ascii="Times New Roman" w:hAnsi="Times New Roman"/>
          <w:sz w:val="20"/>
          <w:szCs w:val="20"/>
        </w:rPr>
        <w:t>it’s likely that more time is spent by this respondent</w:t>
      </w:r>
      <w:r w:rsidR="004437F3">
        <w:rPr>
          <w:rFonts w:ascii="Times New Roman" w:hAnsi="Times New Roman"/>
          <w:sz w:val="20"/>
          <w:szCs w:val="20"/>
        </w:rPr>
        <w:t xml:space="preserve"> than would </w:t>
      </w:r>
      <w:r w:rsidR="009E6D08">
        <w:rPr>
          <w:rFonts w:ascii="Times New Roman" w:hAnsi="Times New Roman"/>
          <w:sz w:val="20"/>
          <w:szCs w:val="20"/>
        </w:rPr>
        <w:t xml:space="preserve">be spent by a smaller operator. Since 80 percent of BLM’s operators are small operators, the BLM </w:t>
      </w:r>
      <w:r w:rsidR="00C317D6">
        <w:rPr>
          <w:rFonts w:ascii="Times New Roman" w:hAnsi="Times New Roman"/>
          <w:sz w:val="20"/>
          <w:szCs w:val="20"/>
        </w:rPr>
        <w:t xml:space="preserve">increased </w:t>
      </w:r>
      <w:r w:rsidR="00C61543">
        <w:rPr>
          <w:rFonts w:ascii="Times New Roman" w:hAnsi="Times New Roman"/>
          <w:sz w:val="20"/>
          <w:szCs w:val="20"/>
        </w:rPr>
        <w:t xml:space="preserve">the hourly burden by </w:t>
      </w:r>
      <w:r w:rsidR="00A54AE1">
        <w:rPr>
          <w:rFonts w:ascii="Times New Roman" w:hAnsi="Times New Roman"/>
          <w:sz w:val="20"/>
          <w:szCs w:val="20"/>
        </w:rPr>
        <w:t xml:space="preserve">weighting the burden as 80 percent of operators would need 8 hours to complete the diagram and 20 percent of </w:t>
      </w:r>
      <w:r w:rsidR="008E0C32">
        <w:rPr>
          <w:rFonts w:ascii="Times New Roman" w:hAnsi="Times New Roman"/>
          <w:sz w:val="20"/>
          <w:szCs w:val="20"/>
        </w:rPr>
        <w:t xml:space="preserve">operators would need 16 hours to complete the diagram. As a result, the </w:t>
      </w:r>
      <w:r w:rsidR="00946323">
        <w:rPr>
          <w:rFonts w:ascii="Times New Roman" w:hAnsi="Times New Roman"/>
          <w:sz w:val="20"/>
          <w:szCs w:val="20"/>
        </w:rPr>
        <w:t xml:space="preserve">BLM increased the </w:t>
      </w:r>
      <w:r w:rsidR="007211E7">
        <w:rPr>
          <w:rFonts w:ascii="Times New Roman" w:hAnsi="Times New Roman"/>
          <w:sz w:val="20"/>
          <w:szCs w:val="20"/>
        </w:rPr>
        <w:t xml:space="preserve">hourly burden to 10 hours per diagram. </w:t>
      </w:r>
    </w:p>
    <w:p w:rsidR="009E6D08" w:rsidP="0064408F" w14:paraId="25F4A75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A6F60" w:rsidP="0064408F" w14:paraId="2AEF1A10" w14:textId="3F26AC79">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 xml:space="preserve">One respondent believes the </w:t>
      </w:r>
      <w:r w:rsidR="005D15C1">
        <w:rPr>
          <w:rFonts w:ascii="Times New Roman" w:hAnsi="Times New Roman"/>
          <w:sz w:val="20"/>
          <w:szCs w:val="20"/>
        </w:rPr>
        <w:t>request for approval of a Facility Measurement Point (FMP)</w:t>
      </w:r>
      <w:r w:rsidR="00053782">
        <w:rPr>
          <w:rFonts w:ascii="Times New Roman" w:hAnsi="Times New Roman"/>
          <w:sz w:val="20"/>
          <w:szCs w:val="20"/>
        </w:rPr>
        <w:t xml:space="preserve"> needs to be increased from 8 hours to 16 hours. Since the BLM has been unable to accept or process these requests for approval, it is very difficult for either the agency or the respondent to </w:t>
      </w:r>
      <w:r w:rsidR="00BB2B20">
        <w:rPr>
          <w:rFonts w:ascii="Times New Roman" w:hAnsi="Times New Roman"/>
          <w:sz w:val="20"/>
          <w:szCs w:val="20"/>
        </w:rPr>
        <w:t xml:space="preserve">have a good understanding of how long activity will take. </w:t>
      </w:r>
      <w:r w:rsidR="001650CC">
        <w:rPr>
          <w:rFonts w:ascii="Times New Roman" w:hAnsi="Times New Roman"/>
          <w:sz w:val="20"/>
          <w:szCs w:val="20"/>
        </w:rPr>
        <w:t xml:space="preserve">See </w:t>
      </w:r>
      <w:r w:rsidR="009C1B61">
        <w:rPr>
          <w:rFonts w:ascii="Times New Roman" w:hAnsi="Times New Roman"/>
          <w:sz w:val="20"/>
          <w:szCs w:val="20"/>
        </w:rPr>
        <w:t xml:space="preserve">item 3 discussed earlier. </w:t>
      </w:r>
      <w:r w:rsidR="006C5C77">
        <w:rPr>
          <w:rFonts w:ascii="Times New Roman" w:hAnsi="Times New Roman"/>
          <w:sz w:val="20"/>
          <w:szCs w:val="20"/>
        </w:rPr>
        <w:t xml:space="preserve">As mentioned earlier, </w:t>
      </w:r>
      <w:r w:rsidR="000438A5">
        <w:rPr>
          <w:rFonts w:ascii="Times New Roman" w:hAnsi="Times New Roman"/>
          <w:sz w:val="20"/>
          <w:szCs w:val="20"/>
        </w:rPr>
        <w:t xml:space="preserve">since the electronic database is unable to process FMP applications, </w:t>
      </w:r>
      <w:r w:rsidR="00430C33">
        <w:rPr>
          <w:rFonts w:ascii="Times New Roman" w:hAnsi="Times New Roman"/>
          <w:sz w:val="20"/>
          <w:szCs w:val="20"/>
        </w:rPr>
        <w:t xml:space="preserve">the BLM will </w:t>
      </w:r>
      <w:r w:rsidRPr="00391598" w:rsidR="000438A5">
        <w:rPr>
          <w:rFonts w:ascii="Times New Roman" w:hAnsi="Times New Roman"/>
          <w:sz w:val="20"/>
          <w:szCs w:val="20"/>
        </w:rPr>
        <w:t>continue to maintain information collection activities within this OMB control number</w:t>
      </w:r>
      <w:r w:rsidR="00D971BB">
        <w:rPr>
          <w:rFonts w:ascii="Times New Roman" w:hAnsi="Times New Roman"/>
          <w:sz w:val="20"/>
          <w:szCs w:val="20"/>
        </w:rPr>
        <w:t>. B</w:t>
      </w:r>
      <w:r w:rsidRPr="00391598" w:rsidR="000438A5">
        <w:rPr>
          <w:rFonts w:ascii="Times New Roman" w:hAnsi="Times New Roman"/>
          <w:sz w:val="20"/>
          <w:szCs w:val="20"/>
        </w:rPr>
        <w:t xml:space="preserve">ut </w:t>
      </w:r>
      <w:r w:rsidR="00D971BB">
        <w:rPr>
          <w:rFonts w:ascii="Times New Roman" w:hAnsi="Times New Roman"/>
          <w:sz w:val="20"/>
          <w:szCs w:val="20"/>
        </w:rPr>
        <w:t xml:space="preserve">the BLM </w:t>
      </w:r>
      <w:r w:rsidRPr="00391598" w:rsidR="000438A5">
        <w:rPr>
          <w:rFonts w:ascii="Times New Roman" w:hAnsi="Times New Roman"/>
          <w:sz w:val="20"/>
          <w:szCs w:val="20"/>
        </w:rPr>
        <w:t xml:space="preserve">will use </w:t>
      </w:r>
      <w:r w:rsidR="00D971BB">
        <w:rPr>
          <w:rFonts w:ascii="Times New Roman" w:hAnsi="Times New Roman"/>
          <w:sz w:val="20"/>
          <w:szCs w:val="20"/>
        </w:rPr>
        <w:t>this activity</w:t>
      </w:r>
      <w:r w:rsidRPr="00391598" w:rsidR="000438A5">
        <w:rPr>
          <w:rFonts w:ascii="Times New Roman" w:hAnsi="Times New Roman"/>
          <w:sz w:val="20"/>
          <w:szCs w:val="20"/>
        </w:rPr>
        <w:t xml:space="preserve"> as a placeholder for the time when BLM is able to effectively implement the FMP requirements following the development of the new electronic database.</w:t>
      </w:r>
    </w:p>
    <w:p w:rsidR="004A6F60" w:rsidP="0064408F" w14:paraId="7104568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4A6F60" w:rsidRPr="00391598" w:rsidP="0064408F" w14:paraId="651DA5A5" w14:textId="2D6914B3">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Pr>
          <w:rFonts w:ascii="Times New Roman" w:hAnsi="Times New Roman"/>
          <w:sz w:val="20"/>
          <w:szCs w:val="20"/>
        </w:rPr>
        <w:t>O</w:t>
      </w:r>
      <w:r w:rsidR="00E53D26">
        <w:rPr>
          <w:rFonts w:ascii="Times New Roman" w:hAnsi="Times New Roman"/>
          <w:sz w:val="20"/>
          <w:szCs w:val="20"/>
        </w:rPr>
        <w:t xml:space="preserve">ne respondent believes the BLM underestimated the response time for variance requests. The BLM estimates this will take </w:t>
      </w:r>
      <w:r w:rsidR="00BF7F73">
        <w:rPr>
          <w:rFonts w:ascii="Times New Roman" w:hAnsi="Times New Roman"/>
          <w:sz w:val="20"/>
          <w:szCs w:val="20"/>
        </w:rPr>
        <w:t xml:space="preserve">8 hours to complete a variance request. </w:t>
      </w:r>
      <w:r w:rsidR="00673F89">
        <w:rPr>
          <w:rFonts w:ascii="Times New Roman" w:hAnsi="Times New Roman"/>
          <w:sz w:val="20"/>
          <w:szCs w:val="20"/>
        </w:rPr>
        <w:t>The</w:t>
      </w:r>
      <w:r w:rsidR="00BF7F73">
        <w:rPr>
          <w:rFonts w:ascii="Times New Roman" w:hAnsi="Times New Roman"/>
          <w:sz w:val="20"/>
          <w:szCs w:val="20"/>
        </w:rPr>
        <w:t xml:space="preserve"> respondent believes this hourly burden needs to be increased to 40 hours per request. </w:t>
      </w:r>
      <w:r w:rsidR="00523A22">
        <w:rPr>
          <w:rFonts w:ascii="Times New Roman" w:hAnsi="Times New Roman"/>
          <w:sz w:val="20"/>
          <w:szCs w:val="20"/>
        </w:rPr>
        <w:t xml:space="preserve">The </w:t>
      </w:r>
      <w:r w:rsidR="006E6659">
        <w:rPr>
          <w:rFonts w:ascii="Times New Roman" w:hAnsi="Times New Roman"/>
          <w:sz w:val="20"/>
          <w:szCs w:val="20"/>
        </w:rPr>
        <w:t>variance request requires an applicant to demonstrate how the proposed alternative method meets or exceeds the requirements of the regulation f</w:t>
      </w:r>
      <w:r w:rsidR="001879E2">
        <w:rPr>
          <w:rFonts w:ascii="Times New Roman" w:hAnsi="Times New Roman"/>
          <w:sz w:val="20"/>
          <w:szCs w:val="20"/>
        </w:rPr>
        <w:t>rom</w:t>
      </w:r>
      <w:r w:rsidR="006E6659">
        <w:rPr>
          <w:rFonts w:ascii="Times New Roman" w:hAnsi="Times New Roman"/>
          <w:sz w:val="20"/>
          <w:szCs w:val="20"/>
        </w:rPr>
        <w:t xml:space="preserve"> which the applicant is seeking a variance. </w:t>
      </w:r>
      <w:r w:rsidR="008C07F5">
        <w:rPr>
          <w:rFonts w:ascii="Times New Roman" w:hAnsi="Times New Roman"/>
          <w:sz w:val="20"/>
          <w:szCs w:val="20"/>
        </w:rPr>
        <w:t xml:space="preserve">The BLM believes the applicant </w:t>
      </w:r>
      <w:r w:rsidR="00C614FF">
        <w:rPr>
          <w:rFonts w:ascii="Times New Roman" w:hAnsi="Times New Roman"/>
          <w:sz w:val="20"/>
          <w:szCs w:val="20"/>
        </w:rPr>
        <w:t xml:space="preserve">would need to invest time to determine if the alternative does meet or exceed the requirement. Also, the BLM believes that the time spent in this activity may results in </w:t>
      </w:r>
      <w:r w:rsidR="004B640B">
        <w:rPr>
          <w:rFonts w:ascii="Times New Roman" w:hAnsi="Times New Roman"/>
          <w:sz w:val="20"/>
          <w:szCs w:val="20"/>
        </w:rPr>
        <w:t xml:space="preserve">some variance requests never being submitted. </w:t>
      </w:r>
      <w:r w:rsidR="00E93505">
        <w:rPr>
          <w:rFonts w:ascii="Times New Roman" w:hAnsi="Times New Roman"/>
          <w:sz w:val="20"/>
          <w:szCs w:val="20"/>
        </w:rPr>
        <w:t xml:space="preserve">Variance requests that are unlikely to be approved would </w:t>
      </w:r>
      <w:r w:rsidR="003E499B">
        <w:rPr>
          <w:rFonts w:ascii="Times New Roman" w:hAnsi="Times New Roman"/>
          <w:sz w:val="20"/>
          <w:szCs w:val="20"/>
        </w:rPr>
        <w:t xml:space="preserve">likely </w:t>
      </w:r>
      <w:r w:rsidR="00E93505">
        <w:rPr>
          <w:rFonts w:ascii="Times New Roman" w:hAnsi="Times New Roman"/>
          <w:sz w:val="20"/>
          <w:szCs w:val="20"/>
        </w:rPr>
        <w:t xml:space="preserve">take longer to </w:t>
      </w:r>
      <w:r w:rsidR="005C796B">
        <w:rPr>
          <w:rFonts w:ascii="Times New Roman" w:hAnsi="Times New Roman"/>
          <w:sz w:val="20"/>
          <w:szCs w:val="20"/>
        </w:rPr>
        <w:t>work to prepare a justification and rationale. The</w:t>
      </w:r>
      <w:r w:rsidR="005F74B3">
        <w:rPr>
          <w:rFonts w:ascii="Times New Roman" w:hAnsi="Times New Roman"/>
          <w:sz w:val="20"/>
          <w:szCs w:val="20"/>
        </w:rPr>
        <w:t>refore,</w:t>
      </w:r>
      <w:r w:rsidR="005C796B">
        <w:rPr>
          <w:rFonts w:ascii="Times New Roman" w:hAnsi="Times New Roman"/>
          <w:sz w:val="20"/>
          <w:szCs w:val="20"/>
        </w:rPr>
        <w:t xml:space="preserve"> BLM </w:t>
      </w:r>
      <w:r w:rsidR="005F74B3">
        <w:rPr>
          <w:rFonts w:ascii="Times New Roman" w:hAnsi="Times New Roman"/>
          <w:sz w:val="20"/>
          <w:szCs w:val="20"/>
        </w:rPr>
        <w:t>increased</w:t>
      </w:r>
      <w:r w:rsidR="005C796B">
        <w:rPr>
          <w:rFonts w:ascii="Times New Roman" w:hAnsi="Times New Roman"/>
          <w:sz w:val="20"/>
          <w:szCs w:val="20"/>
        </w:rPr>
        <w:t xml:space="preserve"> its 8-hour </w:t>
      </w:r>
      <w:r w:rsidR="0060203F">
        <w:rPr>
          <w:rFonts w:ascii="Times New Roman" w:hAnsi="Times New Roman"/>
          <w:sz w:val="20"/>
          <w:szCs w:val="20"/>
        </w:rPr>
        <w:t xml:space="preserve">response time </w:t>
      </w:r>
      <w:r w:rsidR="005C796B">
        <w:rPr>
          <w:rFonts w:ascii="Times New Roman" w:hAnsi="Times New Roman"/>
          <w:sz w:val="20"/>
          <w:szCs w:val="20"/>
        </w:rPr>
        <w:t xml:space="preserve">estimate </w:t>
      </w:r>
      <w:r w:rsidR="00385B51">
        <w:rPr>
          <w:rFonts w:ascii="Times New Roman" w:hAnsi="Times New Roman"/>
          <w:sz w:val="20"/>
          <w:szCs w:val="20"/>
        </w:rPr>
        <w:t>to prepare a</w:t>
      </w:r>
      <w:r w:rsidR="005C796B">
        <w:rPr>
          <w:rFonts w:ascii="Times New Roman" w:hAnsi="Times New Roman"/>
          <w:sz w:val="20"/>
          <w:szCs w:val="20"/>
        </w:rPr>
        <w:t xml:space="preserve"> variance request based on the respondents </w:t>
      </w:r>
      <w:r w:rsidR="00D03EA7">
        <w:rPr>
          <w:rFonts w:ascii="Times New Roman" w:hAnsi="Times New Roman"/>
          <w:sz w:val="20"/>
          <w:szCs w:val="20"/>
        </w:rPr>
        <w:t>suggested estimate</w:t>
      </w:r>
      <w:r w:rsidR="002B5D55">
        <w:rPr>
          <w:rFonts w:ascii="Times New Roman" w:hAnsi="Times New Roman"/>
          <w:sz w:val="20"/>
          <w:szCs w:val="20"/>
        </w:rPr>
        <w:t xml:space="preserve"> of 40 hours per request. </w:t>
      </w:r>
    </w:p>
    <w:p w:rsidR="00E0499B" w:rsidRPr="00391598" w:rsidP="0064408F" w14:paraId="008FCA5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D6689D" w:rsidRPr="00391598" w:rsidP="00D6689D" w14:paraId="27512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9.</w:t>
      </w:r>
      <w:r w:rsidRPr="00391598">
        <w:rPr>
          <w:rFonts w:ascii="Times New Roman" w:hAnsi="Times New Roman"/>
          <w:b/>
          <w:sz w:val="20"/>
          <w:szCs w:val="20"/>
        </w:rPr>
        <w:tab/>
        <w:t>Explain any decision to provide any payment or gift to respondents, other than remuneration of contractors or grantees.</w:t>
      </w:r>
    </w:p>
    <w:p w:rsidR="007154C0" w:rsidRPr="00391598" w:rsidP="00D6689D" w14:paraId="6E85AFAE"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sz w:val="20"/>
          <w:szCs w:val="20"/>
        </w:rPr>
      </w:pPr>
    </w:p>
    <w:p w:rsidR="007154C0" w:rsidRPr="00391598" w:rsidP="00884A6D" w14:paraId="19B196A5" w14:textId="77777777">
      <w:pPr>
        <w:tabs>
          <w:tab w:val="left" w:pos="360"/>
          <w:tab w:val="left" w:pos="630"/>
        </w:tabs>
        <w:rPr>
          <w:rFonts w:ascii="Times New Roman" w:hAnsi="Times New Roman"/>
          <w:sz w:val="20"/>
          <w:szCs w:val="20"/>
        </w:rPr>
      </w:pPr>
      <w:r w:rsidRPr="00391598">
        <w:rPr>
          <w:rFonts w:ascii="Times New Roman" w:hAnsi="Times New Roman"/>
          <w:sz w:val="20"/>
          <w:szCs w:val="20"/>
        </w:rPr>
        <w:t xml:space="preserve">We </w:t>
      </w:r>
      <w:r w:rsidRPr="00391598" w:rsidR="00046E8C">
        <w:rPr>
          <w:rFonts w:ascii="Times New Roman" w:hAnsi="Times New Roman"/>
          <w:sz w:val="20"/>
          <w:szCs w:val="20"/>
        </w:rPr>
        <w:t xml:space="preserve">do not </w:t>
      </w:r>
      <w:r w:rsidRPr="00391598">
        <w:rPr>
          <w:rFonts w:ascii="Times New Roman" w:hAnsi="Times New Roman"/>
          <w:sz w:val="20"/>
          <w:szCs w:val="20"/>
        </w:rPr>
        <w:t>provide payments or gifts to the respondents.</w:t>
      </w:r>
    </w:p>
    <w:p w:rsidR="007154C0" w:rsidRPr="00391598" w:rsidP="00884A6D" w14:paraId="4CECED84" w14:textId="77777777">
      <w:pPr>
        <w:tabs>
          <w:tab w:val="left" w:pos="360"/>
          <w:tab w:val="left" w:pos="630"/>
        </w:tabs>
        <w:rPr>
          <w:rFonts w:ascii="Times New Roman" w:hAnsi="Times New Roman"/>
          <w:sz w:val="20"/>
          <w:szCs w:val="20"/>
        </w:rPr>
      </w:pPr>
    </w:p>
    <w:p w:rsidR="00D6689D" w:rsidRPr="00391598" w:rsidP="00D6689D" w14:paraId="3860B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10.</w:t>
      </w:r>
      <w:r w:rsidRPr="00391598">
        <w:rPr>
          <w:rFonts w:ascii="Times New Roman" w:hAnsi="Times New Roman"/>
          <w:b/>
          <w:sz w:val="20"/>
          <w:szCs w:val="20"/>
        </w:rPr>
        <w:tab/>
        <w:t>Describe any assurance of confidentiality provided to respondents and the basis for the assurance in statute, regulation, or agency policy.</w:t>
      </w:r>
    </w:p>
    <w:p w:rsidR="007154C0" w:rsidRPr="00391598" w:rsidP="00D6689D" w14:paraId="712FF7D2" w14:textId="77777777">
      <w:pPr>
        <w:tabs>
          <w:tab w:val="left" w:pos="360"/>
          <w:tab w:val="left" w:pos="630"/>
        </w:tabs>
        <w:rPr>
          <w:rFonts w:ascii="Times New Roman" w:hAnsi="Times New Roman"/>
          <w:sz w:val="20"/>
          <w:szCs w:val="20"/>
        </w:rPr>
      </w:pPr>
    </w:p>
    <w:p w:rsidR="007154C0" w:rsidRPr="00391598" w:rsidP="00884A6D" w14:paraId="5843325E" w14:textId="6F80535D">
      <w:pPr>
        <w:tabs>
          <w:tab w:val="left" w:pos="360"/>
          <w:tab w:val="left" w:pos="630"/>
        </w:tabs>
        <w:rPr>
          <w:rFonts w:ascii="Times New Roman" w:hAnsi="Times New Roman"/>
          <w:sz w:val="20"/>
          <w:szCs w:val="20"/>
        </w:rPr>
      </w:pPr>
      <w:r w:rsidRPr="00391598">
        <w:rPr>
          <w:rFonts w:ascii="Times New Roman" w:hAnsi="Times New Roman"/>
          <w:sz w:val="20"/>
          <w:szCs w:val="20"/>
        </w:rPr>
        <w:t xml:space="preserve">Under the privacy provisions of the E-Government Act of 2002, individuals/respondents were informed as to </w:t>
      </w:r>
      <w:r w:rsidRPr="00391598">
        <w:rPr>
          <w:rFonts w:ascii="Times New Roman" w:hAnsi="Times New Roman"/>
          <w:sz w:val="20"/>
          <w:szCs w:val="20"/>
        </w:rPr>
        <w:t>whether or not</w:t>
      </w:r>
      <w:r w:rsidRPr="00391598">
        <w:rPr>
          <w:rFonts w:ascii="Times New Roman" w:hAnsi="Times New Roman"/>
          <w:sz w:val="20"/>
          <w:szCs w:val="20"/>
        </w:rPr>
        <w:t xml:space="preserve"> providing the information is mandatory to obtain a benefit.</w:t>
      </w:r>
      <w:r w:rsidRPr="00391598" w:rsidR="00651610">
        <w:rPr>
          <w:rFonts w:ascii="Times New Roman" w:hAnsi="Times New Roman"/>
          <w:sz w:val="20"/>
          <w:szCs w:val="20"/>
        </w:rPr>
        <w:t xml:space="preserve"> Each of the forms display a Privacy Act notice. There is no explicit assurance of confidentiality provided</w:t>
      </w:r>
      <w:r w:rsidRPr="00391598" w:rsidR="004D1E06">
        <w:rPr>
          <w:rFonts w:ascii="Times New Roman" w:hAnsi="Times New Roman"/>
          <w:sz w:val="20"/>
          <w:szCs w:val="20"/>
        </w:rPr>
        <w:t xml:space="preserve"> since there is no direct legal authority for such a pledge</w:t>
      </w:r>
      <w:r w:rsidRPr="00391598" w:rsidR="00651610">
        <w:rPr>
          <w:rFonts w:ascii="Times New Roman" w:hAnsi="Times New Roman"/>
          <w:sz w:val="20"/>
          <w:szCs w:val="20"/>
        </w:rPr>
        <w:t>.</w:t>
      </w:r>
    </w:p>
    <w:p w:rsidR="007154C0" w:rsidRPr="00391598" w:rsidP="00884A6D" w14:paraId="24F01C63" w14:textId="77777777">
      <w:pPr>
        <w:tabs>
          <w:tab w:val="left" w:pos="360"/>
          <w:tab w:val="left" w:pos="630"/>
        </w:tabs>
        <w:rPr>
          <w:rFonts w:ascii="Times New Roman" w:hAnsi="Times New Roman"/>
          <w:sz w:val="20"/>
          <w:szCs w:val="20"/>
        </w:rPr>
      </w:pPr>
    </w:p>
    <w:p w:rsidR="005422AC" w:rsidRPr="00391598" w:rsidP="005422AC" w14:paraId="2A7DC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11.</w:t>
      </w:r>
      <w:r w:rsidRPr="00391598">
        <w:rPr>
          <w:rFonts w:ascii="Times New Roman" w:hAnsi="Times New Roman"/>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71D5" w:rsidRPr="00391598" w:rsidP="00884A6D" w14:paraId="3718FA05" w14:textId="77777777">
      <w:pPr>
        <w:tabs>
          <w:tab w:val="left" w:pos="360"/>
          <w:tab w:val="left" w:pos="630"/>
        </w:tabs>
        <w:rPr>
          <w:rFonts w:ascii="Times New Roman" w:hAnsi="Times New Roman"/>
          <w:b/>
          <w:sz w:val="20"/>
          <w:szCs w:val="20"/>
        </w:rPr>
      </w:pPr>
    </w:p>
    <w:p w:rsidR="007154C0" w:rsidRPr="00391598" w:rsidP="00884A6D" w14:paraId="543C6C07" w14:textId="77777777">
      <w:pPr>
        <w:tabs>
          <w:tab w:val="left" w:pos="360"/>
          <w:tab w:val="left" w:pos="630"/>
        </w:tabs>
        <w:rPr>
          <w:rFonts w:ascii="Times New Roman" w:hAnsi="Times New Roman"/>
          <w:sz w:val="20"/>
          <w:szCs w:val="20"/>
        </w:rPr>
      </w:pPr>
      <w:r w:rsidRPr="00391598">
        <w:rPr>
          <w:rFonts w:ascii="Times New Roman" w:hAnsi="Times New Roman"/>
          <w:sz w:val="20"/>
          <w:szCs w:val="20"/>
        </w:rPr>
        <w:t>We do not require respondents to answer questions of a sensitive nature.</w:t>
      </w:r>
    </w:p>
    <w:p w:rsidR="007154C0" w:rsidRPr="00391598" w:rsidP="00884A6D" w14:paraId="2D093D0F" w14:textId="77777777">
      <w:pPr>
        <w:tabs>
          <w:tab w:val="left" w:pos="360"/>
          <w:tab w:val="left" w:pos="630"/>
        </w:tabs>
        <w:rPr>
          <w:rFonts w:ascii="Times New Roman" w:hAnsi="Times New Roman"/>
          <w:sz w:val="20"/>
          <w:szCs w:val="20"/>
        </w:rPr>
      </w:pPr>
    </w:p>
    <w:p w:rsidR="004A7755" w:rsidRPr="00391598" w:rsidP="004A7755" w14:paraId="56782D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12.</w:t>
      </w:r>
      <w:r w:rsidRPr="00391598">
        <w:rPr>
          <w:rFonts w:ascii="Times New Roman" w:hAnsi="Times New Roman"/>
          <w:b/>
          <w:sz w:val="20"/>
          <w:szCs w:val="20"/>
        </w:rPr>
        <w:tab/>
        <w:t>Provide estimates of the hour burden of the collection of information.  The statement should:</w:t>
      </w:r>
    </w:p>
    <w:p w:rsidR="004A7755" w:rsidRPr="00391598" w:rsidP="004A7755" w14:paraId="5B6C2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A7755" w:rsidRPr="00391598" w:rsidP="004A7755" w14:paraId="5F1C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 xml:space="preserve">If this request for approval covers more than one form, provide separate hour burden estimates for each </w:t>
      </w:r>
      <w:r w:rsidRPr="00391598">
        <w:rPr>
          <w:rFonts w:ascii="Times New Roman" w:hAnsi="Times New Roman"/>
          <w:b/>
          <w:sz w:val="20"/>
          <w:szCs w:val="20"/>
        </w:rPr>
        <w:t>form</w:t>
      </w:r>
      <w:r w:rsidRPr="00391598">
        <w:rPr>
          <w:rFonts w:ascii="Times New Roman" w:hAnsi="Times New Roman"/>
          <w:b/>
          <w:sz w:val="20"/>
          <w:szCs w:val="20"/>
        </w:rPr>
        <w:t xml:space="preserve"> and aggregate the hour burdens.</w:t>
      </w:r>
    </w:p>
    <w:p w:rsidR="004A7755" w:rsidRPr="00391598" w:rsidP="004A7755" w14:paraId="768A4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7154C0" w:rsidRPr="00391598" w:rsidP="00884A6D" w14:paraId="32E1CC6D" w14:textId="77777777">
      <w:pPr>
        <w:tabs>
          <w:tab w:val="left" w:pos="360"/>
          <w:tab w:val="left" w:pos="630"/>
        </w:tabs>
        <w:rPr>
          <w:rFonts w:ascii="Times New Roman" w:hAnsi="Times New Roman"/>
          <w:sz w:val="20"/>
          <w:szCs w:val="20"/>
        </w:rPr>
      </w:pPr>
    </w:p>
    <w:p w:rsidR="00BE1879" w:rsidRPr="00391598" w:rsidP="004A7755" w14:paraId="646EF6A4" w14:textId="23C7D6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r w:rsidRPr="00391598">
        <w:rPr>
          <w:rFonts w:ascii="Times New Roman" w:hAnsi="Times New Roman"/>
          <w:sz w:val="20"/>
          <w:szCs w:val="20"/>
        </w:rPr>
        <w:t xml:space="preserve">The occupational categories </w:t>
      </w:r>
      <w:r w:rsidRPr="00391598" w:rsidR="00B0608E">
        <w:rPr>
          <w:rFonts w:ascii="Times New Roman" w:hAnsi="Times New Roman"/>
          <w:sz w:val="20"/>
          <w:szCs w:val="20"/>
        </w:rPr>
        <w:t xml:space="preserve">and the estimated burden are based on </w:t>
      </w:r>
      <w:r w:rsidRPr="00391598" w:rsidR="00716B5E">
        <w:rPr>
          <w:rFonts w:ascii="Times New Roman" w:hAnsi="Times New Roman"/>
          <w:sz w:val="20"/>
          <w:szCs w:val="20"/>
        </w:rPr>
        <w:t xml:space="preserve">the BLM’s experience with these collections as well as </w:t>
      </w:r>
      <w:r w:rsidRPr="00391598">
        <w:rPr>
          <w:rFonts w:ascii="Times New Roman" w:hAnsi="Times New Roman"/>
          <w:sz w:val="20"/>
          <w:szCs w:val="20"/>
        </w:rPr>
        <w:t>it</w:t>
      </w:r>
      <w:r w:rsidRPr="00391598" w:rsidR="00F5755E">
        <w:rPr>
          <w:rFonts w:ascii="Times New Roman" w:hAnsi="Times New Roman"/>
          <w:sz w:val="20"/>
          <w:szCs w:val="20"/>
        </w:rPr>
        <w:t>s</w:t>
      </w:r>
      <w:r w:rsidRPr="00391598">
        <w:rPr>
          <w:rFonts w:ascii="Times New Roman" w:hAnsi="Times New Roman"/>
          <w:sz w:val="20"/>
          <w:szCs w:val="20"/>
        </w:rPr>
        <w:t xml:space="preserve"> </w:t>
      </w:r>
      <w:r w:rsidRPr="00391598" w:rsidR="00F5755E">
        <w:rPr>
          <w:rFonts w:ascii="Times New Roman" w:hAnsi="Times New Roman"/>
          <w:sz w:val="20"/>
          <w:szCs w:val="20"/>
        </w:rPr>
        <w:t>experiences</w:t>
      </w:r>
      <w:r w:rsidRPr="00391598">
        <w:rPr>
          <w:rFonts w:ascii="Times New Roman" w:hAnsi="Times New Roman"/>
          <w:sz w:val="20"/>
          <w:szCs w:val="20"/>
        </w:rPr>
        <w:t xml:space="preserve"> interacting with industry experts on these regulatory requirements. </w:t>
      </w:r>
    </w:p>
    <w:p w:rsidR="00BE1879" w:rsidRPr="00391598" w:rsidP="004A7755" w14:paraId="17F5D78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p>
    <w:p w:rsidR="008A3669" w:rsidRPr="00391598" w:rsidP="004A7755" w14:paraId="1B6C3AF4" w14:textId="27915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sz w:val="20"/>
          <w:szCs w:val="20"/>
        </w:rPr>
      </w:pPr>
      <w:r w:rsidRPr="00391598">
        <w:rPr>
          <w:rFonts w:ascii="Times New Roman" w:hAnsi="Times New Roman"/>
          <w:sz w:val="20"/>
          <w:szCs w:val="20"/>
        </w:rPr>
        <w:t>As shown at Table 12-1, below, the weighted average</w:t>
      </w:r>
      <w:r w:rsidRPr="00391598" w:rsidR="00E90EBC">
        <w:rPr>
          <w:rFonts w:ascii="Times New Roman" w:hAnsi="Times New Roman"/>
          <w:sz w:val="20"/>
          <w:szCs w:val="20"/>
        </w:rPr>
        <w:t xml:space="preserve"> respondent hourly cost is </w:t>
      </w:r>
      <w:r w:rsidRPr="00391598" w:rsidR="00F445B5">
        <w:rPr>
          <w:rFonts w:ascii="Times New Roman" w:hAnsi="Times New Roman"/>
          <w:sz w:val="20"/>
          <w:szCs w:val="20"/>
        </w:rPr>
        <w:t>$</w:t>
      </w:r>
      <w:r>
        <w:rPr>
          <w:rFonts w:ascii="Times New Roman" w:hAnsi="Times New Roman"/>
          <w:sz w:val="20"/>
          <w:szCs w:val="20"/>
        </w:rPr>
        <w:t>78.26</w:t>
      </w:r>
      <w:r w:rsidRPr="00391598" w:rsidR="00F445B5">
        <w:rPr>
          <w:rFonts w:ascii="Times New Roman" w:hAnsi="Times New Roman"/>
          <w:sz w:val="20"/>
          <w:szCs w:val="20"/>
        </w:rPr>
        <w:t>.</w:t>
      </w:r>
      <w:r w:rsidRPr="00391598">
        <w:rPr>
          <w:rFonts w:ascii="Times New Roman" w:hAnsi="Times New Roman"/>
          <w:sz w:val="20"/>
          <w:szCs w:val="20"/>
        </w:rPr>
        <w:t xml:space="preserve">  This cost was determined using national Bureau of Labor Statistics data at</w:t>
      </w:r>
      <w:r w:rsidRPr="00391598" w:rsidR="004A7755">
        <w:rPr>
          <w:rFonts w:ascii="Times New Roman" w:hAnsi="Times New Roman"/>
          <w:sz w:val="20"/>
          <w:szCs w:val="20"/>
        </w:rPr>
        <w:t xml:space="preserve"> </w:t>
      </w:r>
      <w:hyperlink r:id="rId7" w:history="1">
        <w:r w:rsidRPr="00391598" w:rsidR="004121F2">
          <w:rPr>
            <w:rStyle w:val="Hyperlink"/>
            <w:rFonts w:ascii="Times New Roman" w:hAnsi="Times New Roman"/>
            <w:sz w:val="20"/>
            <w:szCs w:val="20"/>
          </w:rPr>
          <w:t>http://www.bls.gov/oes/current/oes_nat.htm</w:t>
        </w:r>
      </w:hyperlink>
      <w:r w:rsidRPr="00391598">
        <w:rPr>
          <w:rFonts w:ascii="Times New Roman" w:hAnsi="Times New Roman"/>
          <w:sz w:val="20"/>
          <w:szCs w:val="20"/>
        </w:rPr>
        <w:t>.  The benefits multiplier of 1.4 is supported by</w:t>
      </w:r>
      <w:r w:rsidRPr="00391598" w:rsidR="004A7755">
        <w:rPr>
          <w:rFonts w:ascii="Times New Roman" w:hAnsi="Times New Roman"/>
          <w:sz w:val="20"/>
          <w:szCs w:val="20"/>
        </w:rPr>
        <w:t xml:space="preserve"> information at</w:t>
      </w:r>
      <w:r w:rsidRPr="00391598">
        <w:rPr>
          <w:rFonts w:ascii="Times New Roman" w:hAnsi="Times New Roman"/>
          <w:sz w:val="20"/>
          <w:szCs w:val="20"/>
        </w:rPr>
        <w:t xml:space="preserve"> </w:t>
      </w:r>
      <w:hyperlink r:id="rId8" w:history="1">
        <w:r w:rsidRPr="00391598">
          <w:rPr>
            <w:rStyle w:val="Hyperlink"/>
            <w:rFonts w:ascii="Times New Roman" w:hAnsi="Times New Roman"/>
            <w:sz w:val="20"/>
            <w:szCs w:val="20"/>
          </w:rPr>
          <w:t>http://www.bls.gov/news.release/ecec.nr0.htm</w:t>
        </w:r>
      </w:hyperlink>
      <w:r w:rsidRPr="00391598">
        <w:rPr>
          <w:rFonts w:ascii="Times New Roman" w:hAnsi="Times New Roman"/>
          <w:sz w:val="20"/>
          <w:szCs w:val="20"/>
        </w:rPr>
        <w:t>.</w:t>
      </w:r>
    </w:p>
    <w:p w:rsidR="002F3677" w:rsidRPr="00391598" w:rsidP="006156AD" w14:paraId="75974D95" w14:textId="77777777">
      <w:pPr>
        <w:tabs>
          <w:tab w:val="left" w:pos="360"/>
          <w:tab w:val="left" w:pos="630"/>
        </w:tabs>
        <w:rPr>
          <w:rFonts w:ascii="Times New Roman" w:hAnsi="Times New Roman"/>
          <w:sz w:val="20"/>
          <w:szCs w:val="20"/>
          <w:lang w:val="en"/>
        </w:rPr>
      </w:pPr>
    </w:p>
    <w:p w:rsidR="008A3669" w:rsidRPr="00391598" w:rsidP="006156AD" w14:paraId="059A77DF" w14:textId="7D3F045D">
      <w:pPr>
        <w:tabs>
          <w:tab w:val="left" w:pos="360"/>
          <w:tab w:val="left" w:pos="630"/>
        </w:tabs>
        <w:rPr>
          <w:rFonts w:ascii="Times New Roman" w:hAnsi="Times New Roman"/>
          <w:b/>
          <w:sz w:val="20"/>
          <w:szCs w:val="20"/>
        </w:rPr>
      </w:pPr>
      <w:r w:rsidRPr="00391598">
        <w:rPr>
          <w:rFonts w:ascii="Times New Roman" w:hAnsi="Times New Roman"/>
          <w:b/>
          <w:sz w:val="20"/>
          <w:szCs w:val="20"/>
        </w:rPr>
        <w:t>Table 12-1</w:t>
      </w:r>
      <w:r w:rsidRPr="00391598" w:rsidR="006156AD">
        <w:rPr>
          <w:rFonts w:ascii="Times New Roman" w:hAnsi="Times New Roman"/>
          <w:b/>
          <w:sz w:val="20"/>
          <w:szCs w:val="20"/>
        </w:rPr>
        <w:t xml:space="preserve">: </w:t>
      </w:r>
      <w:r w:rsidRPr="00391598">
        <w:rPr>
          <w:rFonts w:ascii="Times New Roman" w:hAnsi="Times New Roman"/>
          <w:b/>
          <w:sz w:val="20"/>
          <w:szCs w:val="20"/>
        </w:rPr>
        <w:t>Estimated Weighted Average Hourly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31"/>
        <w:gridCol w:w="1219"/>
        <w:gridCol w:w="1387"/>
        <w:gridCol w:w="1546"/>
        <w:gridCol w:w="1292"/>
        <w:gridCol w:w="1475"/>
      </w:tblGrid>
      <w:tr w14:paraId="157B86B9" w14:textId="77777777" w:rsidTr="00070A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509" w:type="dxa"/>
            <w:shd w:val="clear" w:color="auto" w:fill="D9D9D9"/>
          </w:tcPr>
          <w:p w:rsidR="00070AB8" w:rsidRPr="004B5320" w:rsidP="00EB0C7B" w14:paraId="11F5482F"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Position</w:t>
            </w:r>
          </w:p>
        </w:tc>
        <w:tc>
          <w:tcPr>
            <w:tcW w:w="1247" w:type="dxa"/>
            <w:shd w:val="clear" w:color="auto" w:fill="D9D9D9"/>
          </w:tcPr>
          <w:p w:rsidR="00070AB8" w:rsidRPr="004B5320" w:rsidP="00EB0C7B" w14:paraId="09DEDFF6"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Mean Hourly Pay Rate</w:t>
            </w:r>
          </w:p>
        </w:tc>
        <w:tc>
          <w:tcPr>
            <w:tcW w:w="1412" w:type="dxa"/>
            <w:shd w:val="clear" w:color="auto" w:fill="D9D9D9"/>
          </w:tcPr>
          <w:p w:rsidR="00070AB8" w:rsidRPr="004B5320" w:rsidP="00EB0C7B" w14:paraId="0AD9202B" w14:textId="01307205">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 xml:space="preserve">Benefits Multiplier </w:t>
            </w:r>
          </w:p>
        </w:tc>
        <w:tc>
          <w:tcPr>
            <w:tcW w:w="1588" w:type="dxa"/>
            <w:shd w:val="clear" w:color="auto" w:fill="D9D9D9"/>
          </w:tcPr>
          <w:p w:rsidR="00070AB8" w:rsidRPr="004B5320" w:rsidP="00EB0C7B" w14:paraId="46428C46" w14:textId="0AB98968">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Hourly Rate with Benefits</w:t>
            </w:r>
          </w:p>
          <w:p w:rsidR="00070AB8" w:rsidRPr="004B5320" w:rsidP="00EB0C7B" w14:paraId="020C4435" w14:textId="7DFFD964">
            <w:pPr>
              <w:tabs>
                <w:tab w:val="left" w:pos="360"/>
                <w:tab w:val="left" w:pos="630"/>
              </w:tabs>
              <w:jc w:val="center"/>
              <w:rPr>
                <w:rFonts w:ascii="Times New Roman" w:hAnsi="Times New Roman"/>
                <w:b/>
                <w:sz w:val="16"/>
                <w:szCs w:val="16"/>
              </w:rPr>
            </w:pPr>
          </w:p>
        </w:tc>
        <w:tc>
          <w:tcPr>
            <w:tcW w:w="1313" w:type="dxa"/>
            <w:shd w:val="clear" w:color="auto" w:fill="D9D9D9"/>
          </w:tcPr>
          <w:p w:rsidR="00070AB8" w:rsidRPr="004B5320" w:rsidP="00EB0C7B" w14:paraId="2BA15283"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Percent of Collection Time</w:t>
            </w:r>
          </w:p>
        </w:tc>
        <w:tc>
          <w:tcPr>
            <w:tcW w:w="1507" w:type="dxa"/>
            <w:shd w:val="clear" w:color="auto" w:fill="D9D9D9"/>
          </w:tcPr>
          <w:p w:rsidR="00070AB8" w:rsidRPr="004B5320" w:rsidP="00EB0C7B" w14:paraId="66E73A57" w14:textId="77777777">
            <w:pPr>
              <w:tabs>
                <w:tab w:val="left" w:pos="360"/>
                <w:tab w:val="left" w:pos="630"/>
              </w:tabs>
              <w:jc w:val="center"/>
              <w:rPr>
                <w:rFonts w:ascii="Times New Roman" w:hAnsi="Times New Roman"/>
                <w:b/>
                <w:sz w:val="16"/>
                <w:szCs w:val="16"/>
              </w:rPr>
            </w:pPr>
            <w:r w:rsidRPr="004B5320">
              <w:rPr>
                <w:rFonts w:ascii="Times New Roman" w:hAnsi="Times New Roman"/>
                <w:b/>
                <w:sz w:val="16"/>
                <w:szCs w:val="16"/>
              </w:rPr>
              <w:t>Weighted Average Hourly Cost</w:t>
            </w:r>
          </w:p>
          <w:p w:rsidR="00070AB8" w:rsidRPr="004B5320" w:rsidP="006156AD" w14:paraId="4FB608C6" w14:textId="77777777">
            <w:pPr>
              <w:tabs>
                <w:tab w:val="left" w:pos="360"/>
                <w:tab w:val="left" w:pos="630"/>
              </w:tabs>
              <w:rPr>
                <w:rFonts w:ascii="Times New Roman" w:hAnsi="Times New Roman"/>
                <w:b/>
                <w:sz w:val="16"/>
                <w:szCs w:val="16"/>
              </w:rPr>
            </w:pPr>
          </w:p>
        </w:tc>
      </w:tr>
      <w:tr w14:paraId="2B67C3EB" w14:textId="77777777" w:rsidTr="00070AB8">
        <w:tblPrEx>
          <w:tblW w:w="0" w:type="auto"/>
          <w:tblLook w:val="04A0"/>
        </w:tblPrEx>
        <w:trPr>
          <w:cantSplit/>
        </w:trPr>
        <w:tc>
          <w:tcPr>
            <w:tcW w:w="2509" w:type="dxa"/>
            <w:vAlign w:val="center"/>
          </w:tcPr>
          <w:p w:rsidR="00070AB8" w:rsidRPr="004B5320" w:rsidP="006156AD" w14:paraId="3EEC252C" w14:textId="77777777">
            <w:pPr>
              <w:tabs>
                <w:tab w:val="left" w:pos="360"/>
                <w:tab w:val="left" w:pos="630"/>
              </w:tabs>
              <w:rPr>
                <w:rFonts w:ascii="Times New Roman" w:hAnsi="Times New Roman"/>
                <w:sz w:val="16"/>
                <w:szCs w:val="16"/>
              </w:rPr>
            </w:pPr>
            <w:r w:rsidRPr="004B5320">
              <w:rPr>
                <w:rFonts w:ascii="Times New Roman" w:hAnsi="Times New Roman"/>
                <w:sz w:val="16"/>
                <w:szCs w:val="16"/>
              </w:rPr>
              <w:t>General Office Clerk (43-9061)</w:t>
            </w:r>
          </w:p>
        </w:tc>
        <w:tc>
          <w:tcPr>
            <w:tcW w:w="1247" w:type="dxa"/>
            <w:vAlign w:val="center"/>
          </w:tcPr>
          <w:p w:rsidR="00070AB8" w:rsidRPr="004B5320" w:rsidP="006156AD" w14:paraId="045AEB25" w14:textId="436FC0B4">
            <w:pPr>
              <w:tabs>
                <w:tab w:val="left" w:pos="360"/>
                <w:tab w:val="left" w:pos="630"/>
              </w:tabs>
              <w:jc w:val="right"/>
              <w:rPr>
                <w:rFonts w:ascii="Times New Roman" w:hAnsi="Times New Roman"/>
                <w:sz w:val="16"/>
                <w:szCs w:val="16"/>
              </w:rPr>
            </w:pPr>
            <w:r w:rsidRPr="004B5320">
              <w:rPr>
                <w:rFonts w:ascii="Times New Roman" w:hAnsi="Times New Roman"/>
                <w:sz w:val="16"/>
                <w:szCs w:val="16"/>
              </w:rPr>
              <w:t>$20.94</w:t>
            </w:r>
          </w:p>
        </w:tc>
        <w:tc>
          <w:tcPr>
            <w:tcW w:w="1412" w:type="dxa"/>
          </w:tcPr>
          <w:p w:rsidR="00070AB8" w:rsidRPr="004B5320" w:rsidP="006156AD" w14:paraId="595778B7" w14:textId="11E39C84">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2EFB9BF8" w14:textId="1ED6D5CB">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9854B6">
              <w:rPr>
                <w:rFonts w:ascii="Times New Roman" w:hAnsi="Times New Roman"/>
                <w:sz w:val="16"/>
                <w:szCs w:val="16"/>
              </w:rPr>
              <w:t>29.32</w:t>
            </w:r>
          </w:p>
        </w:tc>
        <w:tc>
          <w:tcPr>
            <w:tcW w:w="1313" w:type="dxa"/>
            <w:vAlign w:val="center"/>
          </w:tcPr>
          <w:p w:rsidR="00070AB8" w:rsidRPr="004B5320" w:rsidP="006156AD" w14:paraId="059B5569"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10%</w:t>
            </w:r>
          </w:p>
        </w:tc>
        <w:tc>
          <w:tcPr>
            <w:tcW w:w="1507" w:type="dxa"/>
            <w:vAlign w:val="center"/>
          </w:tcPr>
          <w:p w:rsidR="00070AB8" w:rsidRPr="004B5320" w:rsidP="006156AD" w14:paraId="3328483B" w14:textId="7A1A01B9">
            <w:pPr>
              <w:tabs>
                <w:tab w:val="left" w:pos="360"/>
                <w:tab w:val="left" w:pos="630"/>
              </w:tabs>
              <w:jc w:val="right"/>
              <w:rPr>
                <w:rFonts w:ascii="Times New Roman" w:hAnsi="Times New Roman"/>
                <w:sz w:val="16"/>
                <w:szCs w:val="16"/>
              </w:rPr>
            </w:pPr>
            <w:r w:rsidRPr="004B5320">
              <w:rPr>
                <w:rFonts w:ascii="Times New Roman" w:hAnsi="Times New Roman"/>
                <w:sz w:val="16"/>
                <w:szCs w:val="16"/>
              </w:rPr>
              <w:t>$2.</w:t>
            </w:r>
            <w:r w:rsidRPr="004B5320" w:rsidR="002858ED">
              <w:rPr>
                <w:rFonts w:ascii="Times New Roman" w:hAnsi="Times New Roman"/>
                <w:sz w:val="16"/>
                <w:szCs w:val="16"/>
              </w:rPr>
              <w:t>93</w:t>
            </w:r>
          </w:p>
        </w:tc>
      </w:tr>
      <w:tr w14:paraId="6CC44B10" w14:textId="77777777" w:rsidTr="00070AB8">
        <w:tblPrEx>
          <w:tblW w:w="0" w:type="auto"/>
          <w:tblLook w:val="04A0"/>
        </w:tblPrEx>
        <w:trPr>
          <w:cantSplit/>
        </w:trPr>
        <w:tc>
          <w:tcPr>
            <w:tcW w:w="2509" w:type="dxa"/>
            <w:vAlign w:val="center"/>
          </w:tcPr>
          <w:p w:rsidR="00070AB8" w:rsidRPr="004B5320" w:rsidP="006156AD" w14:paraId="46D3E8F6" w14:textId="77777777">
            <w:pPr>
              <w:tabs>
                <w:tab w:val="left" w:pos="360"/>
                <w:tab w:val="left" w:pos="630"/>
              </w:tabs>
              <w:rPr>
                <w:rFonts w:ascii="Times New Roman" w:hAnsi="Times New Roman"/>
                <w:sz w:val="16"/>
                <w:szCs w:val="16"/>
              </w:rPr>
            </w:pPr>
            <w:r w:rsidRPr="004B5320">
              <w:rPr>
                <w:rFonts w:ascii="Times New Roman" w:hAnsi="Times New Roman"/>
                <w:sz w:val="16"/>
                <w:szCs w:val="16"/>
              </w:rPr>
              <w:t>Engineer (17-2199)</w:t>
            </w:r>
          </w:p>
        </w:tc>
        <w:tc>
          <w:tcPr>
            <w:tcW w:w="1247" w:type="dxa"/>
            <w:vAlign w:val="center"/>
          </w:tcPr>
          <w:p w:rsidR="00070AB8" w:rsidRPr="004B5320" w:rsidP="006156AD" w14:paraId="4A9CEFFF" w14:textId="10000CC2">
            <w:pPr>
              <w:tabs>
                <w:tab w:val="left" w:pos="360"/>
                <w:tab w:val="left" w:pos="630"/>
              </w:tabs>
              <w:jc w:val="right"/>
              <w:rPr>
                <w:rFonts w:ascii="Times New Roman" w:hAnsi="Times New Roman"/>
                <w:sz w:val="16"/>
                <w:szCs w:val="16"/>
              </w:rPr>
            </w:pPr>
            <w:r w:rsidRPr="004B5320">
              <w:rPr>
                <w:rFonts w:ascii="Times New Roman" w:hAnsi="Times New Roman"/>
                <w:sz w:val="16"/>
                <w:szCs w:val="16"/>
              </w:rPr>
              <w:t>$56.90</w:t>
            </w:r>
          </w:p>
        </w:tc>
        <w:tc>
          <w:tcPr>
            <w:tcW w:w="1412" w:type="dxa"/>
          </w:tcPr>
          <w:p w:rsidR="00070AB8" w:rsidRPr="004B5320" w:rsidP="006156AD" w14:paraId="6669350B" w14:textId="21562B64">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01AFE02F" w14:textId="1A46481A">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9854B6">
              <w:rPr>
                <w:rFonts w:ascii="Times New Roman" w:hAnsi="Times New Roman"/>
                <w:sz w:val="16"/>
                <w:szCs w:val="16"/>
              </w:rPr>
              <w:t>79.66</w:t>
            </w:r>
          </w:p>
        </w:tc>
        <w:tc>
          <w:tcPr>
            <w:tcW w:w="1313" w:type="dxa"/>
            <w:vAlign w:val="center"/>
          </w:tcPr>
          <w:p w:rsidR="00070AB8" w:rsidRPr="004B5320" w:rsidP="006156AD" w14:paraId="533816AF"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80%</w:t>
            </w:r>
          </w:p>
        </w:tc>
        <w:tc>
          <w:tcPr>
            <w:tcW w:w="1507" w:type="dxa"/>
            <w:vAlign w:val="center"/>
          </w:tcPr>
          <w:p w:rsidR="00070AB8" w:rsidRPr="004B5320" w:rsidP="006156AD" w14:paraId="29CB067A" w14:textId="1109362E">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180CB8">
              <w:rPr>
                <w:rFonts w:ascii="Times New Roman" w:hAnsi="Times New Roman"/>
                <w:sz w:val="16"/>
                <w:szCs w:val="16"/>
              </w:rPr>
              <w:t>63.73</w:t>
            </w:r>
          </w:p>
        </w:tc>
      </w:tr>
      <w:tr w14:paraId="55BB8436" w14:textId="77777777" w:rsidTr="00070AB8">
        <w:tblPrEx>
          <w:tblW w:w="0" w:type="auto"/>
          <w:tblLook w:val="04A0"/>
        </w:tblPrEx>
        <w:trPr>
          <w:cantSplit/>
        </w:trPr>
        <w:tc>
          <w:tcPr>
            <w:tcW w:w="2509" w:type="dxa"/>
            <w:vAlign w:val="center"/>
          </w:tcPr>
          <w:p w:rsidR="00070AB8" w:rsidRPr="004B5320" w:rsidP="006156AD" w14:paraId="41808F5C" w14:textId="77777777">
            <w:pPr>
              <w:tabs>
                <w:tab w:val="left" w:pos="360"/>
                <w:tab w:val="left" w:pos="630"/>
              </w:tabs>
              <w:rPr>
                <w:rFonts w:ascii="Times New Roman" w:hAnsi="Times New Roman"/>
                <w:sz w:val="16"/>
                <w:szCs w:val="16"/>
              </w:rPr>
            </w:pPr>
            <w:r w:rsidRPr="004B5320">
              <w:rPr>
                <w:rFonts w:ascii="Times New Roman" w:hAnsi="Times New Roman"/>
                <w:sz w:val="16"/>
                <w:szCs w:val="16"/>
              </w:rPr>
              <w:t>Engineering Manager (11-9041)</w:t>
            </w:r>
          </w:p>
        </w:tc>
        <w:tc>
          <w:tcPr>
            <w:tcW w:w="1247" w:type="dxa"/>
            <w:vAlign w:val="center"/>
          </w:tcPr>
          <w:p w:rsidR="00070AB8" w:rsidRPr="004B5320" w:rsidP="006156AD" w14:paraId="7C08A1A6" w14:textId="5BD122AF">
            <w:pPr>
              <w:tabs>
                <w:tab w:val="left" w:pos="360"/>
                <w:tab w:val="left" w:pos="630"/>
              </w:tabs>
              <w:jc w:val="right"/>
              <w:rPr>
                <w:rFonts w:ascii="Times New Roman" w:hAnsi="Times New Roman"/>
                <w:sz w:val="16"/>
                <w:szCs w:val="16"/>
              </w:rPr>
            </w:pPr>
            <w:r w:rsidRPr="004B5320">
              <w:rPr>
                <w:rFonts w:ascii="Times New Roman" w:hAnsi="Times New Roman"/>
                <w:sz w:val="16"/>
                <w:szCs w:val="16"/>
              </w:rPr>
              <w:t>$82.83</w:t>
            </w:r>
          </w:p>
        </w:tc>
        <w:tc>
          <w:tcPr>
            <w:tcW w:w="1412" w:type="dxa"/>
          </w:tcPr>
          <w:p w:rsidR="00070AB8" w:rsidRPr="004B5320" w:rsidP="006156AD" w14:paraId="4F9CE91B" w14:textId="7D4DDD49">
            <w:pPr>
              <w:tabs>
                <w:tab w:val="left" w:pos="360"/>
                <w:tab w:val="left" w:pos="630"/>
              </w:tabs>
              <w:jc w:val="right"/>
              <w:rPr>
                <w:rFonts w:ascii="Times New Roman" w:hAnsi="Times New Roman"/>
                <w:sz w:val="16"/>
                <w:szCs w:val="16"/>
              </w:rPr>
            </w:pPr>
            <w:r w:rsidRPr="004B5320">
              <w:rPr>
                <w:rFonts w:ascii="Times New Roman" w:hAnsi="Times New Roman"/>
                <w:sz w:val="16"/>
                <w:szCs w:val="16"/>
              </w:rPr>
              <w:t>1.4</w:t>
            </w:r>
          </w:p>
        </w:tc>
        <w:tc>
          <w:tcPr>
            <w:tcW w:w="1588" w:type="dxa"/>
            <w:vAlign w:val="center"/>
          </w:tcPr>
          <w:p w:rsidR="00070AB8" w:rsidRPr="004B5320" w:rsidP="006156AD" w14:paraId="722E465A" w14:textId="51804913">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AE76B7">
              <w:rPr>
                <w:rFonts w:ascii="Times New Roman" w:hAnsi="Times New Roman"/>
                <w:sz w:val="16"/>
                <w:szCs w:val="16"/>
              </w:rPr>
              <w:t>115.96</w:t>
            </w:r>
          </w:p>
        </w:tc>
        <w:tc>
          <w:tcPr>
            <w:tcW w:w="1313" w:type="dxa"/>
            <w:vAlign w:val="center"/>
          </w:tcPr>
          <w:p w:rsidR="00070AB8" w:rsidRPr="004B5320" w:rsidP="006156AD" w14:paraId="744DDE02" w14:textId="77777777">
            <w:pPr>
              <w:tabs>
                <w:tab w:val="left" w:pos="360"/>
                <w:tab w:val="left" w:pos="630"/>
              </w:tabs>
              <w:jc w:val="right"/>
              <w:rPr>
                <w:rFonts w:ascii="Times New Roman" w:hAnsi="Times New Roman"/>
                <w:sz w:val="16"/>
                <w:szCs w:val="16"/>
              </w:rPr>
            </w:pPr>
            <w:r w:rsidRPr="004B5320">
              <w:rPr>
                <w:rFonts w:ascii="Times New Roman" w:hAnsi="Times New Roman"/>
                <w:sz w:val="16"/>
                <w:szCs w:val="16"/>
              </w:rPr>
              <w:t>10%</w:t>
            </w:r>
          </w:p>
        </w:tc>
        <w:tc>
          <w:tcPr>
            <w:tcW w:w="1507" w:type="dxa"/>
            <w:vAlign w:val="center"/>
          </w:tcPr>
          <w:p w:rsidR="00070AB8" w:rsidRPr="004B5320" w:rsidP="006156AD" w14:paraId="6A4AE18B" w14:textId="3D073AD8">
            <w:pPr>
              <w:tabs>
                <w:tab w:val="left" w:pos="360"/>
                <w:tab w:val="left" w:pos="630"/>
              </w:tabs>
              <w:jc w:val="right"/>
              <w:rPr>
                <w:rFonts w:ascii="Times New Roman" w:hAnsi="Times New Roman"/>
                <w:sz w:val="16"/>
                <w:szCs w:val="16"/>
              </w:rPr>
            </w:pPr>
            <w:r w:rsidRPr="004B5320">
              <w:rPr>
                <w:rFonts w:ascii="Times New Roman" w:hAnsi="Times New Roman"/>
                <w:sz w:val="16"/>
                <w:szCs w:val="16"/>
              </w:rPr>
              <w:t>$</w:t>
            </w:r>
            <w:r w:rsidRPr="004B5320" w:rsidR="00DD6263">
              <w:rPr>
                <w:rFonts w:ascii="Times New Roman" w:hAnsi="Times New Roman"/>
                <w:sz w:val="16"/>
                <w:szCs w:val="16"/>
              </w:rPr>
              <w:t>11.60</w:t>
            </w:r>
          </w:p>
        </w:tc>
      </w:tr>
      <w:tr w14:paraId="3CED96ED" w14:textId="77777777" w:rsidTr="00070AB8">
        <w:tblPrEx>
          <w:tblW w:w="0" w:type="auto"/>
          <w:tblLook w:val="04A0"/>
        </w:tblPrEx>
        <w:trPr>
          <w:cantSplit/>
        </w:trPr>
        <w:tc>
          <w:tcPr>
            <w:tcW w:w="2509" w:type="dxa"/>
            <w:vAlign w:val="center"/>
          </w:tcPr>
          <w:p w:rsidR="00070AB8" w:rsidRPr="004B5320" w:rsidP="006156AD" w14:paraId="15CBE8FB" w14:textId="77777777">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Totals:</w:t>
            </w:r>
          </w:p>
        </w:tc>
        <w:tc>
          <w:tcPr>
            <w:tcW w:w="1247" w:type="dxa"/>
            <w:vAlign w:val="center"/>
          </w:tcPr>
          <w:p w:rsidR="00070AB8" w:rsidRPr="004B5320" w:rsidP="006156AD" w14:paraId="4AB5A519" w14:textId="77777777">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412" w:type="dxa"/>
          </w:tcPr>
          <w:p w:rsidR="00070AB8" w:rsidRPr="004B5320" w:rsidP="006156AD" w14:paraId="2CA664F0" w14:textId="2494DD70">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588" w:type="dxa"/>
            <w:vAlign w:val="center"/>
          </w:tcPr>
          <w:p w:rsidR="00070AB8" w:rsidRPr="004B5320" w:rsidP="006156AD" w14:paraId="358B8799" w14:textId="008C97C1">
            <w:pPr>
              <w:tabs>
                <w:tab w:val="left" w:pos="360"/>
                <w:tab w:val="left" w:pos="630"/>
              </w:tabs>
              <w:jc w:val="center"/>
              <w:rPr>
                <w:rFonts w:ascii="Times New Roman" w:hAnsi="Times New Roman"/>
                <w:b/>
                <w:bCs/>
                <w:sz w:val="16"/>
                <w:szCs w:val="16"/>
              </w:rPr>
            </w:pPr>
            <w:r w:rsidRPr="004B5320">
              <w:rPr>
                <w:rFonts w:ascii="Times New Roman" w:hAnsi="Times New Roman"/>
                <w:b/>
                <w:bCs/>
                <w:sz w:val="16"/>
                <w:szCs w:val="16"/>
              </w:rPr>
              <w:t>----</w:t>
            </w:r>
          </w:p>
        </w:tc>
        <w:tc>
          <w:tcPr>
            <w:tcW w:w="1313" w:type="dxa"/>
            <w:vAlign w:val="center"/>
          </w:tcPr>
          <w:p w:rsidR="00070AB8" w:rsidRPr="004B5320" w:rsidP="006156AD" w14:paraId="44DDD86A" w14:textId="77777777">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100%</w:t>
            </w:r>
          </w:p>
        </w:tc>
        <w:tc>
          <w:tcPr>
            <w:tcW w:w="1507" w:type="dxa"/>
            <w:vAlign w:val="center"/>
          </w:tcPr>
          <w:p w:rsidR="00070AB8" w:rsidRPr="004B5320" w:rsidP="006156AD" w14:paraId="0DC44090" w14:textId="54841122">
            <w:pPr>
              <w:tabs>
                <w:tab w:val="left" w:pos="360"/>
                <w:tab w:val="left" w:pos="630"/>
              </w:tabs>
              <w:jc w:val="right"/>
              <w:rPr>
                <w:rFonts w:ascii="Times New Roman" w:hAnsi="Times New Roman"/>
                <w:b/>
                <w:bCs/>
                <w:sz w:val="16"/>
                <w:szCs w:val="16"/>
              </w:rPr>
            </w:pPr>
            <w:r w:rsidRPr="004B5320">
              <w:rPr>
                <w:rFonts w:ascii="Times New Roman" w:hAnsi="Times New Roman"/>
                <w:b/>
                <w:bCs/>
                <w:sz w:val="16"/>
                <w:szCs w:val="16"/>
              </w:rPr>
              <w:t>$</w:t>
            </w:r>
            <w:r w:rsidRPr="004B5320" w:rsidR="00A875A3">
              <w:rPr>
                <w:rFonts w:ascii="Times New Roman" w:hAnsi="Times New Roman"/>
                <w:b/>
                <w:bCs/>
                <w:sz w:val="16"/>
                <w:szCs w:val="16"/>
              </w:rPr>
              <w:t>78.26</w:t>
            </w:r>
          </w:p>
        </w:tc>
      </w:tr>
    </w:tbl>
    <w:p w:rsidR="008A3669" w:rsidRPr="00391598" w:rsidP="00884A6D" w14:paraId="01C3C7EF" w14:textId="77777777">
      <w:pPr>
        <w:tabs>
          <w:tab w:val="left" w:pos="360"/>
          <w:tab w:val="left" w:pos="630"/>
        </w:tabs>
        <w:rPr>
          <w:rFonts w:ascii="Times New Roman" w:hAnsi="Times New Roman"/>
          <w:sz w:val="20"/>
          <w:szCs w:val="20"/>
        </w:rPr>
      </w:pPr>
    </w:p>
    <w:p w:rsidR="00BE6046" w:rsidRPr="00391598" w:rsidP="00884A6D" w14:paraId="4ED9DA64"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91598">
        <w:rPr>
          <w:rFonts w:ascii="Times New Roman" w:hAnsi="Times New Roman"/>
          <w:b/>
          <w:i/>
          <w:sz w:val="20"/>
          <w:szCs w:val="20"/>
          <w:u w:val="single"/>
        </w:rPr>
        <w:t>Estimated Hour and Cost Burdens:</w:t>
      </w:r>
      <w:r w:rsidRPr="00391598">
        <w:rPr>
          <w:rFonts w:ascii="Times New Roman" w:hAnsi="Times New Roman"/>
          <w:sz w:val="20"/>
          <w:szCs w:val="20"/>
        </w:rPr>
        <w:t xml:space="preserve">  Hour and cost burdens to respondents include time spent for researching, preparing, and submitting information.  The weighted average hourly wage associated with these information collections is shown at Table 12-1, above.  The BLM’s estimate of the time it takes a respondent to supply the information was verified by consultations with several respondents (see Item 8, above).</w:t>
      </w:r>
    </w:p>
    <w:p w:rsidR="00F445B5" w:rsidRPr="00391598" w:rsidP="00884A6D" w14:paraId="169BFB82"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3119C9" w:rsidRPr="00391598" w:rsidP="00F445B5" w14:paraId="790C7826" w14:textId="77777777">
      <w:pPr>
        <w:pStyle w:val="PlainText"/>
        <w:rPr>
          <w:rFonts w:ascii="Times New Roman" w:hAnsi="Times New Roman"/>
          <w:sz w:val="20"/>
          <w:szCs w:val="20"/>
        </w:rPr>
      </w:pPr>
      <w:r w:rsidRPr="00391598">
        <w:rPr>
          <w:rFonts w:ascii="Times New Roman" w:hAnsi="Times New Roman"/>
          <w:sz w:val="20"/>
          <w:szCs w:val="20"/>
        </w:rPr>
        <w:t>The estimated hour</w:t>
      </w:r>
      <w:r w:rsidRPr="00391598" w:rsidR="00C124AF">
        <w:rPr>
          <w:rFonts w:ascii="Times New Roman" w:hAnsi="Times New Roman"/>
          <w:sz w:val="20"/>
          <w:szCs w:val="20"/>
        </w:rPr>
        <w:t xml:space="preserve"> burdens </w:t>
      </w:r>
      <w:r w:rsidRPr="00391598">
        <w:rPr>
          <w:rFonts w:ascii="Times New Roman" w:hAnsi="Times New Roman"/>
          <w:sz w:val="20"/>
          <w:szCs w:val="20"/>
        </w:rPr>
        <w:t xml:space="preserve">for the use of Form 3160-5 (Sundry Notices) </w:t>
      </w:r>
      <w:r w:rsidRPr="00391598" w:rsidR="003C746B">
        <w:rPr>
          <w:rFonts w:ascii="Times New Roman" w:hAnsi="Times New Roman"/>
          <w:sz w:val="20"/>
          <w:szCs w:val="20"/>
        </w:rPr>
        <w:t xml:space="preserve">include both recurring </w:t>
      </w:r>
      <w:r w:rsidRPr="00391598">
        <w:rPr>
          <w:rFonts w:ascii="Times New Roman" w:hAnsi="Times New Roman"/>
          <w:sz w:val="20"/>
          <w:szCs w:val="20"/>
        </w:rPr>
        <w:t xml:space="preserve">burdens </w:t>
      </w:r>
      <w:r w:rsidRPr="00391598" w:rsidR="003C746B">
        <w:rPr>
          <w:rFonts w:ascii="Times New Roman" w:hAnsi="Times New Roman"/>
          <w:sz w:val="20"/>
          <w:szCs w:val="20"/>
        </w:rPr>
        <w:t xml:space="preserve">and one-time </w:t>
      </w:r>
      <w:r w:rsidRPr="00391598">
        <w:rPr>
          <w:rFonts w:ascii="Times New Roman" w:hAnsi="Times New Roman"/>
          <w:sz w:val="20"/>
          <w:szCs w:val="20"/>
        </w:rPr>
        <w:t>burdens</w:t>
      </w:r>
      <w:r w:rsidRPr="00391598" w:rsidR="003C746B">
        <w:rPr>
          <w:rFonts w:ascii="Times New Roman" w:hAnsi="Times New Roman"/>
          <w:sz w:val="20"/>
          <w:szCs w:val="20"/>
        </w:rPr>
        <w:t xml:space="preserve">.  </w:t>
      </w:r>
      <w:r w:rsidRPr="00391598">
        <w:rPr>
          <w:rFonts w:ascii="Times New Roman" w:hAnsi="Times New Roman"/>
          <w:sz w:val="20"/>
          <w:szCs w:val="20"/>
        </w:rPr>
        <w:t>Most of the burdens are recurring, i.e., “on occasion.”</w:t>
      </w:r>
    </w:p>
    <w:p w:rsidR="003119C9" w:rsidRPr="00391598" w:rsidP="00F445B5" w14:paraId="6E6A4668" w14:textId="77777777">
      <w:pPr>
        <w:pStyle w:val="PlainText"/>
        <w:rPr>
          <w:rFonts w:ascii="Times New Roman" w:hAnsi="Times New Roman"/>
          <w:sz w:val="20"/>
          <w:szCs w:val="20"/>
        </w:rPr>
      </w:pPr>
    </w:p>
    <w:p w:rsidR="008458FE" w:rsidRPr="00391598" w:rsidP="00062B36" w14:paraId="0C027110" w14:textId="372EAB88">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391598">
        <w:rPr>
          <w:rFonts w:ascii="Times New Roman" w:hAnsi="Times New Roman"/>
          <w:sz w:val="20"/>
          <w:szCs w:val="20"/>
        </w:rPr>
        <w:t>E</w:t>
      </w:r>
      <w:r w:rsidRPr="00391598" w:rsidR="00B6155A">
        <w:rPr>
          <w:rFonts w:ascii="Times New Roman" w:hAnsi="Times New Roman"/>
          <w:sz w:val="20"/>
          <w:szCs w:val="20"/>
        </w:rPr>
        <w:t xml:space="preserve">xcept for the one-time burdens </w:t>
      </w:r>
      <w:r w:rsidRPr="00391598" w:rsidR="00784CD7">
        <w:rPr>
          <w:rFonts w:ascii="Times New Roman" w:hAnsi="Times New Roman"/>
          <w:sz w:val="20"/>
          <w:szCs w:val="20"/>
        </w:rPr>
        <w:t xml:space="preserve">and </w:t>
      </w:r>
      <w:r w:rsidRPr="00391598" w:rsidR="0059623A">
        <w:rPr>
          <w:rFonts w:ascii="Times New Roman" w:hAnsi="Times New Roman"/>
          <w:sz w:val="20"/>
          <w:szCs w:val="20"/>
        </w:rPr>
        <w:t>the monthly burden</w:t>
      </w:r>
      <w:r w:rsidRPr="00391598" w:rsidR="00784CD7">
        <w:rPr>
          <w:rFonts w:ascii="Times New Roman" w:hAnsi="Times New Roman"/>
          <w:sz w:val="20"/>
          <w:szCs w:val="20"/>
        </w:rPr>
        <w:t xml:space="preserve"> </w:t>
      </w:r>
      <w:r w:rsidRPr="00391598" w:rsidR="00B6155A">
        <w:rPr>
          <w:rFonts w:ascii="Times New Roman" w:hAnsi="Times New Roman"/>
          <w:sz w:val="20"/>
          <w:szCs w:val="20"/>
        </w:rPr>
        <w:t xml:space="preserve">indicated in </w:t>
      </w:r>
      <w:r w:rsidRPr="00391598" w:rsidR="0059623A">
        <w:rPr>
          <w:rFonts w:ascii="Times New Roman" w:hAnsi="Times New Roman"/>
          <w:sz w:val="20"/>
          <w:szCs w:val="20"/>
        </w:rPr>
        <w:t xml:space="preserve">Column A of </w:t>
      </w:r>
      <w:r w:rsidRPr="00391598" w:rsidR="00B6155A">
        <w:rPr>
          <w:rFonts w:ascii="Times New Roman" w:hAnsi="Times New Roman"/>
          <w:sz w:val="20"/>
          <w:szCs w:val="20"/>
        </w:rPr>
        <w:t>Table 12-2</w:t>
      </w:r>
      <w:r w:rsidRPr="00391598">
        <w:rPr>
          <w:rFonts w:ascii="Times New Roman" w:hAnsi="Times New Roman"/>
          <w:sz w:val="20"/>
          <w:szCs w:val="20"/>
        </w:rPr>
        <w:t>, t</w:t>
      </w:r>
      <w:r w:rsidRPr="00391598" w:rsidR="00BE6046">
        <w:rPr>
          <w:rFonts w:ascii="Times New Roman" w:hAnsi="Times New Roman"/>
          <w:sz w:val="20"/>
          <w:szCs w:val="20"/>
        </w:rPr>
        <w:t>he frequency of response for each of the information collections is “on occasion</w:t>
      </w:r>
      <w:r w:rsidRPr="00391598" w:rsidR="00B6155A">
        <w:rPr>
          <w:rFonts w:ascii="Times New Roman" w:hAnsi="Times New Roman"/>
          <w:sz w:val="20"/>
          <w:szCs w:val="20"/>
        </w:rPr>
        <w:t>.”</w:t>
      </w:r>
      <w:r w:rsidRPr="00391598" w:rsidR="0087557E">
        <w:rPr>
          <w:rFonts w:ascii="Times New Roman" w:hAnsi="Times New Roman"/>
          <w:sz w:val="20"/>
          <w:szCs w:val="20"/>
        </w:rPr>
        <w:t xml:space="preserve"> The burden estimates are based on the BLM’s years of experience of implementing these regulatory requirements within the onshore oil and gas industry</w:t>
      </w:r>
      <w:r w:rsidR="000C0E3E">
        <w:rPr>
          <w:rFonts w:ascii="Times New Roman" w:hAnsi="Times New Roman"/>
          <w:sz w:val="20"/>
          <w:szCs w:val="20"/>
        </w:rPr>
        <w:t xml:space="preserve"> </w:t>
      </w:r>
      <w:r w:rsidR="007D2C41">
        <w:rPr>
          <w:rFonts w:ascii="Times New Roman" w:hAnsi="Times New Roman"/>
          <w:sz w:val="20"/>
          <w:szCs w:val="20"/>
        </w:rPr>
        <w:t>as well as from feedback provided by actual respondents</w:t>
      </w:r>
      <w:r w:rsidRPr="00391598" w:rsidR="0087557E">
        <w:rPr>
          <w:rFonts w:ascii="Times New Roman" w:hAnsi="Times New Roman"/>
          <w:sz w:val="20"/>
          <w:szCs w:val="20"/>
        </w:rPr>
        <w:t>.</w:t>
      </w:r>
      <w:r w:rsidR="002F3669">
        <w:rPr>
          <w:rFonts w:ascii="Times New Roman" w:hAnsi="Times New Roman"/>
          <w:sz w:val="20"/>
          <w:szCs w:val="20"/>
        </w:rPr>
        <w:t xml:space="preserve"> Based on the BLM’s experience, there are approximately</w:t>
      </w:r>
      <w:r w:rsidR="007A1742">
        <w:rPr>
          <w:rFonts w:ascii="Times New Roman" w:hAnsi="Times New Roman"/>
          <w:sz w:val="20"/>
          <w:szCs w:val="20"/>
        </w:rPr>
        <w:t xml:space="preserve"> </w:t>
      </w:r>
      <w:r w:rsidR="005F0C0B">
        <w:rPr>
          <w:rFonts w:ascii="Times New Roman" w:hAnsi="Times New Roman"/>
          <w:sz w:val="20"/>
          <w:szCs w:val="20"/>
        </w:rPr>
        <w:t xml:space="preserve">864 </w:t>
      </w:r>
      <w:r w:rsidR="00646135">
        <w:rPr>
          <w:rFonts w:ascii="Times New Roman" w:hAnsi="Times New Roman"/>
          <w:sz w:val="20"/>
          <w:szCs w:val="20"/>
        </w:rPr>
        <w:t xml:space="preserve">entities holding </w:t>
      </w:r>
      <w:r w:rsidR="00DD5C86">
        <w:rPr>
          <w:rFonts w:ascii="Times New Roman" w:hAnsi="Times New Roman"/>
          <w:sz w:val="20"/>
          <w:szCs w:val="20"/>
        </w:rPr>
        <w:t>onshore oil and gas leas</w:t>
      </w:r>
      <w:r w:rsidR="00646135">
        <w:rPr>
          <w:rFonts w:ascii="Times New Roman" w:hAnsi="Times New Roman"/>
          <w:sz w:val="20"/>
          <w:szCs w:val="20"/>
        </w:rPr>
        <w:t>es on BLM public lands.</w:t>
      </w:r>
      <w:r w:rsidR="00BB1227">
        <w:rPr>
          <w:rFonts w:ascii="Times New Roman" w:hAnsi="Times New Roman"/>
          <w:sz w:val="20"/>
          <w:szCs w:val="20"/>
        </w:rPr>
        <w:t xml:space="preserve"> It this sector of the regulated community who are respondents to these information collection requirements. </w:t>
      </w:r>
    </w:p>
    <w:p w:rsidR="00BE6046" w:rsidRPr="00391598" w:rsidP="00884A6D" w14:paraId="143927A4" w14:textId="77777777">
      <w:pPr>
        <w:tabs>
          <w:tab w:val="left" w:pos="360"/>
          <w:tab w:val="left" w:pos="630"/>
        </w:tabs>
        <w:rPr>
          <w:rFonts w:ascii="Times New Roman" w:hAnsi="Times New Roman"/>
          <w:b/>
          <w:sz w:val="20"/>
          <w:szCs w:val="20"/>
        </w:rPr>
      </w:pPr>
    </w:p>
    <w:p w:rsidR="00BE6046" w:rsidRPr="00391598" w:rsidP="0032078E" w14:paraId="6FB27DBD" w14:textId="77777777">
      <w:pPr>
        <w:tabs>
          <w:tab w:val="left" w:pos="360"/>
          <w:tab w:val="left" w:pos="630"/>
        </w:tabs>
        <w:rPr>
          <w:rFonts w:ascii="Times New Roman" w:hAnsi="Times New Roman"/>
          <w:b/>
          <w:sz w:val="20"/>
          <w:szCs w:val="20"/>
        </w:rPr>
      </w:pPr>
      <w:r w:rsidRPr="00391598">
        <w:rPr>
          <w:rFonts w:ascii="Times New Roman" w:hAnsi="Times New Roman"/>
          <w:b/>
          <w:sz w:val="20"/>
          <w:szCs w:val="20"/>
        </w:rPr>
        <w:t>Table 12-2</w:t>
      </w:r>
      <w:r w:rsidRPr="00391598" w:rsidR="0032078E">
        <w:rPr>
          <w:rFonts w:ascii="Times New Roman" w:hAnsi="Times New Roman"/>
          <w:b/>
          <w:sz w:val="20"/>
          <w:szCs w:val="20"/>
        </w:rPr>
        <w:t xml:space="preserve">: </w:t>
      </w:r>
      <w:r w:rsidRPr="00391598">
        <w:rPr>
          <w:rFonts w:ascii="Times New Roman" w:hAnsi="Times New Roman"/>
          <w:b/>
          <w:sz w:val="20"/>
          <w:szCs w:val="20"/>
        </w:rPr>
        <w:t>Estimated Hour Burdens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2861"/>
        <w:gridCol w:w="1060"/>
        <w:gridCol w:w="1043"/>
        <w:gridCol w:w="944"/>
        <w:gridCol w:w="990"/>
        <w:gridCol w:w="1059"/>
        <w:gridCol w:w="1393"/>
      </w:tblGrid>
      <w:tr w14:paraId="281FC060" w14:textId="77777777" w:rsidTr="004E140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3002" w:type="dxa"/>
            <w:shd w:val="clear" w:color="auto" w:fill="D9D9D9"/>
            <w:vAlign w:val="center"/>
          </w:tcPr>
          <w:p w:rsidR="00A875A3" w:rsidRPr="004B5320" w:rsidP="006846A3" w14:paraId="2D8EC096"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Collection of Information</w:t>
            </w:r>
          </w:p>
        </w:tc>
        <w:tc>
          <w:tcPr>
            <w:tcW w:w="1071" w:type="dxa"/>
            <w:shd w:val="clear" w:color="auto" w:fill="D9D9D9"/>
            <w:vAlign w:val="center"/>
          </w:tcPr>
          <w:p w:rsidR="00A875A3" w:rsidRPr="004B5320" w:rsidP="006846A3" w14:paraId="587EF6F5"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Number of Responses</w:t>
            </w:r>
          </w:p>
        </w:tc>
        <w:tc>
          <w:tcPr>
            <w:tcW w:w="1050" w:type="dxa"/>
            <w:shd w:val="clear" w:color="auto" w:fill="D9D9D9"/>
            <w:vAlign w:val="center"/>
          </w:tcPr>
          <w:p w:rsidR="00A875A3" w:rsidRPr="004B5320" w:rsidP="006846A3" w14:paraId="3D5F1783" w14:textId="318FDDDB">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Frequency</w:t>
            </w:r>
          </w:p>
        </w:tc>
        <w:tc>
          <w:tcPr>
            <w:tcW w:w="951" w:type="dxa"/>
            <w:shd w:val="clear" w:color="auto" w:fill="D9D9D9"/>
            <w:vAlign w:val="center"/>
          </w:tcPr>
          <w:p w:rsidR="00A875A3" w:rsidRPr="004B5320" w:rsidP="006846A3" w14:paraId="19D50540" w14:textId="4204633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Response Time (hours)</w:t>
            </w:r>
          </w:p>
        </w:tc>
        <w:tc>
          <w:tcPr>
            <w:tcW w:w="1012" w:type="dxa"/>
            <w:shd w:val="clear" w:color="auto" w:fill="D9D9D9"/>
            <w:vAlign w:val="center"/>
          </w:tcPr>
          <w:p w:rsidR="00A875A3" w:rsidRPr="004B5320" w:rsidP="006846A3" w14:paraId="1C371F7A"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Annual Burden Hours</w:t>
            </w:r>
          </w:p>
          <w:p w:rsidR="00A875A3" w:rsidRPr="004B5320" w:rsidP="006846A3" w14:paraId="09BF39C8" w14:textId="77777777">
            <w:pPr>
              <w:tabs>
                <w:tab w:val="left" w:pos="360"/>
                <w:tab w:val="left" w:pos="630"/>
                <w:tab w:val="left" w:pos="720"/>
                <w:tab w:val="left" w:pos="1080"/>
              </w:tabs>
              <w:jc w:val="center"/>
              <w:rPr>
                <w:rFonts w:ascii="Times New Roman" w:hAnsi="Times New Roman"/>
                <w:b/>
                <w:sz w:val="16"/>
                <w:szCs w:val="16"/>
              </w:rPr>
            </w:pPr>
          </w:p>
        </w:tc>
        <w:tc>
          <w:tcPr>
            <w:tcW w:w="1079" w:type="dxa"/>
            <w:shd w:val="clear" w:color="auto" w:fill="D9D9D9"/>
            <w:vAlign w:val="center"/>
          </w:tcPr>
          <w:p w:rsidR="00A875A3" w:rsidRPr="004B5320" w:rsidP="000C1BDE" w14:paraId="04FCFC0B" w14:textId="3F18ABC9">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 xml:space="preserve">Weighed Hourly Rate </w:t>
            </w:r>
          </w:p>
        </w:tc>
        <w:tc>
          <w:tcPr>
            <w:tcW w:w="1425" w:type="dxa"/>
            <w:shd w:val="clear" w:color="auto" w:fill="D9D9D9"/>
            <w:vAlign w:val="center"/>
          </w:tcPr>
          <w:p w:rsidR="00A875A3" w:rsidRPr="004B5320" w:rsidP="000C1BDE" w14:paraId="08185273" w14:textId="118EEEAF">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 xml:space="preserve">Total Wage Equivalent </w:t>
            </w:r>
          </w:p>
        </w:tc>
      </w:tr>
      <w:tr w14:paraId="016FFDFF"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6644A268" w14:textId="00139ECB">
            <w:pPr>
              <w:tabs>
                <w:tab w:val="left" w:pos="360"/>
                <w:tab w:val="left" w:pos="630"/>
              </w:tabs>
              <w:rPr>
                <w:rFonts w:ascii="Times New Roman" w:hAnsi="Times New Roman"/>
                <w:sz w:val="16"/>
                <w:szCs w:val="16"/>
              </w:rPr>
            </w:pPr>
            <w:r w:rsidRPr="009760D6">
              <w:rPr>
                <w:rFonts w:ascii="Times New Roman" w:hAnsi="Times New Roman"/>
                <w:sz w:val="16"/>
                <w:szCs w:val="16"/>
              </w:rPr>
              <w:t>Variance Requests -- 43 CFR 3170.6 (Form 3160-</w:t>
            </w:r>
            <w:r w:rsidRPr="009760D6">
              <w:rPr>
                <w:rFonts w:ascii="Times New Roman" w:hAnsi="Times New Roman"/>
                <w:sz w:val="16"/>
                <w:szCs w:val="16"/>
              </w:rPr>
              <w:t>5)</w:t>
            </w:r>
            <w:r w:rsidR="00976938">
              <w:rPr>
                <w:rFonts w:ascii="Times New Roman" w:hAnsi="Times New Roman"/>
                <w:sz w:val="16"/>
                <w:szCs w:val="16"/>
              </w:rPr>
              <w:t>*</w:t>
            </w:r>
            <w:r w:rsidR="00976938">
              <w:rPr>
                <w:rFonts w:ascii="Times New Roman" w:hAnsi="Times New Roman"/>
                <w:sz w:val="16"/>
                <w:szCs w:val="16"/>
              </w:rPr>
              <w:t>**</w:t>
            </w:r>
            <w:r w:rsidR="00216029">
              <w:rPr>
                <w:rFonts w:ascii="Times New Roman" w:hAnsi="Times New Roman"/>
                <w:sz w:val="16"/>
                <w:szCs w:val="16"/>
              </w:rPr>
              <w:t xml:space="preserve"> </w:t>
            </w:r>
          </w:p>
        </w:tc>
        <w:tc>
          <w:tcPr>
            <w:tcW w:w="1071" w:type="dxa"/>
            <w:vAlign w:val="center"/>
          </w:tcPr>
          <w:p w:rsidR="00E53600" w:rsidRPr="009760D6" w:rsidP="00E53600" w14:paraId="72175994"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100</w:t>
            </w:r>
          </w:p>
        </w:tc>
        <w:tc>
          <w:tcPr>
            <w:tcW w:w="1050" w:type="dxa"/>
          </w:tcPr>
          <w:p w:rsidR="00E53600" w:rsidRPr="009760D6" w:rsidP="00E53600" w14:paraId="6E077CF2" w14:textId="3BB4CEC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04D46EE4" w14:textId="080FDA6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r w:rsidRPr="005226C2" w:rsidR="00F704BC">
              <w:rPr>
                <w:rFonts w:ascii="Times New Roman" w:hAnsi="Times New Roman"/>
                <w:sz w:val="16"/>
                <w:szCs w:val="16"/>
                <w:vertAlign w:val="superscript"/>
              </w:rPr>
              <w:t>**</w:t>
            </w:r>
            <w:r w:rsidRPr="005226C2" w:rsidR="00F704BC">
              <w:rPr>
                <w:rFonts w:ascii="Times New Roman" w:hAnsi="Times New Roman"/>
                <w:sz w:val="16"/>
                <w:szCs w:val="16"/>
              </w:rPr>
              <w:t xml:space="preserve">  </w:t>
            </w:r>
          </w:p>
        </w:tc>
        <w:tc>
          <w:tcPr>
            <w:tcW w:w="1012" w:type="dxa"/>
            <w:vAlign w:val="center"/>
          </w:tcPr>
          <w:p w:rsidR="00E53600" w:rsidRPr="005226C2" w:rsidP="00E53600" w14:paraId="64AED87F" w14:textId="633B96E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4,000</w:t>
            </w:r>
          </w:p>
        </w:tc>
        <w:tc>
          <w:tcPr>
            <w:tcW w:w="1079" w:type="dxa"/>
            <w:vAlign w:val="center"/>
          </w:tcPr>
          <w:p w:rsidR="00E53600" w:rsidRPr="005226C2" w:rsidP="00E53600" w14:paraId="445C95E5" w14:textId="79927114">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5226C2" w:rsidP="00E53600" w14:paraId="22B47EC5" w14:textId="001A3B06">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B71BFA">
              <w:rPr>
                <w:rFonts w:ascii="Times New Roman" w:hAnsi="Times New Roman"/>
                <w:color w:val="000000"/>
                <w:sz w:val="16"/>
                <w:szCs w:val="16"/>
              </w:rPr>
              <w:t>313,040</w:t>
            </w:r>
            <w:r w:rsidRPr="005226C2">
              <w:rPr>
                <w:rFonts w:ascii="Times New Roman" w:hAnsi="Times New Roman"/>
                <w:color w:val="000000"/>
                <w:sz w:val="16"/>
                <w:szCs w:val="16"/>
              </w:rPr>
              <w:t xml:space="preserve"> </w:t>
            </w:r>
          </w:p>
        </w:tc>
      </w:tr>
      <w:tr w14:paraId="3FFCC461"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2DBDA4A2" w14:textId="6C3F471F">
            <w:pPr>
              <w:tabs>
                <w:tab w:val="left" w:pos="360"/>
                <w:tab w:val="left" w:pos="630"/>
              </w:tabs>
              <w:rPr>
                <w:rFonts w:ascii="Times New Roman" w:hAnsi="Times New Roman"/>
                <w:sz w:val="16"/>
                <w:szCs w:val="16"/>
              </w:rPr>
            </w:pPr>
            <w:r w:rsidRPr="009760D6">
              <w:rPr>
                <w:rFonts w:ascii="Times New Roman" w:hAnsi="Times New Roman"/>
                <w:sz w:val="16"/>
                <w:szCs w:val="16"/>
              </w:rPr>
              <w:t>Recordkeeping 43 CFR 3170.7</w:t>
            </w:r>
          </w:p>
        </w:tc>
        <w:tc>
          <w:tcPr>
            <w:tcW w:w="1071" w:type="dxa"/>
            <w:vAlign w:val="center"/>
          </w:tcPr>
          <w:p w:rsidR="00E53600" w:rsidRPr="009760D6" w:rsidP="00E53600" w14:paraId="5F61B849" w14:textId="63BFAEE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200</w:t>
            </w:r>
          </w:p>
        </w:tc>
        <w:tc>
          <w:tcPr>
            <w:tcW w:w="1050" w:type="dxa"/>
          </w:tcPr>
          <w:p w:rsidR="00E53600" w:rsidRPr="009760D6" w:rsidP="00E53600" w14:paraId="42E7B5C4" w14:textId="790E340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4E34F399" w14:textId="635E34D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8</w:t>
            </w:r>
          </w:p>
        </w:tc>
        <w:tc>
          <w:tcPr>
            <w:tcW w:w="1012" w:type="dxa"/>
            <w:vAlign w:val="center"/>
          </w:tcPr>
          <w:p w:rsidR="00E53600" w:rsidRPr="005226C2" w:rsidP="00E53600" w14:paraId="607214CA" w14:textId="1ACF9033">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1,600</w:t>
            </w:r>
          </w:p>
        </w:tc>
        <w:tc>
          <w:tcPr>
            <w:tcW w:w="1079" w:type="dxa"/>
            <w:vAlign w:val="center"/>
          </w:tcPr>
          <w:p w:rsidR="00E53600" w:rsidRPr="005226C2" w:rsidP="00E53600" w14:paraId="08D284B3" w14:textId="598776F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5226C2" w:rsidP="00E53600" w14:paraId="13946BEB" w14:textId="2996AFD8">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7F5632">
              <w:rPr>
                <w:rFonts w:ascii="Times New Roman" w:hAnsi="Times New Roman"/>
                <w:color w:val="000000"/>
                <w:sz w:val="16"/>
                <w:szCs w:val="16"/>
              </w:rPr>
              <w:t>125,216</w:t>
            </w:r>
            <w:r w:rsidRPr="005226C2">
              <w:rPr>
                <w:rFonts w:ascii="Times New Roman" w:hAnsi="Times New Roman"/>
                <w:color w:val="000000"/>
                <w:sz w:val="16"/>
                <w:szCs w:val="16"/>
              </w:rPr>
              <w:t xml:space="preserve"> </w:t>
            </w:r>
          </w:p>
        </w:tc>
      </w:tr>
      <w:tr w14:paraId="123F338D"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04CCAB25" w14:textId="47222A8F">
            <w:pPr>
              <w:tabs>
                <w:tab w:val="left" w:pos="360"/>
                <w:tab w:val="left" w:pos="630"/>
              </w:tabs>
              <w:rPr>
                <w:rFonts w:ascii="Times New Roman" w:hAnsi="Times New Roman"/>
                <w:sz w:val="16"/>
                <w:szCs w:val="16"/>
              </w:rPr>
            </w:pPr>
            <w:r w:rsidRPr="009760D6">
              <w:rPr>
                <w:rFonts w:ascii="Times New Roman" w:hAnsi="Times New Roman"/>
                <w:sz w:val="16"/>
                <w:szCs w:val="16"/>
              </w:rPr>
              <w:t>Reporting Theft or Mishandling of Oil – 43 CFR 3173.8 (non-form)</w:t>
            </w:r>
          </w:p>
        </w:tc>
        <w:tc>
          <w:tcPr>
            <w:tcW w:w="1071" w:type="dxa"/>
            <w:vAlign w:val="center"/>
          </w:tcPr>
          <w:p w:rsidR="00E53600" w:rsidRPr="009760D6" w:rsidP="00E53600" w14:paraId="3ACE6436" w14:textId="53F19CE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tcPr>
          <w:p w:rsidR="00E53600" w:rsidRPr="009760D6" w:rsidP="00E53600" w14:paraId="36FB3AD3" w14:textId="13FBB14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1AE7472F" w14:textId="613AC4EF">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p>
        </w:tc>
        <w:tc>
          <w:tcPr>
            <w:tcW w:w="1012" w:type="dxa"/>
            <w:vAlign w:val="center"/>
          </w:tcPr>
          <w:p w:rsidR="00E53600" w:rsidRPr="005226C2" w:rsidP="00E53600" w14:paraId="35A28834" w14:textId="291C2653">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40</w:t>
            </w:r>
          </w:p>
        </w:tc>
        <w:tc>
          <w:tcPr>
            <w:tcW w:w="1079" w:type="dxa"/>
            <w:vAlign w:val="center"/>
          </w:tcPr>
          <w:p w:rsidR="00E53600" w:rsidRPr="005226C2" w:rsidP="00E53600" w14:paraId="4846634A" w14:textId="3CED03AE">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5226C2" w:rsidP="00E53600" w14:paraId="374FFA39" w14:textId="1001D13C">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A340B4">
              <w:rPr>
                <w:rFonts w:ascii="Times New Roman" w:hAnsi="Times New Roman"/>
                <w:color w:val="000000"/>
                <w:sz w:val="16"/>
                <w:szCs w:val="16"/>
              </w:rPr>
              <w:t>3,130</w:t>
            </w:r>
            <w:r w:rsidRPr="005226C2">
              <w:rPr>
                <w:rFonts w:ascii="Times New Roman" w:hAnsi="Times New Roman"/>
                <w:color w:val="000000"/>
                <w:sz w:val="16"/>
                <w:szCs w:val="16"/>
              </w:rPr>
              <w:t xml:space="preserve"> </w:t>
            </w:r>
          </w:p>
        </w:tc>
      </w:tr>
      <w:tr w14:paraId="512C4D41"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406FDC7B" w14:textId="69C60CD6">
            <w:pPr>
              <w:tabs>
                <w:tab w:val="left" w:pos="360"/>
                <w:tab w:val="left" w:pos="630"/>
              </w:tabs>
              <w:rPr>
                <w:rFonts w:ascii="Times New Roman" w:hAnsi="Times New Roman"/>
                <w:sz w:val="16"/>
                <w:szCs w:val="16"/>
              </w:rPr>
            </w:pPr>
            <w:r w:rsidRPr="009760D6">
              <w:rPr>
                <w:rFonts w:ascii="Times New Roman" w:hAnsi="Times New Roman"/>
                <w:sz w:val="16"/>
                <w:szCs w:val="16"/>
              </w:rPr>
              <w:t>Site Facility Diagrams -- 43 CFR 3173.11 (Form 3160</w:t>
            </w:r>
            <w:r w:rsidRPr="005226C2">
              <w:rPr>
                <w:rFonts w:ascii="Times New Roman" w:hAnsi="Times New Roman"/>
                <w:sz w:val="16"/>
                <w:szCs w:val="16"/>
              </w:rPr>
              <w:t>-</w:t>
            </w:r>
            <w:r w:rsidRPr="005226C2">
              <w:rPr>
                <w:rFonts w:ascii="Times New Roman" w:hAnsi="Times New Roman"/>
                <w:sz w:val="16"/>
                <w:szCs w:val="16"/>
              </w:rPr>
              <w:t>5</w:t>
            </w:r>
            <w:r w:rsidRPr="005226C2">
              <w:rPr>
                <w:rFonts w:ascii="Times New Roman" w:hAnsi="Times New Roman"/>
                <w:sz w:val="16"/>
                <w:szCs w:val="16"/>
                <w:highlight w:val="yellow"/>
              </w:rPr>
              <w:t>)</w:t>
            </w:r>
            <w:r w:rsidR="00976938">
              <w:rPr>
                <w:rFonts w:ascii="Times New Roman" w:hAnsi="Times New Roman"/>
                <w:sz w:val="16"/>
                <w:szCs w:val="16"/>
              </w:rPr>
              <w:t>*</w:t>
            </w:r>
            <w:r w:rsidR="00976938">
              <w:rPr>
                <w:rFonts w:ascii="Times New Roman" w:hAnsi="Times New Roman"/>
                <w:sz w:val="16"/>
                <w:szCs w:val="16"/>
              </w:rPr>
              <w:t>**</w:t>
            </w:r>
          </w:p>
        </w:tc>
        <w:tc>
          <w:tcPr>
            <w:tcW w:w="1071" w:type="dxa"/>
            <w:vAlign w:val="center"/>
          </w:tcPr>
          <w:p w:rsidR="00E53600" w:rsidRPr="009760D6" w:rsidP="00E53600" w14:paraId="1E6A210B"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9,156</w:t>
            </w:r>
          </w:p>
        </w:tc>
        <w:tc>
          <w:tcPr>
            <w:tcW w:w="1050" w:type="dxa"/>
          </w:tcPr>
          <w:p w:rsidR="00E53600" w:rsidRPr="009760D6" w:rsidP="00E53600" w14:paraId="3F9D2B8C" w14:textId="711A8EC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5226C2" w:rsidP="00E53600" w14:paraId="68827770" w14:textId="095713C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10</w:t>
            </w:r>
            <w:r w:rsidRPr="005226C2" w:rsidR="00F704BC">
              <w:rPr>
                <w:rFonts w:ascii="Times New Roman" w:hAnsi="Times New Roman"/>
                <w:sz w:val="16"/>
                <w:szCs w:val="16"/>
              </w:rPr>
              <w:t xml:space="preserve">**  </w:t>
            </w:r>
          </w:p>
        </w:tc>
        <w:tc>
          <w:tcPr>
            <w:tcW w:w="1012" w:type="dxa"/>
            <w:vAlign w:val="center"/>
          </w:tcPr>
          <w:p w:rsidR="00E53600" w:rsidRPr="005226C2" w:rsidP="00E53600" w14:paraId="702CF8B9" w14:textId="6C9D5390">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91,560</w:t>
            </w:r>
          </w:p>
        </w:tc>
        <w:tc>
          <w:tcPr>
            <w:tcW w:w="1079" w:type="dxa"/>
            <w:vAlign w:val="center"/>
          </w:tcPr>
          <w:p w:rsidR="00E53600" w:rsidRPr="005226C2" w:rsidP="00E53600" w14:paraId="0A298CB0" w14:textId="6BB30B64">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5226C2" w:rsidP="00E53600" w14:paraId="084EC6C6" w14:textId="6A9BA6F9">
            <w:pPr>
              <w:tabs>
                <w:tab w:val="left" w:pos="360"/>
                <w:tab w:val="left" w:pos="630"/>
                <w:tab w:val="left" w:pos="720"/>
                <w:tab w:val="left" w:pos="1080"/>
              </w:tabs>
              <w:jc w:val="right"/>
              <w:rPr>
                <w:rFonts w:ascii="Times New Roman" w:hAnsi="Times New Roman"/>
                <w:sz w:val="16"/>
                <w:szCs w:val="16"/>
              </w:rPr>
            </w:pPr>
            <w:r w:rsidRPr="005226C2">
              <w:rPr>
                <w:rFonts w:ascii="Times New Roman" w:hAnsi="Times New Roman"/>
                <w:color w:val="000000"/>
                <w:sz w:val="16"/>
                <w:szCs w:val="16"/>
              </w:rPr>
              <w:t>$</w:t>
            </w:r>
            <w:r w:rsidRPr="005226C2" w:rsidR="00A700F0">
              <w:rPr>
                <w:rFonts w:ascii="Times New Roman" w:hAnsi="Times New Roman"/>
                <w:color w:val="000000"/>
                <w:sz w:val="16"/>
                <w:szCs w:val="16"/>
              </w:rPr>
              <w:t>7,165,486</w:t>
            </w:r>
            <w:r w:rsidRPr="005226C2">
              <w:rPr>
                <w:rFonts w:ascii="Times New Roman" w:hAnsi="Times New Roman"/>
                <w:color w:val="000000"/>
                <w:sz w:val="16"/>
                <w:szCs w:val="16"/>
              </w:rPr>
              <w:t xml:space="preserve"> </w:t>
            </w:r>
          </w:p>
        </w:tc>
      </w:tr>
      <w:tr w14:paraId="74564517"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32CE47C0" w14:textId="1D80D17B">
            <w:pPr>
              <w:rPr>
                <w:rFonts w:ascii="Times New Roman" w:hAnsi="Times New Roman"/>
                <w:sz w:val="16"/>
                <w:szCs w:val="16"/>
                <w:vertAlign w:val="superscript"/>
              </w:rPr>
            </w:pPr>
            <w:r w:rsidRPr="009760D6">
              <w:rPr>
                <w:rFonts w:ascii="Times New Roman" w:hAnsi="Times New Roman"/>
                <w:sz w:val="16"/>
                <w:szCs w:val="16"/>
              </w:rPr>
              <w:t>Request for Approval of an FMP for Future Measurement Facilities -- 43 CFR 3173.12(d) (Form 3160-</w:t>
            </w:r>
            <w:r w:rsidRPr="009760D6">
              <w:rPr>
                <w:rFonts w:ascii="Times New Roman" w:hAnsi="Times New Roman"/>
                <w:sz w:val="16"/>
                <w:szCs w:val="16"/>
              </w:rPr>
              <w:t>5)</w:t>
            </w:r>
            <w:r w:rsidRPr="009760D6" w:rsidR="00D21C57">
              <w:rPr>
                <w:rFonts w:ascii="Times New Roman" w:hAnsi="Times New Roman"/>
                <w:sz w:val="16"/>
                <w:szCs w:val="16"/>
                <w:vertAlign w:val="superscript"/>
              </w:rPr>
              <w:t>*</w:t>
            </w:r>
          </w:p>
        </w:tc>
        <w:tc>
          <w:tcPr>
            <w:tcW w:w="1071" w:type="dxa"/>
            <w:vAlign w:val="center"/>
          </w:tcPr>
          <w:p w:rsidR="00E53600" w:rsidRPr="009760D6" w:rsidP="00E53600" w14:paraId="2EA35E3A" w14:textId="61DF939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tcPr>
          <w:p w:rsidR="00E53600" w:rsidRPr="009760D6" w:rsidP="00E53600" w14:paraId="408D9140" w14:textId="72A76EF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One-Time</w:t>
            </w:r>
          </w:p>
        </w:tc>
        <w:tc>
          <w:tcPr>
            <w:tcW w:w="951" w:type="dxa"/>
            <w:vAlign w:val="center"/>
          </w:tcPr>
          <w:p w:rsidR="00E53600" w:rsidRPr="009760D6" w:rsidP="00E53600" w14:paraId="4C62A9DE" w14:textId="77C44B6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001B787A" w14:textId="592E623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0EE51B83" w14:textId="4EC8EBB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38E99718" w14:textId="6379FD8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$626</w:t>
            </w:r>
          </w:p>
        </w:tc>
      </w:tr>
      <w:tr w14:paraId="2B7EB777"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629E2EC0" w14:textId="5A008E1E">
            <w:pPr>
              <w:rPr>
                <w:rFonts w:ascii="Times New Roman" w:hAnsi="Times New Roman"/>
                <w:sz w:val="16"/>
                <w:szCs w:val="16"/>
                <w:vertAlign w:val="superscript"/>
              </w:rPr>
            </w:pPr>
            <w:r w:rsidRPr="009760D6">
              <w:rPr>
                <w:rFonts w:ascii="Times New Roman" w:hAnsi="Times New Roman"/>
                <w:sz w:val="16"/>
                <w:szCs w:val="16"/>
              </w:rPr>
              <w:t xml:space="preserve">Request for Approval of an FMP for Existing Measurement Facilities </w:t>
            </w:r>
            <w:r w:rsidRPr="009760D6" w:rsidR="00D21C57">
              <w:rPr>
                <w:rFonts w:ascii="Times New Roman" w:hAnsi="Times New Roman"/>
                <w:sz w:val="16"/>
                <w:szCs w:val="16"/>
              </w:rPr>
              <w:t>–</w:t>
            </w:r>
            <w:r w:rsidRPr="009760D6">
              <w:rPr>
                <w:rFonts w:ascii="Times New Roman" w:hAnsi="Times New Roman"/>
                <w:sz w:val="16"/>
                <w:szCs w:val="16"/>
              </w:rPr>
              <w:t xml:space="preserve"> 43 CFR 3173.12(e) (Form 3160-</w:t>
            </w:r>
            <w:r w:rsidRPr="009760D6">
              <w:rPr>
                <w:rFonts w:ascii="Times New Roman" w:hAnsi="Times New Roman"/>
                <w:sz w:val="16"/>
                <w:szCs w:val="16"/>
              </w:rPr>
              <w:t>5)</w:t>
            </w:r>
            <w:r w:rsidRPr="009760D6" w:rsidR="00D21C57">
              <w:rPr>
                <w:rFonts w:ascii="Times New Roman" w:hAnsi="Times New Roman"/>
                <w:sz w:val="16"/>
                <w:szCs w:val="16"/>
                <w:vertAlign w:val="superscript"/>
              </w:rPr>
              <w:t>*</w:t>
            </w:r>
          </w:p>
        </w:tc>
        <w:tc>
          <w:tcPr>
            <w:tcW w:w="1071" w:type="dxa"/>
            <w:vAlign w:val="center"/>
          </w:tcPr>
          <w:p w:rsidR="00E53600" w:rsidRPr="009760D6" w:rsidP="00E53600" w14:paraId="69745B5B" w14:textId="6258FFD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tcPr>
          <w:p w:rsidR="00E53600" w:rsidRPr="009760D6" w:rsidP="00E53600" w14:paraId="3DA45F10" w14:textId="26D7390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One-Time</w:t>
            </w:r>
          </w:p>
        </w:tc>
        <w:tc>
          <w:tcPr>
            <w:tcW w:w="951" w:type="dxa"/>
            <w:vAlign w:val="center"/>
          </w:tcPr>
          <w:p w:rsidR="00E53600" w:rsidRPr="009760D6" w:rsidP="00E53600" w14:paraId="2FE1A992" w14:textId="0BD6771E">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7F331503" w14:textId="3CA2D75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0B3EFC07" w14:textId="0D07DD5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65B9FF29" w14:textId="4E2BFB86">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w:t>
            </w:r>
            <w:r w:rsidRPr="009760D6" w:rsidR="003513E9">
              <w:rPr>
                <w:rFonts w:ascii="Times New Roman" w:hAnsi="Times New Roman"/>
                <w:color w:val="000000"/>
                <w:sz w:val="16"/>
                <w:szCs w:val="16"/>
              </w:rPr>
              <w:t>626</w:t>
            </w:r>
            <w:r w:rsidRPr="009760D6">
              <w:rPr>
                <w:rFonts w:ascii="Times New Roman" w:hAnsi="Times New Roman"/>
                <w:color w:val="000000"/>
                <w:sz w:val="16"/>
                <w:szCs w:val="16"/>
              </w:rPr>
              <w:t xml:space="preserve"> </w:t>
            </w:r>
          </w:p>
        </w:tc>
      </w:tr>
      <w:tr w14:paraId="6F44C36A"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3CB149C7" w14:textId="6C5F778E">
            <w:pPr>
              <w:pStyle w:val="ListParagraph"/>
              <w:ind w:left="0"/>
              <w:rPr>
                <w:rFonts w:ascii="Times New Roman" w:hAnsi="Times New Roman"/>
                <w:sz w:val="16"/>
                <w:szCs w:val="16"/>
                <w:vertAlign w:val="superscript"/>
              </w:rPr>
            </w:pPr>
            <w:r w:rsidRPr="009760D6">
              <w:rPr>
                <w:rFonts w:ascii="Times New Roman" w:hAnsi="Times New Roman"/>
                <w:sz w:val="16"/>
                <w:szCs w:val="16"/>
              </w:rPr>
              <w:t>Modifications to an FMP -- 43 CFR 3173.13(b)(1) (Form 360-</w:t>
            </w:r>
            <w:r w:rsidRPr="009760D6">
              <w:rPr>
                <w:rFonts w:ascii="Times New Roman" w:hAnsi="Times New Roman"/>
                <w:sz w:val="16"/>
                <w:szCs w:val="16"/>
              </w:rPr>
              <w:t>5)</w:t>
            </w:r>
            <w:r w:rsidRPr="009760D6" w:rsidR="00F66448">
              <w:rPr>
                <w:rFonts w:ascii="Times New Roman" w:hAnsi="Times New Roman"/>
                <w:sz w:val="16"/>
                <w:szCs w:val="16"/>
                <w:vertAlign w:val="superscript"/>
              </w:rPr>
              <w:t>*</w:t>
            </w:r>
          </w:p>
        </w:tc>
        <w:tc>
          <w:tcPr>
            <w:tcW w:w="1071" w:type="dxa"/>
            <w:vAlign w:val="center"/>
          </w:tcPr>
          <w:p w:rsidR="00E53600" w:rsidRPr="009760D6" w:rsidP="00E53600" w14:paraId="78681F12" w14:textId="085D122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tcPr>
          <w:p w:rsidR="00E53600" w:rsidRPr="009760D6" w:rsidP="00E53600" w14:paraId="05928A99" w14:textId="1FA91E35">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4D7CF631" w14:textId="300687C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12" w:type="dxa"/>
            <w:vAlign w:val="center"/>
          </w:tcPr>
          <w:p w:rsidR="00E53600" w:rsidRPr="009760D6" w:rsidP="00E53600" w14:paraId="4DFD8AFE" w14:textId="758D5CA5">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w:t>
            </w:r>
          </w:p>
        </w:tc>
        <w:tc>
          <w:tcPr>
            <w:tcW w:w="1079" w:type="dxa"/>
            <w:vAlign w:val="center"/>
          </w:tcPr>
          <w:p w:rsidR="00E53600" w:rsidRPr="009760D6" w:rsidP="00E53600" w14:paraId="40C3CD52" w14:textId="01C42BB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12CA2045" w14:textId="4B280BEB">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$626 </w:t>
            </w:r>
          </w:p>
        </w:tc>
      </w:tr>
      <w:tr w14:paraId="448C8F35"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3C09BD3B" w14:textId="77777777">
            <w:pPr>
              <w:pStyle w:val="ListParagraph"/>
              <w:ind w:left="0"/>
              <w:rPr>
                <w:rFonts w:ascii="Times New Roman" w:hAnsi="Times New Roman"/>
                <w:sz w:val="16"/>
                <w:szCs w:val="16"/>
              </w:rPr>
            </w:pPr>
            <w:r w:rsidRPr="009760D6">
              <w:rPr>
                <w:rFonts w:ascii="Times New Roman" w:hAnsi="Times New Roman"/>
                <w:sz w:val="16"/>
                <w:szCs w:val="16"/>
              </w:rPr>
              <w:t>Request for Approval of a CAA -- 43 CFR 3173.15</w:t>
            </w:r>
          </w:p>
          <w:p w:rsidR="00E53600" w:rsidRPr="009760D6" w:rsidP="00E53600" w14:paraId="034FEB61" w14:textId="680955D6">
            <w:pPr>
              <w:pStyle w:val="ListParagraph"/>
              <w:ind w:left="0"/>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2C059978"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2,162</w:t>
            </w:r>
          </w:p>
        </w:tc>
        <w:tc>
          <w:tcPr>
            <w:tcW w:w="1050" w:type="dxa"/>
          </w:tcPr>
          <w:p w:rsidR="00E53600" w:rsidRPr="009760D6" w:rsidP="00E53600" w14:paraId="67CD1A69" w14:textId="6FD75E2E">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One-Time</w:t>
            </w:r>
          </w:p>
        </w:tc>
        <w:tc>
          <w:tcPr>
            <w:tcW w:w="951" w:type="dxa"/>
            <w:vAlign w:val="center"/>
          </w:tcPr>
          <w:p w:rsidR="00E53600" w:rsidRPr="009760D6" w:rsidP="00E53600" w14:paraId="6DDD5108" w14:textId="357BC1F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5E7A98D7"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86,480</w:t>
            </w:r>
          </w:p>
        </w:tc>
        <w:tc>
          <w:tcPr>
            <w:tcW w:w="1079" w:type="dxa"/>
            <w:vAlign w:val="center"/>
          </w:tcPr>
          <w:p w:rsidR="00E53600" w:rsidRPr="009760D6" w:rsidP="00E53600" w14:paraId="1992399B" w14:textId="5DCE4A7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2046508A" w14:textId="5466D27E">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$6,767,925 </w:t>
            </w:r>
          </w:p>
        </w:tc>
      </w:tr>
      <w:tr w14:paraId="4844277B"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5F5EAC42" w14:textId="77777777">
            <w:pPr>
              <w:pStyle w:val="ListParagraph"/>
              <w:ind w:left="0"/>
              <w:outlineLvl w:val="2"/>
              <w:rPr>
                <w:rFonts w:ascii="Times New Roman" w:hAnsi="Times New Roman"/>
                <w:sz w:val="16"/>
                <w:szCs w:val="16"/>
              </w:rPr>
            </w:pPr>
            <w:r w:rsidRPr="009760D6">
              <w:rPr>
                <w:rFonts w:ascii="Times New Roman" w:hAnsi="Times New Roman"/>
                <w:sz w:val="16"/>
                <w:szCs w:val="16"/>
              </w:rPr>
              <w:t>Response to Notice of Insufficient CAA -- 43 CFR 3173.16</w:t>
            </w:r>
          </w:p>
          <w:p w:rsidR="00E53600" w:rsidRPr="009760D6" w:rsidP="00E53600" w14:paraId="4E034F2B" w14:textId="75A7F938">
            <w:pPr>
              <w:pStyle w:val="ListParagraph"/>
              <w:ind w:left="0"/>
              <w:outlineLvl w:val="2"/>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700113BD"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150</w:t>
            </w:r>
          </w:p>
        </w:tc>
        <w:tc>
          <w:tcPr>
            <w:tcW w:w="1050" w:type="dxa"/>
          </w:tcPr>
          <w:p w:rsidR="00E53600" w:rsidRPr="009760D6" w:rsidP="00E53600" w14:paraId="23C329B8" w14:textId="452D8C8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745F21CF" w14:textId="58F756A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00A0EEA0"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6,000</w:t>
            </w:r>
          </w:p>
        </w:tc>
        <w:tc>
          <w:tcPr>
            <w:tcW w:w="1079" w:type="dxa"/>
            <w:vAlign w:val="center"/>
          </w:tcPr>
          <w:p w:rsidR="00E53600" w:rsidRPr="009760D6" w:rsidP="00E53600" w14:paraId="4802F326" w14:textId="4E0BDDD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38EF1D4F" w14:textId="0B65395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$469,560 </w:t>
            </w:r>
          </w:p>
        </w:tc>
      </w:tr>
      <w:tr w14:paraId="6FD02E62"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79AB7F6F" w14:textId="43932E36">
            <w:pPr>
              <w:pStyle w:val="ListParagraph"/>
              <w:ind w:left="0"/>
              <w:rPr>
                <w:rFonts w:ascii="Times New Roman" w:hAnsi="Times New Roman"/>
                <w:sz w:val="16"/>
                <w:szCs w:val="16"/>
              </w:rPr>
            </w:pPr>
            <w:r w:rsidRPr="009760D6">
              <w:rPr>
                <w:rFonts w:ascii="Times New Roman" w:hAnsi="Times New Roman"/>
                <w:sz w:val="16"/>
                <w:szCs w:val="16"/>
              </w:rPr>
              <w:t xml:space="preserve">Request to Modify or Terminate a CAA -- 43 CFR 3173.18 and 3173.20 (Form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4344B8CA"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500</w:t>
            </w:r>
          </w:p>
        </w:tc>
        <w:tc>
          <w:tcPr>
            <w:tcW w:w="1050" w:type="dxa"/>
          </w:tcPr>
          <w:p w:rsidR="00E53600" w:rsidRPr="009760D6" w:rsidP="00E53600" w14:paraId="665B0A52" w14:textId="7F752B1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3E71F3C7" w14:textId="6719DDB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34A1DD54"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20,000</w:t>
            </w:r>
          </w:p>
        </w:tc>
        <w:tc>
          <w:tcPr>
            <w:tcW w:w="1079" w:type="dxa"/>
            <w:vAlign w:val="center"/>
          </w:tcPr>
          <w:p w:rsidR="00E53600" w:rsidRPr="009760D6" w:rsidP="00E53600" w14:paraId="5E4EF647" w14:textId="384BA3A8">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40B4B6A8" w14:textId="7EB22B7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$1,565,200 </w:t>
            </w:r>
          </w:p>
        </w:tc>
      </w:tr>
      <w:tr w14:paraId="6D1110D6"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20906043" w14:textId="77777777">
            <w:pPr>
              <w:pStyle w:val="ListParagraph"/>
              <w:ind w:left="0"/>
              <w:rPr>
                <w:rFonts w:ascii="Times New Roman" w:hAnsi="Times New Roman"/>
                <w:sz w:val="16"/>
                <w:szCs w:val="16"/>
              </w:rPr>
            </w:pPr>
            <w:r w:rsidRPr="009760D6">
              <w:rPr>
                <w:rFonts w:ascii="Times New Roman" w:hAnsi="Times New Roman"/>
                <w:sz w:val="16"/>
                <w:szCs w:val="16"/>
              </w:rPr>
              <w:t>Request for Approval or Termination of Off-Lease Measurement -- 43 CFR 3173.23 and 3173.27</w:t>
            </w:r>
          </w:p>
          <w:p w:rsidR="00E53600" w:rsidRPr="009760D6" w:rsidP="00E53600" w14:paraId="5DC9AB27" w14:textId="5DE55D15">
            <w:pPr>
              <w:pStyle w:val="ListParagraph"/>
              <w:ind w:left="0"/>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1CB7D595"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166</w:t>
            </w:r>
          </w:p>
        </w:tc>
        <w:tc>
          <w:tcPr>
            <w:tcW w:w="1050" w:type="dxa"/>
          </w:tcPr>
          <w:p w:rsidR="00E53600" w:rsidRPr="009760D6" w:rsidP="00E53600" w14:paraId="55C906AD" w14:textId="4D035B4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53896382" w14:textId="7865004A">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10</w:t>
            </w:r>
          </w:p>
        </w:tc>
        <w:tc>
          <w:tcPr>
            <w:tcW w:w="1012" w:type="dxa"/>
            <w:vAlign w:val="center"/>
          </w:tcPr>
          <w:p w:rsidR="00E53600" w:rsidRPr="009760D6" w:rsidP="00E53600" w14:paraId="58BB5CC6"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1,660</w:t>
            </w:r>
          </w:p>
        </w:tc>
        <w:tc>
          <w:tcPr>
            <w:tcW w:w="1079" w:type="dxa"/>
            <w:vAlign w:val="center"/>
          </w:tcPr>
          <w:p w:rsidR="00E53600" w:rsidRPr="009760D6" w:rsidP="00E53600" w14:paraId="0DC13FF1" w14:textId="48D2303C">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26E2FD03" w14:textId="514A326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$129,912 </w:t>
            </w:r>
          </w:p>
        </w:tc>
      </w:tr>
      <w:tr w14:paraId="5614F1E6"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42BFDD26" w14:textId="77777777">
            <w:pPr>
              <w:pStyle w:val="ListParagraph"/>
              <w:ind w:left="0"/>
              <w:rPr>
                <w:rFonts w:ascii="Times New Roman" w:hAnsi="Times New Roman"/>
                <w:sz w:val="16"/>
                <w:szCs w:val="16"/>
              </w:rPr>
            </w:pPr>
            <w:r w:rsidRPr="009760D6">
              <w:rPr>
                <w:rFonts w:ascii="Times New Roman" w:hAnsi="Times New Roman"/>
                <w:sz w:val="16"/>
                <w:szCs w:val="16"/>
              </w:rPr>
              <w:t>Response to Notice of Insufficient Off-Lease Measurement Approval -- 43 CFR 3173.25</w:t>
            </w:r>
          </w:p>
          <w:p w:rsidR="00E53600" w:rsidRPr="009760D6" w:rsidP="00E53600" w14:paraId="5593DAF0" w14:textId="1D8BBC47">
            <w:pPr>
              <w:pStyle w:val="ListParagraph"/>
              <w:ind w:left="0"/>
              <w:rPr>
                <w:rFonts w:ascii="Times New Roman" w:hAnsi="Times New Roman"/>
                <w:sz w:val="16"/>
                <w:szCs w:val="16"/>
              </w:rPr>
            </w:pPr>
            <w:r w:rsidRPr="009760D6">
              <w:rPr>
                <w:rFonts w:ascii="Times New Roman" w:hAnsi="Times New Roman"/>
                <w:sz w:val="16"/>
                <w:szCs w:val="16"/>
              </w:rPr>
              <w:t xml:space="preserve">(Form 3160-5 and Related </w:t>
            </w:r>
            <w:r w:rsidRPr="009760D6">
              <w:rPr>
                <w:rFonts w:ascii="Times New Roman" w:hAnsi="Times New Roman"/>
                <w:sz w:val="16"/>
                <w:szCs w:val="16"/>
              </w:rPr>
              <w:t>Information)</w:t>
            </w:r>
            <w:r w:rsidR="00475BD2">
              <w:rPr>
                <w:rFonts w:ascii="Times New Roman" w:hAnsi="Times New Roman"/>
                <w:sz w:val="16"/>
                <w:szCs w:val="16"/>
              </w:rPr>
              <w:t>*</w:t>
            </w:r>
            <w:r w:rsidR="00475BD2">
              <w:rPr>
                <w:rFonts w:ascii="Times New Roman" w:hAnsi="Times New Roman"/>
                <w:sz w:val="16"/>
                <w:szCs w:val="16"/>
              </w:rPr>
              <w:t>**</w:t>
            </w:r>
          </w:p>
        </w:tc>
        <w:tc>
          <w:tcPr>
            <w:tcW w:w="1071" w:type="dxa"/>
            <w:vAlign w:val="center"/>
          </w:tcPr>
          <w:p w:rsidR="00E53600" w:rsidRPr="009760D6" w:rsidP="00E53600" w14:paraId="244304C0" w14:textId="5A5E1873">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1</w:t>
            </w:r>
          </w:p>
        </w:tc>
        <w:tc>
          <w:tcPr>
            <w:tcW w:w="1050" w:type="dxa"/>
          </w:tcPr>
          <w:p w:rsidR="00E53600" w:rsidRPr="009760D6" w:rsidP="00E53600" w14:paraId="63F1C3EC" w14:textId="14D1ED7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On occasion</w:t>
            </w:r>
          </w:p>
        </w:tc>
        <w:tc>
          <w:tcPr>
            <w:tcW w:w="951" w:type="dxa"/>
            <w:vAlign w:val="center"/>
          </w:tcPr>
          <w:p w:rsidR="00E53600" w:rsidRPr="009760D6" w:rsidP="00E53600" w14:paraId="3A1A123E" w14:textId="59FD429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12" w:type="dxa"/>
            <w:vAlign w:val="center"/>
          </w:tcPr>
          <w:p w:rsidR="00E53600" w:rsidRPr="009760D6" w:rsidP="00E53600" w14:paraId="153A9BDC" w14:textId="66DCEB10">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40</w:t>
            </w:r>
          </w:p>
        </w:tc>
        <w:tc>
          <w:tcPr>
            <w:tcW w:w="1079" w:type="dxa"/>
            <w:vAlign w:val="center"/>
          </w:tcPr>
          <w:p w:rsidR="00E53600" w:rsidRPr="009760D6" w:rsidP="00E53600" w14:paraId="0797AFB4" w14:textId="42913D39">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0479F768" w14:textId="4432A53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w:t>
            </w:r>
            <w:r w:rsidRPr="009760D6" w:rsidR="00A03D7B">
              <w:rPr>
                <w:rFonts w:ascii="Times New Roman" w:hAnsi="Times New Roman"/>
                <w:color w:val="000000"/>
                <w:sz w:val="16"/>
                <w:szCs w:val="16"/>
              </w:rPr>
              <w:t>3,130</w:t>
            </w:r>
          </w:p>
        </w:tc>
      </w:tr>
      <w:tr w14:paraId="42F966A9" w14:textId="77777777" w:rsidTr="00AA322E">
        <w:tblPrEx>
          <w:tblW w:w="0" w:type="auto"/>
          <w:tblCellMar>
            <w:left w:w="115" w:type="dxa"/>
            <w:right w:w="115" w:type="dxa"/>
          </w:tblCellMar>
          <w:tblLook w:val="04A0"/>
        </w:tblPrEx>
        <w:trPr>
          <w:cantSplit/>
        </w:trPr>
        <w:tc>
          <w:tcPr>
            <w:tcW w:w="3002" w:type="dxa"/>
            <w:vAlign w:val="center"/>
          </w:tcPr>
          <w:p w:rsidR="00E53600" w:rsidRPr="009760D6" w:rsidP="00E53600" w14:paraId="5E54477B" w14:textId="0C1095CD">
            <w:pPr>
              <w:pStyle w:val="ListParagraph"/>
              <w:ind w:left="0"/>
              <w:rPr>
                <w:rFonts w:ascii="Times New Roman" w:hAnsi="Times New Roman"/>
                <w:sz w:val="16"/>
                <w:szCs w:val="16"/>
              </w:rPr>
            </w:pPr>
            <w:r w:rsidRPr="009760D6">
              <w:rPr>
                <w:rFonts w:ascii="Times New Roman" w:hAnsi="Times New Roman"/>
                <w:sz w:val="16"/>
                <w:szCs w:val="16"/>
              </w:rPr>
              <w:t xml:space="preserve">Measurement Tickets -- 43 CFR </w:t>
            </w:r>
            <w:r w:rsidRPr="009760D6">
              <w:rPr>
                <w:rFonts w:ascii="Times New Roman" w:hAnsi="Times New Roman"/>
                <w:sz w:val="16"/>
                <w:szCs w:val="16"/>
              </w:rPr>
              <w:t>3174.12  (</w:t>
            </w:r>
            <w:r w:rsidRPr="009760D6">
              <w:rPr>
                <w:rFonts w:ascii="Times New Roman" w:hAnsi="Times New Roman"/>
                <w:sz w:val="16"/>
                <w:szCs w:val="16"/>
              </w:rPr>
              <w:t>non-form)</w:t>
            </w:r>
          </w:p>
        </w:tc>
        <w:tc>
          <w:tcPr>
            <w:tcW w:w="1071" w:type="dxa"/>
            <w:vAlign w:val="center"/>
          </w:tcPr>
          <w:p w:rsidR="00E53600" w:rsidRPr="009760D6" w:rsidP="00E53600" w14:paraId="62471F36"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90,000</w:t>
            </w:r>
          </w:p>
        </w:tc>
        <w:tc>
          <w:tcPr>
            <w:tcW w:w="1050" w:type="dxa"/>
          </w:tcPr>
          <w:p w:rsidR="00E53600" w:rsidRPr="009760D6" w:rsidP="00E53600" w14:paraId="6CCB1AE7" w14:textId="50EAABDF">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Monthly</w:t>
            </w:r>
          </w:p>
        </w:tc>
        <w:tc>
          <w:tcPr>
            <w:tcW w:w="951" w:type="dxa"/>
            <w:vAlign w:val="center"/>
          </w:tcPr>
          <w:p w:rsidR="00E53600" w:rsidRPr="009760D6" w:rsidP="00E53600" w14:paraId="5D85392D" w14:textId="4F723E41">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0.75</w:t>
            </w:r>
          </w:p>
        </w:tc>
        <w:tc>
          <w:tcPr>
            <w:tcW w:w="1012" w:type="dxa"/>
            <w:vAlign w:val="center"/>
          </w:tcPr>
          <w:p w:rsidR="00E53600" w:rsidRPr="009760D6" w:rsidP="00E53600" w14:paraId="5AEF5607" w14:textId="77777777">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67,500</w:t>
            </w:r>
          </w:p>
        </w:tc>
        <w:tc>
          <w:tcPr>
            <w:tcW w:w="1079" w:type="dxa"/>
            <w:vAlign w:val="center"/>
          </w:tcPr>
          <w:p w:rsidR="00E53600" w:rsidRPr="009760D6" w:rsidP="00E53600" w14:paraId="4F8989C2" w14:textId="58E67BDD">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sz w:val="16"/>
                <w:szCs w:val="16"/>
              </w:rPr>
              <w:t>$78.26</w:t>
            </w:r>
          </w:p>
        </w:tc>
        <w:tc>
          <w:tcPr>
            <w:tcW w:w="1425" w:type="dxa"/>
            <w:tcBorders>
              <w:top w:val="nil"/>
              <w:left w:val="nil"/>
              <w:bottom w:val="single" w:sz="8" w:space="0" w:color="000000"/>
              <w:right w:val="single" w:sz="8" w:space="0" w:color="000000"/>
            </w:tcBorders>
            <w:shd w:val="clear" w:color="auto" w:fill="auto"/>
            <w:vAlign w:val="center"/>
          </w:tcPr>
          <w:p w:rsidR="00E53600" w:rsidRPr="009760D6" w:rsidP="00E53600" w14:paraId="2AC42CDA" w14:textId="4FC0DB82">
            <w:pPr>
              <w:tabs>
                <w:tab w:val="left" w:pos="360"/>
                <w:tab w:val="left" w:pos="630"/>
                <w:tab w:val="left" w:pos="720"/>
                <w:tab w:val="left" w:pos="1080"/>
              </w:tabs>
              <w:jc w:val="right"/>
              <w:rPr>
                <w:rFonts w:ascii="Times New Roman" w:hAnsi="Times New Roman"/>
                <w:sz w:val="16"/>
                <w:szCs w:val="16"/>
              </w:rPr>
            </w:pPr>
            <w:r w:rsidRPr="009760D6">
              <w:rPr>
                <w:rFonts w:ascii="Times New Roman" w:hAnsi="Times New Roman"/>
                <w:color w:val="000000"/>
                <w:sz w:val="16"/>
                <w:szCs w:val="16"/>
              </w:rPr>
              <w:t xml:space="preserve">$5,282,550 </w:t>
            </w:r>
          </w:p>
        </w:tc>
      </w:tr>
      <w:tr w14:paraId="59BF75D9" w14:textId="77777777" w:rsidTr="00A875A3">
        <w:tblPrEx>
          <w:tblW w:w="0" w:type="auto"/>
          <w:tblCellMar>
            <w:left w:w="115" w:type="dxa"/>
            <w:right w:w="115" w:type="dxa"/>
          </w:tblCellMar>
          <w:tblLook w:val="04A0"/>
        </w:tblPrEx>
        <w:trPr>
          <w:cantSplit/>
        </w:trPr>
        <w:tc>
          <w:tcPr>
            <w:tcW w:w="3002" w:type="dxa"/>
            <w:vAlign w:val="center"/>
          </w:tcPr>
          <w:p w:rsidR="00A875A3" w:rsidRPr="004B5320" w:rsidP="0032078E" w14:paraId="74E43576" w14:textId="77777777">
            <w:pPr>
              <w:contextualSpacing/>
              <w:jc w:val="right"/>
              <w:rPr>
                <w:rFonts w:ascii="Times New Roman" w:hAnsi="Times New Roman"/>
                <w:b/>
                <w:bCs/>
                <w:sz w:val="16"/>
                <w:szCs w:val="16"/>
              </w:rPr>
            </w:pPr>
            <w:r w:rsidRPr="004B5320">
              <w:rPr>
                <w:rFonts w:ascii="Times New Roman" w:hAnsi="Times New Roman"/>
                <w:b/>
                <w:bCs/>
                <w:sz w:val="16"/>
                <w:szCs w:val="16"/>
              </w:rPr>
              <w:t>Totals:</w:t>
            </w:r>
          </w:p>
        </w:tc>
        <w:tc>
          <w:tcPr>
            <w:tcW w:w="1071" w:type="dxa"/>
            <w:vAlign w:val="center"/>
          </w:tcPr>
          <w:p w:rsidR="00A875A3" w:rsidRPr="004B5320" w:rsidP="0032078E" w14:paraId="71E3E86D" w14:textId="66FBC56E">
            <w:pPr>
              <w:contextualSpacing/>
              <w:jc w:val="right"/>
              <w:rPr>
                <w:rFonts w:ascii="Times New Roman" w:hAnsi="Times New Roman"/>
                <w:b/>
                <w:bCs/>
                <w:sz w:val="16"/>
                <w:szCs w:val="16"/>
              </w:rPr>
            </w:pPr>
            <w:r w:rsidRPr="00AC5998">
              <w:rPr>
                <w:rFonts w:ascii="Times New Roman" w:hAnsi="Times New Roman"/>
                <w:b/>
                <w:bCs/>
                <w:sz w:val="16"/>
                <w:szCs w:val="16"/>
              </w:rPr>
              <w:t>102,439</w:t>
            </w:r>
          </w:p>
        </w:tc>
        <w:tc>
          <w:tcPr>
            <w:tcW w:w="1050" w:type="dxa"/>
            <w:vAlign w:val="center"/>
          </w:tcPr>
          <w:p w:rsidR="00A875A3" w:rsidRPr="004B5320" w:rsidP="0032078E" w14:paraId="12246BDC" w14:textId="387BBEAD">
            <w:pPr>
              <w:contextualSpacing/>
              <w:jc w:val="center"/>
              <w:rPr>
                <w:rFonts w:ascii="Times New Roman" w:hAnsi="Times New Roman"/>
                <w:b/>
                <w:bCs/>
                <w:sz w:val="16"/>
                <w:szCs w:val="16"/>
              </w:rPr>
            </w:pPr>
            <w:r w:rsidRPr="004B5320">
              <w:rPr>
                <w:rFonts w:ascii="Symbol" w:hAnsi="Symbol"/>
                <w:b/>
                <w:bCs/>
                <w:sz w:val="16"/>
                <w:szCs w:val="16"/>
              </w:rPr>
              <w:sym w:font="Symbol" w:char="F0BE"/>
            </w:r>
          </w:p>
        </w:tc>
        <w:tc>
          <w:tcPr>
            <w:tcW w:w="951" w:type="dxa"/>
            <w:vAlign w:val="center"/>
          </w:tcPr>
          <w:p w:rsidR="00A875A3" w:rsidRPr="004B5320" w:rsidP="0032078E" w14:paraId="4F58817A" w14:textId="6BA0C7F8">
            <w:pPr>
              <w:contextualSpacing/>
              <w:jc w:val="center"/>
              <w:rPr>
                <w:rFonts w:ascii="Times New Roman" w:hAnsi="Times New Roman"/>
                <w:b/>
                <w:bCs/>
                <w:sz w:val="16"/>
                <w:szCs w:val="16"/>
              </w:rPr>
            </w:pPr>
            <w:r w:rsidRPr="004B5320">
              <w:rPr>
                <w:rFonts w:ascii="Symbol" w:hAnsi="Symbol"/>
                <w:b/>
                <w:bCs/>
                <w:sz w:val="16"/>
                <w:szCs w:val="16"/>
              </w:rPr>
              <w:sym w:font="Symbol" w:char="F0BE"/>
            </w:r>
          </w:p>
        </w:tc>
        <w:tc>
          <w:tcPr>
            <w:tcW w:w="1012" w:type="dxa"/>
            <w:vAlign w:val="center"/>
          </w:tcPr>
          <w:p w:rsidR="00A875A3" w:rsidRPr="004B5320" w:rsidP="0032078E" w14:paraId="116C041C" w14:textId="7061901F">
            <w:pPr>
              <w:contextualSpacing/>
              <w:jc w:val="right"/>
              <w:rPr>
                <w:rFonts w:ascii="Times New Roman" w:hAnsi="Times New Roman"/>
                <w:b/>
                <w:bCs/>
                <w:sz w:val="16"/>
                <w:szCs w:val="16"/>
              </w:rPr>
            </w:pPr>
            <w:r>
              <w:rPr>
                <w:rFonts w:ascii="Times New Roman" w:hAnsi="Times New Roman"/>
                <w:b/>
                <w:bCs/>
                <w:sz w:val="16"/>
                <w:szCs w:val="16"/>
              </w:rPr>
              <w:t>278,</w:t>
            </w:r>
            <w:r w:rsidR="00616EB5">
              <w:rPr>
                <w:rFonts w:ascii="Times New Roman" w:hAnsi="Times New Roman"/>
                <w:b/>
                <w:bCs/>
                <w:sz w:val="16"/>
                <w:szCs w:val="16"/>
              </w:rPr>
              <w:t>904</w:t>
            </w:r>
          </w:p>
        </w:tc>
        <w:tc>
          <w:tcPr>
            <w:tcW w:w="1079" w:type="dxa"/>
            <w:vAlign w:val="center"/>
          </w:tcPr>
          <w:p w:rsidR="00A875A3" w:rsidRPr="004B5320" w:rsidP="00A875A3" w14:paraId="79E598ED" w14:textId="216C7127">
            <w:pPr>
              <w:tabs>
                <w:tab w:val="left" w:pos="360"/>
                <w:tab w:val="left" w:pos="630"/>
                <w:tab w:val="left" w:pos="720"/>
                <w:tab w:val="left" w:pos="1080"/>
              </w:tabs>
              <w:jc w:val="center"/>
              <w:rPr>
                <w:rFonts w:ascii="Times New Roman" w:hAnsi="Times New Roman"/>
                <w:b/>
                <w:bCs/>
                <w:sz w:val="16"/>
                <w:szCs w:val="16"/>
              </w:rPr>
            </w:pPr>
            <w:r w:rsidRPr="004B5320">
              <w:rPr>
                <w:rFonts w:ascii="Times New Roman" w:hAnsi="Times New Roman"/>
                <w:b/>
                <w:bCs/>
                <w:sz w:val="16"/>
                <w:szCs w:val="16"/>
              </w:rPr>
              <w:t>----</w:t>
            </w:r>
          </w:p>
        </w:tc>
        <w:tc>
          <w:tcPr>
            <w:tcW w:w="1425" w:type="dxa"/>
            <w:vAlign w:val="center"/>
          </w:tcPr>
          <w:p w:rsidR="00A875A3" w:rsidRPr="004B5320" w:rsidP="0032078E" w14:paraId="77E65107" w14:textId="69E2E427">
            <w:pPr>
              <w:tabs>
                <w:tab w:val="left" w:pos="360"/>
                <w:tab w:val="left" w:pos="630"/>
                <w:tab w:val="left" w:pos="720"/>
                <w:tab w:val="left" w:pos="1080"/>
              </w:tabs>
              <w:jc w:val="right"/>
              <w:rPr>
                <w:rFonts w:ascii="Times New Roman" w:hAnsi="Times New Roman"/>
                <w:b/>
                <w:bCs/>
                <w:sz w:val="16"/>
                <w:szCs w:val="16"/>
              </w:rPr>
            </w:pPr>
            <w:r w:rsidRPr="00CA49E5">
              <w:rPr>
                <w:rFonts w:ascii="Times New Roman" w:hAnsi="Times New Roman"/>
                <w:b/>
                <w:bCs/>
                <w:sz w:val="16"/>
                <w:szCs w:val="16"/>
              </w:rPr>
              <w:t>$2</w:t>
            </w:r>
            <w:r w:rsidR="005C662E">
              <w:rPr>
                <w:rFonts w:ascii="Times New Roman" w:hAnsi="Times New Roman"/>
                <w:b/>
                <w:bCs/>
                <w:sz w:val="16"/>
                <w:szCs w:val="16"/>
              </w:rPr>
              <w:t>1,827,027</w:t>
            </w:r>
          </w:p>
        </w:tc>
      </w:tr>
    </w:tbl>
    <w:p w:rsidR="007154C0" w:rsidP="00884A6D" w14:paraId="2118ECDC" w14:textId="4830676A">
      <w:pPr>
        <w:tabs>
          <w:tab w:val="left" w:pos="360"/>
          <w:tab w:val="left" w:pos="630"/>
        </w:tabs>
        <w:rPr>
          <w:rFonts w:ascii="Times New Roman" w:hAnsi="Times New Roman"/>
          <w:sz w:val="16"/>
          <w:szCs w:val="16"/>
        </w:rPr>
      </w:pPr>
      <w:r w:rsidRPr="004B5320">
        <w:rPr>
          <w:rFonts w:ascii="Times New Roman" w:hAnsi="Times New Roman"/>
          <w:sz w:val="16"/>
          <w:szCs w:val="16"/>
          <w:vertAlign w:val="superscript"/>
        </w:rPr>
        <w:t xml:space="preserve">* </w:t>
      </w:r>
      <w:r w:rsidRPr="004B5320" w:rsidR="003F41A2">
        <w:rPr>
          <w:rFonts w:ascii="Times New Roman" w:hAnsi="Times New Roman"/>
          <w:sz w:val="16"/>
          <w:szCs w:val="16"/>
        </w:rPr>
        <w:t>See 3173.12(d)</w:t>
      </w:r>
      <w:r w:rsidRPr="004B5320" w:rsidR="00F00780">
        <w:rPr>
          <w:rFonts w:ascii="Times New Roman" w:hAnsi="Times New Roman"/>
          <w:sz w:val="16"/>
          <w:szCs w:val="16"/>
        </w:rPr>
        <w:t xml:space="preserve"> and (e)</w:t>
      </w:r>
      <w:r w:rsidRPr="004B5320" w:rsidR="00FF23F7">
        <w:rPr>
          <w:rFonts w:ascii="Times New Roman" w:hAnsi="Times New Roman"/>
          <w:sz w:val="16"/>
          <w:szCs w:val="16"/>
        </w:rPr>
        <w:t xml:space="preserve">, and 3173.15 explanations provided earlier. </w:t>
      </w:r>
      <w:r w:rsidRPr="004B5320" w:rsidR="0087557E">
        <w:rPr>
          <w:rFonts w:ascii="Times New Roman" w:hAnsi="Times New Roman"/>
          <w:sz w:val="16"/>
          <w:szCs w:val="16"/>
        </w:rPr>
        <w:t xml:space="preserve">A representative number of 1 respondent is used as placeholder as these information collections are not currently being implemented. </w:t>
      </w:r>
    </w:p>
    <w:p w:rsidR="00FA76FA" w:rsidRPr="00FA76FA" w:rsidP="00884A6D" w14:paraId="60451F25" w14:textId="0EA9512D">
      <w:pPr>
        <w:tabs>
          <w:tab w:val="left" w:pos="360"/>
          <w:tab w:val="left" w:pos="630"/>
        </w:tabs>
        <w:rPr>
          <w:rFonts w:ascii="Times New Roman" w:hAnsi="Times New Roman"/>
          <w:sz w:val="16"/>
          <w:szCs w:val="16"/>
        </w:rPr>
      </w:pPr>
      <w:r>
        <w:rPr>
          <w:rFonts w:ascii="Times New Roman" w:hAnsi="Times New Roman"/>
          <w:sz w:val="16"/>
          <w:szCs w:val="16"/>
          <w:vertAlign w:val="superscript"/>
        </w:rPr>
        <w:t>**</w:t>
      </w:r>
      <w:r w:rsidR="00AA4A39">
        <w:rPr>
          <w:rFonts w:ascii="Times New Roman" w:hAnsi="Times New Roman"/>
          <w:sz w:val="16"/>
          <w:szCs w:val="16"/>
        </w:rPr>
        <w:t xml:space="preserve">The response time was increased based on solicited feedback from the regulated community. </w:t>
      </w:r>
    </w:p>
    <w:p w:rsidR="0087557E" w:rsidRPr="002B6C62" w:rsidP="00884A6D" w14:paraId="7E6941F4" w14:textId="7E7F884E">
      <w:pPr>
        <w:tabs>
          <w:tab w:val="left" w:pos="360"/>
          <w:tab w:val="left" w:pos="630"/>
        </w:tabs>
        <w:rPr>
          <w:rFonts w:ascii="Times New Roman" w:hAnsi="Times New Roman"/>
          <w:sz w:val="16"/>
          <w:szCs w:val="16"/>
        </w:rPr>
      </w:pPr>
      <w:r w:rsidRPr="002B6C62">
        <w:rPr>
          <w:rFonts w:ascii="Times New Roman" w:hAnsi="Times New Roman"/>
          <w:sz w:val="16"/>
          <w:szCs w:val="16"/>
        </w:rPr>
        <w:t>***</w:t>
      </w:r>
      <w:r w:rsidR="002B6C62">
        <w:rPr>
          <w:rFonts w:ascii="Times New Roman" w:hAnsi="Times New Roman"/>
          <w:sz w:val="16"/>
          <w:szCs w:val="16"/>
        </w:rPr>
        <w:t xml:space="preserve"> The form 3160-5, Sundry Notice</w:t>
      </w:r>
      <w:r w:rsidR="00406792">
        <w:rPr>
          <w:rFonts w:ascii="Times New Roman" w:hAnsi="Times New Roman"/>
          <w:sz w:val="16"/>
          <w:szCs w:val="16"/>
        </w:rPr>
        <w:t>, is used broadly across the BLM’s oil and gas program.</w:t>
      </w:r>
      <w:r w:rsidR="003F1E53">
        <w:rPr>
          <w:rFonts w:ascii="Times New Roman" w:hAnsi="Times New Roman"/>
          <w:sz w:val="16"/>
          <w:szCs w:val="16"/>
        </w:rPr>
        <w:t xml:space="preserve"> The form is estimated to take 8 hours to complete. However, </w:t>
      </w:r>
      <w:r w:rsidR="000B706E">
        <w:rPr>
          <w:rFonts w:ascii="Times New Roman" w:hAnsi="Times New Roman"/>
          <w:sz w:val="16"/>
          <w:szCs w:val="16"/>
        </w:rPr>
        <w:t>within the context of th</w:t>
      </w:r>
      <w:r w:rsidR="00D963FE">
        <w:rPr>
          <w:rFonts w:ascii="Times New Roman" w:hAnsi="Times New Roman"/>
          <w:sz w:val="16"/>
          <w:szCs w:val="16"/>
        </w:rPr>
        <w:t xml:space="preserve">ese </w:t>
      </w:r>
      <w:r w:rsidR="000B706E">
        <w:rPr>
          <w:rFonts w:ascii="Times New Roman" w:hAnsi="Times New Roman"/>
          <w:sz w:val="16"/>
          <w:szCs w:val="16"/>
        </w:rPr>
        <w:t xml:space="preserve">ICs, </w:t>
      </w:r>
      <w:r w:rsidR="00D963FE">
        <w:rPr>
          <w:rFonts w:ascii="Times New Roman" w:hAnsi="Times New Roman"/>
          <w:sz w:val="16"/>
          <w:szCs w:val="16"/>
        </w:rPr>
        <w:t xml:space="preserve">the form is only part of the overall burden associated with these activities. </w:t>
      </w:r>
    </w:p>
    <w:p w:rsidR="00475BD2" w:rsidRPr="00391598" w:rsidP="00884A6D" w14:paraId="0381554E" w14:textId="77777777">
      <w:pPr>
        <w:tabs>
          <w:tab w:val="left" w:pos="360"/>
          <w:tab w:val="left" w:pos="630"/>
        </w:tabs>
        <w:rPr>
          <w:rFonts w:ascii="Times New Roman" w:hAnsi="Times New Roman"/>
          <w:sz w:val="20"/>
          <w:szCs w:val="20"/>
        </w:rPr>
      </w:pPr>
    </w:p>
    <w:p w:rsidR="006846A3" w:rsidRPr="00391598" w:rsidP="006846A3" w14:paraId="54438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13.</w:t>
      </w:r>
      <w:r w:rsidRPr="00391598">
        <w:rPr>
          <w:rFonts w:ascii="Times New Roman" w:hAnsi="Times New Roman"/>
          <w:b/>
          <w:sz w:val="20"/>
          <w:szCs w:val="20"/>
        </w:rPr>
        <w:tab/>
        <w:t>Provide an estimate of the total annual non-hour cost burden to respondents or recordkeepers resulting from the collection of information.  (Do not include the cost of any hour burden already reflected in item 12.)</w:t>
      </w:r>
    </w:p>
    <w:p w:rsidR="006846A3" w:rsidRPr="00391598" w:rsidP="006846A3" w14:paraId="3D3AF3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91598">
        <w:rPr>
          <w:rFonts w:ascii="Times New Roman" w:hAnsi="Times New Roman"/>
          <w:b/>
          <w:sz w:val="20"/>
          <w:szCs w:val="20"/>
        </w:rPr>
        <w:t>*</w:t>
      </w:r>
      <w:r w:rsidRPr="00391598">
        <w:rPr>
          <w:rFonts w:ascii="Times New Roman" w:hAnsi="Times New Roman"/>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391598">
        <w:rPr>
          <w:rFonts w:ascii="Times New Roman" w:hAnsi="Times New Roman"/>
          <w:b/>
          <w:sz w:val="20"/>
          <w:szCs w:val="20"/>
        </w:rPr>
        <w:t>take into account</w:t>
      </w:r>
      <w:r w:rsidRPr="00391598">
        <w:rPr>
          <w:rFonts w:ascii="Times New Roman" w:hAnsi="Times New Roman"/>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391598">
        <w:rPr>
          <w:rFonts w:ascii="Times New Roman" w:hAnsi="Times New Roman"/>
          <w:b/>
          <w:sz w:val="20"/>
          <w:szCs w:val="20"/>
        </w:rPr>
        <w:t>time period</w:t>
      </w:r>
      <w:r w:rsidRPr="00391598">
        <w:rPr>
          <w:rFonts w:ascii="Times New Roman" w:hAnsi="Times New Roman"/>
          <w:b/>
          <w:sz w:val="20"/>
          <w:szCs w:val="20"/>
        </w:rPr>
        <w:t xml:space="preserve"> over which costs will be incurred.  Capital and start-up costs include, among other items, preparations for collecting information such as purchasing computers and software; monitoring, sampling, </w:t>
      </w:r>
      <w:r w:rsidRPr="00391598">
        <w:rPr>
          <w:rFonts w:ascii="Times New Roman" w:hAnsi="Times New Roman"/>
          <w:b/>
          <w:sz w:val="20"/>
          <w:szCs w:val="20"/>
        </w:rPr>
        <w:t>drilling</w:t>
      </w:r>
      <w:r w:rsidRPr="00391598">
        <w:rPr>
          <w:rFonts w:ascii="Times New Roman" w:hAnsi="Times New Roman"/>
          <w:b/>
          <w:sz w:val="20"/>
          <w:szCs w:val="20"/>
        </w:rPr>
        <w:t xml:space="preserve"> and testing equipment; and record storage facilities.</w:t>
      </w:r>
    </w:p>
    <w:p w:rsidR="006846A3" w:rsidRPr="00391598" w:rsidP="006846A3" w14:paraId="19A31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0"/>
          <w:szCs w:val="20"/>
        </w:rPr>
      </w:pPr>
      <w:r w:rsidRPr="00391598">
        <w:rPr>
          <w:rFonts w:ascii="Times New Roman" w:hAnsi="Times New Roman"/>
          <w:b/>
          <w:sz w:val="20"/>
          <w:szCs w:val="20"/>
        </w:rPr>
        <w:t>*</w:t>
      </w:r>
      <w:r w:rsidRPr="00391598">
        <w:rPr>
          <w:rFonts w:ascii="Times New Roman" w:hAnsi="Times New Roman"/>
          <w:b/>
          <w:sz w:val="20"/>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391598">
        <w:rPr>
          <w:rFonts w:ascii="Times New Roman" w:hAnsi="Times New Roman"/>
          <w:b/>
          <w:sz w:val="20"/>
          <w:szCs w:val="20"/>
        </w:rPr>
        <w:t>process</w:t>
      </w:r>
      <w:r w:rsidRPr="00391598">
        <w:rPr>
          <w:rFonts w:ascii="Times New Roman" w:hAnsi="Times New Roman"/>
          <w:b/>
          <w:sz w:val="20"/>
          <w:szCs w:val="20"/>
        </w:rPr>
        <w:t xml:space="preserve"> and use existing economic or regulatory impact analysis associated with the rulemaking containing the information collection, as appropriate.</w:t>
      </w:r>
    </w:p>
    <w:p w:rsidR="006846A3" w:rsidRPr="00391598" w:rsidP="006846A3" w14:paraId="21B52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0"/>
          <w:szCs w:val="20"/>
        </w:rPr>
      </w:pPr>
      <w:r w:rsidRPr="00391598">
        <w:rPr>
          <w:rFonts w:ascii="Times New Roman" w:hAnsi="Times New Roman"/>
          <w:b/>
          <w:sz w:val="20"/>
          <w:szCs w:val="20"/>
        </w:rPr>
        <w:tab/>
        <w:t>*</w:t>
      </w:r>
      <w:r w:rsidRPr="00391598">
        <w:rPr>
          <w:rFonts w:ascii="Times New Roman" w:hAnsi="Times New Roman"/>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9571D5" w:rsidRPr="00391598" w:rsidP="00884A6D" w14:paraId="3EDB56C6" w14:textId="77777777">
      <w:pPr>
        <w:tabs>
          <w:tab w:val="left" w:pos="360"/>
          <w:tab w:val="left" w:pos="630"/>
        </w:tabs>
        <w:rPr>
          <w:rFonts w:ascii="Times New Roman" w:hAnsi="Times New Roman"/>
          <w:sz w:val="20"/>
          <w:szCs w:val="20"/>
        </w:rPr>
      </w:pPr>
    </w:p>
    <w:p w:rsidR="005C4B23" w:rsidRPr="00391598" w:rsidP="005C4B23" w14:paraId="6C923F54" w14:textId="58D6C731">
      <w:pPr>
        <w:tabs>
          <w:tab w:val="left" w:pos="360"/>
          <w:tab w:val="left" w:pos="630"/>
        </w:tabs>
        <w:rPr>
          <w:rFonts w:ascii="Times New Roman" w:hAnsi="Times New Roman"/>
          <w:sz w:val="20"/>
          <w:szCs w:val="20"/>
        </w:rPr>
      </w:pPr>
      <w:r w:rsidRPr="00391598">
        <w:rPr>
          <w:rFonts w:ascii="Times New Roman" w:hAnsi="Times New Roman"/>
          <w:sz w:val="20"/>
          <w:szCs w:val="20"/>
        </w:rPr>
        <w:t>N</w:t>
      </w:r>
      <w:r w:rsidRPr="00391598" w:rsidR="00D168EA">
        <w:rPr>
          <w:rFonts w:ascii="Times New Roman" w:hAnsi="Times New Roman"/>
          <w:sz w:val="20"/>
          <w:szCs w:val="20"/>
        </w:rPr>
        <w:t xml:space="preserve">o capital and start-up costs </w:t>
      </w:r>
      <w:r w:rsidRPr="00391598">
        <w:rPr>
          <w:rFonts w:ascii="Times New Roman" w:hAnsi="Times New Roman"/>
          <w:sz w:val="20"/>
          <w:szCs w:val="20"/>
        </w:rPr>
        <w:t xml:space="preserve">are </w:t>
      </w:r>
      <w:r w:rsidRPr="00391598" w:rsidR="00D168EA">
        <w:rPr>
          <w:rFonts w:ascii="Times New Roman" w:hAnsi="Times New Roman"/>
          <w:sz w:val="20"/>
          <w:szCs w:val="20"/>
        </w:rPr>
        <w:t>involved with this information collection -- r</w:t>
      </w:r>
      <w:r w:rsidRPr="00391598" w:rsidR="007154C0">
        <w:rPr>
          <w:rFonts w:ascii="Times New Roman" w:hAnsi="Times New Roman"/>
          <w:sz w:val="20"/>
          <w:szCs w:val="20"/>
        </w:rPr>
        <w:t xml:space="preserve">espondents are not required to purchase additional computer hardware or software to comply with these information </w:t>
      </w:r>
      <w:r w:rsidRPr="00391598" w:rsidR="003961FE">
        <w:rPr>
          <w:rFonts w:ascii="Times New Roman" w:hAnsi="Times New Roman"/>
          <w:sz w:val="20"/>
          <w:szCs w:val="20"/>
        </w:rPr>
        <w:t xml:space="preserve">collection </w:t>
      </w:r>
      <w:r w:rsidRPr="00391598" w:rsidR="007154C0">
        <w:rPr>
          <w:rFonts w:ascii="Times New Roman" w:hAnsi="Times New Roman"/>
          <w:sz w:val="20"/>
          <w:szCs w:val="20"/>
        </w:rPr>
        <w:t xml:space="preserve">requirements.  </w:t>
      </w:r>
      <w:r w:rsidRPr="00391598" w:rsidR="00C8770F">
        <w:rPr>
          <w:rFonts w:ascii="Times New Roman" w:hAnsi="Times New Roman"/>
          <w:sz w:val="20"/>
          <w:szCs w:val="20"/>
        </w:rPr>
        <w:t xml:space="preserve">All the cost incurred by </w:t>
      </w:r>
      <w:r w:rsidRPr="00391598" w:rsidR="00963C02">
        <w:rPr>
          <w:rFonts w:ascii="Times New Roman" w:hAnsi="Times New Roman"/>
          <w:sz w:val="20"/>
          <w:szCs w:val="20"/>
        </w:rPr>
        <w:t>respondent</w:t>
      </w:r>
      <w:r w:rsidRPr="00391598" w:rsidR="00C8770F">
        <w:rPr>
          <w:rFonts w:ascii="Times New Roman" w:hAnsi="Times New Roman"/>
          <w:sz w:val="20"/>
          <w:szCs w:val="20"/>
        </w:rPr>
        <w:t xml:space="preserve"> to these information </w:t>
      </w:r>
      <w:r w:rsidRPr="00391598" w:rsidR="00963C02">
        <w:rPr>
          <w:rFonts w:ascii="Times New Roman" w:hAnsi="Times New Roman"/>
          <w:sz w:val="20"/>
          <w:szCs w:val="20"/>
        </w:rPr>
        <w:t>collections</w:t>
      </w:r>
      <w:r w:rsidRPr="00391598" w:rsidR="00C8770F">
        <w:rPr>
          <w:rFonts w:ascii="Times New Roman" w:hAnsi="Times New Roman"/>
          <w:sz w:val="20"/>
          <w:szCs w:val="20"/>
        </w:rPr>
        <w:t xml:space="preserve"> pertain to the monetization of the burden ho</w:t>
      </w:r>
      <w:r w:rsidRPr="00391598" w:rsidR="00963C02">
        <w:rPr>
          <w:rFonts w:ascii="Times New Roman" w:hAnsi="Times New Roman"/>
          <w:sz w:val="20"/>
          <w:szCs w:val="20"/>
        </w:rPr>
        <w:t>u</w:t>
      </w:r>
      <w:r w:rsidRPr="00391598" w:rsidR="00C8770F">
        <w:rPr>
          <w:rFonts w:ascii="Times New Roman" w:hAnsi="Times New Roman"/>
          <w:sz w:val="20"/>
          <w:szCs w:val="20"/>
        </w:rPr>
        <w:t>rs which is already captured in Item 12, above (See Table 12-2)</w:t>
      </w:r>
      <w:r w:rsidRPr="00391598" w:rsidR="00963C02">
        <w:rPr>
          <w:rFonts w:ascii="Times New Roman" w:hAnsi="Times New Roman"/>
          <w:sz w:val="20"/>
          <w:szCs w:val="20"/>
        </w:rPr>
        <w:t>.</w:t>
      </w:r>
    </w:p>
    <w:p w:rsidR="004D0F58" w:rsidRPr="00391598" w:rsidP="005C4B23" w14:paraId="458EDDE0" w14:textId="77777777">
      <w:pPr>
        <w:tabs>
          <w:tab w:val="left" w:pos="360"/>
          <w:tab w:val="left" w:pos="630"/>
        </w:tabs>
        <w:rPr>
          <w:rFonts w:ascii="Times New Roman" w:hAnsi="Times New Roman"/>
          <w:b/>
          <w:sz w:val="20"/>
          <w:szCs w:val="20"/>
        </w:rPr>
      </w:pPr>
    </w:p>
    <w:p w:rsidR="00E9497D" w:rsidRPr="00391598" w:rsidP="005C4B23" w14:paraId="41947D77" w14:textId="77777777">
      <w:pPr>
        <w:tabs>
          <w:tab w:val="left" w:pos="360"/>
          <w:tab w:val="left" w:pos="630"/>
        </w:tabs>
        <w:rPr>
          <w:rFonts w:ascii="Times New Roman" w:hAnsi="Times New Roman"/>
          <w:b/>
          <w:sz w:val="20"/>
          <w:szCs w:val="20"/>
        </w:rPr>
      </w:pPr>
      <w:r w:rsidRPr="00391598">
        <w:rPr>
          <w:rFonts w:ascii="Times New Roman" w:hAnsi="Times New Roman"/>
          <w:b/>
          <w:sz w:val="20"/>
          <w:szCs w:val="20"/>
        </w:rPr>
        <w:t>14.</w:t>
      </w:r>
      <w:r w:rsidRPr="00391598">
        <w:rPr>
          <w:rFonts w:ascii="Times New Roman" w:hAnsi="Times New Roman"/>
          <w:b/>
          <w:sz w:val="20"/>
          <w:szCs w:val="20"/>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1E5BDC" w:rsidRPr="00391598" w:rsidP="00445201" w14:paraId="789E131F" w14:textId="77777777">
      <w:pPr>
        <w:tabs>
          <w:tab w:val="left" w:pos="360"/>
          <w:tab w:val="left" w:pos="630"/>
        </w:tabs>
        <w:ind w:left="360" w:hanging="360"/>
        <w:rPr>
          <w:rFonts w:ascii="Times New Roman" w:hAnsi="Times New Roman"/>
          <w:b/>
          <w:bCs/>
          <w:sz w:val="20"/>
          <w:szCs w:val="20"/>
        </w:rPr>
      </w:pPr>
    </w:p>
    <w:p w:rsidR="002E1D2A" w:rsidRPr="00391598" w:rsidP="002E1D2A" w14:paraId="635084BF" w14:textId="5B0171B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r w:rsidRPr="00391598">
        <w:rPr>
          <w:rFonts w:ascii="Times New Roman" w:hAnsi="Times New Roman"/>
          <w:sz w:val="20"/>
          <w:szCs w:val="20"/>
        </w:rPr>
        <w:t>The</w:t>
      </w:r>
      <w:r w:rsidRPr="00391598" w:rsidR="007941BE">
        <w:rPr>
          <w:rFonts w:ascii="Times New Roman" w:hAnsi="Times New Roman"/>
          <w:sz w:val="20"/>
          <w:szCs w:val="20"/>
        </w:rPr>
        <w:t xml:space="preserve"> federal cost to conduct these information collections is based on the GS grades and </w:t>
      </w:r>
      <w:r w:rsidRPr="00391598" w:rsidR="00B50FA1">
        <w:rPr>
          <w:rFonts w:ascii="Times New Roman" w:hAnsi="Times New Roman"/>
          <w:sz w:val="20"/>
          <w:szCs w:val="20"/>
        </w:rPr>
        <w:t>positions who are involved in processing the information received under th</w:t>
      </w:r>
      <w:r w:rsidRPr="00391598" w:rsidR="002539DA">
        <w:rPr>
          <w:rFonts w:ascii="Times New Roman" w:hAnsi="Times New Roman"/>
          <w:sz w:val="20"/>
          <w:szCs w:val="20"/>
        </w:rPr>
        <w:t xml:space="preserve">ese regulations. </w:t>
      </w:r>
      <w:r w:rsidRPr="00391598">
        <w:rPr>
          <w:rFonts w:ascii="Times New Roman" w:hAnsi="Times New Roman"/>
          <w:sz w:val="20"/>
          <w:szCs w:val="20"/>
        </w:rPr>
        <w:t xml:space="preserve">The hourly cost to the Federal Government is based on U.S. Office of Personnel Management Salary Table data at:  </w:t>
      </w:r>
      <w:hyperlink r:id="rId9" w:history="1">
        <w:r w:rsidRPr="00391598">
          <w:rPr>
            <w:rStyle w:val="Hyperlink"/>
            <w:rFonts w:ascii="Times New Roman" w:hAnsi="Times New Roman"/>
            <w:sz w:val="20"/>
            <w:szCs w:val="20"/>
          </w:rPr>
          <w:t>https://www.opm.gov/policy-data-oversight/pay-leave/salaries-wages/salary-tables/pdf/2024/RUS_h.pdf</w:t>
        </w:r>
      </w:hyperlink>
      <w:r w:rsidRPr="00391598">
        <w:rPr>
          <w:rFonts w:ascii="Times New Roman" w:hAnsi="Times New Roman"/>
          <w:sz w:val="20"/>
          <w:szCs w:val="20"/>
        </w:rPr>
        <w:t>.</w:t>
      </w:r>
      <w:r w:rsidRPr="00391598" w:rsidR="00262F84">
        <w:rPr>
          <w:rFonts w:ascii="Times New Roman" w:hAnsi="Times New Roman"/>
          <w:sz w:val="20"/>
          <w:szCs w:val="20"/>
        </w:rPr>
        <w:t xml:space="preserve"> </w:t>
      </w:r>
      <w:r w:rsidRPr="00391598">
        <w:rPr>
          <w:rFonts w:ascii="Times New Roman" w:hAnsi="Times New Roman"/>
          <w:sz w:val="20"/>
          <w:szCs w:val="20"/>
        </w:rPr>
        <w:t xml:space="preserve">The benefits multiplier of 1.6 is implied by information at </w:t>
      </w:r>
      <w:hyperlink r:id="rId8" w:history="1">
        <w:r w:rsidRPr="00391598">
          <w:rPr>
            <w:rStyle w:val="Hyperlink"/>
            <w:rFonts w:ascii="Times New Roman" w:hAnsi="Times New Roman"/>
            <w:sz w:val="20"/>
            <w:szCs w:val="20"/>
          </w:rPr>
          <w:t>http://www.bls.gov/news.release/ecec.nr0.htm</w:t>
        </w:r>
      </w:hyperlink>
      <w:r w:rsidRPr="00391598">
        <w:rPr>
          <w:rFonts w:ascii="Times New Roman" w:hAnsi="Times New Roman"/>
          <w:sz w:val="20"/>
          <w:szCs w:val="20"/>
        </w:rPr>
        <w:t>.  The hourly labor cost calculations are shown below:</w:t>
      </w:r>
    </w:p>
    <w:p w:rsidR="00963B16" w:rsidRPr="00391598" w:rsidP="00274C17" w14:paraId="7CC34D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p>
    <w:p w:rsidR="007805F7" w:rsidRPr="00391598" w:rsidP="00262F84" w14:paraId="093B1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391598">
        <w:rPr>
          <w:rFonts w:ascii="Times New Roman" w:hAnsi="Times New Roman"/>
          <w:b/>
          <w:sz w:val="20"/>
          <w:szCs w:val="20"/>
        </w:rPr>
        <w:t>Table 14-1</w:t>
      </w:r>
      <w:r w:rsidRPr="00391598" w:rsidR="00262F84">
        <w:rPr>
          <w:rFonts w:ascii="Times New Roman" w:hAnsi="Times New Roman"/>
          <w:b/>
          <w:sz w:val="20"/>
          <w:szCs w:val="20"/>
        </w:rPr>
        <w:t xml:space="preserve">: </w:t>
      </w:r>
      <w:r w:rsidRPr="00391598">
        <w:rPr>
          <w:rFonts w:ascii="Times New Roman" w:hAnsi="Times New Roman"/>
          <w:b/>
          <w:sz w:val="20"/>
          <w:szCs w:val="20"/>
        </w:rPr>
        <w:t xml:space="preserve">Weighted Average </w:t>
      </w:r>
      <w:r w:rsidRPr="00391598" w:rsidR="00AC685D">
        <w:rPr>
          <w:rFonts w:ascii="Times New Roman" w:hAnsi="Times New Roman"/>
          <w:b/>
          <w:sz w:val="20"/>
          <w:szCs w:val="20"/>
        </w:rPr>
        <w:t xml:space="preserve">Hourly </w:t>
      </w:r>
      <w:r w:rsidRPr="00391598">
        <w:rPr>
          <w:rFonts w:ascii="Times New Roman" w:hAnsi="Times New Roman"/>
          <w:b/>
          <w:sz w:val="20"/>
          <w:szCs w:val="20"/>
        </w:rPr>
        <w:t xml:space="preserve">Federal </w:t>
      </w:r>
      <w:r w:rsidRPr="00391598" w:rsidR="00AC685D">
        <w:rPr>
          <w:rFonts w:ascii="Times New Roman" w:hAnsi="Times New Roman"/>
          <w:b/>
          <w:sz w:val="20"/>
          <w:szCs w:val="20"/>
        </w:rPr>
        <w:t xml:space="preserve">Labor </w:t>
      </w:r>
      <w:r w:rsidRPr="00391598">
        <w:rPr>
          <w:rFonts w:ascii="Times New Roman" w:hAnsi="Times New Roman"/>
          <w:b/>
          <w:sz w:val="20"/>
          <w:szCs w:val="20"/>
        </w:rPr>
        <w:t>Cost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
      <w:tblGrid>
        <w:gridCol w:w="1008"/>
        <w:gridCol w:w="891"/>
        <w:gridCol w:w="711"/>
        <w:gridCol w:w="711"/>
        <w:gridCol w:w="1240"/>
        <w:gridCol w:w="1437"/>
        <w:gridCol w:w="1959"/>
        <w:gridCol w:w="1393"/>
      </w:tblGrid>
      <w:tr w14:paraId="40010D03" w14:textId="77777777" w:rsidTr="00792AD2">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E0"/>
        </w:tblPrEx>
        <w:trPr>
          <w:cantSplit/>
          <w:tblHeader/>
        </w:trPr>
        <w:tc>
          <w:tcPr>
            <w:tcW w:w="0" w:type="auto"/>
            <w:shd w:val="clear" w:color="auto" w:fill="D9D9D9"/>
          </w:tcPr>
          <w:p w:rsidR="00792AD2" w:rsidRPr="004B5320" w:rsidP="0008068E" w14:paraId="3ADDAD0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Position</w:t>
            </w:r>
          </w:p>
        </w:tc>
        <w:tc>
          <w:tcPr>
            <w:tcW w:w="0" w:type="auto"/>
            <w:shd w:val="clear" w:color="auto" w:fill="D9D9D9"/>
          </w:tcPr>
          <w:p w:rsidR="00792AD2" w:rsidRPr="004B5320" w:rsidP="0008068E" w14:paraId="654435D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Pay Grade</w:t>
            </w:r>
          </w:p>
        </w:tc>
        <w:tc>
          <w:tcPr>
            <w:tcW w:w="0" w:type="auto"/>
            <w:gridSpan w:val="2"/>
            <w:shd w:val="clear" w:color="auto" w:fill="D9D9D9"/>
          </w:tcPr>
          <w:p w:rsidR="00792AD2" w:rsidRPr="004B5320" w:rsidP="0008068E" w14:paraId="04D277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Hourly Pay Rate ($/hour)</w:t>
            </w:r>
          </w:p>
        </w:tc>
        <w:tc>
          <w:tcPr>
            <w:tcW w:w="0" w:type="auto"/>
            <w:shd w:val="clear" w:color="auto" w:fill="D9D9D9"/>
          </w:tcPr>
          <w:p w:rsidR="00792AD2" w:rsidRPr="004B5320" w:rsidP="002E1D2A" w14:paraId="404E75BC" w14:textId="4D59C95C">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 xml:space="preserve">Benefits Multiplier </w:t>
            </w:r>
          </w:p>
        </w:tc>
        <w:tc>
          <w:tcPr>
            <w:tcW w:w="0" w:type="auto"/>
            <w:shd w:val="clear" w:color="auto" w:fill="D9D9D9"/>
          </w:tcPr>
          <w:p w:rsidR="00792AD2" w:rsidRPr="004B5320" w:rsidP="002E1D2A" w14:paraId="194B1FF6" w14:textId="088EA771">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 xml:space="preserve">Hourly Rate with Benefits </w:t>
            </w:r>
          </w:p>
        </w:tc>
        <w:tc>
          <w:tcPr>
            <w:tcW w:w="0" w:type="auto"/>
            <w:shd w:val="clear" w:color="auto" w:fill="D9D9D9"/>
          </w:tcPr>
          <w:p w:rsidR="00792AD2" w:rsidRPr="004B5320" w:rsidP="0008068E" w14:paraId="7215D9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Percent of Collection Processing Time</w:t>
            </w:r>
          </w:p>
        </w:tc>
        <w:tc>
          <w:tcPr>
            <w:tcW w:w="0" w:type="auto"/>
            <w:shd w:val="clear" w:color="auto" w:fill="D9D9D9"/>
          </w:tcPr>
          <w:p w:rsidR="00792AD2" w:rsidRPr="004B5320" w:rsidP="0008068E" w14:paraId="4B360E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Weighted Avg. ($/hour)</w:t>
            </w:r>
          </w:p>
          <w:p w:rsidR="00792AD2" w:rsidRPr="004B5320" w:rsidP="0008068E" w14:paraId="73C74D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3E21242C" w14:textId="77777777" w:rsidTr="00792AD2">
        <w:tblPrEx>
          <w:tblW w:w="0" w:type="auto"/>
          <w:tblLook w:val="04E0"/>
        </w:tblPrEx>
        <w:trPr>
          <w:cantSplit/>
        </w:trPr>
        <w:tc>
          <w:tcPr>
            <w:tcW w:w="0" w:type="auto"/>
            <w:vAlign w:val="center"/>
          </w:tcPr>
          <w:p w:rsidR="00792AD2" w:rsidRPr="004B5320" w:rsidP="002E1D2A" w14:paraId="035D0E0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Clerical</w:t>
            </w:r>
          </w:p>
        </w:tc>
        <w:tc>
          <w:tcPr>
            <w:tcW w:w="0" w:type="auto"/>
            <w:vAlign w:val="center"/>
          </w:tcPr>
          <w:p w:rsidR="00792AD2" w:rsidRPr="004B5320" w:rsidP="002E1D2A" w14:paraId="23EFBF2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GS-5, step 5</w:t>
            </w:r>
          </w:p>
        </w:tc>
        <w:tc>
          <w:tcPr>
            <w:tcW w:w="0" w:type="auto"/>
            <w:gridSpan w:val="2"/>
            <w:vAlign w:val="center"/>
          </w:tcPr>
          <w:p w:rsidR="00792AD2" w:rsidRPr="004B5320" w:rsidP="0011601B" w14:paraId="3F8596EF" w14:textId="71CFFE73">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$21.49</w:t>
            </w:r>
          </w:p>
        </w:tc>
        <w:tc>
          <w:tcPr>
            <w:tcW w:w="0" w:type="auto"/>
          </w:tcPr>
          <w:p w:rsidR="00792AD2" w:rsidRPr="004B5320" w:rsidP="0011601B" w14:paraId="6BA29889" w14:textId="235C6AAE">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02FC1F27" w14:textId="1C782A88">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AA6EB1">
              <w:rPr>
                <w:rFonts w:ascii="Times New Roman" w:hAnsi="Times New Roman"/>
                <w:sz w:val="16"/>
                <w:szCs w:val="16"/>
              </w:rPr>
              <w:t>34.38</w:t>
            </w:r>
          </w:p>
        </w:tc>
        <w:tc>
          <w:tcPr>
            <w:tcW w:w="0" w:type="auto"/>
            <w:vAlign w:val="center"/>
          </w:tcPr>
          <w:p w:rsidR="00792AD2" w:rsidRPr="004B5320" w:rsidP="0011601B" w14:paraId="1D43C3D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10%</w:t>
            </w:r>
          </w:p>
        </w:tc>
        <w:tc>
          <w:tcPr>
            <w:tcW w:w="0" w:type="auto"/>
            <w:vAlign w:val="center"/>
          </w:tcPr>
          <w:p w:rsidR="00792AD2" w:rsidRPr="004B5320" w:rsidP="0011601B" w14:paraId="4BBD743D" w14:textId="794A54AC">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591592">
              <w:rPr>
                <w:rFonts w:ascii="Times New Roman" w:hAnsi="Times New Roman"/>
                <w:sz w:val="16"/>
                <w:szCs w:val="16"/>
              </w:rPr>
              <w:t>3.44</w:t>
            </w:r>
          </w:p>
        </w:tc>
      </w:tr>
      <w:tr w14:paraId="3038DE61" w14:textId="77777777" w:rsidTr="00792AD2">
        <w:tblPrEx>
          <w:tblW w:w="0" w:type="auto"/>
          <w:tblLook w:val="04E0"/>
        </w:tblPrEx>
        <w:trPr>
          <w:cantSplit/>
        </w:trPr>
        <w:tc>
          <w:tcPr>
            <w:tcW w:w="0" w:type="auto"/>
            <w:vAlign w:val="center"/>
          </w:tcPr>
          <w:p w:rsidR="00792AD2" w:rsidRPr="004B5320" w:rsidP="002E1D2A" w14:paraId="187587ED"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Professional</w:t>
            </w:r>
          </w:p>
        </w:tc>
        <w:tc>
          <w:tcPr>
            <w:tcW w:w="0" w:type="auto"/>
            <w:vAlign w:val="center"/>
          </w:tcPr>
          <w:p w:rsidR="00792AD2" w:rsidRPr="004B5320" w:rsidP="002E1D2A" w14:paraId="6FEC3DB3"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GS-9, step 5</w:t>
            </w:r>
          </w:p>
        </w:tc>
        <w:tc>
          <w:tcPr>
            <w:tcW w:w="0" w:type="auto"/>
            <w:gridSpan w:val="2"/>
            <w:vAlign w:val="center"/>
          </w:tcPr>
          <w:p w:rsidR="00792AD2" w:rsidRPr="004B5320" w:rsidP="0011601B" w14:paraId="5507FB7B" w14:textId="15DB81F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1A1549">
              <w:rPr>
                <w:rFonts w:ascii="Times New Roman" w:hAnsi="Times New Roman"/>
                <w:sz w:val="16"/>
                <w:szCs w:val="16"/>
              </w:rPr>
              <w:t>32.56</w:t>
            </w:r>
          </w:p>
        </w:tc>
        <w:tc>
          <w:tcPr>
            <w:tcW w:w="0" w:type="auto"/>
          </w:tcPr>
          <w:p w:rsidR="00792AD2" w:rsidRPr="004B5320" w:rsidP="0011601B" w14:paraId="3F13418F" w14:textId="05EBC6A6">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2E47767A" w14:textId="43EDC53C">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E71EB6">
              <w:rPr>
                <w:rFonts w:ascii="Times New Roman" w:hAnsi="Times New Roman"/>
                <w:sz w:val="16"/>
                <w:szCs w:val="16"/>
              </w:rPr>
              <w:t>52.10</w:t>
            </w:r>
          </w:p>
        </w:tc>
        <w:tc>
          <w:tcPr>
            <w:tcW w:w="0" w:type="auto"/>
            <w:vAlign w:val="center"/>
          </w:tcPr>
          <w:p w:rsidR="00792AD2" w:rsidRPr="004B5320" w:rsidP="0011601B" w14:paraId="0698E32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80%</w:t>
            </w:r>
          </w:p>
        </w:tc>
        <w:tc>
          <w:tcPr>
            <w:tcW w:w="0" w:type="auto"/>
            <w:vAlign w:val="center"/>
          </w:tcPr>
          <w:p w:rsidR="00792AD2" w:rsidRPr="004B5320" w:rsidP="0011601B" w14:paraId="324F889E" w14:textId="41EB4BDE">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4E076D">
              <w:rPr>
                <w:rFonts w:ascii="Times New Roman" w:hAnsi="Times New Roman"/>
                <w:sz w:val="16"/>
                <w:szCs w:val="16"/>
              </w:rPr>
              <w:t>41.68</w:t>
            </w:r>
          </w:p>
        </w:tc>
      </w:tr>
      <w:tr w14:paraId="4E74F4EA" w14:textId="77777777" w:rsidTr="00792AD2">
        <w:tblPrEx>
          <w:tblW w:w="0" w:type="auto"/>
          <w:tblLook w:val="04E0"/>
        </w:tblPrEx>
        <w:trPr>
          <w:cantSplit/>
        </w:trPr>
        <w:tc>
          <w:tcPr>
            <w:tcW w:w="0" w:type="auto"/>
            <w:vAlign w:val="center"/>
          </w:tcPr>
          <w:p w:rsidR="00792AD2" w:rsidRPr="004B5320" w:rsidP="002E1D2A" w14:paraId="10B805EF"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Managerial</w:t>
            </w:r>
          </w:p>
        </w:tc>
        <w:tc>
          <w:tcPr>
            <w:tcW w:w="0" w:type="auto"/>
            <w:vAlign w:val="center"/>
          </w:tcPr>
          <w:p w:rsidR="00792AD2" w:rsidRPr="004B5320" w:rsidP="002E1D2A" w14:paraId="7EC85B5E"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6"/>
                <w:szCs w:val="16"/>
              </w:rPr>
            </w:pPr>
            <w:r w:rsidRPr="004B5320">
              <w:rPr>
                <w:rFonts w:ascii="Times New Roman" w:hAnsi="Times New Roman"/>
                <w:sz w:val="16"/>
                <w:szCs w:val="16"/>
              </w:rPr>
              <w:t>GS-13, step 5</w:t>
            </w:r>
          </w:p>
        </w:tc>
        <w:tc>
          <w:tcPr>
            <w:tcW w:w="0" w:type="auto"/>
            <w:gridSpan w:val="2"/>
            <w:vAlign w:val="center"/>
          </w:tcPr>
          <w:p w:rsidR="00792AD2" w:rsidRPr="004B5320" w:rsidP="0011601B" w14:paraId="6766122B" w14:textId="2D9E01E0">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1C3B21">
              <w:rPr>
                <w:rFonts w:ascii="Times New Roman" w:hAnsi="Times New Roman"/>
                <w:sz w:val="16"/>
                <w:szCs w:val="16"/>
              </w:rPr>
              <w:t>56.16</w:t>
            </w:r>
          </w:p>
        </w:tc>
        <w:tc>
          <w:tcPr>
            <w:tcW w:w="0" w:type="auto"/>
          </w:tcPr>
          <w:p w:rsidR="00792AD2" w:rsidRPr="004B5320" w:rsidP="0011601B" w14:paraId="29829C99" w14:textId="05994FA0">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1.6</w:t>
            </w:r>
          </w:p>
        </w:tc>
        <w:tc>
          <w:tcPr>
            <w:tcW w:w="0" w:type="auto"/>
            <w:vAlign w:val="center"/>
          </w:tcPr>
          <w:p w:rsidR="00792AD2" w:rsidRPr="004B5320" w:rsidP="0011601B" w14:paraId="51D3E08C" w14:textId="66B4B5F1">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E71EB6">
              <w:rPr>
                <w:rFonts w:ascii="Times New Roman" w:hAnsi="Times New Roman"/>
                <w:sz w:val="16"/>
                <w:szCs w:val="16"/>
              </w:rPr>
              <w:t>89.86</w:t>
            </w:r>
          </w:p>
        </w:tc>
        <w:tc>
          <w:tcPr>
            <w:tcW w:w="0" w:type="auto"/>
            <w:vAlign w:val="center"/>
          </w:tcPr>
          <w:p w:rsidR="00792AD2" w:rsidRPr="004B5320" w:rsidP="0011601B" w14:paraId="485A4E6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10%</w:t>
            </w:r>
          </w:p>
        </w:tc>
        <w:tc>
          <w:tcPr>
            <w:tcW w:w="0" w:type="auto"/>
            <w:vAlign w:val="center"/>
          </w:tcPr>
          <w:p w:rsidR="00792AD2" w:rsidRPr="004B5320" w:rsidP="0011601B" w14:paraId="4B7E7C57" w14:textId="6FB69728">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4B5320">
              <w:rPr>
                <w:rFonts w:ascii="Times New Roman" w:hAnsi="Times New Roman"/>
                <w:sz w:val="16"/>
                <w:szCs w:val="16"/>
              </w:rPr>
              <w:t>$</w:t>
            </w:r>
            <w:r w:rsidRPr="004B5320" w:rsidR="004E076D">
              <w:rPr>
                <w:rFonts w:ascii="Times New Roman" w:hAnsi="Times New Roman"/>
                <w:sz w:val="16"/>
                <w:szCs w:val="16"/>
              </w:rPr>
              <w:t>8.99</w:t>
            </w:r>
          </w:p>
        </w:tc>
      </w:tr>
      <w:tr w14:paraId="168DE967" w14:textId="77777777" w:rsidTr="00792AD2">
        <w:tblPrEx>
          <w:tblW w:w="0" w:type="auto"/>
          <w:tblLook w:val="04E0"/>
        </w:tblPrEx>
        <w:tc>
          <w:tcPr>
            <w:tcW w:w="0" w:type="auto"/>
            <w:gridSpan w:val="3"/>
          </w:tcPr>
          <w:p w:rsidR="00792AD2" w:rsidRPr="004B5320" w:rsidP="002E1D2A" w14:paraId="744339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b/>
                <w:sz w:val="16"/>
                <w:szCs w:val="16"/>
              </w:rPr>
            </w:pPr>
          </w:p>
        </w:tc>
        <w:tc>
          <w:tcPr>
            <w:tcW w:w="0" w:type="auto"/>
            <w:gridSpan w:val="5"/>
            <w:vAlign w:val="center"/>
          </w:tcPr>
          <w:p w:rsidR="00792AD2" w:rsidRPr="004B5320" w:rsidP="002E1D2A" w14:paraId="77E490A4" w14:textId="5EF704F9">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b/>
                <w:sz w:val="16"/>
                <w:szCs w:val="16"/>
              </w:rPr>
            </w:pPr>
            <w:r w:rsidRPr="004B5320">
              <w:rPr>
                <w:rFonts w:ascii="Times New Roman" w:hAnsi="Times New Roman"/>
                <w:b/>
                <w:sz w:val="16"/>
                <w:szCs w:val="16"/>
              </w:rPr>
              <w:t>Weighted Average Hourly Pay Rate ($/hour):  $</w:t>
            </w:r>
            <w:r w:rsidRPr="004B5320" w:rsidR="00ED326F">
              <w:rPr>
                <w:rFonts w:ascii="Times New Roman" w:hAnsi="Times New Roman"/>
                <w:b/>
                <w:sz w:val="16"/>
                <w:szCs w:val="16"/>
              </w:rPr>
              <w:t>54.11</w:t>
            </w:r>
            <w:r w:rsidRPr="004B5320">
              <w:rPr>
                <w:rFonts w:ascii="Times New Roman" w:hAnsi="Times New Roman"/>
                <w:b/>
                <w:sz w:val="16"/>
                <w:szCs w:val="16"/>
              </w:rPr>
              <w:t xml:space="preserve">  </w:t>
            </w:r>
          </w:p>
        </w:tc>
      </w:tr>
    </w:tbl>
    <w:p w:rsidR="007805F7" w:rsidRPr="00391598" w:rsidP="00884A6D" w14:paraId="5D3FD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0"/>
          <w:szCs w:val="20"/>
        </w:rPr>
      </w:pPr>
    </w:p>
    <w:p w:rsidR="001F00DE" w:rsidRPr="00391598" w:rsidP="001F00DE" w14:paraId="7545D271" w14:textId="0A6E5755">
      <w:pPr>
        <w:pStyle w:val="FootnoteText"/>
        <w:tabs>
          <w:tab w:val="left" w:pos="360"/>
          <w:tab w:val="left" w:pos="630"/>
        </w:tabs>
        <w:rPr>
          <w:rFonts w:ascii="Times New Roman" w:hAnsi="Times New Roman"/>
        </w:rPr>
      </w:pPr>
      <w:r w:rsidRPr="00391598">
        <w:rPr>
          <w:rFonts w:ascii="Times New Roman" w:hAnsi="Times New Roman"/>
        </w:rPr>
        <w:t xml:space="preserve">The Table below shows the annualized Federal costs for each collection.  The estimated time spent to process the information collections is based on the BLM's experience.  The </w:t>
      </w:r>
      <w:r w:rsidRPr="00391598" w:rsidR="00366D47">
        <w:rPr>
          <w:rFonts w:ascii="Times New Roman" w:hAnsi="Times New Roman"/>
        </w:rPr>
        <w:t>w</w:t>
      </w:r>
      <w:r w:rsidRPr="00391598">
        <w:rPr>
          <w:rFonts w:ascii="Times New Roman" w:hAnsi="Times New Roman"/>
        </w:rPr>
        <w:t>eighted average hourly wage associated with these information collections is shown at Table 14-1, above.</w:t>
      </w:r>
      <w:r w:rsidR="005A7B2B">
        <w:rPr>
          <w:rFonts w:ascii="Times New Roman" w:hAnsi="Times New Roman"/>
        </w:rPr>
        <w:t xml:space="preserve"> The staff and </w:t>
      </w:r>
      <w:r w:rsidR="00F40DB9">
        <w:rPr>
          <w:rFonts w:ascii="Times New Roman" w:hAnsi="Times New Roman"/>
        </w:rPr>
        <w:t>associated</w:t>
      </w:r>
      <w:r w:rsidR="005A7B2B">
        <w:rPr>
          <w:rFonts w:ascii="Times New Roman" w:hAnsi="Times New Roman"/>
        </w:rPr>
        <w:t xml:space="preserve"> costs are </w:t>
      </w:r>
      <w:r w:rsidR="00865AD3">
        <w:rPr>
          <w:rFonts w:ascii="Times New Roman" w:hAnsi="Times New Roman"/>
        </w:rPr>
        <w:t xml:space="preserve">based on actual BLM staff who </w:t>
      </w:r>
      <w:r w:rsidR="00F40DB9">
        <w:rPr>
          <w:rFonts w:ascii="Times New Roman" w:hAnsi="Times New Roman"/>
        </w:rPr>
        <w:t xml:space="preserve">manage these regulatory requirements and associated information collections. </w:t>
      </w:r>
    </w:p>
    <w:p w:rsidR="007805F7" w:rsidRPr="00391598" w:rsidP="00F5116F" w14:paraId="12A74180" w14:textId="77777777">
      <w:pPr>
        <w:pStyle w:val="FootnoteText"/>
        <w:tabs>
          <w:tab w:val="left" w:pos="360"/>
          <w:tab w:val="left" w:pos="630"/>
        </w:tabs>
        <w:spacing w:after="0" w:line="240" w:lineRule="auto"/>
        <w:rPr>
          <w:rFonts w:ascii="Times New Roman" w:hAnsi="Times New Roman"/>
          <w:b/>
        </w:rPr>
      </w:pPr>
      <w:r w:rsidRPr="00391598">
        <w:rPr>
          <w:rFonts w:ascii="Times New Roman" w:hAnsi="Times New Roman"/>
          <w:b/>
        </w:rPr>
        <w:t>Table 14-2</w:t>
      </w:r>
      <w:r w:rsidRPr="00391598" w:rsidR="00F5116F">
        <w:rPr>
          <w:rFonts w:ascii="Times New Roman" w:hAnsi="Times New Roman"/>
          <w:b/>
        </w:rPr>
        <w:t xml:space="preserve">: </w:t>
      </w:r>
      <w:r w:rsidRPr="00391598">
        <w:rPr>
          <w:rFonts w:ascii="Times New Roman" w:hAnsi="Times New Roman"/>
          <w:b/>
        </w:rPr>
        <w:t>Estimated Annual Cost to the Government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26"/>
        <w:gridCol w:w="1410"/>
        <w:gridCol w:w="1242"/>
        <w:gridCol w:w="1181"/>
        <w:gridCol w:w="763"/>
        <w:gridCol w:w="1110"/>
      </w:tblGrid>
      <w:tr w14:paraId="51B66922" w14:textId="77777777" w:rsidTr="00A339A0">
        <w:tblPrEx>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3780" w:type="dxa"/>
            <w:shd w:val="clear" w:color="auto" w:fill="D9D9D9"/>
            <w:vAlign w:val="center"/>
          </w:tcPr>
          <w:p w:rsidR="004E6A98" w:rsidRPr="004B5320" w:rsidP="00460478" w14:paraId="35887623"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Collection of Information</w:t>
            </w:r>
          </w:p>
        </w:tc>
        <w:tc>
          <w:tcPr>
            <w:tcW w:w="1440" w:type="dxa"/>
            <w:shd w:val="clear" w:color="auto" w:fill="D9D9D9"/>
            <w:vAlign w:val="center"/>
          </w:tcPr>
          <w:p w:rsidR="004E6A98" w:rsidRPr="004B5320" w:rsidP="00460478" w14:paraId="4F28DDC1" w14:textId="77777777">
            <w:pPr>
              <w:tabs>
                <w:tab w:val="left" w:pos="360"/>
                <w:tab w:val="left" w:pos="630"/>
                <w:tab w:val="left" w:pos="720"/>
                <w:tab w:val="left" w:pos="1080"/>
              </w:tabs>
              <w:jc w:val="center"/>
              <w:rPr>
                <w:rFonts w:ascii="Times New Roman" w:hAnsi="Times New Roman"/>
                <w:b/>
                <w:sz w:val="16"/>
                <w:szCs w:val="16"/>
              </w:rPr>
            </w:pPr>
            <w:r w:rsidRPr="004B5320">
              <w:rPr>
                <w:rFonts w:ascii="Times New Roman" w:hAnsi="Times New Roman"/>
                <w:b/>
                <w:sz w:val="16"/>
                <w:szCs w:val="16"/>
              </w:rPr>
              <w:t>Number of Responses</w:t>
            </w:r>
          </w:p>
        </w:tc>
        <w:tc>
          <w:tcPr>
            <w:tcW w:w="1260" w:type="dxa"/>
            <w:shd w:val="clear" w:color="auto" w:fill="D9D9D9"/>
            <w:vAlign w:val="center"/>
          </w:tcPr>
          <w:p w:rsidR="004E6A98" w:rsidRPr="004B5320" w:rsidP="00460478" w14:paraId="6DD002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Processing Time Per Response (hours)</w:t>
            </w:r>
          </w:p>
        </w:tc>
        <w:tc>
          <w:tcPr>
            <w:tcW w:w="1195" w:type="dxa"/>
            <w:shd w:val="clear" w:color="auto" w:fill="D9D9D9"/>
            <w:vAlign w:val="center"/>
          </w:tcPr>
          <w:p w:rsidR="004E6A98" w:rsidRPr="004B5320" w:rsidP="00460478" w14:paraId="5FEC0E8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Total Processing Hours</w:t>
            </w:r>
          </w:p>
          <w:p w:rsidR="004E6A98" w:rsidRPr="004B5320" w:rsidP="00460478" w14:paraId="7DF7496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c>
          <w:tcPr>
            <w:tcW w:w="767" w:type="dxa"/>
            <w:shd w:val="clear" w:color="auto" w:fill="D9D9D9"/>
          </w:tcPr>
          <w:p w:rsidR="004E6A98" w:rsidRPr="004B5320" w:rsidP="00460478" w14:paraId="10D5D223" w14:textId="7A60877A">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Hourly Wage Cost</w:t>
            </w:r>
          </w:p>
        </w:tc>
        <w:tc>
          <w:tcPr>
            <w:tcW w:w="1116" w:type="dxa"/>
            <w:shd w:val="clear" w:color="auto" w:fill="D9D9D9"/>
            <w:vAlign w:val="center"/>
          </w:tcPr>
          <w:p w:rsidR="004E6A98" w:rsidRPr="004B5320" w:rsidP="00460478" w14:paraId="12C8033C" w14:textId="2949D750">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r w:rsidRPr="004B5320">
              <w:rPr>
                <w:rFonts w:ascii="Times New Roman" w:hAnsi="Times New Roman"/>
                <w:b/>
                <w:sz w:val="16"/>
                <w:szCs w:val="16"/>
              </w:rPr>
              <w:t>Total Wage Cost</w:t>
            </w:r>
          </w:p>
          <w:p w:rsidR="004E6A98" w:rsidRPr="004B5320" w:rsidP="00460478" w14:paraId="1E30D05E" w14:textId="477502A4">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6"/>
                <w:szCs w:val="16"/>
              </w:rPr>
            </w:pPr>
          </w:p>
        </w:tc>
      </w:tr>
      <w:tr w14:paraId="4F592204" w14:textId="77777777" w:rsidTr="00496B1A">
        <w:tblPrEx>
          <w:tblW w:w="0" w:type="auto"/>
          <w:tblInd w:w="18" w:type="dxa"/>
          <w:tblLook w:val="04A0"/>
        </w:tblPrEx>
        <w:trPr>
          <w:cantSplit/>
        </w:trPr>
        <w:tc>
          <w:tcPr>
            <w:tcW w:w="3780" w:type="dxa"/>
            <w:vAlign w:val="center"/>
          </w:tcPr>
          <w:p w:rsidR="00F54646" w:rsidRPr="004B5320" w:rsidP="00F54646" w14:paraId="4274FE79" w14:textId="77777777">
            <w:pPr>
              <w:tabs>
                <w:tab w:val="left" w:pos="360"/>
                <w:tab w:val="left" w:pos="630"/>
              </w:tabs>
              <w:rPr>
                <w:rFonts w:ascii="Times New Roman" w:hAnsi="Times New Roman"/>
                <w:sz w:val="16"/>
                <w:szCs w:val="16"/>
              </w:rPr>
            </w:pPr>
            <w:r w:rsidRPr="004B5320">
              <w:rPr>
                <w:rFonts w:ascii="Times New Roman" w:hAnsi="Times New Roman"/>
                <w:sz w:val="16"/>
                <w:szCs w:val="16"/>
              </w:rPr>
              <w:t>Variance Requests</w:t>
            </w:r>
          </w:p>
          <w:p w:rsidR="00F54646" w:rsidRPr="004B5320" w:rsidP="00F54646" w14:paraId="1D533882" w14:textId="77777777">
            <w:pPr>
              <w:tabs>
                <w:tab w:val="left" w:pos="360"/>
                <w:tab w:val="left" w:pos="630"/>
              </w:tabs>
              <w:rPr>
                <w:rFonts w:ascii="Times New Roman" w:hAnsi="Times New Roman"/>
                <w:sz w:val="16"/>
                <w:szCs w:val="16"/>
              </w:rPr>
            </w:pPr>
            <w:r w:rsidRPr="004B5320">
              <w:rPr>
                <w:rFonts w:ascii="Times New Roman" w:hAnsi="Times New Roman"/>
                <w:sz w:val="16"/>
                <w:szCs w:val="16"/>
              </w:rPr>
              <w:t>43 CFR 3170.6</w:t>
            </w:r>
          </w:p>
          <w:p w:rsidR="00F54646" w:rsidRPr="004B5320" w:rsidP="00F54646" w14:paraId="1CAB90D2" w14:textId="77777777">
            <w:pPr>
              <w:tabs>
                <w:tab w:val="left" w:pos="360"/>
                <w:tab w:val="left" w:pos="630"/>
              </w:tabs>
              <w:rPr>
                <w:rFonts w:ascii="Times New Roman" w:hAnsi="Times New Roman"/>
                <w:b/>
                <w:i/>
                <w:sz w:val="16"/>
                <w:szCs w:val="16"/>
              </w:rPr>
            </w:pPr>
            <w:r w:rsidRPr="004B5320">
              <w:rPr>
                <w:rFonts w:ascii="Times New Roman" w:hAnsi="Times New Roman"/>
                <w:sz w:val="16"/>
                <w:szCs w:val="16"/>
              </w:rPr>
              <w:t>Form 3160-5</w:t>
            </w:r>
          </w:p>
        </w:tc>
        <w:tc>
          <w:tcPr>
            <w:tcW w:w="1440" w:type="dxa"/>
            <w:vAlign w:val="center"/>
          </w:tcPr>
          <w:p w:rsidR="00F54646" w:rsidRPr="004B5320" w:rsidP="00F54646" w14:paraId="7CDF879A"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w:t>
            </w:r>
          </w:p>
        </w:tc>
        <w:tc>
          <w:tcPr>
            <w:tcW w:w="1260" w:type="dxa"/>
            <w:vAlign w:val="center"/>
          </w:tcPr>
          <w:p w:rsidR="00F54646" w:rsidRPr="004B5320" w:rsidP="00F54646" w14:paraId="26620B7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3</w:t>
            </w:r>
          </w:p>
        </w:tc>
        <w:tc>
          <w:tcPr>
            <w:tcW w:w="1195" w:type="dxa"/>
            <w:vAlign w:val="center"/>
          </w:tcPr>
          <w:p w:rsidR="00F54646" w:rsidRPr="004B5320" w:rsidP="00F54646" w14:paraId="1A5DC8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300</w:t>
            </w:r>
          </w:p>
        </w:tc>
        <w:tc>
          <w:tcPr>
            <w:tcW w:w="767" w:type="dxa"/>
            <w:vAlign w:val="center"/>
          </w:tcPr>
          <w:p w:rsidR="00F54646" w:rsidRPr="004B5320" w:rsidP="00F54646" w14:paraId="5150E8B4" w14:textId="4C0EC87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1AE14678" w14:textId="71E0140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$16,233 </w:t>
            </w:r>
          </w:p>
        </w:tc>
      </w:tr>
      <w:tr w14:paraId="0AADB03D" w14:textId="77777777" w:rsidTr="00496B1A">
        <w:tblPrEx>
          <w:tblW w:w="0" w:type="auto"/>
          <w:tblInd w:w="18" w:type="dxa"/>
          <w:tblLook w:val="04A0"/>
        </w:tblPrEx>
        <w:trPr>
          <w:cantSplit/>
        </w:trPr>
        <w:tc>
          <w:tcPr>
            <w:tcW w:w="3780" w:type="dxa"/>
            <w:vAlign w:val="center"/>
          </w:tcPr>
          <w:p w:rsidR="00F54646" w:rsidRPr="004B5320" w:rsidP="00F54646" w14:paraId="3E105E24" w14:textId="6E2450E7">
            <w:pPr>
              <w:tabs>
                <w:tab w:val="left" w:pos="360"/>
                <w:tab w:val="left" w:pos="630"/>
              </w:tabs>
              <w:rPr>
                <w:rFonts w:ascii="Times New Roman" w:hAnsi="Times New Roman"/>
                <w:sz w:val="16"/>
                <w:szCs w:val="16"/>
              </w:rPr>
            </w:pPr>
            <w:r w:rsidRPr="004B5320">
              <w:rPr>
                <w:rFonts w:ascii="Times New Roman" w:hAnsi="Times New Roman"/>
                <w:sz w:val="16"/>
                <w:szCs w:val="16"/>
              </w:rPr>
              <w:t>Reporting Theft or Mishandling of Oil – 43 CFR 3173.8 (non-form)</w:t>
            </w:r>
          </w:p>
        </w:tc>
        <w:tc>
          <w:tcPr>
            <w:tcW w:w="1440" w:type="dxa"/>
            <w:vAlign w:val="center"/>
          </w:tcPr>
          <w:p w:rsidR="00F54646" w:rsidRPr="004B5320" w:rsidP="00F54646" w14:paraId="14F84FF1" w14:textId="400423DB">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w:t>
            </w:r>
          </w:p>
        </w:tc>
        <w:tc>
          <w:tcPr>
            <w:tcW w:w="1260" w:type="dxa"/>
            <w:vAlign w:val="center"/>
          </w:tcPr>
          <w:p w:rsidR="00F54646" w:rsidRPr="004B5320" w:rsidP="00F54646" w14:paraId="151F8142" w14:textId="5F13068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20</w:t>
            </w:r>
          </w:p>
        </w:tc>
        <w:tc>
          <w:tcPr>
            <w:tcW w:w="1195" w:type="dxa"/>
            <w:vAlign w:val="center"/>
          </w:tcPr>
          <w:p w:rsidR="00F54646" w:rsidRPr="004B5320" w:rsidP="00F54646" w14:paraId="74AE76FF" w14:textId="25A5E05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20</w:t>
            </w:r>
          </w:p>
        </w:tc>
        <w:tc>
          <w:tcPr>
            <w:tcW w:w="767" w:type="dxa"/>
            <w:vAlign w:val="center"/>
          </w:tcPr>
          <w:p w:rsidR="00F54646" w:rsidRPr="004B5320" w:rsidP="00F54646" w14:paraId="098B7755" w14:textId="41222C4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6418136A" w14:textId="0642DAA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 </w:t>
            </w:r>
            <w:r w:rsidRPr="004B5320" w:rsidR="00AF0C38">
              <w:rPr>
                <w:rFonts w:ascii="Times New Roman" w:hAnsi="Times New Roman"/>
                <w:color w:val="000000"/>
                <w:sz w:val="16"/>
                <w:szCs w:val="16"/>
              </w:rPr>
              <w:t>1,082</w:t>
            </w:r>
          </w:p>
        </w:tc>
      </w:tr>
      <w:tr w14:paraId="16D27B68" w14:textId="77777777" w:rsidTr="00496B1A">
        <w:tblPrEx>
          <w:tblW w:w="0" w:type="auto"/>
          <w:tblInd w:w="18" w:type="dxa"/>
          <w:tblLook w:val="04A0"/>
        </w:tblPrEx>
        <w:trPr>
          <w:cantSplit/>
        </w:trPr>
        <w:tc>
          <w:tcPr>
            <w:tcW w:w="3780" w:type="dxa"/>
            <w:vAlign w:val="center"/>
          </w:tcPr>
          <w:p w:rsidR="00F54646" w:rsidRPr="004B5320" w:rsidP="00F54646" w14:paraId="297AC4AD" w14:textId="77777777">
            <w:pPr>
              <w:tabs>
                <w:tab w:val="left" w:pos="360"/>
                <w:tab w:val="left" w:pos="630"/>
              </w:tabs>
              <w:rPr>
                <w:rFonts w:ascii="Times New Roman" w:hAnsi="Times New Roman"/>
                <w:sz w:val="16"/>
                <w:szCs w:val="16"/>
              </w:rPr>
            </w:pPr>
            <w:r w:rsidRPr="004B5320">
              <w:rPr>
                <w:rFonts w:ascii="Times New Roman" w:hAnsi="Times New Roman"/>
                <w:sz w:val="16"/>
                <w:szCs w:val="16"/>
              </w:rPr>
              <w:t>Site Facility Diagrams</w:t>
            </w:r>
          </w:p>
          <w:p w:rsidR="00F54646" w:rsidRPr="004B5320" w:rsidP="00F54646" w14:paraId="65D7F6CA" w14:textId="77777777">
            <w:pPr>
              <w:tabs>
                <w:tab w:val="left" w:pos="360"/>
                <w:tab w:val="left" w:pos="630"/>
              </w:tabs>
              <w:rPr>
                <w:rFonts w:ascii="Times New Roman" w:hAnsi="Times New Roman"/>
                <w:sz w:val="16"/>
                <w:szCs w:val="16"/>
              </w:rPr>
            </w:pPr>
            <w:r w:rsidRPr="004B5320">
              <w:rPr>
                <w:rFonts w:ascii="Times New Roman" w:hAnsi="Times New Roman"/>
                <w:sz w:val="16"/>
                <w:szCs w:val="16"/>
              </w:rPr>
              <w:t>43 CFR 3173.11</w:t>
            </w:r>
          </w:p>
          <w:p w:rsidR="00F54646" w:rsidRPr="004B5320" w:rsidP="00F54646" w14:paraId="29238A56" w14:textId="77777777">
            <w:pPr>
              <w:tabs>
                <w:tab w:val="left" w:pos="360"/>
                <w:tab w:val="left" w:pos="630"/>
              </w:tabs>
              <w:rPr>
                <w:rFonts w:ascii="Times New Roman" w:hAnsi="Times New Roman"/>
                <w:sz w:val="16"/>
                <w:szCs w:val="16"/>
              </w:rPr>
            </w:pPr>
            <w:r w:rsidRPr="004B5320">
              <w:rPr>
                <w:rFonts w:ascii="Times New Roman" w:hAnsi="Times New Roman"/>
                <w:sz w:val="16"/>
                <w:szCs w:val="16"/>
              </w:rPr>
              <w:t>Form 3160-5</w:t>
            </w:r>
          </w:p>
        </w:tc>
        <w:tc>
          <w:tcPr>
            <w:tcW w:w="1440" w:type="dxa"/>
            <w:vAlign w:val="center"/>
          </w:tcPr>
          <w:p w:rsidR="00F54646" w:rsidRPr="004B5320" w:rsidP="00F54646" w14:paraId="537ECEB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9,156</w:t>
            </w:r>
          </w:p>
        </w:tc>
        <w:tc>
          <w:tcPr>
            <w:tcW w:w="1260" w:type="dxa"/>
            <w:vAlign w:val="center"/>
          </w:tcPr>
          <w:p w:rsidR="00F54646" w:rsidRPr="004B5320" w:rsidP="00F54646" w14:paraId="42CE56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w:t>
            </w:r>
          </w:p>
        </w:tc>
        <w:tc>
          <w:tcPr>
            <w:tcW w:w="1195" w:type="dxa"/>
            <w:vAlign w:val="center"/>
          </w:tcPr>
          <w:p w:rsidR="00F54646" w:rsidRPr="004B5320" w:rsidP="00F54646" w14:paraId="00D9093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9,156</w:t>
            </w:r>
          </w:p>
        </w:tc>
        <w:tc>
          <w:tcPr>
            <w:tcW w:w="767" w:type="dxa"/>
            <w:vAlign w:val="center"/>
          </w:tcPr>
          <w:p w:rsidR="00F54646" w:rsidRPr="004B5320" w:rsidP="00F54646" w14:paraId="5ED97BDC" w14:textId="5709FDB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2142B2CF" w14:textId="721E0A8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$495,431 </w:t>
            </w:r>
          </w:p>
        </w:tc>
      </w:tr>
      <w:tr w14:paraId="3274788C" w14:textId="77777777" w:rsidTr="00496B1A">
        <w:tblPrEx>
          <w:tblW w:w="0" w:type="auto"/>
          <w:tblInd w:w="18" w:type="dxa"/>
          <w:tblLook w:val="04A0"/>
        </w:tblPrEx>
        <w:trPr>
          <w:cantSplit/>
        </w:trPr>
        <w:tc>
          <w:tcPr>
            <w:tcW w:w="3780" w:type="dxa"/>
            <w:vAlign w:val="center"/>
          </w:tcPr>
          <w:p w:rsidR="00F54646" w:rsidRPr="004B5320" w:rsidP="00F54646" w14:paraId="23D4F958" w14:textId="77777777">
            <w:pPr>
              <w:rPr>
                <w:rFonts w:ascii="Times New Roman" w:hAnsi="Times New Roman"/>
                <w:sz w:val="16"/>
                <w:szCs w:val="16"/>
              </w:rPr>
            </w:pPr>
            <w:r w:rsidRPr="004B5320">
              <w:rPr>
                <w:rFonts w:ascii="Times New Roman" w:hAnsi="Times New Roman"/>
                <w:sz w:val="16"/>
                <w:szCs w:val="16"/>
              </w:rPr>
              <w:t>Request for Approval of an FMP for Future Measurement Facilities</w:t>
            </w:r>
          </w:p>
          <w:p w:rsidR="00F54646" w:rsidRPr="004B5320" w:rsidP="00F54646" w14:paraId="3C6E7BC6" w14:textId="77777777">
            <w:pPr>
              <w:rPr>
                <w:rFonts w:ascii="Times New Roman" w:hAnsi="Times New Roman"/>
                <w:sz w:val="16"/>
                <w:szCs w:val="16"/>
              </w:rPr>
            </w:pPr>
            <w:r w:rsidRPr="004B5320">
              <w:rPr>
                <w:rFonts w:ascii="Times New Roman" w:hAnsi="Times New Roman"/>
                <w:sz w:val="16"/>
                <w:szCs w:val="16"/>
              </w:rPr>
              <w:t>43 CFR 3173.12(d)</w:t>
            </w:r>
          </w:p>
          <w:p w:rsidR="00F54646" w:rsidRPr="004B5320" w:rsidP="00F54646" w14:paraId="758F321B" w14:textId="77777777">
            <w:pPr>
              <w:tabs>
                <w:tab w:val="left" w:pos="360"/>
                <w:tab w:val="left" w:pos="630"/>
              </w:tabs>
              <w:rPr>
                <w:rFonts w:ascii="Times New Roman" w:hAnsi="Times New Roman"/>
                <w:sz w:val="16"/>
                <w:szCs w:val="16"/>
              </w:rPr>
            </w:pPr>
            <w:r w:rsidRPr="004B5320">
              <w:rPr>
                <w:rFonts w:ascii="Times New Roman" w:hAnsi="Times New Roman"/>
                <w:sz w:val="16"/>
                <w:szCs w:val="16"/>
              </w:rPr>
              <w:t>Form 3160-5</w:t>
            </w:r>
          </w:p>
          <w:p w:rsidR="00F54646" w:rsidRPr="004B5320" w:rsidP="00F54646" w14:paraId="11822FCC" w14:textId="1A10E4F9">
            <w:pPr>
              <w:tabs>
                <w:tab w:val="left" w:pos="360"/>
                <w:tab w:val="left" w:pos="630"/>
              </w:tabs>
              <w:rPr>
                <w:rFonts w:ascii="Times New Roman" w:hAnsi="Times New Roman"/>
                <w:sz w:val="16"/>
                <w:szCs w:val="16"/>
              </w:rPr>
            </w:pPr>
          </w:p>
        </w:tc>
        <w:tc>
          <w:tcPr>
            <w:tcW w:w="1440" w:type="dxa"/>
            <w:vAlign w:val="center"/>
          </w:tcPr>
          <w:p w:rsidR="00F54646" w:rsidRPr="004B5320" w:rsidP="00F54646" w14:paraId="4A704D7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1,000</w:t>
            </w:r>
          </w:p>
        </w:tc>
        <w:tc>
          <w:tcPr>
            <w:tcW w:w="1260" w:type="dxa"/>
            <w:vAlign w:val="center"/>
          </w:tcPr>
          <w:p w:rsidR="00F54646" w:rsidRPr="004B5320" w:rsidP="00F54646" w14:paraId="5159D74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1.5</w:t>
            </w:r>
          </w:p>
        </w:tc>
        <w:tc>
          <w:tcPr>
            <w:tcW w:w="1195" w:type="dxa"/>
            <w:vAlign w:val="center"/>
          </w:tcPr>
          <w:p w:rsidR="00F54646" w:rsidRPr="004B5320" w:rsidP="00F54646" w14:paraId="7EA5A0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1,500</w:t>
            </w:r>
          </w:p>
        </w:tc>
        <w:tc>
          <w:tcPr>
            <w:tcW w:w="767" w:type="dxa"/>
            <w:vAlign w:val="center"/>
          </w:tcPr>
          <w:p w:rsidR="00F54646" w:rsidRPr="004B5320" w:rsidP="00F54646" w14:paraId="0BE4CE9A" w14:textId="3557C986">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3317C886" w14:textId="4AF5728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$81,165 </w:t>
            </w:r>
          </w:p>
        </w:tc>
      </w:tr>
      <w:tr w14:paraId="7B724D73" w14:textId="77777777" w:rsidTr="00496B1A">
        <w:tblPrEx>
          <w:tblW w:w="0" w:type="auto"/>
          <w:tblInd w:w="18" w:type="dxa"/>
          <w:tblLook w:val="04A0"/>
        </w:tblPrEx>
        <w:trPr>
          <w:cantSplit/>
        </w:trPr>
        <w:tc>
          <w:tcPr>
            <w:tcW w:w="3780" w:type="dxa"/>
            <w:vAlign w:val="center"/>
          </w:tcPr>
          <w:p w:rsidR="00F54646" w:rsidRPr="004B5320" w:rsidP="00F54646" w14:paraId="394171B8" w14:textId="77777777">
            <w:pPr>
              <w:rPr>
                <w:rFonts w:ascii="Times New Roman" w:hAnsi="Times New Roman"/>
                <w:sz w:val="16"/>
                <w:szCs w:val="16"/>
              </w:rPr>
            </w:pPr>
            <w:r w:rsidRPr="004B5320">
              <w:rPr>
                <w:rFonts w:ascii="Times New Roman" w:hAnsi="Times New Roman"/>
                <w:sz w:val="16"/>
                <w:szCs w:val="16"/>
              </w:rPr>
              <w:t>Request for Approval of an FMP for Existing Measurement Facilities</w:t>
            </w:r>
          </w:p>
          <w:p w:rsidR="00F54646" w:rsidRPr="004B5320" w:rsidP="00F54646" w14:paraId="1EB47809" w14:textId="77777777">
            <w:pPr>
              <w:rPr>
                <w:rFonts w:ascii="Times New Roman" w:hAnsi="Times New Roman"/>
                <w:sz w:val="16"/>
                <w:szCs w:val="16"/>
              </w:rPr>
            </w:pPr>
            <w:r w:rsidRPr="004B5320">
              <w:rPr>
                <w:rFonts w:ascii="Times New Roman" w:hAnsi="Times New Roman"/>
                <w:sz w:val="16"/>
                <w:szCs w:val="16"/>
              </w:rPr>
              <w:t>43 CFR 3173.12(e)</w:t>
            </w:r>
          </w:p>
          <w:p w:rsidR="00F54646" w:rsidRPr="004B5320" w:rsidP="00F54646" w14:paraId="69E230AE" w14:textId="36EB16EE">
            <w:pPr>
              <w:rPr>
                <w:rFonts w:ascii="Times New Roman" w:hAnsi="Times New Roman"/>
                <w:sz w:val="16"/>
                <w:szCs w:val="16"/>
              </w:rPr>
            </w:pPr>
            <w:r w:rsidRPr="004B5320">
              <w:rPr>
                <w:rFonts w:ascii="Times New Roman" w:hAnsi="Times New Roman"/>
                <w:sz w:val="16"/>
                <w:szCs w:val="16"/>
              </w:rPr>
              <w:t>Form 3160-5</w:t>
            </w:r>
          </w:p>
        </w:tc>
        <w:tc>
          <w:tcPr>
            <w:tcW w:w="1440" w:type="dxa"/>
            <w:vAlign w:val="center"/>
          </w:tcPr>
          <w:p w:rsidR="00F54646" w:rsidRPr="004B5320" w:rsidP="00F54646" w14:paraId="25726F8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166,232</w:t>
            </w:r>
          </w:p>
        </w:tc>
        <w:tc>
          <w:tcPr>
            <w:tcW w:w="1260" w:type="dxa"/>
            <w:vAlign w:val="center"/>
          </w:tcPr>
          <w:p w:rsidR="00F54646" w:rsidRPr="004B5320" w:rsidP="00F54646" w14:paraId="322E8D7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w:t>
            </w:r>
          </w:p>
        </w:tc>
        <w:tc>
          <w:tcPr>
            <w:tcW w:w="1195" w:type="dxa"/>
            <w:vAlign w:val="center"/>
          </w:tcPr>
          <w:p w:rsidR="00F54646" w:rsidRPr="004B5320" w:rsidP="00F54646" w14:paraId="3EF5601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166,232</w:t>
            </w:r>
          </w:p>
        </w:tc>
        <w:tc>
          <w:tcPr>
            <w:tcW w:w="767" w:type="dxa"/>
            <w:vAlign w:val="center"/>
          </w:tcPr>
          <w:p w:rsidR="00F54646" w:rsidRPr="004B5320" w:rsidP="00F54646" w14:paraId="52D05F56" w14:textId="45C4D4B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667396EF" w14:textId="2C4E357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$8,994,814 </w:t>
            </w:r>
          </w:p>
        </w:tc>
      </w:tr>
      <w:tr w14:paraId="19E78923" w14:textId="77777777" w:rsidTr="00496B1A">
        <w:tblPrEx>
          <w:tblW w:w="0" w:type="auto"/>
          <w:tblInd w:w="18" w:type="dxa"/>
          <w:tblLook w:val="04A0"/>
        </w:tblPrEx>
        <w:trPr>
          <w:cantSplit/>
        </w:trPr>
        <w:tc>
          <w:tcPr>
            <w:tcW w:w="3780" w:type="dxa"/>
            <w:vAlign w:val="center"/>
          </w:tcPr>
          <w:p w:rsidR="00F54646" w:rsidRPr="004B5320" w:rsidP="00F54646" w14:paraId="6B1233EE" w14:textId="77777777">
            <w:pPr>
              <w:pStyle w:val="ListParagraph"/>
              <w:ind w:left="0"/>
              <w:rPr>
                <w:rFonts w:ascii="Times New Roman" w:hAnsi="Times New Roman"/>
                <w:sz w:val="16"/>
                <w:szCs w:val="16"/>
              </w:rPr>
            </w:pPr>
            <w:r w:rsidRPr="004B5320">
              <w:rPr>
                <w:rFonts w:ascii="Times New Roman" w:hAnsi="Times New Roman"/>
                <w:sz w:val="16"/>
                <w:szCs w:val="16"/>
              </w:rPr>
              <w:t>Modifications to an FMP</w:t>
            </w:r>
          </w:p>
          <w:p w:rsidR="00F54646" w:rsidRPr="004B5320" w:rsidP="00F54646" w14:paraId="345F14BE" w14:textId="77777777">
            <w:pPr>
              <w:pStyle w:val="ListParagraph"/>
              <w:ind w:left="0"/>
              <w:rPr>
                <w:rFonts w:ascii="Times New Roman" w:hAnsi="Times New Roman"/>
                <w:sz w:val="16"/>
                <w:szCs w:val="16"/>
              </w:rPr>
            </w:pPr>
            <w:r w:rsidRPr="004B5320">
              <w:rPr>
                <w:rFonts w:ascii="Times New Roman" w:hAnsi="Times New Roman"/>
                <w:sz w:val="16"/>
                <w:szCs w:val="16"/>
              </w:rPr>
              <w:t>43 CFR 3173.13(b)(1)</w:t>
            </w:r>
          </w:p>
          <w:p w:rsidR="00F54646" w:rsidRPr="004B5320" w:rsidP="00F54646" w14:paraId="3EAB8A6D" w14:textId="77777777">
            <w:pPr>
              <w:pStyle w:val="ListParagraph"/>
              <w:ind w:left="0"/>
              <w:rPr>
                <w:rFonts w:ascii="Times New Roman" w:hAnsi="Times New Roman"/>
                <w:b/>
                <w:i/>
                <w:sz w:val="16"/>
                <w:szCs w:val="16"/>
              </w:rPr>
            </w:pPr>
            <w:r w:rsidRPr="004B5320">
              <w:rPr>
                <w:rFonts w:ascii="Times New Roman" w:hAnsi="Times New Roman"/>
                <w:sz w:val="16"/>
                <w:szCs w:val="16"/>
              </w:rPr>
              <w:t>Form 3160-5</w:t>
            </w:r>
          </w:p>
        </w:tc>
        <w:tc>
          <w:tcPr>
            <w:tcW w:w="1440" w:type="dxa"/>
            <w:vAlign w:val="center"/>
          </w:tcPr>
          <w:p w:rsidR="00F54646" w:rsidRPr="004B5320" w:rsidP="00F54646" w14:paraId="55EA436D"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1,000</w:t>
            </w:r>
          </w:p>
        </w:tc>
        <w:tc>
          <w:tcPr>
            <w:tcW w:w="1260" w:type="dxa"/>
            <w:vAlign w:val="center"/>
          </w:tcPr>
          <w:p w:rsidR="00F54646" w:rsidRPr="004B5320" w:rsidP="00F54646" w14:paraId="17297F8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40</w:t>
            </w:r>
          </w:p>
        </w:tc>
        <w:tc>
          <w:tcPr>
            <w:tcW w:w="1195" w:type="dxa"/>
            <w:vAlign w:val="center"/>
          </w:tcPr>
          <w:p w:rsidR="00F54646" w:rsidRPr="004B5320" w:rsidP="00F54646" w14:paraId="2E0ED44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40,000</w:t>
            </w:r>
          </w:p>
        </w:tc>
        <w:tc>
          <w:tcPr>
            <w:tcW w:w="767" w:type="dxa"/>
            <w:vAlign w:val="center"/>
          </w:tcPr>
          <w:p w:rsidR="00F54646" w:rsidRPr="004B5320" w:rsidP="00F54646" w14:paraId="5224CEF6" w14:textId="2B21414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09F1BCE0" w14:textId="715BEB75">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$2,164,400 </w:t>
            </w:r>
          </w:p>
        </w:tc>
      </w:tr>
      <w:tr w14:paraId="4BA03A27" w14:textId="77777777" w:rsidTr="00496B1A">
        <w:tblPrEx>
          <w:tblW w:w="0" w:type="auto"/>
          <w:tblInd w:w="18" w:type="dxa"/>
          <w:tblLook w:val="04A0"/>
        </w:tblPrEx>
        <w:trPr>
          <w:cantSplit/>
        </w:trPr>
        <w:tc>
          <w:tcPr>
            <w:tcW w:w="3780" w:type="dxa"/>
            <w:vAlign w:val="center"/>
          </w:tcPr>
          <w:p w:rsidR="00F54646" w:rsidRPr="004B5320" w:rsidP="00F54646" w14:paraId="6284BA30" w14:textId="77777777">
            <w:pPr>
              <w:pStyle w:val="ListParagraph"/>
              <w:ind w:left="0"/>
              <w:rPr>
                <w:rFonts w:ascii="Times New Roman" w:hAnsi="Times New Roman"/>
                <w:sz w:val="16"/>
                <w:szCs w:val="16"/>
              </w:rPr>
            </w:pPr>
            <w:r w:rsidRPr="004B5320">
              <w:rPr>
                <w:rFonts w:ascii="Times New Roman" w:hAnsi="Times New Roman"/>
                <w:sz w:val="16"/>
                <w:szCs w:val="16"/>
              </w:rPr>
              <w:t>Request for Approval of a CAA</w:t>
            </w:r>
          </w:p>
          <w:p w:rsidR="00F54646" w:rsidRPr="004B5320" w:rsidP="00F54646" w14:paraId="18E79F4D" w14:textId="77777777">
            <w:pPr>
              <w:pStyle w:val="ListParagraph"/>
              <w:ind w:left="0"/>
              <w:rPr>
                <w:rFonts w:ascii="Times New Roman" w:hAnsi="Times New Roman"/>
                <w:sz w:val="16"/>
                <w:szCs w:val="16"/>
              </w:rPr>
            </w:pPr>
            <w:r w:rsidRPr="004B5320">
              <w:rPr>
                <w:rFonts w:ascii="Times New Roman" w:hAnsi="Times New Roman"/>
                <w:sz w:val="16"/>
                <w:szCs w:val="16"/>
              </w:rPr>
              <w:t>43 CFR 3173.15</w:t>
            </w:r>
          </w:p>
          <w:p w:rsidR="00F54646" w:rsidRPr="004B5320" w:rsidP="00F54646" w14:paraId="3F329FAB" w14:textId="08B4FDC7">
            <w:pPr>
              <w:pStyle w:val="ListParagraph"/>
              <w:ind w:left="0"/>
              <w:rPr>
                <w:rFonts w:ascii="Times New Roman" w:hAnsi="Times New Roman"/>
                <w:sz w:val="16"/>
                <w:szCs w:val="16"/>
              </w:rPr>
            </w:pPr>
            <w:r w:rsidRPr="004B5320">
              <w:rPr>
                <w:rFonts w:ascii="Times New Roman" w:hAnsi="Times New Roman"/>
                <w:sz w:val="16"/>
                <w:szCs w:val="16"/>
              </w:rPr>
              <w:t>Form 3160-5 and Related Information</w:t>
            </w:r>
          </w:p>
        </w:tc>
        <w:tc>
          <w:tcPr>
            <w:tcW w:w="1440" w:type="dxa"/>
            <w:vAlign w:val="center"/>
          </w:tcPr>
          <w:p w:rsidR="00F54646" w:rsidRPr="004B5320" w:rsidP="00F54646" w14:paraId="14243B77"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2,162</w:t>
            </w:r>
          </w:p>
        </w:tc>
        <w:tc>
          <w:tcPr>
            <w:tcW w:w="1260" w:type="dxa"/>
            <w:vAlign w:val="center"/>
          </w:tcPr>
          <w:p w:rsidR="00F54646" w:rsidRPr="004B5320" w:rsidP="00F54646" w14:paraId="4D09FDA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16</w:t>
            </w:r>
          </w:p>
        </w:tc>
        <w:tc>
          <w:tcPr>
            <w:tcW w:w="1195" w:type="dxa"/>
            <w:vAlign w:val="center"/>
          </w:tcPr>
          <w:p w:rsidR="00F54646" w:rsidRPr="004B5320" w:rsidP="00F54646" w14:paraId="1353C23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34,592</w:t>
            </w:r>
          </w:p>
        </w:tc>
        <w:tc>
          <w:tcPr>
            <w:tcW w:w="767" w:type="dxa"/>
            <w:vAlign w:val="center"/>
          </w:tcPr>
          <w:p w:rsidR="00F54646" w:rsidRPr="004B5320" w:rsidP="00F54646" w14:paraId="21EC923A" w14:textId="35D12D1C">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0F4E585A" w14:textId="2BD86D7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$1,871,773 </w:t>
            </w:r>
          </w:p>
        </w:tc>
      </w:tr>
      <w:tr w14:paraId="420C9794" w14:textId="77777777" w:rsidTr="00496B1A">
        <w:tblPrEx>
          <w:tblW w:w="0" w:type="auto"/>
          <w:tblInd w:w="18" w:type="dxa"/>
          <w:tblLook w:val="04A0"/>
        </w:tblPrEx>
        <w:trPr>
          <w:cantSplit/>
        </w:trPr>
        <w:tc>
          <w:tcPr>
            <w:tcW w:w="3780" w:type="dxa"/>
            <w:vAlign w:val="center"/>
          </w:tcPr>
          <w:p w:rsidR="00F54646" w:rsidRPr="004B5320" w:rsidP="00F54646" w14:paraId="5CE3D29E" w14:textId="77777777">
            <w:pPr>
              <w:pStyle w:val="ListParagraph"/>
              <w:ind w:left="0"/>
              <w:outlineLvl w:val="2"/>
              <w:rPr>
                <w:rFonts w:ascii="Times New Roman" w:hAnsi="Times New Roman"/>
                <w:sz w:val="16"/>
                <w:szCs w:val="16"/>
              </w:rPr>
            </w:pPr>
            <w:r w:rsidRPr="004B5320">
              <w:rPr>
                <w:rFonts w:ascii="Times New Roman" w:hAnsi="Times New Roman"/>
                <w:sz w:val="16"/>
                <w:szCs w:val="16"/>
              </w:rPr>
              <w:t>Response to Notice of Insufficient CAA</w:t>
            </w:r>
          </w:p>
          <w:p w:rsidR="00F54646" w:rsidRPr="004B5320" w:rsidP="00F54646" w14:paraId="2B13D92E" w14:textId="77777777">
            <w:pPr>
              <w:pStyle w:val="ListParagraph"/>
              <w:ind w:left="0"/>
              <w:outlineLvl w:val="2"/>
              <w:rPr>
                <w:rFonts w:ascii="Times New Roman" w:hAnsi="Times New Roman"/>
                <w:sz w:val="16"/>
                <w:szCs w:val="16"/>
              </w:rPr>
            </w:pPr>
            <w:r w:rsidRPr="004B5320">
              <w:rPr>
                <w:rFonts w:ascii="Times New Roman" w:hAnsi="Times New Roman"/>
                <w:sz w:val="16"/>
                <w:szCs w:val="16"/>
              </w:rPr>
              <w:t>43 CFR 3173.16</w:t>
            </w:r>
          </w:p>
          <w:p w:rsidR="00F54646" w:rsidRPr="004B5320" w:rsidP="00F54646" w14:paraId="337F9520" w14:textId="77777777">
            <w:pPr>
              <w:pStyle w:val="ListParagraph"/>
              <w:ind w:left="0"/>
              <w:outlineLvl w:val="2"/>
              <w:rPr>
                <w:rFonts w:ascii="Times New Roman" w:hAnsi="Times New Roman"/>
                <w:sz w:val="16"/>
                <w:szCs w:val="16"/>
              </w:rPr>
            </w:pPr>
            <w:r w:rsidRPr="004B5320">
              <w:rPr>
                <w:rFonts w:ascii="Times New Roman" w:hAnsi="Times New Roman"/>
                <w:sz w:val="16"/>
                <w:szCs w:val="16"/>
              </w:rPr>
              <w:t>Form 3160-5 and Related Information</w:t>
            </w:r>
          </w:p>
        </w:tc>
        <w:tc>
          <w:tcPr>
            <w:tcW w:w="1440" w:type="dxa"/>
            <w:vAlign w:val="center"/>
          </w:tcPr>
          <w:p w:rsidR="00F54646" w:rsidRPr="004B5320" w:rsidP="00F54646" w14:paraId="4088B72E"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150</w:t>
            </w:r>
          </w:p>
        </w:tc>
        <w:tc>
          <w:tcPr>
            <w:tcW w:w="1260" w:type="dxa"/>
            <w:vAlign w:val="center"/>
          </w:tcPr>
          <w:p w:rsidR="00F54646" w:rsidRPr="004B5320" w:rsidP="00F54646" w14:paraId="57E82F4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w:t>
            </w:r>
          </w:p>
        </w:tc>
        <w:tc>
          <w:tcPr>
            <w:tcW w:w="1195" w:type="dxa"/>
            <w:vAlign w:val="center"/>
          </w:tcPr>
          <w:p w:rsidR="00F54646" w:rsidRPr="004B5320" w:rsidP="00F54646" w14:paraId="016AD99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750</w:t>
            </w:r>
          </w:p>
        </w:tc>
        <w:tc>
          <w:tcPr>
            <w:tcW w:w="767" w:type="dxa"/>
            <w:vAlign w:val="center"/>
          </w:tcPr>
          <w:p w:rsidR="00F54646" w:rsidRPr="004B5320" w:rsidP="00F54646" w14:paraId="6574C6EB" w14:textId="34BC647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7B2B2A8F" w14:textId="67624D28">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$40,583 </w:t>
            </w:r>
          </w:p>
        </w:tc>
      </w:tr>
      <w:tr w14:paraId="654D91B6" w14:textId="77777777" w:rsidTr="00496B1A">
        <w:tblPrEx>
          <w:tblW w:w="0" w:type="auto"/>
          <w:tblInd w:w="18" w:type="dxa"/>
          <w:tblLook w:val="04A0"/>
        </w:tblPrEx>
        <w:trPr>
          <w:cantSplit/>
        </w:trPr>
        <w:tc>
          <w:tcPr>
            <w:tcW w:w="3780" w:type="dxa"/>
            <w:vAlign w:val="center"/>
          </w:tcPr>
          <w:p w:rsidR="00F54646" w:rsidRPr="004B5320" w:rsidP="00F54646" w14:paraId="781FCFDF" w14:textId="77777777">
            <w:pPr>
              <w:pStyle w:val="ListParagraph"/>
              <w:ind w:left="0"/>
              <w:rPr>
                <w:rFonts w:ascii="Times New Roman" w:hAnsi="Times New Roman"/>
                <w:sz w:val="16"/>
                <w:szCs w:val="16"/>
              </w:rPr>
            </w:pPr>
            <w:r w:rsidRPr="004B5320">
              <w:rPr>
                <w:rFonts w:ascii="Times New Roman" w:hAnsi="Times New Roman"/>
                <w:sz w:val="16"/>
                <w:szCs w:val="16"/>
              </w:rPr>
              <w:t>Request to Modify or Terminate a CAA</w:t>
            </w:r>
          </w:p>
          <w:p w:rsidR="00F54646" w:rsidRPr="004B5320" w:rsidP="00F54646" w14:paraId="7776864F" w14:textId="77777777">
            <w:pPr>
              <w:pStyle w:val="ListParagraph"/>
              <w:ind w:left="0"/>
              <w:rPr>
                <w:rFonts w:ascii="Times New Roman" w:hAnsi="Times New Roman"/>
                <w:sz w:val="16"/>
                <w:szCs w:val="16"/>
              </w:rPr>
            </w:pPr>
            <w:r w:rsidRPr="004B5320">
              <w:rPr>
                <w:rFonts w:ascii="Times New Roman" w:hAnsi="Times New Roman"/>
                <w:sz w:val="16"/>
                <w:szCs w:val="16"/>
              </w:rPr>
              <w:t>43 CFR 3173.18 and 3173.20</w:t>
            </w:r>
          </w:p>
          <w:p w:rsidR="00F54646" w:rsidRPr="004B5320" w:rsidP="00F54646" w14:paraId="190B7EE9" w14:textId="77777777">
            <w:pPr>
              <w:pStyle w:val="ListParagraph"/>
              <w:ind w:left="0"/>
              <w:rPr>
                <w:rFonts w:ascii="Times New Roman" w:hAnsi="Times New Roman"/>
                <w:b/>
                <w:i/>
                <w:sz w:val="16"/>
                <w:szCs w:val="16"/>
              </w:rPr>
            </w:pPr>
            <w:r w:rsidRPr="004B5320">
              <w:rPr>
                <w:rFonts w:ascii="Times New Roman" w:hAnsi="Times New Roman"/>
                <w:sz w:val="16"/>
                <w:szCs w:val="16"/>
              </w:rPr>
              <w:t>Form 3160-5 and Related Information</w:t>
            </w:r>
          </w:p>
        </w:tc>
        <w:tc>
          <w:tcPr>
            <w:tcW w:w="1440" w:type="dxa"/>
            <w:vAlign w:val="center"/>
          </w:tcPr>
          <w:p w:rsidR="00F54646" w:rsidRPr="004B5320" w:rsidP="00F54646" w14:paraId="69106E02"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500</w:t>
            </w:r>
          </w:p>
        </w:tc>
        <w:tc>
          <w:tcPr>
            <w:tcW w:w="1260" w:type="dxa"/>
            <w:vAlign w:val="center"/>
          </w:tcPr>
          <w:p w:rsidR="00F54646" w:rsidRPr="004B5320" w:rsidP="00F54646" w14:paraId="365939D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0.25</w:t>
            </w:r>
          </w:p>
        </w:tc>
        <w:tc>
          <w:tcPr>
            <w:tcW w:w="1195" w:type="dxa"/>
            <w:vAlign w:val="center"/>
          </w:tcPr>
          <w:p w:rsidR="00F54646" w:rsidRPr="004B5320" w:rsidP="00F54646" w14:paraId="180DA5C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125</w:t>
            </w:r>
          </w:p>
        </w:tc>
        <w:tc>
          <w:tcPr>
            <w:tcW w:w="767" w:type="dxa"/>
            <w:vAlign w:val="center"/>
          </w:tcPr>
          <w:p w:rsidR="00F54646" w:rsidRPr="004B5320" w:rsidP="00F54646" w14:paraId="61DE0266" w14:textId="3A67D6A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5E9DC2F8" w14:textId="70DCA63B">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$6,764 </w:t>
            </w:r>
          </w:p>
        </w:tc>
      </w:tr>
      <w:tr w14:paraId="2DF69482" w14:textId="77777777" w:rsidTr="00496B1A">
        <w:tblPrEx>
          <w:tblW w:w="0" w:type="auto"/>
          <w:tblInd w:w="18" w:type="dxa"/>
          <w:tblLook w:val="04A0"/>
        </w:tblPrEx>
        <w:trPr>
          <w:cantSplit/>
        </w:trPr>
        <w:tc>
          <w:tcPr>
            <w:tcW w:w="3780" w:type="dxa"/>
            <w:vAlign w:val="center"/>
          </w:tcPr>
          <w:p w:rsidR="00F54646" w:rsidRPr="004B5320" w:rsidP="00F54646" w14:paraId="6BDBE95A" w14:textId="77777777">
            <w:pPr>
              <w:pStyle w:val="ListParagraph"/>
              <w:ind w:left="0"/>
              <w:rPr>
                <w:rFonts w:ascii="Times New Roman" w:hAnsi="Times New Roman"/>
                <w:sz w:val="16"/>
                <w:szCs w:val="16"/>
              </w:rPr>
            </w:pPr>
            <w:r w:rsidRPr="004B5320">
              <w:rPr>
                <w:rFonts w:ascii="Times New Roman" w:hAnsi="Times New Roman"/>
                <w:sz w:val="16"/>
                <w:szCs w:val="16"/>
              </w:rPr>
              <w:t>Request for Approval or Termination of Off-Lease Measurement</w:t>
            </w:r>
          </w:p>
          <w:p w:rsidR="00F54646" w:rsidRPr="004B5320" w:rsidP="00F54646" w14:paraId="6E9413A9" w14:textId="77777777">
            <w:pPr>
              <w:pStyle w:val="ListParagraph"/>
              <w:ind w:left="0"/>
              <w:rPr>
                <w:rFonts w:ascii="Times New Roman" w:hAnsi="Times New Roman"/>
                <w:sz w:val="16"/>
                <w:szCs w:val="16"/>
              </w:rPr>
            </w:pPr>
            <w:r w:rsidRPr="004B5320">
              <w:rPr>
                <w:rFonts w:ascii="Times New Roman" w:hAnsi="Times New Roman"/>
                <w:sz w:val="16"/>
                <w:szCs w:val="16"/>
              </w:rPr>
              <w:t>43 CFR 3173.23 and 3173.27</w:t>
            </w:r>
          </w:p>
          <w:p w:rsidR="00F54646" w:rsidRPr="004B5320" w:rsidP="00F54646" w14:paraId="41C31EE0" w14:textId="77777777">
            <w:pPr>
              <w:pStyle w:val="ListParagraph"/>
              <w:ind w:left="0"/>
              <w:rPr>
                <w:rFonts w:ascii="Times New Roman" w:hAnsi="Times New Roman"/>
                <w:sz w:val="16"/>
                <w:szCs w:val="16"/>
              </w:rPr>
            </w:pPr>
            <w:r w:rsidRPr="004B5320">
              <w:rPr>
                <w:rFonts w:ascii="Times New Roman" w:hAnsi="Times New Roman"/>
                <w:sz w:val="16"/>
                <w:szCs w:val="16"/>
              </w:rPr>
              <w:t>Form 3160-5 and related Information</w:t>
            </w:r>
          </w:p>
        </w:tc>
        <w:tc>
          <w:tcPr>
            <w:tcW w:w="1440" w:type="dxa"/>
            <w:vAlign w:val="center"/>
          </w:tcPr>
          <w:p w:rsidR="00F54646" w:rsidRPr="004B5320" w:rsidP="00F54646" w14:paraId="7584412D"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166</w:t>
            </w:r>
          </w:p>
        </w:tc>
        <w:tc>
          <w:tcPr>
            <w:tcW w:w="1260" w:type="dxa"/>
            <w:vAlign w:val="center"/>
          </w:tcPr>
          <w:p w:rsidR="00F54646" w:rsidRPr="004B5320" w:rsidP="00F54646" w14:paraId="6DC55853" w14:textId="77777777">
            <w:pPr>
              <w:contextualSpacing/>
              <w:jc w:val="right"/>
              <w:rPr>
                <w:rFonts w:ascii="Times New Roman" w:hAnsi="Times New Roman"/>
                <w:sz w:val="16"/>
                <w:szCs w:val="16"/>
              </w:rPr>
            </w:pPr>
            <w:r w:rsidRPr="004B5320">
              <w:rPr>
                <w:rFonts w:ascii="Times New Roman" w:hAnsi="Times New Roman"/>
                <w:sz w:val="16"/>
                <w:szCs w:val="16"/>
              </w:rPr>
              <w:t>4</w:t>
            </w:r>
          </w:p>
        </w:tc>
        <w:tc>
          <w:tcPr>
            <w:tcW w:w="1195" w:type="dxa"/>
            <w:vAlign w:val="center"/>
          </w:tcPr>
          <w:p w:rsidR="00F54646" w:rsidRPr="004B5320" w:rsidP="00F54646" w14:paraId="46DA6775" w14:textId="77777777">
            <w:pPr>
              <w:contextualSpacing/>
              <w:jc w:val="right"/>
              <w:rPr>
                <w:rFonts w:ascii="Times New Roman" w:hAnsi="Times New Roman"/>
                <w:sz w:val="16"/>
                <w:szCs w:val="16"/>
              </w:rPr>
            </w:pPr>
            <w:r w:rsidRPr="004B5320">
              <w:rPr>
                <w:rFonts w:ascii="Times New Roman" w:hAnsi="Times New Roman"/>
                <w:sz w:val="16"/>
                <w:szCs w:val="16"/>
              </w:rPr>
              <w:t>664</w:t>
            </w:r>
          </w:p>
        </w:tc>
        <w:tc>
          <w:tcPr>
            <w:tcW w:w="767" w:type="dxa"/>
            <w:vAlign w:val="center"/>
          </w:tcPr>
          <w:p w:rsidR="00F54646" w:rsidRPr="004B5320" w:rsidP="00F54646" w14:paraId="60F093C2" w14:textId="3CA32DFF">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43BFBE5B" w14:textId="0B694B62">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$35,929 </w:t>
            </w:r>
          </w:p>
        </w:tc>
      </w:tr>
      <w:tr w14:paraId="0DC21991" w14:textId="77777777" w:rsidTr="00496B1A">
        <w:tblPrEx>
          <w:tblW w:w="0" w:type="auto"/>
          <w:tblInd w:w="18" w:type="dxa"/>
          <w:tblLook w:val="04A0"/>
        </w:tblPrEx>
        <w:trPr>
          <w:cantSplit/>
        </w:trPr>
        <w:tc>
          <w:tcPr>
            <w:tcW w:w="3780" w:type="dxa"/>
            <w:vAlign w:val="center"/>
          </w:tcPr>
          <w:p w:rsidR="00F54646" w:rsidRPr="004B5320" w:rsidP="00F54646" w14:paraId="67AC04D5" w14:textId="77777777">
            <w:pPr>
              <w:pStyle w:val="ListParagraph"/>
              <w:ind w:left="0"/>
              <w:rPr>
                <w:rFonts w:ascii="Times New Roman" w:hAnsi="Times New Roman"/>
                <w:sz w:val="16"/>
                <w:szCs w:val="16"/>
              </w:rPr>
            </w:pPr>
            <w:r w:rsidRPr="004B5320">
              <w:rPr>
                <w:rFonts w:ascii="Times New Roman" w:hAnsi="Times New Roman"/>
                <w:sz w:val="16"/>
                <w:szCs w:val="16"/>
              </w:rPr>
              <w:t>Response to Notice of Insufficient Off-Lease Measurement Approval</w:t>
            </w:r>
          </w:p>
          <w:p w:rsidR="00F54646" w:rsidRPr="004B5320" w:rsidP="00F54646" w14:paraId="4D4255C4" w14:textId="77777777">
            <w:pPr>
              <w:pStyle w:val="ListParagraph"/>
              <w:ind w:left="0"/>
              <w:rPr>
                <w:rFonts w:ascii="Times New Roman" w:hAnsi="Times New Roman"/>
                <w:sz w:val="16"/>
                <w:szCs w:val="16"/>
              </w:rPr>
            </w:pPr>
            <w:r w:rsidRPr="004B5320">
              <w:rPr>
                <w:rFonts w:ascii="Times New Roman" w:hAnsi="Times New Roman"/>
                <w:sz w:val="16"/>
                <w:szCs w:val="16"/>
              </w:rPr>
              <w:t>43 CFR 3173.25</w:t>
            </w:r>
          </w:p>
          <w:p w:rsidR="00F54646" w:rsidRPr="004B5320" w:rsidP="00F54646" w14:paraId="04E119BF" w14:textId="77777777">
            <w:pPr>
              <w:pStyle w:val="ListParagraph"/>
              <w:ind w:left="0"/>
              <w:rPr>
                <w:rFonts w:ascii="Times New Roman" w:hAnsi="Times New Roman"/>
                <w:sz w:val="16"/>
                <w:szCs w:val="16"/>
              </w:rPr>
            </w:pPr>
            <w:r w:rsidRPr="004B5320">
              <w:rPr>
                <w:rFonts w:ascii="Times New Roman" w:hAnsi="Times New Roman"/>
                <w:sz w:val="16"/>
                <w:szCs w:val="16"/>
              </w:rPr>
              <w:t>Form 3160-5 and Related Information</w:t>
            </w:r>
          </w:p>
        </w:tc>
        <w:tc>
          <w:tcPr>
            <w:tcW w:w="1440" w:type="dxa"/>
            <w:vAlign w:val="center"/>
          </w:tcPr>
          <w:p w:rsidR="00F54646" w:rsidRPr="004B5320" w:rsidP="00F54646" w14:paraId="4AA56A2F"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15</w:t>
            </w:r>
          </w:p>
        </w:tc>
        <w:tc>
          <w:tcPr>
            <w:tcW w:w="1260" w:type="dxa"/>
            <w:vAlign w:val="center"/>
          </w:tcPr>
          <w:p w:rsidR="00F54646" w:rsidRPr="004B5320" w:rsidP="00F54646" w14:paraId="46E776F3" w14:textId="77777777">
            <w:pPr>
              <w:contextualSpacing/>
              <w:jc w:val="right"/>
              <w:rPr>
                <w:rFonts w:ascii="Times New Roman" w:hAnsi="Times New Roman"/>
                <w:sz w:val="16"/>
                <w:szCs w:val="16"/>
              </w:rPr>
            </w:pPr>
            <w:r w:rsidRPr="004B5320">
              <w:rPr>
                <w:rFonts w:ascii="Times New Roman" w:hAnsi="Times New Roman"/>
                <w:sz w:val="16"/>
                <w:szCs w:val="16"/>
              </w:rPr>
              <w:t>2</w:t>
            </w:r>
          </w:p>
        </w:tc>
        <w:tc>
          <w:tcPr>
            <w:tcW w:w="1195" w:type="dxa"/>
            <w:vAlign w:val="center"/>
          </w:tcPr>
          <w:p w:rsidR="00F54646" w:rsidRPr="004B5320" w:rsidP="00F54646" w14:paraId="38CB1501" w14:textId="77777777">
            <w:pPr>
              <w:contextualSpacing/>
              <w:jc w:val="right"/>
              <w:rPr>
                <w:rFonts w:ascii="Times New Roman" w:hAnsi="Times New Roman"/>
                <w:sz w:val="16"/>
                <w:szCs w:val="16"/>
              </w:rPr>
            </w:pPr>
            <w:r w:rsidRPr="004B5320">
              <w:rPr>
                <w:rFonts w:ascii="Times New Roman" w:hAnsi="Times New Roman"/>
                <w:sz w:val="16"/>
                <w:szCs w:val="16"/>
              </w:rPr>
              <w:t>30</w:t>
            </w:r>
          </w:p>
        </w:tc>
        <w:tc>
          <w:tcPr>
            <w:tcW w:w="767" w:type="dxa"/>
            <w:vAlign w:val="center"/>
          </w:tcPr>
          <w:p w:rsidR="00F54646" w:rsidRPr="004B5320" w:rsidP="00F54646" w14:paraId="2CE36DF9" w14:textId="5B285B3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61F1A133" w14:textId="2B6C4EB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$1,623 </w:t>
            </w:r>
          </w:p>
        </w:tc>
      </w:tr>
      <w:tr w14:paraId="67A58B78" w14:textId="77777777" w:rsidTr="00496B1A">
        <w:tblPrEx>
          <w:tblW w:w="0" w:type="auto"/>
          <w:tblInd w:w="18" w:type="dxa"/>
          <w:tblLook w:val="04A0"/>
        </w:tblPrEx>
        <w:trPr>
          <w:cantSplit/>
        </w:trPr>
        <w:tc>
          <w:tcPr>
            <w:tcW w:w="3780" w:type="dxa"/>
            <w:vAlign w:val="center"/>
          </w:tcPr>
          <w:p w:rsidR="00F54646" w:rsidRPr="004B5320" w:rsidP="00F54646" w14:paraId="6A5B82B3" w14:textId="77777777">
            <w:pPr>
              <w:pStyle w:val="ListParagraph"/>
              <w:ind w:left="0"/>
              <w:rPr>
                <w:rFonts w:ascii="Times New Roman" w:hAnsi="Times New Roman"/>
                <w:sz w:val="16"/>
                <w:szCs w:val="16"/>
              </w:rPr>
            </w:pPr>
            <w:r w:rsidRPr="004B5320">
              <w:rPr>
                <w:rFonts w:ascii="Times New Roman" w:hAnsi="Times New Roman"/>
                <w:sz w:val="16"/>
                <w:szCs w:val="16"/>
              </w:rPr>
              <w:t>Measurement Tickets</w:t>
            </w:r>
          </w:p>
          <w:p w:rsidR="00F54646" w:rsidRPr="004B5320" w:rsidP="00F54646" w14:paraId="53B2019D" w14:textId="77777777">
            <w:pPr>
              <w:pStyle w:val="ListParagraph"/>
              <w:ind w:left="0"/>
              <w:rPr>
                <w:rFonts w:ascii="Times New Roman" w:hAnsi="Times New Roman"/>
                <w:sz w:val="16"/>
                <w:szCs w:val="16"/>
              </w:rPr>
            </w:pPr>
            <w:r w:rsidRPr="004B5320">
              <w:rPr>
                <w:rFonts w:ascii="Times New Roman" w:hAnsi="Times New Roman"/>
                <w:sz w:val="16"/>
                <w:szCs w:val="16"/>
              </w:rPr>
              <w:t>43 CFR 3174.12</w:t>
            </w:r>
          </w:p>
          <w:p w:rsidR="00F54646" w:rsidRPr="004B5320" w:rsidP="00F54646" w14:paraId="6EF4D626" w14:textId="4D8F40F2">
            <w:pPr>
              <w:pStyle w:val="ListParagraph"/>
              <w:ind w:left="0"/>
              <w:rPr>
                <w:rFonts w:ascii="Times New Roman" w:hAnsi="Times New Roman"/>
                <w:sz w:val="16"/>
                <w:szCs w:val="16"/>
              </w:rPr>
            </w:pPr>
          </w:p>
        </w:tc>
        <w:tc>
          <w:tcPr>
            <w:tcW w:w="1440" w:type="dxa"/>
            <w:vAlign w:val="center"/>
          </w:tcPr>
          <w:p w:rsidR="00F54646" w:rsidRPr="004B5320" w:rsidP="00F54646" w14:paraId="41C86225" w14:textId="77777777">
            <w:pPr>
              <w:tabs>
                <w:tab w:val="left" w:pos="360"/>
                <w:tab w:val="left" w:pos="630"/>
                <w:tab w:val="left" w:pos="720"/>
                <w:tab w:val="left" w:pos="1080"/>
              </w:tabs>
              <w:jc w:val="right"/>
              <w:rPr>
                <w:rFonts w:ascii="Times New Roman" w:hAnsi="Times New Roman"/>
                <w:sz w:val="16"/>
                <w:szCs w:val="16"/>
              </w:rPr>
            </w:pPr>
            <w:r w:rsidRPr="004B5320">
              <w:rPr>
                <w:rFonts w:ascii="Times New Roman" w:hAnsi="Times New Roman"/>
                <w:sz w:val="16"/>
                <w:szCs w:val="16"/>
              </w:rPr>
              <w:t>90,000</w:t>
            </w:r>
          </w:p>
        </w:tc>
        <w:tc>
          <w:tcPr>
            <w:tcW w:w="1260" w:type="dxa"/>
            <w:vAlign w:val="center"/>
          </w:tcPr>
          <w:p w:rsidR="00F54646" w:rsidRPr="004B5320" w:rsidP="00F54646" w14:paraId="3F6A0679" w14:textId="77777777">
            <w:pPr>
              <w:contextualSpacing/>
              <w:jc w:val="right"/>
              <w:rPr>
                <w:rFonts w:ascii="Times New Roman" w:hAnsi="Times New Roman"/>
                <w:sz w:val="16"/>
                <w:szCs w:val="16"/>
              </w:rPr>
            </w:pPr>
            <w:r w:rsidRPr="004B5320">
              <w:rPr>
                <w:rFonts w:ascii="Times New Roman" w:hAnsi="Times New Roman"/>
                <w:sz w:val="16"/>
                <w:szCs w:val="16"/>
              </w:rPr>
              <w:t>2</w:t>
            </w:r>
          </w:p>
        </w:tc>
        <w:tc>
          <w:tcPr>
            <w:tcW w:w="1195" w:type="dxa"/>
            <w:vAlign w:val="center"/>
          </w:tcPr>
          <w:p w:rsidR="00F54646" w:rsidRPr="004B5320" w:rsidP="00F54646" w14:paraId="61873269" w14:textId="77777777">
            <w:pPr>
              <w:contextualSpacing/>
              <w:jc w:val="right"/>
              <w:rPr>
                <w:rFonts w:ascii="Times New Roman" w:hAnsi="Times New Roman"/>
                <w:sz w:val="16"/>
                <w:szCs w:val="16"/>
              </w:rPr>
            </w:pPr>
            <w:r w:rsidRPr="004B5320">
              <w:rPr>
                <w:rFonts w:ascii="Times New Roman" w:hAnsi="Times New Roman"/>
                <w:sz w:val="16"/>
                <w:szCs w:val="16"/>
              </w:rPr>
              <w:t>180,000</w:t>
            </w:r>
          </w:p>
        </w:tc>
        <w:tc>
          <w:tcPr>
            <w:tcW w:w="767" w:type="dxa"/>
            <w:vAlign w:val="center"/>
          </w:tcPr>
          <w:p w:rsidR="00F54646" w:rsidRPr="004B5320" w:rsidP="00F54646" w14:paraId="44958523" w14:textId="36411791">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sz w:val="16"/>
                <w:szCs w:val="16"/>
              </w:rPr>
              <w:t>$54.11</w:t>
            </w:r>
          </w:p>
        </w:tc>
        <w:tc>
          <w:tcPr>
            <w:tcW w:w="1116" w:type="dxa"/>
            <w:tcBorders>
              <w:top w:val="nil"/>
              <w:left w:val="nil"/>
              <w:bottom w:val="single" w:sz="8" w:space="0" w:color="000000"/>
              <w:right w:val="single" w:sz="8" w:space="0" w:color="000000"/>
            </w:tcBorders>
            <w:shd w:val="clear" w:color="auto" w:fill="auto"/>
            <w:vAlign w:val="center"/>
          </w:tcPr>
          <w:p w:rsidR="00F54646" w:rsidRPr="004B5320" w:rsidP="00F54646" w14:paraId="1AA5D9E9" w14:textId="0B17F01D">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6"/>
                <w:szCs w:val="16"/>
              </w:rPr>
            </w:pPr>
            <w:r w:rsidRPr="004B5320">
              <w:rPr>
                <w:rFonts w:ascii="Times New Roman" w:hAnsi="Times New Roman"/>
                <w:color w:val="000000"/>
                <w:sz w:val="16"/>
                <w:szCs w:val="16"/>
              </w:rPr>
              <w:t xml:space="preserve">$9,739,800 </w:t>
            </w:r>
          </w:p>
        </w:tc>
      </w:tr>
      <w:tr w14:paraId="7CF76878" w14:textId="77777777" w:rsidTr="00A339A0">
        <w:tblPrEx>
          <w:tblW w:w="0" w:type="auto"/>
          <w:tblInd w:w="18" w:type="dxa"/>
          <w:tblLook w:val="04A0"/>
        </w:tblPrEx>
        <w:trPr>
          <w:cantSplit/>
        </w:trPr>
        <w:tc>
          <w:tcPr>
            <w:tcW w:w="8442" w:type="dxa"/>
            <w:gridSpan w:val="5"/>
          </w:tcPr>
          <w:p w:rsidR="004E6A98" w:rsidRPr="004B5320" w:rsidP="006A691E" w14:paraId="73CEE8AE" w14:textId="40BE198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4B5320">
              <w:rPr>
                <w:rFonts w:ascii="Times New Roman" w:hAnsi="Times New Roman"/>
                <w:b/>
                <w:bCs/>
                <w:sz w:val="16"/>
                <w:szCs w:val="16"/>
              </w:rPr>
              <w:t>Total Cost:</w:t>
            </w:r>
          </w:p>
        </w:tc>
        <w:tc>
          <w:tcPr>
            <w:tcW w:w="1116" w:type="dxa"/>
            <w:vAlign w:val="center"/>
          </w:tcPr>
          <w:p w:rsidR="004E6A98" w:rsidRPr="004B5320" w:rsidP="006A691E" w14:paraId="59F73D4C" w14:textId="4B1948BE">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6"/>
                <w:szCs w:val="16"/>
              </w:rPr>
            </w:pPr>
            <w:r w:rsidRPr="00CA6752">
              <w:rPr>
                <w:rFonts w:ascii="Times New Roman" w:hAnsi="Times New Roman"/>
                <w:b/>
                <w:bCs/>
                <w:sz w:val="16"/>
                <w:szCs w:val="16"/>
              </w:rPr>
              <w:t>$23,449,597</w:t>
            </w:r>
          </w:p>
        </w:tc>
      </w:tr>
    </w:tbl>
    <w:p w:rsidR="00430694" w:rsidRPr="00391598" w:rsidP="00430694" w14:paraId="3A6FB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0"/>
          <w:szCs w:val="20"/>
        </w:rPr>
      </w:pPr>
    </w:p>
    <w:p w:rsidR="00C407C8" w:rsidRPr="00391598" w:rsidP="00430694" w14:paraId="6AF10F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0"/>
          <w:szCs w:val="20"/>
        </w:rPr>
      </w:pPr>
      <w:r w:rsidRPr="00391598">
        <w:rPr>
          <w:rFonts w:ascii="Times New Roman" w:hAnsi="Times New Roman"/>
          <w:b/>
          <w:sz w:val="20"/>
          <w:szCs w:val="20"/>
        </w:rPr>
        <w:t>15.</w:t>
      </w:r>
      <w:r w:rsidRPr="00391598">
        <w:rPr>
          <w:rFonts w:ascii="Times New Roman" w:hAnsi="Times New Roman"/>
          <w:b/>
          <w:sz w:val="20"/>
          <w:szCs w:val="20"/>
        </w:rPr>
        <w:tab/>
        <w:t>Explain the reasons for any program changes or adjustments in hour or cost burden.</w:t>
      </w:r>
    </w:p>
    <w:p w:rsidR="00591AB3" w:rsidP="005C6DEE" w14:paraId="1D5C4F49" w14:textId="77777777">
      <w:pPr>
        <w:tabs>
          <w:tab w:val="left" w:pos="360"/>
          <w:tab w:val="left" w:pos="630"/>
        </w:tabs>
        <w:rPr>
          <w:rFonts w:ascii="Times New Roman" w:hAnsi="Times New Roman"/>
          <w:sz w:val="20"/>
          <w:szCs w:val="20"/>
        </w:rPr>
      </w:pPr>
    </w:p>
    <w:p w:rsidR="00846264" w:rsidP="005C6DEE" w14:paraId="3796B1DF" w14:textId="4383B545">
      <w:pPr>
        <w:tabs>
          <w:tab w:val="left" w:pos="360"/>
          <w:tab w:val="left" w:pos="630"/>
        </w:tabs>
        <w:rPr>
          <w:rFonts w:ascii="Times New Roman" w:hAnsi="Times New Roman"/>
          <w:sz w:val="20"/>
          <w:szCs w:val="20"/>
        </w:rPr>
      </w:pPr>
      <w:r>
        <w:rPr>
          <w:rFonts w:ascii="Times New Roman" w:hAnsi="Times New Roman"/>
          <w:sz w:val="20"/>
          <w:szCs w:val="20"/>
        </w:rPr>
        <w:t>The burden currently inventorie</w:t>
      </w:r>
      <w:r w:rsidR="007028BE">
        <w:rPr>
          <w:rFonts w:ascii="Times New Roman" w:hAnsi="Times New Roman"/>
          <w:sz w:val="20"/>
          <w:szCs w:val="20"/>
        </w:rPr>
        <w:t>d</w:t>
      </w:r>
      <w:r>
        <w:rPr>
          <w:rFonts w:ascii="Times New Roman" w:hAnsi="Times New Roman"/>
          <w:sz w:val="20"/>
          <w:szCs w:val="20"/>
        </w:rPr>
        <w:t xml:space="preserve"> under this OMB control number is </w:t>
      </w:r>
      <w:r w:rsidRPr="009D09A8" w:rsidR="009D09A8">
        <w:rPr>
          <w:rFonts w:ascii="Times New Roman" w:hAnsi="Times New Roman"/>
          <w:sz w:val="20"/>
          <w:szCs w:val="20"/>
        </w:rPr>
        <w:t>301,663</w:t>
      </w:r>
      <w:r w:rsidR="009D09A8">
        <w:rPr>
          <w:rFonts w:ascii="Times New Roman" w:hAnsi="Times New Roman"/>
          <w:sz w:val="20"/>
          <w:szCs w:val="20"/>
        </w:rPr>
        <w:t xml:space="preserve"> </w:t>
      </w:r>
      <w:bookmarkStart w:id="1" w:name="_Hlk173851203"/>
      <w:r w:rsidR="009D09A8">
        <w:rPr>
          <w:rFonts w:ascii="Times New Roman" w:hAnsi="Times New Roman"/>
          <w:sz w:val="20"/>
          <w:szCs w:val="20"/>
        </w:rPr>
        <w:t>annual responses</w:t>
      </w:r>
      <w:bookmarkEnd w:id="1"/>
      <w:r w:rsidR="009D09A8">
        <w:rPr>
          <w:rFonts w:ascii="Times New Roman" w:hAnsi="Times New Roman"/>
          <w:sz w:val="20"/>
          <w:szCs w:val="20"/>
        </w:rPr>
        <w:t xml:space="preserve">, </w:t>
      </w:r>
      <w:r w:rsidRPr="00CB17C5" w:rsidR="00CB17C5">
        <w:rPr>
          <w:rFonts w:ascii="Times New Roman" w:hAnsi="Times New Roman"/>
          <w:sz w:val="20"/>
          <w:szCs w:val="20"/>
        </w:rPr>
        <w:t>1,835,888</w:t>
      </w:r>
      <w:r w:rsidR="00CB17C5">
        <w:rPr>
          <w:rFonts w:ascii="Times New Roman" w:hAnsi="Times New Roman"/>
          <w:sz w:val="20"/>
          <w:szCs w:val="20"/>
        </w:rPr>
        <w:t xml:space="preserve"> </w:t>
      </w:r>
      <w:bookmarkStart w:id="2" w:name="_Hlk173851250"/>
      <w:r w:rsidR="00CB17C5">
        <w:rPr>
          <w:rFonts w:ascii="Times New Roman" w:hAnsi="Times New Roman"/>
          <w:sz w:val="20"/>
          <w:szCs w:val="20"/>
        </w:rPr>
        <w:t xml:space="preserve">annual burden hours, and </w:t>
      </w:r>
      <w:bookmarkEnd w:id="2"/>
      <w:r w:rsidR="004237E3">
        <w:rPr>
          <w:rFonts w:ascii="Times New Roman" w:hAnsi="Times New Roman"/>
          <w:sz w:val="20"/>
          <w:szCs w:val="20"/>
        </w:rPr>
        <w:t>$</w:t>
      </w:r>
      <w:r w:rsidRPr="004237E3" w:rsidR="004237E3">
        <w:rPr>
          <w:rFonts w:ascii="Times New Roman" w:hAnsi="Times New Roman"/>
          <w:sz w:val="20"/>
          <w:szCs w:val="20"/>
        </w:rPr>
        <w:t>31,080,000</w:t>
      </w:r>
      <w:r w:rsidR="004237E3">
        <w:rPr>
          <w:rFonts w:ascii="Times New Roman" w:hAnsi="Times New Roman"/>
          <w:sz w:val="20"/>
          <w:szCs w:val="20"/>
        </w:rPr>
        <w:t xml:space="preserve"> in annual cost burden. </w:t>
      </w:r>
      <w:r w:rsidR="00371CA7">
        <w:rPr>
          <w:rFonts w:ascii="Times New Roman" w:hAnsi="Times New Roman"/>
          <w:sz w:val="20"/>
          <w:szCs w:val="20"/>
        </w:rPr>
        <w:t xml:space="preserve">There are no program changes to the information collections </w:t>
      </w:r>
      <w:r w:rsidR="00754646">
        <w:rPr>
          <w:rFonts w:ascii="Times New Roman" w:hAnsi="Times New Roman"/>
          <w:sz w:val="20"/>
          <w:szCs w:val="20"/>
        </w:rPr>
        <w:t>under</w:t>
      </w:r>
      <w:r w:rsidR="00371CA7">
        <w:rPr>
          <w:rFonts w:ascii="Times New Roman" w:hAnsi="Times New Roman"/>
          <w:sz w:val="20"/>
          <w:szCs w:val="20"/>
        </w:rPr>
        <w:t xml:space="preserve"> this OMB control number. The BLM is</w:t>
      </w:r>
      <w:r w:rsidR="00754646">
        <w:rPr>
          <w:rFonts w:ascii="Times New Roman" w:hAnsi="Times New Roman"/>
          <w:sz w:val="20"/>
          <w:szCs w:val="20"/>
        </w:rPr>
        <w:t xml:space="preserve">, however, adjusting the burden downward to </w:t>
      </w:r>
      <w:r w:rsidRPr="00754646" w:rsidR="00754646">
        <w:rPr>
          <w:rFonts w:ascii="Times New Roman" w:hAnsi="Times New Roman"/>
          <w:sz w:val="20"/>
          <w:szCs w:val="20"/>
        </w:rPr>
        <w:t>102,439</w:t>
      </w:r>
      <w:r w:rsidR="00754646">
        <w:rPr>
          <w:rFonts w:ascii="Times New Roman" w:hAnsi="Times New Roman"/>
          <w:sz w:val="20"/>
          <w:szCs w:val="20"/>
        </w:rPr>
        <w:t xml:space="preserve"> </w:t>
      </w:r>
      <w:r w:rsidRPr="00754646" w:rsidR="00754646">
        <w:rPr>
          <w:rFonts w:ascii="Times New Roman" w:hAnsi="Times New Roman"/>
          <w:sz w:val="20"/>
          <w:szCs w:val="20"/>
        </w:rPr>
        <w:t>annual responses</w:t>
      </w:r>
      <w:r w:rsidR="00754646">
        <w:rPr>
          <w:rFonts w:ascii="Times New Roman" w:hAnsi="Times New Roman"/>
          <w:sz w:val="20"/>
          <w:szCs w:val="20"/>
        </w:rPr>
        <w:t xml:space="preserve">, </w:t>
      </w:r>
      <w:r w:rsidR="0029343E">
        <w:rPr>
          <w:rFonts w:ascii="Times New Roman" w:hAnsi="Times New Roman"/>
          <w:sz w:val="20"/>
          <w:szCs w:val="20"/>
        </w:rPr>
        <w:t xml:space="preserve">increasing the </w:t>
      </w:r>
      <w:r w:rsidR="001A30F0">
        <w:rPr>
          <w:rFonts w:ascii="Times New Roman" w:hAnsi="Times New Roman"/>
          <w:sz w:val="20"/>
          <w:szCs w:val="20"/>
        </w:rPr>
        <w:t xml:space="preserve">annual burden hours to </w:t>
      </w:r>
      <w:r w:rsidRPr="00754646" w:rsidR="00754646">
        <w:rPr>
          <w:rFonts w:ascii="Times New Roman" w:hAnsi="Times New Roman"/>
          <w:sz w:val="20"/>
          <w:szCs w:val="20"/>
        </w:rPr>
        <w:t>2</w:t>
      </w:r>
      <w:r w:rsidR="001A30F0">
        <w:rPr>
          <w:rFonts w:ascii="Times New Roman" w:hAnsi="Times New Roman"/>
          <w:sz w:val="20"/>
          <w:szCs w:val="20"/>
        </w:rPr>
        <w:t>78,904</w:t>
      </w:r>
      <w:r w:rsidR="00754646">
        <w:rPr>
          <w:rFonts w:ascii="Times New Roman" w:hAnsi="Times New Roman"/>
          <w:sz w:val="20"/>
          <w:szCs w:val="20"/>
        </w:rPr>
        <w:t xml:space="preserve"> </w:t>
      </w:r>
      <w:r w:rsidRPr="00754646" w:rsidR="00754646">
        <w:rPr>
          <w:rFonts w:ascii="Times New Roman" w:hAnsi="Times New Roman"/>
          <w:sz w:val="20"/>
          <w:szCs w:val="20"/>
        </w:rPr>
        <w:t>annual burden hours, and</w:t>
      </w:r>
      <w:r w:rsidR="00FF3F9B">
        <w:rPr>
          <w:rFonts w:ascii="Times New Roman" w:hAnsi="Times New Roman"/>
          <w:sz w:val="20"/>
          <w:szCs w:val="20"/>
        </w:rPr>
        <w:t xml:space="preserve"> $0</w:t>
      </w:r>
      <w:r w:rsidR="00A14772">
        <w:rPr>
          <w:rFonts w:ascii="Times New Roman" w:hAnsi="Times New Roman"/>
          <w:sz w:val="20"/>
          <w:szCs w:val="20"/>
        </w:rPr>
        <w:t xml:space="preserve"> increased</w:t>
      </w:r>
      <w:r w:rsidR="00FF3F9B">
        <w:rPr>
          <w:rFonts w:ascii="Times New Roman" w:hAnsi="Times New Roman"/>
          <w:sz w:val="20"/>
          <w:szCs w:val="20"/>
        </w:rPr>
        <w:t xml:space="preserve"> annual cost burden. </w:t>
      </w:r>
      <w:r w:rsidR="00552C83">
        <w:rPr>
          <w:rFonts w:ascii="Times New Roman" w:hAnsi="Times New Roman"/>
          <w:sz w:val="20"/>
          <w:szCs w:val="20"/>
        </w:rPr>
        <w:t>The change in burden is a result of the follow:</w:t>
      </w:r>
    </w:p>
    <w:p w:rsidR="00552C83" w:rsidP="005C6DEE" w14:paraId="702E6AAE" w14:textId="77777777">
      <w:pPr>
        <w:tabs>
          <w:tab w:val="left" w:pos="360"/>
          <w:tab w:val="left" w:pos="630"/>
        </w:tabs>
        <w:rPr>
          <w:rFonts w:ascii="Times New Roman" w:hAnsi="Times New Roman"/>
          <w:sz w:val="20"/>
          <w:szCs w:val="20"/>
        </w:rPr>
      </w:pPr>
    </w:p>
    <w:p w:rsidR="00552C83" w:rsidRPr="00E63EBB" w:rsidP="00552C83" w14:paraId="3219292C" w14:textId="6C193B5C">
      <w:pPr>
        <w:pStyle w:val="ListParagraph"/>
        <w:numPr>
          <w:ilvl w:val="0"/>
          <w:numId w:val="31"/>
        </w:numPr>
        <w:tabs>
          <w:tab w:val="left" w:pos="360"/>
          <w:tab w:val="left" w:pos="630"/>
        </w:tabs>
        <w:rPr>
          <w:rFonts w:ascii="Times New Roman" w:hAnsi="Times New Roman"/>
          <w:sz w:val="20"/>
          <w:szCs w:val="20"/>
        </w:rPr>
      </w:pPr>
      <w:r w:rsidRPr="00E63EBB">
        <w:rPr>
          <w:rFonts w:ascii="Times New Roman" w:hAnsi="Times New Roman"/>
          <w:sz w:val="20"/>
          <w:szCs w:val="20"/>
        </w:rPr>
        <w:t xml:space="preserve">Moving </w:t>
      </w:r>
      <w:r w:rsidRPr="00E63EBB" w:rsidR="005B2972">
        <w:rPr>
          <w:rFonts w:ascii="Times New Roman" w:hAnsi="Times New Roman"/>
          <w:sz w:val="20"/>
          <w:szCs w:val="20"/>
        </w:rPr>
        <w:t>ICs to OMB# 1004-0220</w:t>
      </w:r>
      <w:r w:rsidRPr="00E63EBB" w:rsidR="00B35898">
        <w:rPr>
          <w:rFonts w:ascii="Times New Roman" w:hAnsi="Times New Roman"/>
          <w:sz w:val="20"/>
          <w:szCs w:val="20"/>
        </w:rPr>
        <w:t xml:space="preserve"> (See Ta</w:t>
      </w:r>
      <w:r w:rsidRPr="00E63EBB" w:rsidR="00C27556">
        <w:rPr>
          <w:rFonts w:ascii="Times New Roman" w:hAnsi="Times New Roman"/>
          <w:sz w:val="20"/>
          <w:szCs w:val="20"/>
        </w:rPr>
        <w:t>ble 15-1, below</w:t>
      </w:r>
      <w:r w:rsidRPr="00E63EBB" w:rsidR="00C27556">
        <w:rPr>
          <w:rFonts w:ascii="Times New Roman" w:hAnsi="Times New Roman"/>
          <w:sz w:val="20"/>
          <w:szCs w:val="20"/>
        </w:rPr>
        <w:t>)</w:t>
      </w:r>
      <w:r w:rsidRPr="00E63EBB" w:rsidR="005B2972">
        <w:rPr>
          <w:rFonts w:ascii="Times New Roman" w:hAnsi="Times New Roman"/>
          <w:sz w:val="20"/>
          <w:szCs w:val="20"/>
        </w:rPr>
        <w:t>;</w:t>
      </w:r>
    </w:p>
    <w:p w:rsidR="001D5148" w:rsidRPr="00E63EBB" w:rsidP="001D5148" w14:paraId="07A441D2" w14:textId="77777777">
      <w:pPr>
        <w:pStyle w:val="ListParagraph"/>
        <w:tabs>
          <w:tab w:val="left" w:pos="360"/>
          <w:tab w:val="left" w:pos="630"/>
        </w:tabs>
        <w:rPr>
          <w:rFonts w:ascii="Times New Roman" w:hAnsi="Times New Roman"/>
          <w:sz w:val="20"/>
          <w:szCs w:val="20"/>
        </w:rPr>
      </w:pPr>
    </w:p>
    <w:p w:rsidR="00AC6942" w:rsidP="00552C83" w14:paraId="50279F91" w14:textId="77777777">
      <w:pPr>
        <w:pStyle w:val="ListParagraph"/>
        <w:numPr>
          <w:ilvl w:val="0"/>
          <w:numId w:val="31"/>
        </w:numPr>
        <w:tabs>
          <w:tab w:val="left" w:pos="360"/>
          <w:tab w:val="left" w:pos="630"/>
        </w:tabs>
        <w:rPr>
          <w:rFonts w:ascii="Times New Roman" w:hAnsi="Times New Roman"/>
          <w:sz w:val="20"/>
          <w:szCs w:val="20"/>
        </w:rPr>
      </w:pPr>
      <w:r w:rsidRPr="00E63EBB">
        <w:rPr>
          <w:rFonts w:ascii="Times New Roman" w:hAnsi="Times New Roman"/>
          <w:sz w:val="20"/>
          <w:szCs w:val="20"/>
        </w:rPr>
        <w:t xml:space="preserve">Reducing the </w:t>
      </w:r>
      <w:r w:rsidRPr="00E63EBB" w:rsidR="0029557C">
        <w:rPr>
          <w:rFonts w:ascii="Times New Roman" w:hAnsi="Times New Roman"/>
          <w:sz w:val="20"/>
          <w:szCs w:val="20"/>
        </w:rPr>
        <w:t xml:space="preserve">estimated number of </w:t>
      </w:r>
      <w:r w:rsidRPr="00E63EBB" w:rsidR="0022138F">
        <w:rPr>
          <w:rFonts w:ascii="Times New Roman" w:hAnsi="Times New Roman"/>
          <w:sz w:val="20"/>
          <w:szCs w:val="20"/>
        </w:rPr>
        <w:t>respondents</w:t>
      </w:r>
      <w:r w:rsidRPr="00E63EBB" w:rsidR="0029557C">
        <w:rPr>
          <w:rFonts w:ascii="Times New Roman" w:hAnsi="Times New Roman"/>
          <w:sz w:val="20"/>
          <w:szCs w:val="20"/>
        </w:rPr>
        <w:t xml:space="preserve"> to 1 </w:t>
      </w:r>
      <w:r w:rsidRPr="00E63EBB">
        <w:rPr>
          <w:rFonts w:ascii="Times New Roman" w:hAnsi="Times New Roman"/>
          <w:sz w:val="20"/>
          <w:szCs w:val="20"/>
        </w:rPr>
        <w:t xml:space="preserve">for </w:t>
      </w:r>
      <w:r w:rsidRPr="00E63EBB" w:rsidR="00AE6449">
        <w:rPr>
          <w:rFonts w:ascii="Times New Roman" w:hAnsi="Times New Roman"/>
          <w:sz w:val="20"/>
          <w:szCs w:val="20"/>
        </w:rPr>
        <w:t xml:space="preserve">three </w:t>
      </w:r>
      <w:r w:rsidRPr="00E63EBB" w:rsidR="0029557C">
        <w:rPr>
          <w:rFonts w:ascii="Times New Roman" w:hAnsi="Times New Roman"/>
          <w:sz w:val="20"/>
          <w:szCs w:val="20"/>
        </w:rPr>
        <w:t>IC</w:t>
      </w:r>
      <w:r w:rsidRPr="00E63EBB" w:rsidR="0058379C">
        <w:rPr>
          <w:rFonts w:ascii="Times New Roman" w:hAnsi="Times New Roman"/>
          <w:sz w:val="20"/>
          <w:szCs w:val="20"/>
        </w:rPr>
        <w:t>s</w:t>
      </w:r>
      <w:r w:rsidRPr="00E63EBB" w:rsidR="0029557C">
        <w:rPr>
          <w:rFonts w:ascii="Times New Roman" w:hAnsi="Times New Roman"/>
          <w:sz w:val="20"/>
          <w:szCs w:val="20"/>
        </w:rPr>
        <w:t xml:space="preserve"> pertaining to FMPs </w:t>
      </w:r>
      <w:r w:rsidRPr="00E63EBB" w:rsidR="0022138F">
        <w:rPr>
          <w:rFonts w:ascii="Times New Roman" w:hAnsi="Times New Roman"/>
          <w:sz w:val="20"/>
          <w:szCs w:val="20"/>
        </w:rPr>
        <w:t xml:space="preserve">(See Table 12-2, </w:t>
      </w:r>
      <w:r w:rsidRPr="00E63EBB" w:rsidR="00BC7D9F">
        <w:rPr>
          <w:rFonts w:ascii="Times New Roman" w:hAnsi="Times New Roman"/>
          <w:sz w:val="20"/>
          <w:szCs w:val="20"/>
        </w:rPr>
        <w:t xml:space="preserve">above and Table </w:t>
      </w:r>
      <w:r w:rsidRPr="00E63EBB" w:rsidR="004A35EB">
        <w:rPr>
          <w:rFonts w:ascii="Times New Roman" w:hAnsi="Times New Roman"/>
          <w:sz w:val="20"/>
          <w:szCs w:val="20"/>
        </w:rPr>
        <w:t>15-2, below</w:t>
      </w:r>
      <w:r w:rsidRPr="00E63EBB" w:rsidR="0022138F">
        <w:rPr>
          <w:rFonts w:ascii="Times New Roman" w:hAnsi="Times New Roman"/>
          <w:sz w:val="20"/>
          <w:szCs w:val="20"/>
        </w:rPr>
        <w:t>);</w:t>
      </w:r>
    </w:p>
    <w:p w:rsidR="00AC6942" w:rsidP="00AC6942" w14:paraId="1B214F33" w14:textId="77777777">
      <w:pPr>
        <w:pStyle w:val="ListParagraph"/>
        <w:rPr>
          <w:rFonts w:ascii="Times New Roman" w:hAnsi="Times New Roman"/>
          <w:sz w:val="20"/>
          <w:szCs w:val="20"/>
        </w:rPr>
      </w:pPr>
    </w:p>
    <w:p w:rsidR="00887262" w:rsidP="00552C83" w14:paraId="74039A56" w14:textId="20A88DCC">
      <w:pPr>
        <w:pStyle w:val="ListParagraph"/>
        <w:numPr>
          <w:ilvl w:val="0"/>
          <w:numId w:val="31"/>
        </w:numPr>
        <w:tabs>
          <w:tab w:val="left" w:pos="360"/>
          <w:tab w:val="left" w:pos="630"/>
        </w:tabs>
        <w:rPr>
          <w:rFonts w:ascii="Times New Roman" w:hAnsi="Times New Roman"/>
          <w:sz w:val="20"/>
          <w:szCs w:val="20"/>
        </w:rPr>
      </w:pPr>
      <w:r>
        <w:rPr>
          <w:rFonts w:ascii="Times New Roman" w:hAnsi="Times New Roman"/>
          <w:sz w:val="20"/>
          <w:szCs w:val="20"/>
        </w:rPr>
        <w:t xml:space="preserve">Increasing the </w:t>
      </w:r>
      <w:r w:rsidR="00AB2428">
        <w:rPr>
          <w:rFonts w:ascii="Times New Roman" w:hAnsi="Times New Roman"/>
          <w:sz w:val="20"/>
          <w:szCs w:val="20"/>
        </w:rPr>
        <w:t>response time</w:t>
      </w:r>
      <w:r w:rsidR="00C33631">
        <w:rPr>
          <w:rFonts w:ascii="Times New Roman" w:hAnsi="Times New Roman"/>
          <w:sz w:val="20"/>
          <w:szCs w:val="20"/>
        </w:rPr>
        <w:t xml:space="preserve"> from 8 hours per response to 40 hours per response</w:t>
      </w:r>
      <w:r w:rsidR="00AB2428">
        <w:rPr>
          <w:rFonts w:ascii="Times New Roman" w:hAnsi="Times New Roman"/>
          <w:sz w:val="20"/>
          <w:szCs w:val="20"/>
        </w:rPr>
        <w:t xml:space="preserve"> to prepare a variance (§ </w:t>
      </w:r>
      <w:r w:rsidR="007978D1">
        <w:rPr>
          <w:rFonts w:ascii="Times New Roman" w:hAnsi="Times New Roman"/>
          <w:sz w:val="20"/>
          <w:szCs w:val="20"/>
        </w:rPr>
        <w:t xml:space="preserve">3170.6) </w:t>
      </w:r>
      <w:r w:rsidR="00AB202E">
        <w:rPr>
          <w:rFonts w:ascii="Times New Roman" w:hAnsi="Times New Roman"/>
          <w:sz w:val="20"/>
          <w:szCs w:val="20"/>
        </w:rPr>
        <w:t xml:space="preserve">(See Table </w:t>
      </w:r>
      <w:r w:rsidR="00FF0820">
        <w:rPr>
          <w:rFonts w:ascii="Times New Roman" w:hAnsi="Times New Roman"/>
          <w:sz w:val="20"/>
          <w:szCs w:val="20"/>
        </w:rPr>
        <w:t>12-2</w:t>
      </w:r>
      <w:r w:rsidR="002A26D4">
        <w:rPr>
          <w:rFonts w:ascii="Times New Roman" w:hAnsi="Times New Roman"/>
          <w:sz w:val="20"/>
          <w:szCs w:val="20"/>
        </w:rPr>
        <w:t>, above and Table 15-2, below</w:t>
      </w:r>
      <w:r w:rsidR="00FF0820">
        <w:rPr>
          <w:rFonts w:ascii="Times New Roman" w:hAnsi="Times New Roman"/>
          <w:sz w:val="20"/>
          <w:szCs w:val="20"/>
        </w:rPr>
        <w:t>)</w:t>
      </w:r>
      <w:r>
        <w:rPr>
          <w:rFonts w:ascii="Times New Roman" w:hAnsi="Times New Roman"/>
          <w:sz w:val="20"/>
          <w:szCs w:val="20"/>
        </w:rPr>
        <w:t>;</w:t>
      </w:r>
    </w:p>
    <w:p w:rsidR="00887262" w:rsidP="000345D1" w14:paraId="4944C9FB" w14:textId="77777777">
      <w:pPr>
        <w:pStyle w:val="ListParagraph"/>
        <w:rPr>
          <w:rFonts w:ascii="Times New Roman" w:hAnsi="Times New Roman"/>
          <w:sz w:val="20"/>
          <w:szCs w:val="20"/>
        </w:rPr>
      </w:pPr>
    </w:p>
    <w:p w:rsidR="005B2972" w:rsidRPr="00E63EBB" w:rsidP="000345D1" w14:paraId="4ED29DF8" w14:textId="0042BC29">
      <w:pPr>
        <w:pStyle w:val="ListParagraph"/>
        <w:numPr>
          <w:ilvl w:val="0"/>
          <w:numId w:val="31"/>
        </w:numPr>
        <w:tabs>
          <w:tab w:val="left" w:pos="360"/>
          <w:tab w:val="left" w:pos="630"/>
        </w:tabs>
        <w:ind w:left="630"/>
        <w:rPr>
          <w:rFonts w:ascii="Times New Roman" w:hAnsi="Times New Roman"/>
          <w:sz w:val="20"/>
          <w:szCs w:val="20"/>
        </w:rPr>
      </w:pPr>
      <w:r>
        <w:rPr>
          <w:rFonts w:ascii="Times New Roman" w:hAnsi="Times New Roman"/>
          <w:sz w:val="20"/>
          <w:szCs w:val="20"/>
        </w:rPr>
        <w:t>Increasing the response time from 8 hours per response to 10 hours per response to prepare a site facility</w:t>
      </w:r>
      <w:r w:rsidR="00297405">
        <w:rPr>
          <w:rFonts w:ascii="Times New Roman" w:hAnsi="Times New Roman"/>
          <w:sz w:val="20"/>
          <w:szCs w:val="20"/>
        </w:rPr>
        <w:t xml:space="preserve"> </w:t>
      </w:r>
      <w:r>
        <w:rPr>
          <w:rFonts w:ascii="Times New Roman" w:hAnsi="Times New Roman"/>
          <w:sz w:val="20"/>
          <w:szCs w:val="20"/>
        </w:rPr>
        <w:t>diagram (§ 317</w:t>
      </w:r>
      <w:r w:rsidR="00297405">
        <w:rPr>
          <w:rFonts w:ascii="Times New Roman" w:hAnsi="Times New Roman"/>
          <w:sz w:val="20"/>
          <w:szCs w:val="20"/>
        </w:rPr>
        <w:t xml:space="preserve">3.11) </w:t>
      </w:r>
      <w:r w:rsidR="00FF0820">
        <w:rPr>
          <w:rFonts w:ascii="Times New Roman" w:hAnsi="Times New Roman"/>
          <w:sz w:val="20"/>
          <w:szCs w:val="20"/>
        </w:rPr>
        <w:t>(See Table 12-2</w:t>
      </w:r>
      <w:r w:rsidR="002A26D4">
        <w:rPr>
          <w:rFonts w:ascii="Times New Roman" w:hAnsi="Times New Roman"/>
          <w:sz w:val="20"/>
          <w:szCs w:val="20"/>
        </w:rPr>
        <w:t xml:space="preserve"> above and Table 15-2, below</w:t>
      </w:r>
      <w:r w:rsidR="00FF0820">
        <w:rPr>
          <w:rFonts w:ascii="Times New Roman" w:hAnsi="Times New Roman"/>
          <w:sz w:val="20"/>
          <w:szCs w:val="20"/>
        </w:rPr>
        <w:t>)</w:t>
      </w:r>
      <w:r w:rsidR="000345D1">
        <w:rPr>
          <w:rFonts w:ascii="Times New Roman" w:hAnsi="Times New Roman"/>
          <w:sz w:val="20"/>
          <w:szCs w:val="20"/>
        </w:rPr>
        <w:t>;</w:t>
      </w:r>
      <w:r w:rsidRPr="00E63EBB" w:rsidR="007D4775">
        <w:rPr>
          <w:rFonts w:ascii="Times New Roman" w:hAnsi="Times New Roman"/>
          <w:sz w:val="20"/>
          <w:szCs w:val="20"/>
        </w:rPr>
        <w:t xml:space="preserve"> and </w:t>
      </w:r>
    </w:p>
    <w:p w:rsidR="001D5148" w:rsidRPr="00E63EBB" w:rsidP="001D5148" w14:paraId="4BFED3B4" w14:textId="77777777">
      <w:pPr>
        <w:pStyle w:val="ListParagraph"/>
        <w:tabs>
          <w:tab w:val="left" w:pos="360"/>
          <w:tab w:val="left" w:pos="630"/>
        </w:tabs>
        <w:ind w:left="0"/>
        <w:rPr>
          <w:rFonts w:ascii="Times New Roman" w:hAnsi="Times New Roman"/>
          <w:sz w:val="20"/>
          <w:szCs w:val="20"/>
        </w:rPr>
      </w:pPr>
    </w:p>
    <w:p w:rsidR="0022138F" w:rsidRPr="00E63EBB" w:rsidP="00552C83" w14:paraId="5C98C4F9" w14:textId="3175F02C">
      <w:pPr>
        <w:pStyle w:val="ListParagraph"/>
        <w:numPr>
          <w:ilvl w:val="0"/>
          <w:numId w:val="31"/>
        </w:numPr>
        <w:tabs>
          <w:tab w:val="left" w:pos="360"/>
          <w:tab w:val="left" w:pos="630"/>
        </w:tabs>
        <w:rPr>
          <w:rFonts w:ascii="Times New Roman" w:hAnsi="Times New Roman"/>
          <w:sz w:val="20"/>
          <w:szCs w:val="20"/>
        </w:rPr>
      </w:pPr>
      <w:r w:rsidRPr="00E63EBB">
        <w:rPr>
          <w:rFonts w:ascii="Times New Roman" w:hAnsi="Times New Roman"/>
          <w:sz w:val="20"/>
          <w:szCs w:val="20"/>
        </w:rPr>
        <w:t xml:space="preserve">More </w:t>
      </w:r>
      <w:r w:rsidRPr="00E63EBB" w:rsidR="00D31B11">
        <w:rPr>
          <w:rFonts w:ascii="Times New Roman" w:hAnsi="Times New Roman"/>
          <w:sz w:val="20"/>
          <w:szCs w:val="20"/>
        </w:rPr>
        <w:t>clearly</w:t>
      </w:r>
      <w:r w:rsidRPr="00E63EBB">
        <w:rPr>
          <w:rFonts w:ascii="Times New Roman" w:hAnsi="Times New Roman"/>
          <w:sz w:val="20"/>
          <w:szCs w:val="20"/>
        </w:rPr>
        <w:t xml:space="preserve"> documenting the burden for </w:t>
      </w:r>
      <w:r w:rsidRPr="00E63EBB" w:rsidR="00AE6449">
        <w:rPr>
          <w:rFonts w:ascii="Times New Roman" w:hAnsi="Times New Roman"/>
          <w:sz w:val="20"/>
          <w:szCs w:val="20"/>
        </w:rPr>
        <w:t>three</w:t>
      </w:r>
      <w:r w:rsidRPr="00E63EBB">
        <w:rPr>
          <w:rFonts w:ascii="Times New Roman" w:hAnsi="Times New Roman"/>
          <w:sz w:val="20"/>
          <w:szCs w:val="20"/>
        </w:rPr>
        <w:t xml:space="preserve"> ICs </w:t>
      </w:r>
      <w:r w:rsidRPr="00E63EBB" w:rsidR="00D31B11">
        <w:rPr>
          <w:rFonts w:ascii="Times New Roman" w:hAnsi="Times New Roman"/>
          <w:sz w:val="20"/>
          <w:szCs w:val="20"/>
        </w:rPr>
        <w:t>(</w:t>
      </w:r>
      <w:r w:rsidRPr="00E63EBB" w:rsidR="00420C5A">
        <w:rPr>
          <w:rFonts w:ascii="Times New Roman" w:hAnsi="Times New Roman"/>
          <w:sz w:val="20"/>
          <w:szCs w:val="20"/>
        </w:rPr>
        <w:t>See Table 1</w:t>
      </w:r>
      <w:r w:rsidRPr="00E63EBB" w:rsidR="004A35EB">
        <w:rPr>
          <w:rFonts w:ascii="Times New Roman" w:hAnsi="Times New Roman"/>
          <w:sz w:val="20"/>
          <w:szCs w:val="20"/>
        </w:rPr>
        <w:t>5</w:t>
      </w:r>
      <w:r w:rsidRPr="00E63EBB" w:rsidR="00420C5A">
        <w:rPr>
          <w:rFonts w:ascii="Times New Roman" w:hAnsi="Times New Roman"/>
          <w:sz w:val="20"/>
          <w:szCs w:val="20"/>
        </w:rPr>
        <w:t>-2 and below</w:t>
      </w:r>
      <w:r w:rsidRPr="00E63EBB" w:rsidR="00D31B11">
        <w:rPr>
          <w:rFonts w:ascii="Times New Roman" w:hAnsi="Times New Roman"/>
          <w:sz w:val="20"/>
          <w:szCs w:val="20"/>
        </w:rPr>
        <w:t>)</w:t>
      </w:r>
      <w:r w:rsidRPr="00E63EBB" w:rsidR="0058379C">
        <w:rPr>
          <w:rFonts w:ascii="Times New Roman" w:hAnsi="Times New Roman"/>
          <w:sz w:val="20"/>
          <w:szCs w:val="20"/>
        </w:rPr>
        <w:t>.</w:t>
      </w:r>
    </w:p>
    <w:p w:rsidR="001D5148" w:rsidRPr="00E63EBB" w:rsidP="001D5148" w14:paraId="2F4CE991" w14:textId="77777777">
      <w:pPr>
        <w:pStyle w:val="ListParagraph"/>
        <w:tabs>
          <w:tab w:val="left" w:pos="360"/>
          <w:tab w:val="left" w:pos="630"/>
        </w:tabs>
        <w:ind w:left="0"/>
        <w:rPr>
          <w:rFonts w:ascii="Times New Roman" w:hAnsi="Times New Roman"/>
          <w:sz w:val="20"/>
          <w:szCs w:val="20"/>
        </w:rPr>
      </w:pPr>
    </w:p>
    <w:p w:rsidR="00420C5A" w:rsidRPr="00E63EBB" w:rsidP="00420C5A" w14:paraId="4EC9F751" w14:textId="3081DFE0">
      <w:pPr>
        <w:pStyle w:val="ListParagraph"/>
        <w:numPr>
          <w:ilvl w:val="1"/>
          <w:numId w:val="31"/>
        </w:numPr>
        <w:tabs>
          <w:tab w:val="left" w:pos="360"/>
          <w:tab w:val="left" w:pos="630"/>
        </w:tabs>
        <w:rPr>
          <w:rFonts w:ascii="Times New Roman" w:hAnsi="Times New Roman"/>
          <w:sz w:val="20"/>
          <w:szCs w:val="20"/>
        </w:rPr>
      </w:pPr>
      <w:r w:rsidRPr="00E63EBB">
        <w:rPr>
          <w:rFonts w:ascii="Times New Roman" w:hAnsi="Times New Roman"/>
          <w:sz w:val="20"/>
          <w:szCs w:val="20"/>
        </w:rPr>
        <w:t>The burden associated with rec</w:t>
      </w:r>
      <w:r w:rsidRPr="00E63EBB" w:rsidR="0085564F">
        <w:rPr>
          <w:rFonts w:ascii="Times New Roman" w:hAnsi="Times New Roman"/>
          <w:sz w:val="20"/>
          <w:szCs w:val="20"/>
        </w:rPr>
        <w:t xml:space="preserve">ordkeeping and reporting </w:t>
      </w:r>
      <w:r w:rsidRPr="00E63EBB" w:rsidR="001876C9">
        <w:rPr>
          <w:rFonts w:ascii="Times New Roman" w:hAnsi="Times New Roman"/>
          <w:sz w:val="20"/>
          <w:szCs w:val="20"/>
        </w:rPr>
        <w:t>theft,</w:t>
      </w:r>
      <w:r w:rsidRPr="00E63EBB" w:rsidR="0085564F">
        <w:rPr>
          <w:rFonts w:ascii="Times New Roman" w:hAnsi="Times New Roman"/>
          <w:sz w:val="20"/>
          <w:szCs w:val="20"/>
        </w:rPr>
        <w:t xml:space="preserve"> or mishandling was previously considered included with </w:t>
      </w:r>
      <w:r w:rsidRPr="00E63EBB" w:rsidR="00833F9D">
        <w:rPr>
          <w:rFonts w:ascii="Times New Roman" w:hAnsi="Times New Roman"/>
          <w:sz w:val="20"/>
          <w:szCs w:val="20"/>
        </w:rPr>
        <w:t xml:space="preserve">the burden for other ICs; however, to </w:t>
      </w:r>
      <w:r w:rsidR="00F620D3">
        <w:rPr>
          <w:rFonts w:ascii="Times New Roman" w:hAnsi="Times New Roman"/>
          <w:sz w:val="20"/>
          <w:szCs w:val="20"/>
        </w:rPr>
        <w:t>be more specific</w:t>
      </w:r>
      <w:r w:rsidR="0085111C">
        <w:rPr>
          <w:rFonts w:ascii="Times New Roman" w:hAnsi="Times New Roman"/>
          <w:sz w:val="20"/>
          <w:szCs w:val="20"/>
        </w:rPr>
        <w:t xml:space="preserve"> for</w:t>
      </w:r>
      <w:r w:rsidRPr="00E63EBB" w:rsidR="00833F9D">
        <w:rPr>
          <w:rFonts w:ascii="Times New Roman" w:hAnsi="Times New Roman"/>
          <w:sz w:val="20"/>
          <w:szCs w:val="20"/>
        </w:rPr>
        <w:t xml:space="preserve"> the burden impacts of </w:t>
      </w:r>
      <w:r w:rsidRPr="00E63EBB" w:rsidR="001876C9">
        <w:rPr>
          <w:rFonts w:ascii="Times New Roman" w:hAnsi="Times New Roman"/>
          <w:sz w:val="20"/>
          <w:szCs w:val="20"/>
        </w:rPr>
        <w:t>these</w:t>
      </w:r>
      <w:r w:rsidRPr="00E63EBB" w:rsidR="00833F9D">
        <w:rPr>
          <w:rFonts w:ascii="Times New Roman" w:hAnsi="Times New Roman"/>
          <w:sz w:val="20"/>
          <w:szCs w:val="20"/>
        </w:rPr>
        <w:t xml:space="preserve"> ICs, we </w:t>
      </w:r>
      <w:r w:rsidRPr="00E63EBB" w:rsidR="001876C9">
        <w:rPr>
          <w:rFonts w:ascii="Times New Roman" w:hAnsi="Times New Roman"/>
          <w:sz w:val="20"/>
          <w:szCs w:val="20"/>
        </w:rPr>
        <w:t>made them separate ICs.</w:t>
      </w:r>
    </w:p>
    <w:p w:rsidR="001D5148" w:rsidRPr="00E63EBB" w:rsidP="001D5148" w14:paraId="6CE9D85E" w14:textId="77777777">
      <w:pPr>
        <w:pStyle w:val="ListParagraph"/>
        <w:tabs>
          <w:tab w:val="left" w:pos="360"/>
          <w:tab w:val="left" w:pos="630"/>
        </w:tabs>
        <w:ind w:left="1440"/>
        <w:rPr>
          <w:rFonts w:ascii="Times New Roman" w:hAnsi="Times New Roman"/>
          <w:sz w:val="20"/>
          <w:szCs w:val="20"/>
        </w:rPr>
      </w:pPr>
    </w:p>
    <w:p w:rsidR="001876C9" w:rsidRPr="00E63EBB" w:rsidP="00420C5A" w14:paraId="766C1A86" w14:textId="2EE5B8B2">
      <w:pPr>
        <w:pStyle w:val="ListParagraph"/>
        <w:numPr>
          <w:ilvl w:val="1"/>
          <w:numId w:val="31"/>
        </w:numPr>
        <w:tabs>
          <w:tab w:val="left" w:pos="360"/>
          <w:tab w:val="left" w:pos="630"/>
        </w:tabs>
        <w:rPr>
          <w:rFonts w:ascii="Times New Roman" w:hAnsi="Times New Roman"/>
          <w:sz w:val="20"/>
          <w:szCs w:val="20"/>
        </w:rPr>
      </w:pPr>
      <w:r w:rsidRPr="00E63EBB">
        <w:rPr>
          <w:rFonts w:ascii="Times New Roman" w:hAnsi="Times New Roman"/>
          <w:sz w:val="20"/>
          <w:szCs w:val="20"/>
        </w:rPr>
        <w:t xml:space="preserve">The burden for response to notice of insufficient off-lease measurement approval </w:t>
      </w:r>
      <w:r w:rsidRPr="00E63EBB" w:rsidR="00A47C37">
        <w:rPr>
          <w:rFonts w:ascii="Times New Roman" w:hAnsi="Times New Roman"/>
          <w:sz w:val="20"/>
          <w:szCs w:val="20"/>
        </w:rPr>
        <w:t>was</w:t>
      </w:r>
      <w:r w:rsidRPr="00E63EBB">
        <w:rPr>
          <w:rFonts w:ascii="Times New Roman" w:hAnsi="Times New Roman"/>
          <w:sz w:val="20"/>
          <w:szCs w:val="20"/>
        </w:rPr>
        <w:t xml:space="preserve"> reduced</w:t>
      </w:r>
      <w:r w:rsidRPr="00E63EBB" w:rsidR="00A47C37">
        <w:rPr>
          <w:rFonts w:ascii="Times New Roman" w:hAnsi="Times New Roman"/>
          <w:sz w:val="20"/>
          <w:szCs w:val="20"/>
        </w:rPr>
        <w:t xml:space="preserve"> as program records indicate that the BLM received no more than one response per year</w:t>
      </w:r>
      <w:r w:rsidRPr="00E63EBB" w:rsidR="00A35BB5">
        <w:rPr>
          <w:rFonts w:ascii="Times New Roman" w:hAnsi="Times New Roman"/>
          <w:sz w:val="20"/>
          <w:szCs w:val="20"/>
        </w:rPr>
        <w:t xml:space="preserve"> to this requirement.</w:t>
      </w:r>
    </w:p>
    <w:p w:rsidR="0058379C" w:rsidP="0058379C" w14:paraId="63094207" w14:textId="77777777">
      <w:pPr>
        <w:tabs>
          <w:tab w:val="left" w:pos="360"/>
          <w:tab w:val="left" w:pos="630"/>
        </w:tabs>
        <w:rPr>
          <w:rFonts w:ascii="Times New Roman" w:hAnsi="Times New Roman"/>
          <w:sz w:val="20"/>
          <w:szCs w:val="20"/>
        </w:rPr>
      </w:pPr>
    </w:p>
    <w:p w:rsidR="0058379C" w:rsidRPr="00131FA4" w:rsidP="0058379C" w14:paraId="4B8E3FE0" w14:textId="25C3331D">
      <w:pPr>
        <w:tabs>
          <w:tab w:val="left" w:pos="360"/>
          <w:tab w:val="left" w:pos="630"/>
        </w:tabs>
        <w:rPr>
          <w:rFonts w:ascii="Times New Roman" w:hAnsi="Times New Roman"/>
          <w:b/>
          <w:bCs/>
          <w:sz w:val="20"/>
          <w:szCs w:val="20"/>
        </w:rPr>
      </w:pPr>
      <w:r w:rsidRPr="00131FA4">
        <w:rPr>
          <w:rFonts w:ascii="Times New Roman" w:hAnsi="Times New Roman"/>
          <w:b/>
          <w:bCs/>
          <w:sz w:val="20"/>
          <w:szCs w:val="20"/>
        </w:rPr>
        <w:t xml:space="preserve">Table 15-1: ICs Moved to </w:t>
      </w:r>
      <w:r w:rsidR="00A35BB5">
        <w:rPr>
          <w:rFonts w:ascii="Times New Roman" w:hAnsi="Times New Roman"/>
          <w:b/>
          <w:bCs/>
          <w:sz w:val="20"/>
          <w:szCs w:val="20"/>
        </w:rPr>
        <w:t xml:space="preserve">OMB Control Number </w:t>
      </w:r>
      <w:r w:rsidRPr="00131FA4">
        <w:rPr>
          <w:rFonts w:ascii="Times New Roman" w:hAnsi="Times New Roman"/>
          <w:b/>
          <w:bCs/>
          <w:sz w:val="20"/>
          <w:szCs w:val="20"/>
        </w:rPr>
        <w:t>1004-0220</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6643"/>
        <w:gridCol w:w="1430"/>
        <w:gridCol w:w="1162"/>
      </w:tblGrid>
      <w:tr w14:paraId="064C4A9E" w14:textId="77777777" w:rsidTr="00131FA4">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6750" w:type="dxa"/>
            <w:shd w:val="clear" w:color="auto" w:fill="D9D9D9"/>
            <w:vAlign w:val="center"/>
          </w:tcPr>
          <w:p w:rsidR="00131FA4" w:rsidRPr="00131FA4" w:rsidP="00605564" w14:paraId="002EEB18" w14:textId="77777777">
            <w:pPr>
              <w:tabs>
                <w:tab w:val="left" w:pos="360"/>
                <w:tab w:val="left" w:pos="630"/>
                <w:tab w:val="left" w:pos="720"/>
                <w:tab w:val="left" w:pos="1080"/>
              </w:tabs>
              <w:jc w:val="center"/>
              <w:rPr>
                <w:rFonts w:ascii="Times New Roman" w:hAnsi="Times New Roman"/>
                <w:b/>
                <w:sz w:val="16"/>
                <w:szCs w:val="16"/>
              </w:rPr>
            </w:pPr>
            <w:r w:rsidRPr="00131FA4">
              <w:rPr>
                <w:rFonts w:ascii="Times New Roman" w:hAnsi="Times New Roman"/>
                <w:b/>
                <w:sz w:val="16"/>
                <w:szCs w:val="16"/>
              </w:rPr>
              <w:t>Collection of Information</w:t>
            </w:r>
          </w:p>
        </w:tc>
        <w:tc>
          <w:tcPr>
            <w:tcW w:w="1440" w:type="dxa"/>
            <w:shd w:val="clear" w:color="auto" w:fill="D9D9D9"/>
            <w:vAlign w:val="center"/>
          </w:tcPr>
          <w:p w:rsidR="00131FA4" w:rsidRPr="00131FA4" w:rsidP="00605564" w14:paraId="22FDA966" w14:textId="77777777">
            <w:pPr>
              <w:tabs>
                <w:tab w:val="left" w:pos="360"/>
                <w:tab w:val="left" w:pos="630"/>
                <w:tab w:val="left" w:pos="720"/>
                <w:tab w:val="left" w:pos="1080"/>
              </w:tabs>
              <w:jc w:val="center"/>
              <w:rPr>
                <w:rFonts w:ascii="Times New Roman" w:hAnsi="Times New Roman"/>
                <w:b/>
                <w:sz w:val="16"/>
                <w:szCs w:val="16"/>
              </w:rPr>
            </w:pPr>
            <w:r w:rsidRPr="00131FA4">
              <w:rPr>
                <w:rFonts w:ascii="Times New Roman" w:hAnsi="Times New Roman"/>
                <w:b/>
                <w:sz w:val="16"/>
                <w:szCs w:val="16"/>
              </w:rPr>
              <w:t>Number of Responses</w:t>
            </w:r>
          </w:p>
        </w:tc>
        <w:tc>
          <w:tcPr>
            <w:tcW w:w="1170" w:type="dxa"/>
            <w:shd w:val="clear" w:color="auto" w:fill="D9D9D9"/>
            <w:vAlign w:val="center"/>
          </w:tcPr>
          <w:p w:rsidR="00131FA4" w:rsidRPr="00131FA4" w:rsidP="00605564" w14:paraId="74180224" w14:textId="77777777">
            <w:pPr>
              <w:tabs>
                <w:tab w:val="left" w:pos="360"/>
                <w:tab w:val="left" w:pos="630"/>
                <w:tab w:val="left" w:pos="720"/>
                <w:tab w:val="left" w:pos="1080"/>
              </w:tabs>
              <w:jc w:val="center"/>
              <w:rPr>
                <w:rFonts w:ascii="Times New Roman" w:hAnsi="Times New Roman"/>
                <w:b/>
                <w:sz w:val="16"/>
                <w:szCs w:val="16"/>
              </w:rPr>
            </w:pPr>
            <w:r w:rsidRPr="00131FA4">
              <w:rPr>
                <w:rFonts w:ascii="Times New Roman" w:hAnsi="Times New Roman"/>
                <w:b/>
                <w:sz w:val="16"/>
                <w:szCs w:val="16"/>
              </w:rPr>
              <w:t>Annual Burden Hours</w:t>
            </w:r>
          </w:p>
          <w:p w:rsidR="00131FA4" w:rsidRPr="00131FA4" w:rsidP="00605564" w14:paraId="581705F4" w14:textId="77777777">
            <w:pPr>
              <w:tabs>
                <w:tab w:val="left" w:pos="360"/>
                <w:tab w:val="left" w:pos="630"/>
                <w:tab w:val="left" w:pos="720"/>
                <w:tab w:val="left" w:pos="1080"/>
              </w:tabs>
              <w:jc w:val="center"/>
              <w:rPr>
                <w:rFonts w:ascii="Times New Roman" w:hAnsi="Times New Roman"/>
                <w:b/>
                <w:sz w:val="16"/>
                <w:szCs w:val="16"/>
              </w:rPr>
            </w:pPr>
          </w:p>
        </w:tc>
      </w:tr>
      <w:tr w14:paraId="76E824F9"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37D7553C"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Application for Permit to Drill or Re-enter -- 43 CFR 3162.3-1(a) through (i), 3164.1, 3172.3-1, and Section III.A. of Onshore Order 1 (Form 3160-3 and Related Information)</w:t>
            </w:r>
          </w:p>
        </w:tc>
        <w:tc>
          <w:tcPr>
            <w:tcW w:w="1440" w:type="dxa"/>
            <w:vAlign w:val="center"/>
          </w:tcPr>
          <w:p w:rsidR="00131FA4" w:rsidRPr="00131FA4" w:rsidP="00605564" w14:paraId="5AED9D5C"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3,000</w:t>
            </w:r>
          </w:p>
        </w:tc>
        <w:tc>
          <w:tcPr>
            <w:tcW w:w="1170" w:type="dxa"/>
            <w:vAlign w:val="center"/>
          </w:tcPr>
          <w:p w:rsidR="00131FA4" w:rsidRPr="00131FA4" w:rsidP="00605564" w14:paraId="60494BA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6"/>
                <w:szCs w:val="16"/>
              </w:rPr>
            </w:pPr>
            <w:r w:rsidRPr="00131FA4">
              <w:rPr>
                <w:rFonts w:ascii="Times New Roman" w:hAnsi="Times New Roman"/>
                <w:sz w:val="16"/>
                <w:szCs w:val="16"/>
              </w:rPr>
              <w:t>24,000</w:t>
            </w:r>
          </w:p>
        </w:tc>
      </w:tr>
      <w:tr w14:paraId="782D7596"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42DF6675"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 xml:space="preserve">Subsequent Well Operations (formerly labeled “Sundry Notices and Reports on Wells”) -- 43 CFR 3162.3-2 </w:t>
            </w:r>
          </w:p>
          <w:p w:rsidR="00131FA4" w:rsidRPr="00131FA4" w:rsidP="00605564" w14:paraId="0F6A760A"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(Form 3160-5)</w:t>
            </w:r>
          </w:p>
        </w:tc>
        <w:tc>
          <w:tcPr>
            <w:tcW w:w="1440" w:type="dxa"/>
            <w:vAlign w:val="center"/>
          </w:tcPr>
          <w:p w:rsidR="00131FA4" w:rsidRPr="00131FA4" w:rsidP="00605564" w14:paraId="023F27D1"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15,100</w:t>
            </w:r>
          </w:p>
        </w:tc>
        <w:tc>
          <w:tcPr>
            <w:tcW w:w="1170" w:type="dxa"/>
            <w:vAlign w:val="center"/>
          </w:tcPr>
          <w:p w:rsidR="00131FA4" w:rsidRPr="00131FA4" w:rsidP="00605564" w14:paraId="7E35FCBA"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120,800</w:t>
            </w:r>
          </w:p>
        </w:tc>
      </w:tr>
      <w:tr w14:paraId="2179B72A"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0304EBD0"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Plan for Well Abandonment -- 43 CFR 3162.3-4</w:t>
            </w:r>
          </w:p>
        </w:tc>
        <w:tc>
          <w:tcPr>
            <w:tcW w:w="1440" w:type="dxa"/>
            <w:vAlign w:val="center"/>
          </w:tcPr>
          <w:p w:rsidR="00131FA4" w:rsidRPr="00131FA4" w:rsidP="00605564" w14:paraId="6ED748D3"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1,500</w:t>
            </w:r>
          </w:p>
        </w:tc>
        <w:tc>
          <w:tcPr>
            <w:tcW w:w="1170" w:type="dxa"/>
            <w:vAlign w:val="center"/>
          </w:tcPr>
          <w:p w:rsidR="00131FA4" w:rsidRPr="00131FA4" w:rsidP="00605564" w14:paraId="48B34C0F"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12,000</w:t>
            </w:r>
          </w:p>
        </w:tc>
      </w:tr>
      <w:tr w14:paraId="50768B0B"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55748652"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Well Completion or Recompletion Report and Log -- 43 CFR 3162.4-1(a), (b), (d), and (e) (Form 3160-4 and Related Information)</w:t>
            </w:r>
          </w:p>
        </w:tc>
        <w:tc>
          <w:tcPr>
            <w:tcW w:w="1440" w:type="dxa"/>
            <w:vAlign w:val="center"/>
          </w:tcPr>
          <w:p w:rsidR="00131FA4" w:rsidRPr="00131FA4" w:rsidP="00605564" w14:paraId="7251DD3D"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5,000</w:t>
            </w:r>
          </w:p>
        </w:tc>
        <w:tc>
          <w:tcPr>
            <w:tcW w:w="1170" w:type="dxa"/>
            <w:vAlign w:val="center"/>
          </w:tcPr>
          <w:p w:rsidR="00131FA4" w:rsidRPr="00131FA4" w:rsidP="00605564" w14:paraId="50971E69" w14:textId="77777777">
            <w:pPr>
              <w:jc w:val="right"/>
              <w:rPr>
                <w:rFonts w:ascii="Times New Roman" w:hAnsi="Times New Roman"/>
                <w:sz w:val="16"/>
                <w:szCs w:val="16"/>
              </w:rPr>
            </w:pPr>
            <w:r w:rsidRPr="00131FA4">
              <w:rPr>
                <w:rFonts w:ascii="Times New Roman" w:hAnsi="Times New Roman"/>
                <w:sz w:val="16"/>
                <w:szCs w:val="16"/>
              </w:rPr>
              <w:t>20,000</w:t>
            </w:r>
          </w:p>
        </w:tc>
      </w:tr>
      <w:tr w14:paraId="543C0926"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6EC10A3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6"/>
                <w:szCs w:val="16"/>
              </w:rPr>
            </w:pPr>
            <w:r w:rsidRPr="00131FA4">
              <w:rPr>
                <w:rFonts w:ascii="Times New Roman" w:hAnsi="Times New Roman"/>
                <w:sz w:val="16"/>
                <w:szCs w:val="16"/>
              </w:rPr>
              <w:t>Notification of Production Start or Resumption -- 43 CFR 3162.4-1(c) (Form 3160-5)</w:t>
            </w:r>
          </w:p>
        </w:tc>
        <w:tc>
          <w:tcPr>
            <w:tcW w:w="1440" w:type="dxa"/>
            <w:vAlign w:val="center"/>
          </w:tcPr>
          <w:p w:rsidR="00131FA4" w:rsidRPr="00131FA4" w:rsidP="00605564" w14:paraId="7EB215C1"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1,000</w:t>
            </w:r>
          </w:p>
        </w:tc>
        <w:tc>
          <w:tcPr>
            <w:tcW w:w="1170" w:type="dxa"/>
            <w:vAlign w:val="center"/>
          </w:tcPr>
          <w:p w:rsidR="00131FA4" w:rsidRPr="00131FA4" w:rsidP="00605564" w14:paraId="4EC0C46B" w14:textId="77777777">
            <w:pPr>
              <w:jc w:val="right"/>
              <w:rPr>
                <w:rFonts w:ascii="Times New Roman" w:hAnsi="Times New Roman"/>
                <w:sz w:val="16"/>
                <w:szCs w:val="16"/>
              </w:rPr>
            </w:pPr>
            <w:r w:rsidRPr="00131FA4">
              <w:rPr>
                <w:rFonts w:ascii="Times New Roman" w:hAnsi="Times New Roman"/>
                <w:sz w:val="16"/>
                <w:szCs w:val="16"/>
              </w:rPr>
              <w:t>8,000</w:t>
            </w:r>
          </w:p>
        </w:tc>
      </w:tr>
      <w:tr w14:paraId="6F11556E"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1E37CD33"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Samples, Tests, and Surveys (formerly labeled “Drilling Tests, Logs, and Surveys”) -- 43 CFR 3162.4-2</w:t>
            </w:r>
          </w:p>
        </w:tc>
        <w:tc>
          <w:tcPr>
            <w:tcW w:w="1440" w:type="dxa"/>
            <w:vAlign w:val="center"/>
          </w:tcPr>
          <w:p w:rsidR="00131FA4" w:rsidRPr="00131FA4" w:rsidP="00605564" w14:paraId="5DC7E190"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110</w:t>
            </w:r>
          </w:p>
        </w:tc>
        <w:tc>
          <w:tcPr>
            <w:tcW w:w="1170" w:type="dxa"/>
            <w:vAlign w:val="center"/>
          </w:tcPr>
          <w:p w:rsidR="00131FA4" w:rsidRPr="00131FA4" w:rsidP="00605564" w14:paraId="248DCD7F"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880</w:t>
            </w:r>
          </w:p>
        </w:tc>
      </w:tr>
      <w:tr w14:paraId="51996F5F"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07074411"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Disposal of Produced Water -- 43 CFR 3162.5-1(b), 3164.1, and Onshore Oil and Gas Order No. 7</w:t>
            </w:r>
          </w:p>
        </w:tc>
        <w:tc>
          <w:tcPr>
            <w:tcW w:w="1440" w:type="dxa"/>
            <w:vAlign w:val="center"/>
          </w:tcPr>
          <w:p w:rsidR="00131FA4" w:rsidRPr="00131FA4" w:rsidP="00605564" w14:paraId="3CCAF141"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1,500</w:t>
            </w:r>
          </w:p>
        </w:tc>
        <w:tc>
          <w:tcPr>
            <w:tcW w:w="1170" w:type="dxa"/>
            <w:vAlign w:val="center"/>
          </w:tcPr>
          <w:p w:rsidR="00131FA4" w:rsidRPr="00131FA4" w:rsidP="00605564" w14:paraId="2ADBE97F"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12,000</w:t>
            </w:r>
          </w:p>
        </w:tc>
      </w:tr>
      <w:tr w14:paraId="46D5E601"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06527F3C"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 xml:space="preserve">Report of Spills, Discharges, or Other Undesirable Events -- </w:t>
            </w:r>
          </w:p>
          <w:p w:rsidR="00131FA4" w:rsidRPr="00131FA4" w:rsidP="00605564" w14:paraId="25E7CD9B"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43 CFR 3162.5-1(c)</w:t>
            </w:r>
          </w:p>
        </w:tc>
        <w:tc>
          <w:tcPr>
            <w:tcW w:w="1440" w:type="dxa"/>
            <w:vAlign w:val="center"/>
          </w:tcPr>
          <w:p w:rsidR="00131FA4" w:rsidRPr="00131FA4" w:rsidP="00605564" w14:paraId="48C77E9C"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215</w:t>
            </w:r>
          </w:p>
        </w:tc>
        <w:tc>
          <w:tcPr>
            <w:tcW w:w="1170" w:type="dxa"/>
            <w:vAlign w:val="center"/>
          </w:tcPr>
          <w:p w:rsidR="00131FA4" w:rsidRPr="00131FA4" w:rsidP="00605564" w14:paraId="49B52EEC"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1,720</w:t>
            </w:r>
          </w:p>
        </w:tc>
      </w:tr>
      <w:tr w14:paraId="48728B8C"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16E59F24"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Contingency Plan -- 43 CFR 3162.5-1(d)</w:t>
            </w:r>
          </w:p>
        </w:tc>
        <w:tc>
          <w:tcPr>
            <w:tcW w:w="1440" w:type="dxa"/>
            <w:vAlign w:val="center"/>
          </w:tcPr>
          <w:p w:rsidR="00131FA4" w:rsidRPr="00131FA4" w:rsidP="00605564" w14:paraId="0216D557"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52</w:t>
            </w:r>
          </w:p>
        </w:tc>
        <w:tc>
          <w:tcPr>
            <w:tcW w:w="1170" w:type="dxa"/>
            <w:vAlign w:val="center"/>
          </w:tcPr>
          <w:p w:rsidR="00131FA4" w:rsidRPr="00131FA4" w:rsidP="00605564" w14:paraId="2DFC7072"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1,664</w:t>
            </w:r>
          </w:p>
        </w:tc>
      </w:tr>
      <w:tr w14:paraId="57193791"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6D60544C"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Horizontal and Directional Drilling -- 43 CFR 3162.5-2(b)</w:t>
            </w:r>
          </w:p>
        </w:tc>
        <w:tc>
          <w:tcPr>
            <w:tcW w:w="1440" w:type="dxa"/>
            <w:vAlign w:val="center"/>
          </w:tcPr>
          <w:p w:rsidR="00131FA4" w:rsidRPr="00131FA4" w:rsidP="00605564" w14:paraId="238ECAAB"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2,100</w:t>
            </w:r>
          </w:p>
        </w:tc>
        <w:tc>
          <w:tcPr>
            <w:tcW w:w="1170" w:type="dxa"/>
            <w:vAlign w:val="center"/>
          </w:tcPr>
          <w:p w:rsidR="00131FA4" w:rsidRPr="00131FA4" w:rsidP="00605564" w14:paraId="3563F776"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16,800</w:t>
            </w:r>
          </w:p>
        </w:tc>
      </w:tr>
      <w:tr w14:paraId="250EA2C5"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7D759D60"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Well Markers -- 43 CFR 3162.6</w:t>
            </w:r>
          </w:p>
        </w:tc>
        <w:tc>
          <w:tcPr>
            <w:tcW w:w="1440" w:type="dxa"/>
            <w:vAlign w:val="center"/>
          </w:tcPr>
          <w:p w:rsidR="00131FA4" w:rsidRPr="00131FA4" w:rsidP="00605564" w14:paraId="242354B4"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1,000</w:t>
            </w:r>
          </w:p>
        </w:tc>
        <w:tc>
          <w:tcPr>
            <w:tcW w:w="1170" w:type="dxa"/>
            <w:vAlign w:val="center"/>
          </w:tcPr>
          <w:p w:rsidR="00131FA4" w:rsidRPr="00131FA4" w:rsidP="00605564" w14:paraId="7D8CFE8F"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8,000</w:t>
            </w:r>
          </w:p>
        </w:tc>
      </w:tr>
      <w:tr w14:paraId="3BBB962F"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3D872BEB" w14:textId="77777777">
            <w:pPr>
              <w:rPr>
                <w:rFonts w:ascii="Times New Roman" w:hAnsi="Times New Roman"/>
                <w:sz w:val="16"/>
                <w:szCs w:val="16"/>
              </w:rPr>
            </w:pPr>
            <w:r w:rsidRPr="00131FA4">
              <w:rPr>
                <w:rFonts w:ascii="Times New Roman" w:hAnsi="Times New Roman"/>
                <w:sz w:val="16"/>
                <w:szCs w:val="16"/>
              </w:rPr>
              <w:t>Notice of Staking -- 43 CFR 3164.1 and Section III.C. of Onshore Order 1</w:t>
            </w:r>
          </w:p>
        </w:tc>
        <w:tc>
          <w:tcPr>
            <w:tcW w:w="1440" w:type="dxa"/>
            <w:vAlign w:val="center"/>
          </w:tcPr>
          <w:p w:rsidR="00131FA4" w:rsidRPr="00131FA4" w:rsidP="00605564" w14:paraId="05ACB3BC" w14:textId="77777777">
            <w:pPr>
              <w:jc w:val="right"/>
              <w:rPr>
                <w:rFonts w:ascii="Times New Roman" w:hAnsi="Times New Roman"/>
                <w:sz w:val="16"/>
                <w:szCs w:val="16"/>
              </w:rPr>
            </w:pPr>
            <w:r w:rsidRPr="00131FA4">
              <w:rPr>
                <w:rFonts w:ascii="Times New Roman" w:hAnsi="Times New Roman"/>
                <w:sz w:val="16"/>
                <w:szCs w:val="16"/>
              </w:rPr>
              <w:t>300</w:t>
            </w:r>
          </w:p>
        </w:tc>
        <w:tc>
          <w:tcPr>
            <w:tcW w:w="1170" w:type="dxa"/>
            <w:vAlign w:val="center"/>
          </w:tcPr>
          <w:p w:rsidR="00131FA4" w:rsidRPr="00131FA4" w:rsidP="00605564" w14:paraId="0DBA3623" w14:textId="77777777">
            <w:pPr>
              <w:jc w:val="right"/>
              <w:rPr>
                <w:rFonts w:ascii="Times New Roman" w:hAnsi="Times New Roman"/>
                <w:sz w:val="16"/>
                <w:szCs w:val="16"/>
              </w:rPr>
            </w:pPr>
            <w:r w:rsidRPr="00131FA4">
              <w:rPr>
                <w:rFonts w:ascii="Times New Roman" w:hAnsi="Times New Roman"/>
                <w:sz w:val="16"/>
                <w:szCs w:val="16"/>
              </w:rPr>
              <w:t>4,800</w:t>
            </w:r>
          </w:p>
        </w:tc>
      </w:tr>
      <w:tr w14:paraId="7A2756E1"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267D6F21" w14:textId="77777777">
            <w:pPr>
              <w:rPr>
                <w:rFonts w:ascii="Times New Roman" w:hAnsi="Times New Roman"/>
                <w:sz w:val="16"/>
                <w:szCs w:val="16"/>
              </w:rPr>
            </w:pPr>
            <w:r w:rsidRPr="00131FA4">
              <w:rPr>
                <w:rFonts w:ascii="Times New Roman" w:hAnsi="Times New Roman"/>
                <w:sz w:val="16"/>
                <w:szCs w:val="16"/>
              </w:rPr>
              <w:t>Waiver Request -- 43 CFR 3164.1 and Section III.I. of Onshore Order 1</w:t>
            </w:r>
          </w:p>
        </w:tc>
        <w:tc>
          <w:tcPr>
            <w:tcW w:w="1440" w:type="dxa"/>
            <w:vAlign w:val="center"/>
          </w:tcPr>
          <w:p w:rsidR="00131FA4" w:rsidRPr="00131FA4" w:rsidP="00605564" w14:paraId="351D079A" w14:textId="77777777">
            <w:pPr>
              <w:jc w:val="right"/>
              <w:rPr>
                <w:rFonts w:ascii="Times New Roman" w:hAnsi="Times New Roman"/>
                <w:sz w:val="16"/>
                <w:szCs w:val="16"/>
              </w:rPr>
            </w:pPr>
            <w:r w:rsidRPr="00131FA4">
              <w:rPr>
                <w:rFonts w:ascii="Times New Roman" w:hAnsi="Times New Roman"/>
                <w:sz w:val="16"/>
                <w:szCs w:val="16"/>
              </w:rPr>
              <w:t>150</w:t>
            </w:r>
          </w:p>
        </w:tc>
        <w:tc>
          <w:tcPr>
            <w:tcW w:w="1170" w:type="dxa"/>
            <w:vAlign w:val="center"/>
          </w:tcPr>
          <w:p w:rsidR="00131FA4" w:rsidRPr="00131FA4" w:rsidP="00605564" w14:paraId="245C0B39" w14:textId="77777777">
            <w:pPr>
              <w:jc w:val="right"/>
              <w:rPr>
                <w:rFonts w:ascii="Times New Roman" w:hAnsi="Times New Roman"/>
                <w:sz w:val="16"/>
                <w:szCs w:val="16"/>
              </w:rPr>
            </w:pPr>
            <w:r w:rsidRPr="00131FA4">
              <w:rPr>
                <w:rFonts w:ascii="Times New Roman" w:hAnsi="Times New Roman"/>
                <w:sz w:val="16"/>
                <w:szCs w:val="16"/>
              </w:rPr>
              <w:t>600</w:t>
            </w:r>
          </w:p>
        </w:tc>
      </w:tr>
      <w:tr w14:paraId="4DE012B4"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523CF963"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Application for Suspension or Other Relief -- 43 CFR 3165.1</w:t>
            </w:r>
          </w:p>
        </w:tc>
        <w:tc>
          <w:tcPr>
            <w:tcW w:w="1440" w:type="dxa"/>
            <w:vAlign w:val="center"/>
          </w:tcPr>
          <w:p w:rsidR="00131FA4" w:rsidRPr="00131FA4" w:rsidP="00605564" w14:paraId="08382A5A"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100</w:t>
            </w:r>
          </w:p>
        </w:tc>
        <w:tc>
          <w:tcPr>
            <w:tcW w:w="1170" w:type="dxa"/>
            <w:vAlign w:val="center"/>
          </w:tcPr>
          <w:p w:rsidR="00131FA4" w:rsidRPr="00131FA4" w:rsidP="00605564" w14:paraId="19222487"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1,600</w:t>
            </w:r>
          </w:p>
        </w:tc>
      </w:tr>
      <w:tr w14:paraId="09466A01"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131FA4" w:rsidP="00605564" w14:paraId="283A5E0E" w14:textId="77777777">
            <w:pPr>
              <w:tabs>
                <w:tab w:val="left" w:pos="360"/>
                <w:tab w:val="left" w:pos="630"/>
                <w:tab w:val="left" w:pos="720"/>
                <w:tab w:val="left" w:pos="1080"/>
              </w:tabs>
              <w:rPr>
                <w:rFonts w:ascii="Times New Roman" w:hAnsi="Times New Roman"/>
                <w:sz w:val="16"/>
                <w:szCs w:val="16"/>
              </w:rPr>
            </w:pPr>
            <w:r w:rsidRPr="00131FA4">
              <w:rPr>
                <w:rFonts w:ascii="Times New Roman" w:hAnsi="Times New Roman"/>
                <w:sz w:val="16"/>
                <w:szCs w:val="16"/>
              </w:rPr>
              <w:t>State Director Review -- 43 CFR 3165.3(b)</w:t>
            </w:r>
          </w:p>
        </w:tc>
        <w:tc>
          <w:tcPr>
            <w:tcW w:w="1440" w:type="dxa"/>
            <w:vAlign w:val="center"/>
          </w:tcPr>
          <w:p w:rsidR="00131FA4" w:rsidRPr="00131FA4" w:rsidP="00605564" w14:paraId="623710AE"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55</w:t>
            </w:r>
          </w:p>
        </w:tc>
        <w:tc>
          <w:tcPr>
            <w:tcW w:w="1170" w:type="dxa"/>
            <w:vAlign w:val="center"/>
          </w:tcPr>
          <w:p w:rsidR="00131FA4" w:rsidRPr="00131FA4" w:rsidP="00605564" w14:paraId="780F97FB" w14:textId="77777777">
            <w:pPr>
              <w:tabs>
                <w:tab w:val="left" w:pos="360"/>
                <w:tab w:val="left" w:pos="630"/>
                <w:tab w:val="left" w:pos="720"/>
                <w:tab w:val="left" w:pos="1080"/>
              </w:tabs>
              <w:jc w:val="right"/>
              <w:rPr>
                <w:rFonts w:ascii="Times New Roman" w:hAnsi="Times New Roman"/>
                <w:sz w:val="16"/>
                <w:szCs w:val="16"/>
              </w:rPr>
            </w:pPr>
            <w:r w:rsidRPr="00131FA4">
              <w:rPr>
                <w:rFonts w:ascii="Times New Roman" w:hAnsi="Times New Roman"/>
                <w:sz w:val="16"/>
                <w:szCs w:val="16"/>
              </w:rPr>
              <w:t>880</w:t>
            </w:r>
          </w:p>
        </w:tc>
      </w:tr>
      <w:tr w14:paraId="3178A245" w14:textId="77777777" w:rsidTr="00131FA4">
        <w:tblPrEx>
          <w:tblW w:w="0" w:type="auto"/>
          <w:tblInd w:w="115" w:type="dxa"/>
          <w:tblCellMar>
            <w:left w:w="115" w:type="dxa"/>
            <w:right w:w="115" w:type="dxa"/>
          </w:tblCellMar>
          <w:tblLook w:val="04A0"/>
        </w:tblPrEx>
        <w:trPr>
          <w:cantSplit/>
        </w:trPr>
        <w:tc>
          <w:tcPr>
            <w:tcW w:w="6750" w:type="dxa"/>
            <w:vAlign w:val="center"/>
          </w:tcPr>
          <w:p w:rsidR="00131FA4" w:rsidRPr="00B1607B" w:rsidP="00B1607B" w14:paraId="460C5970" w14:textId="4B8E888F">
            <w:pPr>
              <w:tabs>
                <w:tab w:val="left" w:pos="360"/>
                <w:tab w:val="left" w:pos="630"/>
                <w:tab w:val="left" w:pos="720"/>
                <w:tab w:val="left" w:pos="1080"/>
              </w:tabs>
              <w:jc w:val="right"/>
              <w:rPr>
                <w:rFonts w:ascii="Times New Roman" w:hAnsi="Times New Roman"/>
                <w:b/>
                <w:bCs/>
                <w:sz w:val="16"/>
                <w:szCs w:val="16"/>
              </w:rPr>
            </w:pPr>
            <w:r w:rsidRPr="00B1607B">
              <w:rPr>
                <w:rFonts w:ascii="Times New Roman" w:hAnsi="Times New Roman"/>
                <w:b/>
                <w:bCs/>
                <w:sz w:val="16"/>
                <w:szCs w:val="16"/>
              </w:rPr>
              <w:t>Total Burden Moved to 1004-0220</w:t>
            </w:r>
          </w:p>
        </w:tc>
        <w:tc>
          <w:tcPr>
            <w:tcW w:w="1440" w:type="dxa"/>
            <w:vAlign w:val="center"/>
          </w:tcPr>
          <w:p w:rsidR="00131FA4" w:rsidRPr="00B1607B" w:rsidP="00B1607B" w14:paraId="62D00862" w14:textId="2E7772C1">
            <w:pPr>
              <w:tabs>
                <w:tab w:val="left" w:pos="360"/>
                <w:tab w:val="left" w:pos="630"/>
                <w:tab w:val="left" w:pos="720"/>
                <w:tab w:val="left" w:pos="1080"/>
              </w:tabs>
              <w:jc w:val="right"/>
              <w:rPr>
                <w:rFonts w:ascii="Times New Roman" w:hAnsi="Times New Roman"/>
                <w:b/>
                <w:bCs/>
                <w:sz w:val="16"/>
                <w:szCs w:val="16"/>
              </w:rPr>
            </w:pPr>
            <w:r w:rsidRPr="00B1607B">
              <w:rPr>
                <w:rFonts w:ascii="Times New Roman" w:hAnsi="Times New Roman"/>
                <w:b/>
                <w:bCs/>
                <w:sz w:val="16"/>
                <w:szCs w:val="16"/>
              </w:rPr>
              <w:t>3</w:t>
            </w:r>
            <w:r w:rsidRPr="00B1607B" w:rsidR="00B1607B">
              <w:rPr>
                <w:rFonts w:ascii="Times New Roman" w:hAnsi="Times New Roman"/>
                <w:b/>
                <w:bCs/>
                <w:sz w:val="16"/>
                <w:szCs w:val="16"/>
              </w:rPr>
              <w:t>1,182</w:t>
            </w:r>
          </w:p>
        </w:tc>
        <w:tc>
          <w:tcPr>
            <w:tcW w:w="1170" w:type="dxa"/>
            <w:vAlign w:val="center"/>
          </w:tcPr>
          <w:p w:rsidR="00131FA4" w:rsidRPr="00B1607B" w:rsidP="00B1607B" w14:paraId="61DE8A9D" w14:textId="3114291F">
            <w:pPr>
              <w:tabs>
                <w:tab w:val="left" w:pos="360"/>
                <w:tab w:val="left" w:pos="630"/>
                <w:tab w:val="left" w:pos="720"/>
                <w:tab w:val="left" w:pos="1080"/>
              </w:tabs>
              <w:jc w:val="right"/>
              <w:rPr>
                <w:rFonts w:ascii="Times New Roman" w:hAnsi="Times New Roman"/>
                <w:b/>
                <w:bCs/>
                <w:sz w:val="16"/>
                <w:szCs w:val="16"/>
              </w:rPr>
            </w:pPr>
            <w:r w:rsidRPr="00A918EA">
              <w:rPr>
                <w:rFonts w:ascii="Times New Roman" w:hAnsi="Times New Roman"/>
                <w:b/>
                <w:bCs/>
                <w:sz w:val="16"/>
                <w:szCs w:val="16"/>
              </w:rPr>
              <w:t>233,744</w:t>
            </w:r>
          </w:p>
        </w:tc>
      </w:tr>
    </w:tbl>
    <w:p w:rsidR="00202E14" w:rsidP="005C6DEE" w14:paraId="1326657D" w14:textId="77777777">
      <w:pPr>
        <w:tabs>
          <w:tab w:val="left" w:pos="360"/>
          <w:tab w:val="left" w:pos="630"/>
        </w:tabs>
        <w:rPr>
          <w:rFonts w:ascii="Times New Roman" w:hAnsi="Times New Roman"/>
          <w:b/>
          <w:bCs/>
          <w:sz w:val="20"/>
          <w:szCs w:val="20"/>
        </w:rPr>
      </w:pPr>
    </w:p>
    <w:p w:rsidR="00A82FE6" w:rsidP="005C6DEE" w14:paraId="5780DBE6" w14:textId="77777777">
      <w:pPr>
        <w:tabs>
          <w:tab w:val="left" w:pos="360"/>
          <w:tab w:val="left" w:pos="630"/>
        </w:tabs>
        <w:rPr>
          <w:rFonts w:ascii="Times New Roman" w:hAnsi="Times New Roman"/>
          <w:b/>
          <w:bCs/>
          <w:sz w:val="20"/>
          <w:szCs w:val="20"/>
        </w:rPr>
      </w:pPr>
    </w:p>
    <w:p w:rsidR="00A82FE6" w:rsidP="005C6DEE" w14:paraId="3B3EBF19" w14:textId="77777777">
      <w:pPr>
        <w:tabs>
          <w:tab w:val="left" w:pos="360"/>
          <w:tab w:val="left" w:pos="630"/>
        </w:tabs>
        <w:rPr>
          <w:rFonts w:ascii="Times New Roman" w:hAnsi="Times New Roman"/>
          <w:b/>
          <w:bCs/>
          <w:sz w:val="20"/>
          <w:szCs w:val="20"/>
        </w:rPr>
      </w:pPr>
    </w:p>
    <w:p w:rsidR="00A82FE6" w:rsidP="005C6DEE" w14:paraId="3E8184BE" w14:textId="77777777">
      <w:pPr>
        <w:tabs>
          <w:tab w:val="left" w:pos="360"/>
          <w:tab w:val="left" w:pos="630"/>
        </w:tabs>
        <w:rPr>
          <w:rFonts w:ascii="Times New Roman" w:hAnsi="Times New Roman"/>
          <w:b/>
          <w:bCs/>
          <w:sz w:val="20"/>
          <w:szCs w:val="20"/>
        </w:rPr>
      </w:pPr>
    </w:p>
    <w:p w:rsidR="00A82FE6" w:rsidP="005C6DEE" w14:paraId="4AF70D25" w14:textId="77777777">
      <w:pPr>
        <w:tabs>
          <w:tab w:val="left" w:pos="360"/>
          <w:tab w:val="left" w:pos="630"/>
        </w:tabs>
        <w:rPr>
          <w:rFonts w:ascii="Times New Roman" w:hAnsi="Times New Roman"/>
          <w:b/>
          <w:bCs/>
          <w:sz w:val="20"/>
          <w:szCs w:val="20"/>
        </w:rPr>
      </w:pPr>
    </w:p>
    <w:p w:rsidR="00A82FE6" w:rsidP="005C6DEE" w14:paraId="1F790047" w14:textId="77777777">
      <w:pPr>
        <w:tabs>
          <w:tab w:val="left" w:pos="360"/>
          <w:tab w:val="left" w:pos="630"/>
        </w:tabs>
        <w:rPr>
          <w:rFonts w:ascii="Times New Roman" w:hAnsi="Times New Roman"/>
          <w:b/>
          <w:bCs/>
          <w:sz w:val="20"/>
          <w:szCs w:val="20"/>
        </w:rPr>
      </w:pPr>
    </w:p>
    <w:p w:rsidR="006944E7" w:rsidRPr="003A7723" w:rsidP="005C6DEE" w14:paraId="2EC1E456" w14:textId="02C01F2F">
      <w:pPr>
        <w:tabs>
          <w:tab w:val="left" w:pos="360"/>
          <w:tab w:val="left" w:pos="630"/>
        </w:tabs>
        <w:rPr>
          <w:rFonts w:ascii="Times New Roman" w:hAnsi="Times New Roman"/>
          <w:b/>
          <w:bCs/>
          <w:sz w:val="20"/>
          <w:szCs w:val="20"/>
        </w:rPr>
      </w:pPr>
      <w:r w:rsidRPr="003A7723">
        <w:rPr>
          <w:rFonts w:ascii="Times New Roman" w:hAnsi="Times New Roman"/>
          <w:b/>
          <w:bCs/>
          <w:sz w:val="20"/>
          <w:szCs w:val="20"/>
        </w:rPr>
        <w:t xml:space="preserve">Table </w:t>
      </w:r>
      <w:r w:rsidRPr="003A7723" w:rsidR="003A7723">
        <w:rPr>
          <w:rFonts w:ascii="Times New Roman" w:hAnsi="Times New Roman"/>
          <w:b/>
          <w:bCs/>
          <w:sz w:val="20"/>
          <w:szCs w:val="20"/>
        </w:rPr>
        <w:t xml:space="preserve">15-2: </w:t>
      </w:r>
      <w:r w:rsidR="00A35BB5">
        <w:rPr>
          <w:rFonts w:ascii="Times New Roman" w:hAnsi="Times New Roman"/>
          <w:b/>
          <w:bCs/>
          <w:sz w:val="20"/>
          <w:szCs w:val="20"/>
        </w:rPr>
        <w:t>Adjusting and Clarifying Burden</w:t>
      </w:r>
      <w:r w:rsidRPr="003A7723" w:rsidR="003A7723">
        <w:rPr>
          <w:rFonts w:ascii="Times New Roman" w:hAnsi="Times New Roman"/>
          <w:b/>
          <w:bCs/>
          <w:sz w:val="20"/>
          <w:szCs w:val="20"/>
        </w:rPr>
        <w:t>:</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
      <w:tblGrid>
        <w:gridCol w:w="3383"/>
        <w:gridCol w:w="1284"/>
        <w:gridCol w:w="972"/>
        <w:gridCol w:w="933"/>
        <w:gridCol w:w="746"/>
        <w:gridCol w:w="940"/>
        <w:gridCol w:w="977"/>
      </w:tblGrid>
      <w:tr w14:paraId="58D27A63" w14:textId="553F5C8B" w:rsidTr="00A15DD9">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tblPrEx>
        <w:trPr>
          <w:cantSplit/>
          <w:tblHeader/>
        </w:trPr>
        <w:tc>
          <w:tcPr>
            <w:tcW w:w="3581" w:type="dxa"/>
            <w:vMerge w:val="restart"/>
            <w:shd w:val="clear" w:color="auto" w:fill="D9D9D9"/>
            <w:vAlign w:val="center"/>
          </w:tcPr>
          <w:p w:rsidR="00521D5E" w:rsidRPr="007663AC" w:rsidP="00605564" w14:paraId="3F40C458" w14:textId="77777777">
            <w:pPr>
              <w:rPr>
                <w:rFonts w:ascii="Times New Roman" w:hAnsi="Times New Roman"/>
                <w:sz w:val="16"/>
                <w:szCs w:val="16"/>
              </w:rPr>
            </w:pPr>
          </w:p>
        </w:tc>
        <w:tc>
          <w:tcPr>
            <w:tcW w:w="2297" w:type="dxa"/>
            <w:gridSpan w:val="2"/>
            <w:shd w:val="clear" w:color="auto" w:fill="D9D9D9"/>
            <w:vAlign w:val="center"/>
          </w:tcPr>
          <w:p w:rsidR="00521D5E" w:rsidRPr="007663AC" w:rsidP="007663AC" w14:paraId="0496C1A1" w14:textId="601459E3">
            <w:pPr>
              <w:tabs>
                <w:tab w:val="left" w:pos="360"/>
                <w:tab w:val="left" w:pos="630"/>
                <w:tab w:val="left" w:pos="720"/>
                <w:tab w:val="left" w:pos="1080"/>
              </w:tabs>
              <w:jc w:val="center"/>
              <w:rPr>
                <w:rFonts w:ascii="Times New Roman" w:hAnsi="Times New Roman"/>
                <w:sz w:val="16"/>
                <w:szCs w:val="16"/>
              </w:rPr>
            </w:pPr>
            <w:r w:rsidRPr="007663AC">
              <w:rPr>
                <w:rFonts w:ascii="Times New Roman" w:hAnsi="Times New Roman"/>
                <w:b/>
                <w:bCs/>
                <w:sz w:val="16"/>
                <w:szCs w:val="16"/>
              </w:rPr>
              <w:t>Previous Burden</w:t>
            </w:r>
          </w:p>
        </w:tc>
        <w:tc>
          <w:tcPr>
            <w:tcW w:w="1679" w:type="dxa"/>
            <w:gridSpan w:val="2"/>
            <w:shd w:val="clear" w:color="auto" w:fill="D9D9D9"/>
            <w:vAlign w:val="center"/>
          </w:tcPr>
          <w:p w:rsidR="00521D5E" w:rsidRPr="007663AC" w:rsidP="007663AC" w14:paraId="54E463B8" w14:textId="3CF4FE0B">
            <w:pPr>
              <w:tabs>
                <w:tab w:val="left" w:pos="360"/>
                <w:tab w:val="left" w:pos="630"/>
                <w:tab w:val="left" w:pos="720"/>
                <w:tab w:val="left" w:pos="1080"/>
              </w:tabs>
              <w:jc w:val="center"/>
              <w:rPr>
                <w:rFonts w:ascii="Times New Roman" w:hAnsi="Times New Roman"/>
                <w:sz w:val="16"/>
                <w:szCs w:val="16"/>
              </w:rPr>
            </w:pPr>
            <w:r w:rsidRPr="007663AC">
              <w:rPr>
                <w:rFonts w:ascii="Times New Roman" w:hAnsi="Times New Roman"/>
                <w:b/>
                <w:bCs/>
                <w:sz w:val="16"/>
                <w:szCs w:val="16"/>
              </w:rPr>
              <w:t>New Burden</w:t>
            </w:r>
          </w:p>
        </w:tc>
        <w:tc>
          <w:tcPr>
            <w:tcW w:w="1918" w:type="dxa"/>
            <w:gridSpan w:val="2"/>
            <w:shd w:val="clear" w:color="auto" w:fill="D9D9D9"/>
            <w:vAlign w:val="center"/>
          </w:tcPr>
          <w:p w:rsidR="00521D5E" w:rsidRPr="007663AC" w:rsidP="00521D5E" w14:paraId="7ACE1CF4" w14:textId="19981FC4">
            <w:pPr>
              <w:tabs>
                <w:tab w:val="left" w:pos="360"/>
                <w:tab w:val="left" w:pos="630"/>
                <w:tab w:val="left" w:pos="720"/>
                <w:tab w:val="left" w:pos="1080"/>
              </w:tabs>
              <w:jc w:val="center"/>
              <w:rPr>
                <w:rFonts w:ascii="Times New Roman" w:hAnsi="Times New Roman"/>
                <w:b/>
                <w:bCs/>
                <w:sz w:val="16"/>
                <w:szCs w:val="16"/>
              </w:rPr>
            </w:pPr>
            <w:r>
              <w:rPr>
                <w:rFonts w:ascii="Times New Roman" w:hAnsi="Times New Roman"/>
                <w:b/>
                <w:bCs/>
                <w:sz w:val="16"/>
                <w:szCs w:val="16"/>
              </w:rPr>
              <w:t>Difference</w:t>
            </w:r>
          </w:p>
        </w:tc>
      </w:tr>
      <w:tr w14:paraId="47F6672C" w14:textId="711AC63F" w:rsidTr="00A15DD9">
        <w:tblPrEx>
          <w:tblW w:w="0" w:type="auto"/>
          <w:tblInd w:w="115" w:type="dxa"/>
          <w:tblCellMar>
            <w:left w:w="115" w:type="dxa"/>
            <w:right w:w="115" w:type="dxa"/>
          </w:tblCellMar>
          <w:tblLook w:val="04A0"/>
        </w:tblPrEx>
        <w:trPr>
          <w:cantSplit/>
          <w:tblHeader/>
        </w:trPr>
        <w:tc>
          <w:tcPr>
            <w:tcW w:w="3581" w:type="dxa"/>
            <w:vMerge/>
            <w:shd w:val="clear" w:color="auto" w:fill="D9D9D9"/>
            <w:vAlign w:val="center"/>
          </w:tcPr>
          <w:p w:rsidR="00D905F0" w:rsidRPr="007663AC" w:rsidP="00605564" w14:paraId="3808078D" w14:textId="77777777">
            <w:pPr>
              <w:rPr>
                <w:rFonts w:ascii="Times New Roman" w:hAnsi="Times New Roman"/>
                <w:sz w:val="16"/>
                <w:szCs w:val="16"/>
              </w:rPr>
            </w:pPr>
          </w:p>
        </w:tc>
        <w:tc>
          <w:tcPr>
            <w:tcW w:w="1316" w:type="dxa"/>
            <w:shd w:val="clear" w:color="auto" w:fill="D9D9D9"/>
            <w:vAlign w:val="center"/>
          </w:tcPr>
          <w:p w:rsidR="00D905F0" w:rsidRPr="007663AC" w:rsidP="007663AC" w14:paraId="44976057" w14:textId="77777777">
            <w:pPr>
              <w:tabs>
                <w:tab w:val="left" w:pos="360"/>
                <w:tab w:val="left" w:pos="630"/>
                <w:tab w:val="left" w:pos="720"/>
                <w:tab w:val="left" w:pos="1080"/>
              </w:tabs>
              <w:jc w:val="center"/>
              <w:rPr>
                <w:rFonts w:ascii="Times New Roman" w:hAnsi="Times New Roman"/>
                <w:sz w:val="16"/>
                <w:szCs w:val="16"/>
              </w:rPr>
            </w:pPr>
            <w:r w:rsidRPr="007663AC">
              <w:rPr>
                <w:rFonts w:ascii="Times New Roman" w:hAnsi="Times New Roman"/>
                <w:b/>
                <w:bCs/>
                <w:sz w:val="16"/>
                <w:szCs w:val="16"/>
              </w:rPr>
              <w:t>Annual Responses</w:t>
            </w:r>
          </w:p>
        </w:tc>
        <w:tc>
          <w:tcPr>
            <w:tcW w:w="981" w:type="dxa"/>
            <w:shd w:val="clear" w:color="auto" w:fill="D9D9D9"/>
            <w:vAlign w:val="center"/>
          </w:tcPr>
          <w:p w:rsidR="00D905F0" w:rsidRPr="007663AC" w:rsidP="007663AC" w14:paraId="279A748B" w14:textId="50641D27">
            <w:pPr>
              <w:tabs>
                <w:tab w:val="left" w:pos="360"/>
                <w:tab w:val="left" w:pos="630"/>
                <w:tab w:val="left" w:pos="720"/>
                <w:tab w:val="left" w:pos="1080"/>
              </w:tabs>
              <w:jc w:val="center"/>
              <w:rPr>
                <w:rFonts w:ascii="Times New Roman" w:hAnsi="Times New Roman"/>
                <w:sz w:val="16"/>
                <w:szCs w:val="16"/>
              </w:rPr>
            </w:pPr>
            <w:r w:rsidRPr="00373FBC">
              <w:rPr>
                <w:rFonts w:ascii="Times New Roman" w:hAnsi="Times New Roman"/>
                <w:b/>
                <w:bCs/>
                <w:sz w:val="16"/>
                <w:szCs w:val="16"/>
              </w:rPr>
              <w:t>Annua</w:t>
            </w:r>
            <w:r>
              <w:rPr>
                <w:rFonts w:ascii="Times New Roman" w:hAnsi="Times New Roman"/>
                <w:sz w:val="16"/>
                <w:szCs w:val="16"/>
              </w:rPr>
              <w:t xml:space="preserve">l </w:t>
            </w:r>
            <w:r w:rsidRPr="00373FBC">
              <w:rPr>
                <w:rFonts w:ascii="Times New Roman" w:hAnsi="Times New Roman"/>
                <w:b/>
                <w:bCs/>
                <w:sz w:val="16"/>
                <w:szCs w:val="16"/>
              </w:rPr>
              <w:t>Burden Hour</w:t>
            </w:r>
            <w:r>
              <w:rPr>
                <w:rFonts w:ascii="Times New Roman" w:hAnsi="Times New Roman"/>
                <w:sz w:val="16"/>
                <w:szCs w:val="16"/>
              </w:rPr>
              <w:t>s</w:t>
            </w:r>
          </w:p>
        </w:tc>
        <w:tc>
          <w:tcPr>
            <w:tcW w:w="933" w:type="dxa"/>
            <w:shd w:val="clear" w:color="auto" w:fill="D9D9D9"/>
            <w:vAlign w:val="center"/>
          </w:tcPr>
          <w:p w:rsidR="00D905F0" w:rsidRPr="007663AC" w:rsidP="00E51B7E" w14:paraId="469988D5" w14:textId="037B9475">
            <w:pPr>
              <w:tabs>
                <w:tab w:val="left" w:pos="360"/>
                <w:tab w:val="left" w:pos="630"/>
                <w:tab w:val="left" w:pos="720"/>
                <w:tab w:val="left" w:pos="1080"/>
              </w:tabs>
              <w:jc w:val="center"/>
              <w:rPr>
                <w:rFonts w:ascii="Times New Roman" w:hAnsi="Times New Roman"/>
                <w:sz w:val="16"/>
                <w:szCs w:val="16"/>
              </w:rPr>
            </w:pPr>
            <w:r w:rsidRPr="007663AC">
              <w:rPr>
                <w:rFonts w:ascii="Times New Roman" w:hAnsi="Times New Roman"/>
                <w:b/>
                <w:bCs/>
                <w:sz w:val="16"/>
                <w:szCs w:val="16"/>
              </w:rPr>
              <w:t>Annual Responses</w:t>
            </w:r>
          </w:p>
        </w:tc>
        <w:tc>
          <w:tcPr>
            <w:tcW w:w="746" w:type="dxa"/>
            <w:shd w:val="clear" w:color="auto" w:fill="D9D9D9"/>
            <w:vAlign w:val="center"/>
          </w:tcPr>
          <w:p w:rsidR="00D905F0" w:rsidRPr="007663AC" w:rsidP="00E51B7E" w14:paraId="2197647A" w14:textId="4828F452">
            <w:pPr>
              <w:tabs>
                <w:tab w:val="left" w:pos="360"/>
                <w:tab w:val="left" w:pos="630"/>
                <w:tab w:val="left" w:pos="720"/>
                <w:tab w:val="left" w:pos="1080"/>
              </w:tabs>
              <w:jc w:val="center"/>
              <w:rPr>
                <w:rFonts w:ascii="Times New Roman" w:hAnsi="Times New Roman"/>
                <w:sz w:val="16"/>
                <w:szCs w:val="16"/>
              </w:rPr>
            </w:pPr>
            <w:r w:rsidRPr="00D905F0">
              <w:rPr>
                <w:rFonts w:ascii="Times New Roman" w:hAnsi="Times New Roman"/>
                <w:b/>
                <w:bCs/>
                <w:sz w:val="16"/>
                <w:szCs w:val="16"/>
              </w:rPr>
              <w:t>Annua</w:t>
            </w:r>
            <w:r w:rsidRPr="00D905F0">
              <w:rPr>
                <w:rFonts w:ascii="Times New Roman" w:hAnsi="Times New Roman"/>
                <w:sz w:val="16"/>
                <w:szCs w:val="16"/>
              </w:rPr>
              <w:t xml:space="preserve">l </w:t>
            </w:r>
            <w:r w:rsidRPr="00D905F0">
              <w:rPr>
                <w:rFonts w:ascii="Times New Roman" w:hAnsi="Times New Roman"/>
                <w:b/>
                <w:bCs/>
                <w:sz w:val="16"/>
                <w:szCs w:val="16"/>
              </w:rPr>
              <w:t>Burden Hour</w:t>
            </w:r>
            <w:r w:rsidRPr="00D905F0">
              <w:rPr>
                <w:rFonts w:ascii="Times New Roman" w:hAnsi="Times New Roman"/>
                <w:sz w:val="16"/>
                <w:szCs w:val="16"/>
              </w:rPr>
              <w:t>s</w:t>
            </w:r>
          </w:p>
        </w:tc>
        <w:tc>
          <w:tcPr>
            <w:tcW w:w="941" w:type="dxa"/>
            <w:shd w:val="clear" w:color="auto" w:fill="D9D9D9"/>
            <w:vAlign w:val="center"/>
          </w:tcPr>
          <w:p w:rsidR="00D905F0" w:rsidRPr="00373FBC" w:rsidP="00E51B7E" w14:paraId="1A504362" w14:textId="05516A79">
            <w:pPr>
              <w:tabs>
                <w:tab w:val="left" w:pos="360"/>
                <w:tab w:val="left" w:pos="630"/>
                <w:tab w:val="left" w:pos="720"/>
                <w:tab w:val="left" w:pos="1080"/>
              </w:tabs>
              <w:jc w:val="center"/>
              <w:rPr>
                <w:rFonts w:ascii="Times New Roman" w:hAnsi="Times New Roman"/>
                <w:b/>
                <w:bCs/>
                <w:sz w:val="16"/>
                <w:szCs w:val="16"/>
              </w:rPr>
            </w:pPr>
            <w:r w:rsidRPr="007663AC">
              <w:rPr>
                <w:rFonts w:ascii="Times New Roman" w:hAnsi="Times New Roman"/>
                <w:b/>
                <w:bCs/>
                <w:sz w:val="16"/>
                <w:szCs w:val="16"/>
              </w:rPr>
              <w:t>Annual Responses</w:t>
            </w:r>
          </w:p>
        </w:tc>
        <w:tc>
          <w:tcPr>
            <w:tcW w:w="977" w:type="dxa"/>
            <w:shd w:val="clear" w:color="auto" w:fill="D9D9D9"/>
            <w:vAlign w:val="center"/>
          </w:tcPr>
          <w:p w:rsidR="00D905F0" w:rsidRPr="00373FBC" w:rsidP="00E51B7E" w14:paraId="2B3444B7" w14:textId="1FE1B3FF">
            <w:pPr>
              <w:tabs>
                <w:tab w:val="left" w:pos="360"/>
                <w:tab w:val="left" w:pos="630"/>
                <w:tab w:val="left" w:pos="720"/>
                <w:tab w:val="left" w:pos="1080"/>
              </w:tabs>
              <w:jc w:val="center"/>
              <w:rPr>
                <w:rFonts w:ascii="Times New Roman" w:hAnsi="Times New Roman"/>
                <w:b/>
                <w:bCs/>
                <w:sz w:val="16"/>
                <w:szCs w:val="16"/>
              </w:rPr>
            </w:pPr>
            <w:r w:rsidRPr="00373FBC">
              <w:rPr>
                <w:rFonts w:ascii="Times New Roman" w:hAnsi="Times New Roman"/>
                <w:b/>
                <w:bCs/>
                <w:sz w:val="16"/>
                <w:szCs w:val="16"/>
              </w:rPr>
              <w:t>Annua</w:t>
            </w:r>
            <w:r>
              <w:rPr>
                <w:rFonts w:ascii="Times New Roman" w:hAnsi="Times New Roman"/>
                <w:sz w:val="16"/>
                <w:szCs w:val="16"/>
              </w:rPr>
              <w:t xml:space="preserve">l </w:t>
            </w:r>
            <w:r w:rsidRPr="00373FBC">
              <w:rPr>
                <w:rFonts w:ascii="Times New Roman" w:hAnsi="Times New Roman"/>
                <w:b/>
                <w:bCs/>
                <w:sz w:val="16"/>
                <w:szCs w:val="16"/>
              </w:rPr>
              <w:t>Burden Hour</w:t>
            </w:r>
            <w:r>
              <w:rPr>
                <w:rFonts w:ascii="Times New Roman" w:hAnsi="Times New Roman"/>
                <w:sz w:val="16"/>
                <w:szCs w:val="16"/>
              </w:rPr>
              <w:t>s</w:t>
            </w:r>
          </w:p>
        </w:tc>
      </w:tr>
      <w:tr w14:paraId="048A6BEC" w14:textId="71CA3190" w:rsidTr="0056630F">
        <w:tblPrEx>
          <w:tblW w:w="0" w:type="auto"/>
          <w:tblInd w:w="115" w:type="dxa"/>
          <w:tblCellMar>
            <w:left w:w="115" w:type="dxa"/>
            <w:right w:w="115" w:type="dxa"/>
          </w:tblCellMar>
          <w:tblLook w:val="04A0"/>
        </w:tblPrEx>
        <w:trPr>
          <w:cantSplit/>
        </w:trPr>
        <w:tc>
          <w:tcPr>
            <w:tcW w:w="3581" w:type="dxa"/>
            <w:vAlign w:val="center"/>
          </w:tcPr>
          <w:p w:rsidR="00030322" w:rsidRPr="007663AC" w:rsidP="00605564" w14:paraId="11142BF6" w14:textId="77777777">
            <w:pPr>
              <w:rPr>
                <w:rFonts w:ascii="Times New Roman" w:hAnsi="Times New Roman"/>
                <w:sz w:val="16"/>
                <w:szCs w:val="16"/>
              </w:rPr>
            </w:pPr>
            <w:r w:rsidRPr="007663AC">
              <w:rPr>
                <w:rFonts w:ascii="Times New Roman" w:hAnsi="Times New Roman"/>
                <w:sz w:val="16"/>
                <w:szCs w:val="16"/>
              </w:rPr>
              <w:t>Request for Approval of an FMP for Future Measurement Facilities -- 43 CFR 3173.12(d) (Form 3160-5)</w:t>
            </w:r>
          </w:p>
          <w:p w:rsidR="00030322" w:rsidRPr="007663AC" w:rsidP="00605564" w14:paraId="4DE748CB" w14:textId="77777777">
            <w:pPr>
              <w:tabs>
                <w:tab w:val="left" w:pos="360"/>
                <w:tab w:val="left" w:pos="630"/>
              </w:tabs>
              <w:rPr>
                <w:rFonts w:ascii="Times New Roman" w:hAnsi="Times New Roman"/>
                <w:sz w:val="16"/>
                <w:szCs w:val="16"/>
              </w:rPr>
            </w:pPr>
            <w:r w:rsidRPr="007663AC">
              <w:rPr>
                <w:rFonts w:ascii="Times New Roman" w:hAnsi="Times New Roman"/>
                <w:sz w:val="16"/>
                <w:szCs w:val="16"/>
              </w:rPr>
              <w:t>One-Time</w:t>
            </w:r>
          </w:p>
        </w:tc>
        <w:tc>
          <w:tcPr>
            <w:tcW w:w="1316" w:type="dxa"/>
            <w:vAlign w:val="center"/>
          </w:tcPr>
          <w:p w:rsidR="00030322" w:rsidRPr="007663AC" w:rsidP="00605564" w14:paraId="3CE07813"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1,000</w:t>
            </w:r>
          </w:p>
        </w:tc>
        <w:tc>
          <w:tcPr>
            <w:tcW w:w="981" w:type="dxa"/>
            <w:vAlign w:val="center"/>
          </w:tcPr>
          <w:p w:rsidR="00030322" w:rsidRPr="007663AC" w:rsidP="00605564" w14:paraId="525E3E57"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8,000</w:t>
            </w:r>
          </w:p>
        </w:tc>
        <w:tc>
          <w:tcPr>
            <w:tcW w:w="933" w:type="dxa"/>
            <w:vAlign w:val="center"/>
          </w:tcPr>
          <w:p w:rsidR="00030322" w:rsidRPr="007663AC" w:rsidP="00605564" w14:paraId="3448F938" w14:textId="0D4A2E91">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746" w:type="dxa"/>
            <w:vAlign w:val="center"/>
          </w:tcPr>
          <w:p w:rsidR="00030322" w:rsidRPr="007663AC" w:rsidP="00605564" w14:paraId="1B4A8884" w14:textId="05204DE7">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8</w:t>
            </w:r>
          </w:p>
        </w:tc>
        <w:tc>
          <w:tcPr>
            <w:tcW w:w="941" w:type="dxa"/>
            <w:vAlign w:val="center"/>
          </w:tcPr>
          <w:p w:rsidR="00030322" w:rsidP="00605564" w14:paraId="5532E1E2" w14:textId="2A261586">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w:t>
            </w:r>
            <w:r w:rsidR="00690E14">
              <w:rPr>
                <w:rFonts w:ascii="Times New Roman" w:hAnsi="Times New Roman"/>
                <w:sz w:val="16"/>
                <w:szCs w:val="16"/>
              </w:rPr>
              <w:t>999</w:t>
            </w:r>
            <w:r>
              <w:rPr>
                <w:rFonts w:ascii="Times New Roman" w:hAnsi="Times New Roman"/>
                <w:sz w:val="16"/>
                <w:szCs w:val="16"/>
              </w:rPr>
              <w:t>)</w:t>
            </w:r>
          </w:p>
        </w:tc>
        <w:tc>
          <w:tcPr>
            <w:tcW w:w="977" w:type="dxa"/>
            <w:vAlign w:val="center"/>
          </w:tcPr>
          <w:p w:rsidR="00030322" w:rsidP="00605564" w14:paraId="74DC5FCA" w14:textId="2C1C9DF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(7,992)</w:t>
            </w:r>
          </w:p>
        </w:tc>
      </w:tr>
      <w:tr w14:paraId="10EAB98E" w14:textId="0E9DEE63" w:rsidTr="0056630F">
        <w:tblPrEx>
          <w:tblW w:w="0" w:type="auto"/>
          <w:tblInd w:w="115" w:type="dxa"/>
          <w:tblCellMar>
            <w:left w:w="115" w:type="dxa"/>
            <w:right w:w="115" w:type="dxa"/>
          </w:tblCellMar>
          <w:tblLook w:val="04A0"/>
        </w:tblPrEx>
        <w:trPr>
          <w:cantSplit/>
        </w:trPr>
        <w:tc>
          <w:tcPr>
            <w:tcW w:w="3581" w:type="dxa"/>
            <w:vAlign w:val="center"/>
          </w:tcPr>
          <w:p w:rsidR="00030322" w:rsidRPr="007663AC" w:rsidP="00605564" w14:paraId="4D5AE7D1" w14:textId="77777777">
            <w:pPr>
              <w:rPr>
                <w:rFonts w:ascii="Times New Roman" w:hAnsi="Times New Roman"/>
                <w:sz w:val="16"/>
                <w:szCs w:val="16"/>
              </w:rPr>
            </w:pPr>
            <w:r w:rsidRPr="007663AC">
              <w:rPr>
                <w:rFonts w:ascii="Times New Roman" w:hAnsi="Times New Roman"/>
                <w:sz w:val="16"/>
                <w:szCs w:val="16"/>
              </w:rPr>
              <w:t>Request for Approval of an FMP for Existing Measurement Facilities -- 43 CFR 3173.12(e) (Form 3160-5)</w:t>
            </w:r>
          </w:p>
          <w:p w:rsidR="00030322" w:rsidRPr="007663AC" w:rsidP="00605564" w14:paraId="337C27C6" w14:textId="77777777">
            <w:pPr>
              <w:rPr>
                <w:rFonts w:ascii="Times New Roman" w:hAnsi="Times New Roman"/>
                <w:sz w:val="16"/>
                <w:szCs w:val="16"/>
              </w:rPr>
            </w:pPr>
            <w:r w:rsidRPr="007663AC">
              <w:rPr>
                <w:rFonts w:ascii="Times New Roman" w:hAnsi="Times New Roman"/>
                <w:sz w:val="16"/>
                <w:szCs w:val="16"/>
              </w:rPr>
              <w:t>One-Time</w:t>
            </w:r>
          </w:p>
        </w:tc>
        <w:tc>
          <w:tcPr>
            <w:tcW w:w="1316" w:type="dxa"/>
            <w:vAlign w:val="center"/>
          </w:tcPr>
          <w:p w:rsidR="00030322" w:rsidRPr="007663AC" w:rsidP="00605564" w14:paraId="3D0EB185"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166,232</w:t>
            </w:r>
          </w:p>
        </w:tc>
        <w:tc>
          <w:tcPr>
            <w:tcW w:w="981" w:type="dxa"/>
            <w:vAlign w:val="center"/>
          </w:tcPr>
          <w:p w:rsidR="00030322" w:rsidRPr="007663AC" w:rsidP="00605564" w14:paraId="2999EB75"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1,329,856</w:t>
            </w:r>
          </w:p>
        </w:tc>
        <w:tc>
          <w:tcPr>
            <w:tcW w:w="933" w:type="dxa"/>
            <w:vAlign w:val="center"/>
          </w:tcPr>
          <w:p w:rsidR="00030322" w:rsidRPr="007663AC" w:rsidP="00605564" w14:paraId="1707A497" w14:textId="71E92F2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746" w:type="dxa"/>
            <w:vAlign w:val="center"/>
          </w:tcPr>
          <w:p w:rsidR="00030322" w:rsidRPr="007663AC" w:rsidP="00605564" w14:paraId="7E03CD69" w14:textId="4359371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8</w:t>
            </w:r>
          </w:p>
        </w:tc>
        <w:tc>
          <w:tcPr>
            <w:tcW w:w="941" w:type="dxa"/>
            <w:vAlign w:val="center"/>
          </w:tcPr>
          <w:p w:rsidR="00030322" w:rsidP="00605564" w14:paraId="7D9C953A" w14:textId="15337AE6">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(166,231)</w:t>
            </w:r>
          </w:p>
        </w:tc>
        <w:tc>
          <w:tcPr>
            <w:tcW w:w="977" w:type="dxa"/>
            <w:vAlign w:val="center"/>
          </w:tcPr>
          <w:p w:rsidR="00030322" w:rsidP="00605564" w14:paraId="5BCF17DE" w14:textId="49428F3F">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w:t>
            </w:r>
            <w:bdo w:val="ltr">
              <w:r w:rsidRPr="00B72EFC">
                <w:rPr>
                  <w:rFonts w:ascii="Times New Roman" w:hAnsi="Times New Roman"/>
                  <w:sz w:val="16"/>
                  <w:szCs w:val="16"/>
                </w:rPr>
                <w:t>1,329,848</w:t>
              </w:r>
              <w:r w:rsidRPr="00B72EFC">
                <w:rPr>
                  <w:rFonts w:ascii="Times New Roman" w:hAnsi="Times New Roman"/>
                  <w:sz w:val="16"/>
                  <w:szCs w:val="16"/>
                </w:rPr>
                <w:t>‬</w:t>
              </w:r>
              <w:r>
                <w:rPr>
                  <w:rFonts w:ascii="Times New Roman" w:hAnsi="Times New Roman"/>
                  <w:sz w:val="16"/>
                  <w:szCs w:val="16"/>
                </w:rPr>
                <w:t>)</w:t>
              </w:r>
              <w:r w:rsidR="004E1404">
                <w:t>‬</w:t>
              </w:r>
              <w:r>
                <w:t>‬</w:t>
              </w:r>
              <w:r>
                <w:t>‬</w:t>
              </w:r>
              <w:r w:rsidR="00E658F9">
                <w:t>‬</w:t>
              </w:r>
              <w:r>
                <w:t>‬</w:t>
              </w:r>
              <w:r>
                <w:t>‬</w:t>
              </w:r>
              <w:r>
                <w:t>‬</w:t>
              </w:r>
              <w:r>
                <w:t>‬</w:t>
              </w:r>
              <w:r w:rsidR="002C3CA0">
                <w:t>‬</w:t>
              </w:r>
              <w:r w:rsidR="00A82FE6">
                <w:t>‬</w:t>
              </w:r>
              <w:r w:rsidR="007D0772">
                <w:t>‬</w:t>
              </w:r>
              <w:r>
                <w:t>‬</w:t>
              </w:r>
              <w:r>
                <w:t>‬</w:t>
              </w:r>
              <w:r w:rsidR="001A6081">
                <w:t>‬</w:t>
              </w:r>
              <w:r>
                <w:t>‬</w:t>
              </w:r>
            </w:bdo>
          </w:p>
        </w:tc>
      </w:tr>
      <w:tr w14:paraId="3FDDF185" w14:textId="77777777" w:rsidTr="0056630F">
        <w:tblPrEx>
          <w:tblW w:w="0" w:type="auto"/>
          <w:tblInd w:w="115" w:type="dxa"/>
          <w:tblCellMar>
            <w:left w:w="115" w:type="dxa"/>
            <w:right w:w="115" w:type="dxa"/>
          </w:tblCellMar>
          <w:tblLook w:val="04A0"/>
        </w:tblPrEx>
        <w:trPr>
          <w:cantSplit/>
        </w:trPr>
        <w:tc>
          <w:tcPr>
            <w:tcW w:w="3581" w:type="dxa"/>
            <w:vAlign w:val="center"/>
          </w:tcPr>
          <w:p w:rsidR="00E710EA" w:rsidRPr="007663AC" w:rsidP="00605564" w14:paraId="2159FBCA" w14:textId="67D920BE">
            <w:pPr>
              <w:rPr>
                <w:rFonts w:ascii="Times New Roman" w:hAnsi="Times New Roman"/>
                <w:sz w:val="16"/>
                <w:szCs w:val="16"/>
              </w:rPr>
            </w:pPr>
            <w:r w:rsidRPr="009760D6">
              <w:rPr>
                <w:rFonts w:ascii="Times New Roman" w:hAnsi="Times New Roman"/>
                <w:sz w:val="16"/>
                <w:szCs w:val="16"/>
              </w:rPr>
              <w:t>Variance Requests -- 43 CFR 3170.6</w:t>
            </w:r>
          </w:p>
        </w:tc>
        <w:tc>
          <w:tcPr>
            <w:tcW w:w="1316" w:type="dxa"/>
            <w:vAlign w:val="center"/>
          </w:tcPr>
          <w:p w:rsidR="00E710EA" w:rsidRPr="007663AC" w:rsidP="00605564" w14:paraId="141D2A2F" w14:textId="648E2C4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100</w:t>
            </w:r>
          </w:p>
        </w:tc>
        <w:tc>
          <w:tcPr>
            <w:tcW w:w="981" w:type="dxa"/>
            <w:vAlign w:val="center"/>
          </w:tcPr>
          <w:p w:rsidR="00E710EA" w:rsidRPr="007663AC" w:rsidP="00605564" w14:paraId="3DE81096" w14:textId="61D02326">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800</w:t>
            </w:r>
          </w:p>
        </w:tc>
        <w:tc>
          <w:tcPr>
            <w:tcW w:w="933" w:type="dxa"/>
            <w:vAlign w:val="center"/>
          </w:tcPr>
          <w:p w:rsidR="00E710EA" w:rsidP="00605564" w14:paraId="0AD11739" w14:textId="75FE70B5">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100</w:t>
            </w:r>
          </w:p>
        </w:tc>
        <w:tc>
          <w:tcPr>
            <w:tcW w:w="746" w:type="dxa"/>
            <w:vAlign w:val="center"/>
          </w:tcPr>
          <w:p w:rsidR="00E710EA" w:rsidP="00605564" w14:paraId="12749930" w14:textId="49A8266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4,000</w:t>
            </w:r>
          </w:p>
        </w:tc>
        <w:tc>
          <w:tcPr>
            <w:tcW w:w="941" w:type="dxa"/>
            <w:vAlign w:val="center"/>
          </w:tcPr>
          <w:p w:rsidR="00E710EA" w:rsidP="00605564" w14:paraId="1E2571C0" w14:textId="52D67E35">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77" w:type="dxa"/>
            <w:vAlign w:val="center"/>
          </w:tcPr>
          <w:p w:rsidR="00E710EA" w:rsidP="00605564" w14:paraId="1D8985C7" w14:textId="58D715B2">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+3,200</w:t>
            </w:r>
          </w:p>
        </w:tc>
      </w:tr>
      <w:tr w14:paraId="3314EE09" w14:textId="77777777" w:rsidTr="0056630F">
        <w:tblPrEx>
          <w:tblW w:w="0" w:type="auto"/>
          <w:tblInd w:w="115" w:type="dxa"/>
          <w:tblCellMar>
            <w:left w:w="115" w:type="dxa"/>
            <w:right w:w="115" w:type="dxa"/>
          </w:tblCellMar>
          <w:tblLook w:val="04A0"/>
        </w:tblPrEx>
        <w:trPr>
          <w:cantSplit/>
        </w:trPr>
        <w:tc>
          <w:tcPr>
            <w:tcW w:w="3581" w:type="dxa"/>
            <w:vAlign w:val="center"/>
          </w:tcPr>
          <w:p w:rsidR="00E710EA" w:rsidRPr="007663AC" w:rsidP="00605564" w14:paraId="40874712" w14:textId="3DE55F26">
            <w:pPr>
              <w:rPr>
                <w:rFonts w:ascii="Times New Roman" w:hAnsi="Times New Roman"/>
                <w:sz w:val="16"/>
                <w:szCs w:val="16"/>
              </w:rPr>
            </w:pPr>
            <w:r w:rsidRPr="008025E6">
              <w:rPr>
                <w:rFonts w:ascii="Times New Roman" w:hAnsi="Times New Roman"/>
                <w:sz w:val="16"/>
                <w:szCs w:val="16"/>
              </w:rPr>
              <w:t>Site Facility Diagrams -- 43 CFR 3173.11</w:t>
            </w:r>
          </w:p>
        </w:tc>
        <w:tc>
          <w:tcPr>
            <w:tcW w:w="1316" w:type="dxa"/>
            <w:vAlign w:val="center"/>
          </w:tcPr>
          <w:p w:rsidR="00E710EA" w:rsidRPr="007663AC" w:rsidP="00605564" w14:paraId="20BE4985" w14:textId="19CE062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9,156</w:t>
            </w:r>
          </w:p>
        </w:tc>
        <w:tc>
          <w:tcPr>
            <w:tcW w:w="981" w:type="dxa"/>
            <w:vAlign w:val="center"/>
          </w:tcPr>
          <w:p w:rsidR="00E710EA" w:rsidRPr="007663AC" w:rsidP="00605564" w14:paraId="3F172DD6" w14:textId="26E38D0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73,248</w:t>
            </w:r>
          </w:p>
        </w:tc>
        <w:tc>
          <w:tcPr>
            <w:tcW w:w="933" w:type="dxa"/>
            <w:vAlign w:val="center"/>
          </w:tcPr>
          <w:p w:rsidR="00E710EA" w:rsidP="00605564" w14:paraId="77463F42" w14:textId="5C2CE6C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9,156</w:t>
            </w:r>
          </w:p>
        </w:tc>
        <w:tc>
          <w:tcPr>
            <w:tcW w:w="746" w:type="dxa"/>
            <w:vAlign w:val="center"/>
          </w:tcPr>
          <w:p w:rsidR="00E710EA" w:rsidP="00605564" w14:paraId="5CF5C2FB" w14:textId="52AFA7DF">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91,560</w:t>
            </w:r>
          </w:p>
        </w:tc>
        <w:tc>
          <w:tcPr>
            <w:tcW w:w="941" w:type="dxa"/>
            <w:vAlign w:val="center"/>
          </w:tcPr>
          <w:p w:rsidR="00E710EA" w:rsidP="00605564" w14:paraId="5B4608B3" w14:textId="37C80309">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77" w:type="dxa"/>
            <w:vAlign w:val="center"/>
          </w:tcPr>
          <w:p w:rsidR="00E710EA" w:rsidP="00605564" w14:paraId="28C89BFC" w14:textId="07080C9B">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+18,312</w:t>
            </w:r>
          </w:p>
        </w:tc>
      </w:tr>
      <w:tr w14:paraId="222159C7" w14:textId="6219A2E8" w:rsidTr="0056630F">
        <w:tblPrEx>
          <w:tblW w:w="0" w:type="auto"/>
          <w:tblInd w:w="115" w:type="dxa"/>
          <w:tblCellMar>
            <w:left w:w="115" w:type="dxa"/>
            <w:right w:w="115" w:type="dxa"/>
          </w:tblCellMar>
          <w:tblLook w:val="04A0"/>
        </w:tblPrEx>
        <w:trPr>
          <w:cantSplit/>
        </w:trPr>
        <w:tc>
          <w:tcPr>
            <w:tcW w:w="3581" w:type="dxa"/>
            <w:vAlign w:val="center"/>
          </w:tcPr>
          <w:p w:rsidR="00030322" w:rsidRPr="007663AC" w:rsidP="00605564" w14:paraId="17DD2C18" w14:textId="77777777">
            <w:pPr>
              <w:pStyle w:val="ListParagraph"/>
              <w:ind w:left="0"/>
              <w:rPr>
                <w:rFonts w:ascii="Times New Roman" w:hAnsi="Times New Roman"/>
                <w:sz w:val="16"/>
                <w:szCs w:val="16"/>
              </w:rPr>
            </w:pPr>
            <w:r w:rsidRPr="007663AC">
              <w:rPr>
                <w:rFonts w:ascii="Times New Roman" w:hAnsi="Times New Roman"/>
                <w:sz w:val="16"/>
                <w:szCs w:val="16"/>
              </w:rPr>
              <w:t xml:space="preserve">Modifications to an FMP -- 43 CFR 3173.13(b)(1) </w:t>
            </w:r>
          </w:p>
          <w:p w:rsidR="00030322" w:rsidRPr="007663AC" w:rsidP="00605564" w14:paraId="1AF14E57" w14:textId="77777777">
            <w:pPr>
              <w:pStyle w:val="ListParagraph"/>
              <w:ind w:left="0"/>
              <w:rPr>
                <w:rFonts w:ascii="Times New Roman" w:hAnsi="Times New Roman"/>
                <w:sz w:val="16"/>
                <w:szCs w:val="16"/>
              </w:rPr>
            </w:pPr>
            <w:r w:rsidRPr="007663AC">
              <w:rPr>
                <w:rFonts w:ascii="Times New Roman" w:hAnsi="Times New Roman"/>
                <w:sz w:val="16"/>
                <w:szCs w:val="16"/>
              </w:rPr>
              <w:t>(Form 360-5)</w:t>
            </w:r>
          </w:p>
        </w:tc>
        <w:tc>
          <w:tcPr>
            <w:tcW w:w="1316" w:type="dxa"/>
            <w:vAlign w:val="center"/>
          </w:tcPr>
          <w:p w:rsidR="00030322" w:rsidRPr="007663AC" w:rsidP="00605564" w14:paraId="36572D3B"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1,000</w:t>
            </w:r>
          </w:p>
        </w:tc>
        <w:tc>
          <w:tcPr>
            <w:tcW w:w="981" w:type="dxa"/>
            <w:vAlign w:val="center"/>
          </w:tcPr>
          <w:p w:rsidR="00030322" w:rsidRPr="007663AC" w:rsidP="00605564" w14:paraId="44F26534" w14:textId="77777777">
            <w:pPr>
              <w:tabs>
                <w:tab w:val="left" w:pos="360"/>
                <w:tab w:val="left" w:pos="630"/>
                <w:tab w:val="left" w:pos="720"/>
                <w:tab w:val="left" w:pos="1080"/>
              </w:tabs>
              <w:jc w:val="right"/>
              <w:rPr>
                <w:rFonts w:ascii="Times New Roman" w:hAnsi="Times New Roman"/>
                <w:sz w:val="16"/>
                <w:szCs w:val="16"/>
              </w:rPr>
            </w:pPr>
            <w:r w:rsidRPr="007663AC">
              <w:rPr>
                <w:rFonts w:ascii="Times New Roman" w:hAnsi="Times New Roman"/>
                <w:sz w:val="16"/>
                <w:szCs w:val="16"/>
              </w:rPr>
              <w:t>8,000</w:t>
            </w:r>
          </w:p>
        </w:tc>
        <w:tc>
          <w:tcPr>
            <w:tcW w:w="933" w:type="dxa"/>
            <w:vAlign w:val="center"/>
          </w:tcPr>
          <w:p w:rsidR="00030322" w:rsidRPr="007663AC" w:rsidP="00605564" w14:paraId="1165D0EA" w14:textId="19C34AD5">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746" w:type="dxa"/>
            <w:vAlign w:val="center"/>
          </w:tcPr>
          <w:p w:rsidR="00030322" w:rsidRPr="007663AC" w:rsidP="00605564" w14:paraId="104C2EBD" w14:textId="50A237BB">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8</w:t>
            </w:r>
          </w:p>
        </w:tc>
        <w:tc>
          <w:tcPr>
            <w:tcW w:w="941" w:type="dxa"/>
            <w:vAlign w:val="center"/>
          </w:tcPr>
          <w:p w:rsidR="00030322" w:rsidP="00605564" w14:paraId="21DB268E" w14:textId="6E7F5AC1">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(999)</w:t>
            </w:r>
          </w:p>
        </w:tc>
        <w:tc>
          <w:tcPr>
            <w:tcW w:w="977" w:type="dxa"/>
            <w:vAlign w:val="center"/>
          </w:tcPr>
          <w:p w:rsidR="00030322" w:rsidP="00605564" w14:paraId="0C8B9366" w14:textId="29516BBC">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(7,992)</w:t>
            </w:r>
          </w:p>
        </w:tc>
      </w:tr>
      <w:tr w14:paraId="42580200" w14:textId="77777777" w:rsidTr="0056630F">
        <w:tblPrEx>
          <w:tblW w:w="0" w:type="auto"/>
          <w:tblInd w:w="115" w:type="dxa"/>
          <w:tblCellMar>
            <w:left w:w="115" w:type="dxa"/>
            <w:right w:w="115" w:type="dxa"/>
          </w:tblCellMar>
          <w:tblLook w:val="04A0"/>
        </w:tblPrEx>
        <w:trPr>
          <w:cantSplit/>
        </w:trPr>
        <w:tc>
          <w:tcPr>
            <w:tcW w:w="3581" w:type="dxa"/>
            <w:vAlign w:val="center"/>
          </w:tcPr>
          <w:p w:rsidR="0056630F" w:rsidRPr="007663AC" w:rsidP="0056630F" w14:paraId="211F5FAE" w14:textId="2D349F9C">
            <w:pPr>
              <w:pStyle w:val="ListParagraph"/>
              <w:ind w:left="0"/>
              <w:rPr>
                <w:rFonts w:ascii="Times New Roman" w:hAnsi="Times New Roman"/>
                <w:sz w:val="16"/>
                <w:szCs w:val="16"/>
              </w:rPr>
            </w:pPr>
            <w:r w:rsidRPr="009760D6">
              <w:rPr>
                <w:rFonts w:ascii="Times New Roman" w:hAnsi="Times New Roman"/>
                <w:sz w:val="16"/>
                <w:szCs w:val="16"/>
              </w:rPr>
              <w:t>Recordkeeping 43 CFR 3170.7</w:t>
            </w:r>
          </w:p>
        </w:tc>
        <w:tc>
          <w:tcPr>
            <w:tcW w:w="1316" w:type="dxa"/>
            <w:vAlign w:val="center"/>
          </w:tcPr>
          <w:p w:rsidR="0056630F" w:rsidRPr="007663AC" w:rsidP="0056630F" w14:paraId="4BA64D5C" w14:textId="3613ACE5">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81" w:type="dxa"/>
            <w:vAlign w:val="center"/>
          </w:tcPr>
          <w:p w:rsidR="0056630F" w:rsidRPr="007663AC" w:rsidP="0056630F" w14:paraId="45F29046" w14:textId="2BDC8B29">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33" w:type="dxa"/>
            <w:vAlign w:val="center"/>
          </w:tcPr>
          <w:p w:rsidR="0056630F" w:rsidP="0056630F" w14:paraId="05959CB5" w14:textId="2BD9C6DE">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200</w:t>
            </w:r>
          </w:p>
        </w:tc>
        <w:tc>
          <w:tcPr>
            <w:tcW w:w="746" w:type="dxa"/>
            <w:vAlign w:val="center"/>
          </w:tcPr>
          <w:p w:rsidR="0056630F" w:rsidP="0056630F" w14:paraId="57A985F9" w14:textId="2E5CFBFE">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1,600</w:t>
            </w:r>
          </w:p>
        </w:tc>
        <w:tc>
          <w:tcPr>
            <w:tcW w:w="941" w:type="dxa"/>
            <w:vAlign w:val="center"/>
          </w:tcPr>
          <w:p w:rsidR="0056630F" w:rsidP="0056630F" w14:paraId="1D858078" w14:textId="4905BE4C">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+200</w:t>
            </w:r>
          </w:p>
        </w:tc>
        <w:tc>
          <w:tcPr>
            <w:tcW w:w="977" w:type="dxa"/>
            <w:vAlign w:val="center"/>
          </w:tcPr>
          <w:p w:rsidR="0056630F" w:rsidP="0056630F" w14:paraId="259E3B5C" w14:textId="44CF9CA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+1,600</w:t>
            </w:r>
          </w:p>
        </w:tc>
      </w:tr>
      <w:tr w14:paraId="4662FE6F" w14:textId="77777777" w:rsidTr="0056630F">
        <w:tblPrEx>
          <w:tblW w:w="0" w:type="auto"/>
          <w:tblInd w:w="115" w:type="dxa"/>
          <w:tblCellMar>
            <w:left w:w="115" w:type="dxa"/>
            <w:right w:w="115" w:type="dxa"/>
          </w:tblCellMar>
          <w:tblLook w:val="04A0"/>
        </w:tblPrEx>
        <w:trPr>
          <w:cantSplit/>
        </w:trPr>
        <w:tc>
          <w:tcPr>
            <w:tcW w:w="3581" w:type="dxa"/>
            <w:vAlign w:val="center"/>
          </w:tcPr>
          <w:p w:rsidR="0056630F" w:rsidRPr="007663AC" w:rsidP="0056630F" w14:paraId="4551A213" w14:textId="56DBE336">
            <w:pPr>
              <w:pStyle w:val="ListParagraph"/>
              <w:ind w:left="0"/>
              <w:rPr>
                <w:rFonts w:ascii="Times New Roman" w:hAnsi="Times New Roman"/>
                <w:sz w:val="16"/>
                <w:szCs w:val="16"/>
              </w:rPr>
            </w:pPr>
            <w:r w:rsidRPr="009760D6">
              <w:rPr>
                <w:rFonts w:ascii="Times New Roman" w:hAnsi="Times New Roman"/>
                <w:sz w:val="16"/>
                <w:szCs w:val="16"/>
              </w:rPr>
              <w:t>Reporting Theft or Mishandling of Oil – 43 CFR 3173.8 (non-form)</w:t>
            </w:r>
          </w:p>
        </w:tc>
        <w:tc>
          <w:tcPr>
            <w:tcW w:w="1316" w:type="dxa"/>
            <w:vAlign w:val="center"/>
          </w:tcPr>
          <w:p w:rsidR="0056630F" w:rsidRPr="007663AC" w:rsidP="0056630F" w14:paraId="67C39834" w14:textId="46D35FB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81" w:type="dxa"/>
            <w:vAlign w:val="center"/>
          </w:tcPr>
          <w:p w:rsidR="0056630F" w:rsidRPr="007663AC" w:rsidP="0056630F" w14:paraId="55B2F2E8" w14:textId="360ABAD4">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0</w:t>
            </w:r>
          </w:p>
        </w:tc>
        <w:tc>
          <w:tcPr>
            <w:tcW w:w="933" w:type="dxa"/>
            <w:vAlign w:val="center"/>
          </w:tcPr>
          <w:p w:rsidR="0056630F" w:rsidP="0056630F" w14:paraId="4D1D9D53" w14:textId="5CAEF050">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746" w:type="dxa"/>
            <w:vAlign w:val="center"/>
          </w:tcPr>
          <w:p w:rsidR="0056630F" w:rsidP="0056630F" w14:paraId="04295A57" w14:textId="5B1DF068">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40</w:t>
            </w:r>
          </w:p>
        </w:tc>
        <w:tc>
          <w:tcPr>
            <w:tcW w:w="941" w:type="dxa"/>
            <w:vAlign w:val="center"/>
          </w:tcPr>
          <w:p w:rsidR="0056630F" w:rsidP="0056630F" w14:paraId="417B5F46" w14:textId="1D4358BC">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977" w:type="dxa"/>
            <w:vAlign w:val="center"/>
          </w:tcPr>
          <w:p w:rsidR="0056630F" w:rsidP="0056630F" w14:paraId="3502C597" w14:textId="76BED619">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+40</w:t>
            </w:r>
          </w:p>
        </w:tc>
      </w:tr>
      <w:tr w14:paraId="0ADA6D28" w14:textId="77777777" w:rsidTr="0056630F">
        <w:tblPrEx>
          <w:tblW w:w="0" w:type="auto"/>
          <w:tblInd w:w="115" w:type="dxa"/>
          <w:tblCellMar>
            <w:left w:w="115" w:type="dxa"/>
            <w:right w:w="115" w:type="dxa"/>
          </w:tblCellMar>
          <w:tblLook w:val="04A0"/>
        </w:tblPrEx>
        <w:trPr>
          <w:cantSplit/>
        </w:trPr>
        <w:tc>
          <w:tcPr>
            <w:tcW w:w="3581" w:type="dxa"/>
            <w:vAlign w:val="center"/>
          </w:tcPr>
          <w:p w:rsidR="00B56970" w:rsidRPr="009760D6" w:rsidP="00B56970" w14:paraId="25879E56" w14:textId="77777777">
            <w:pPr>
              <w:pStyle w:val="ListParagraph"/>
              <w:ind w:left="0"/>
              <w:rPr>
                <w:rFonts w:ascii="Times New Roman" w:hAnsi="Times New Roman"/>
                <w:sz w:val="16"/>
                <w:szCs w:val="16"/>
              </w:rPr>
            </w:pPr>
            <w:r w:rsidRPr="009760D6">
              <w:rPr>
                <w:rFonts w:ascii="Times New Roman" w:hAnsi="Times New Roman"/>
                <w:sz w:val="16"/>
                <w:szCs w:val="16"/>
              </w:rPr>
              <w:t>Response to Notice of Insufficient Off-Lease Measurement Approval -- 43 CFR 3173.25</w:t>
            </w:r>
          </w:p>
          <w:p w:rsidR="0056630F" w:rsidRPr="007663AC" w:rsidP="0056630F" w14:paraId="5EC7B43A" w14:textId="77777777">
            <w:pPr>
              <w:pStyle w:val="ListParagraph"/>
              <w:ind w:left="0"/>
              <w:rPr>
                <w:rFonts w:ascii="Times New Roman" w:hAnsi="Times New Roman"/>
                <w:sz w:val="16"/>
                <w:szCs w:val="16"/>
              </w:rPr>
            </w:pPr>
          </w:p>
        </w:tc>
        <w:tc>
          <w:tcPr>
            <w:tcW w:w="1316" w:type="dxa"/>
            <w:vAlign w:val="center"/>
          </w:tcPr>
          <w:p w:rsidR="0056630F" w:rsidRPr="007663AC" w:rsidP="0056630F" w14:paraId="2E59EEFC" w14:textId="0CB78AFB">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15</w:t>
            </w:r>
          </w:p>
        </w:tc>
        <w:tc>
          <w:tcPr>
            <w:tcW w:w="981" w:type="dxa"/>
            <w:vAlign w:val="center"/>
          </w:tcPr>
          <w:p w:rsidR="0056630F" w:rsidRPr="007663AC" w:rsidP="0056630F" w14:paraId="4B321230" w14:textId="14D655AE">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600</w:t>
            </w:r>
          </w:p>
        </w:tc>
        <w:tc>
          <w:tcPr>
            <w:tcW w:w="933" w:type="dxa"/>
            <w:vAlign w:val="center"/>
          </w:tcPr>
          <w:p w:rsidR="0056630F" w:rsidP="0056630F" w14:paraId="5AF090B4" w14:textId="5E6CB9C5">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1</w:t>
            </w:r>
          </w:p>
        </w:tc>
        <w:tc>
          <w:tcPr>
            <w:tcW w:w="746" w:type="dxa"/>
            <w:vAlign w:val="center"/>
          </w:tcPr>
          <w:p w:rsidR="0056630F" w:rsidP="0056630F" w14:paraId="59EC3E5A" w14:textId="33F47B4A">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40</w:t>
            </w:r>
          </w:p>
        </w:tc>
        <w:tc>
          <w:tcPr>
            <w:tcW w:w="941" w:type="dxa"/>
            <w:vAlign w:val="center"/>
          </w:tcPr>
          <w:p w:rsidR="0056630F" w:rsidP="0056630F" w14:paraId="5720F14A" w14:textId="56F61ACB">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w:t>
            </w:r>
            <w:r w:rsidR="0005478D">
              <w:rPr>
                <w:rFonts w:ascii="Times New Roman" w:hAnsi="Times New Roman"/>
                <w:sz w:val="16"/>
                <w:szCs w:val="16"/>
              </w:rPr>
              <w:t>14</w:t>
            </w:r>
            <w:r>
              <w:rPr>
                <w:rFonts w:ascii="Times New Roman" w:hAnsi="Times New Roman"/>
                <w:sz w:val="16"/>
                <w:szCs w:val="16"/>
              </w:rPr>
              <w:t>)</w:t>
            </w:r>
          </w:p>
        </w:tc>
        <w:tc>
          <w:tcPr>
            <w:tcW w:w="977" w:type="dxa"/>
            <w:vAlign w:val="center"/>
          </w:tcPr>
          <w:p w:rsidR="0056630F" w:rsidP="0056630F" w14:paraId="25D5819F" w14:textId="64D80112">
            <w:pPr>
              <w:tabs>
                <w:tab w:val="left" w:pos="360"/>
                <w:tab w:val="left" w:pos="630"/>
                <w:tab w:val="left" w:pos="720"/>
                <w:tab w:val="left" w:pos="1080"/>
              </w:tabs>
              <w:jc w:val="right"/>
              <w:rPr>
                <w:rFonts w:ascii="Times New Roman" w:hAnsi="Times New Roman"/>
                <w:sz w:val="16"/>
                <w:szCs w:val="16"/>
              </w:rPr>
            </w:pPr>
            <w:r>
              <w:rPr>
                <w:rFonts w:ascii="Times New Roman" w:hAnsi="Times New Roman"/>
                <w:sz w:val="16"/>
                <w:szCs w:val="16"/>
              </w:rPr>
              <w:t>(</w:t>
            </w:r>
            <w:r w:rsidR="0005478D">
              <w:rPr>
                <w:rFonts w:ascii="Times New Roman" w:hAnsi="Times New Roman"/>
                <w:sz w:val="16"/>
                <w:szCs w:val="16"/>
              </w:rPr>
              <w:t>560</w:t>
            </w:r>
            <w:r>
              <w:rPr>
                <w:rFonts w:ascii="Times New Roman" w:hAnsi="Times New Roman"/>
                <w:sz w:val="16"/>
                <w:szCs w:val="16"/>
              </w:rPr>
              <w:t>)</w:t>
            </w:r>
          </w:p>
        </w:tc>
      </w:tr>
      <w:tr w14:paraId="4CDA83D9" w14:textId="77777777" w:rsidTr="00A353C9">
        <w:tblPrEx>
          <w:tblW w:w="0" w:type="auto"/>
          <w:tblInd w:w="115" w:type="dxa"/>
          <w:tblCellMar>
            <w:left w:w="115" w:type="dxa"/>
            <w:right w:w="115" w:type="dxa"/>
          </w:tblCellMar>
          <w:tblLook w:val="04A0"/>
        </w:tblPrEx>
        <w:trPr>
          <w:cantSplit/>
        </w:trPr>
        <w:tc>
          <w:tcPr>
            <w:tcW w:w="3581" w:type="dxa"/>
            <w:vAlign w:val="center"/>
          </w:tcPr>
          <w:p w:rsidR="00E342FC" w:rsidRPr="00BA41CD" w:rsidP="00E342FC" w14:paraId="45B68B96" w14:textId="69B95770">
            <w:pPr>
              <w:pStyle w:val="ListParagraph"/>
              <w:ind w:left="0"/>
              <w:jc w:val="right"/>
              <w:rPr>
                <w:rFonts w:ascii="Times New Roman" w:hAnsi="Times New Roman"/>
                <w:b/>
                <w:bCs/>
                <w:sz w:val="16"/>
                <w:szCs w:val="16"/>
              </w:rPr>
            </w:pPr>
            <w:r w:rsidRPr="00BA41CD">
              <w:rPr>
                <w:rFonts w:ascii="Times New Roman" w:hAnsi="Times New Roman"/>
                <w:b/>
                <w:bCs/>
                <w:sz w:val="16"/>
                <w:szCs w:val="16"/>
              </w:rPr>
              <w:t>Total Impacted Burden:</w:t>
            </w:r>
          </w:p>
        </w:tc>
        <w:tc>
          <w:tcPr>
            <w:tcW w:w="1316" w:type="dxa"/>
            <w:tcBorders>
              <w:top w:val="nil"/>
              <w:left w:val="single" w:sz="8" w:space="0" w:color="000000"/>
              <w:bottom w:val="single" w:sz="8" w:space="0" w:color="000000"/>
              <w:right w:val="single" w:sz="8" w:space="0" w:color="000000"/>
            </w:tcBorders>
            <w:shd w:val="clear" w:color="auto" w:fill="auto"/>
            <w:vAlign w:val="center"/>
          </w:tcPr>
          <w:p w:rsidR="00E342FC" w:rsidRPr="006A6164" w:rsidP="00E342FC" w14:paraId="0715DA3A" w14:textId="2FB13B3E">
            <w:pPr>
              <w:tabs>
                <w:tab w:val="left" w:pos="360"/>
                <w:tab w:val="left" w:pos="630"/>
                <w:tab w:val="left" w:pos="720"/>
                <w:tab w:val="left" w:pos="1080"/>
              </w:tabs>
              <w:jc w:val="right"/>
              <w:rPr>
                <w:rFonts w:ascii="Times New Roman" w:hAnsi="Times New Roman"/>
                <w:b/>
                <w:bCs/>
                <w:sz w:val="16"/>
                <w:szCs w:val="16"/>
              </w:rPr>
            </w:pPr>
            <w:r w:rsidRPr="006A6164">
              <w:rPr>
                <w:rFonts w:ascii="Times New Roman" w:hAnsi="Times New Roman"/>
                <w:b/>
                <w:bCs/>
                <w:color w:val="000000"/>
                <w:sz w:val="16"/>
                <w:szCs w:val="16"/>
              </w:rPr>
              <w:t>177,503</w:t>
            </w:r>
          </w:p>
        </w:tc>
        <w:tc>
          <w:tcPr>
            <w:tcW w:w="981" w:type="dxa"/>
            <w:tcBorders>
              <w:top w:val="nil"/>
              <w:left w:val="nil"/>
              <w:bottom w:val="single" w:sz="8" w:space="0" w:color="000000"/>
              <w:right w:val="single" w:sz="8" w:space="0" w:color="000000"/>
            </w:tcBorders>
            <w:shd w:val="clear" w:color="auto" w:fill="auto"/>
            <w:vAlign w:val="center"/>
          </w:tcPr>
          <w:p w:rsidR="00E342FC" w:rsidRPr="006A6164" w:rsidP="00E342FC" w14:paraId="6C61A9A6" w14:textId="08BEA4C8">
            <w:pPr>
              <w:tabs>
                <w:tab w:val="left" w:pos="360"/>
                <w:tab w:val="left" w:pos="630"/>
                <w:tab w:val="left" w:pos="720"/>
                <w:tab w:val="left" w:pos="1080"/>
              </w:tabs>
              <w:jc w:val="right"/>
              <w:rPr>
                <w:rFonts w:ascii="Times New Roman" w:hAnsi="Times New Roman"/>
                <w:b/>
                <w:bCs/>
                <w:sz w:val="16"/>
                <w:szCs w:val="16"/>
              </w:rPr>
            </w:pPr>
            <w:r w:rsidRPr="006A6164">
              <w:rPr>
                <w:rFonts w:ascii="Times New Roman" w:hAnsi="Times New Roman"/>
                <w:b/>
                <w:bCs/>
                <w:color w:val="000000"/>
                <w:sz w:val="16"/>
                <w:szCs w:val="16"/>
              </w:rPr>
              <w:t>1,420,504</w:t>
            </w:r>
          </w:p>
        </w:tc>
        <w:tc>
          <w:tcPr>
            <w:tcW w:w="933" w:type="dxa"/>
            <w:tcBorders>
              <w:top w:val="nil"/>
              <w:left w:val="nil"/>
              <w:bottom w:val="single" w:sz="8" w:space="0" w:color="000000"/>
              <w:right w:val="single" w:sz="8" w:space="0" w:color="000000"/>
            </w:tcBorders>
            <w:shd w:val="clear" w:color="auto" w:fill="auto"/>
            <w:vAlign w:val="center"/>
          </w:tcPr>
          <w:p w:rsidR="00E342FC" w:rsidRPr="006A6164" w:rsidP="00E342FC" w14:paraId="79B6498D" w14:textId="4AD12803">
            <w:pPr>
              <w:tabs>
                <w:tab w:val="left" w:pos="360"/>
                <w:tab w:val="left" w:pos="630"/>
                <w:tab w:val="left" w:pos="720"/>
                <w:tab w:val="left" w:pos="1080"/>
              </w:tabs>
              <w:jc w:val="right"/>
              <w:rPr>
                <w:rFonts w:ascii="Times New Roman" w:hAnsi="Times New Roman"/>
                <w:b/>
                <w:bCs/>
                <w:sz w:val="16"/>
                <w:szCs w:val="16"/>
              </w:rPr>
            </w:pPr>
            <w:r w:rsidRPr="006A6164">
              <w:rPr>
                <w:rFonts w:ascii="Times New Roman" w:hAnsi="Times New Roman"/>
                <w:b/>
                <w:bCs/>
                <w:color w:val="000000"/>
                <w:sz w:val="16"/>
                <w:szCs w:val="16"/>
              </w:rPr>
              <w:t>9,461</w:t>
            </w:r>
          </w:p>
        </w:tc>
        <w:tc>
          <w:tcPr>
            <w:tcW w:w="746" w:type="dxa"/>
            <w:tcBorders>
              <w:top w:val="nil"/>
              <w:left w:val="nil"/>
              <w:bottom w:val="single" w:sz="8" w:space="0" w:color="000000"/>
              <w:right w:val="single" w:sz="8" w:space="0" w:color="000000"/>
            </w:tcBorders>
            <w:shd w:val="clear" w:color="auto" w:fill="auto"/>
            <w:vAlign w:val="center"/>
          </w:tcPr>
          <w:p w:rsidR="00E342FC" w:rsidRPr="006A6164" w:rsidP="00E342FC" w14:paraId="613096FD" w14:textId="67897197">
            <w:pPr>
              <w:tabs>
                <w:tab w:val="left" w:pos="360"/>
                <w:tab w:val="left" w:pos="630"/>
                <w:tab w:val="left" w:pos="720"/>
                <w:tab w:val="left" w:pos="1080"/>
              </w:tabs>
              <w:jc w:val="right"/>
              <w:rPr>
                <w:rFonts w:ascii="Times New Roman" w:hAnsi="Times New Roman"/>
                <w:b/>
                <w:bCs/>
                <w:sz w:val="16"/>
                <w:szCs w:val="16"/>
              </w:rPr>
            </w:pPr>
            <w:r w:rsidRPr="006A6164">
              <w:rPr>
                <w:rFonts w:ascii="Times New Roman" w:hAnsi="Times New Roman"/>
                <w:b/>
                <w:bCs/>
                <w:color w:val="000000"/>
                <w:sz w:val="16"/>
                <w:szCs w:val="16"/>
              </w:rPr>
              <w:t>97,264</w:t>
            </w:r>
          </w:p>
        </w:tc>
        <w:tc>
          <w:tcPr>
            <w:tcW w:w="941" w:type="dxa"/>
            <w:tcBorders>
              <w:top w:val="nil"/>
              <w:left w:val="nil"/>
              <w:bottom w:val="single" w:sz="8" w:space="0" w:color="000000"/>
              <w:right w:val="single" w:sz="8" w:space="0" w:color="000000"/>
            </w:tcBorders>
            <w:shd w:val="clear" w:color="auto" w:fill="auto"/>
            <w:vAlign w:val="center"/>
          </w:tcPr>
          <w:p w:rsidR="00E342FC" w:rsidRPr="006A6164" w:rsidP="00E342FC" w14:paraId="201D4FFD" w14:textId="6DA119EF">
            <w:pPr>
              <w:tabs>
                <w:tab w:val="left" w:pos="360"/>
                <w:tab w:val="left" w:pos="630"/>
                <w:tab w:val="left" w:pos="720"/>
                <w:tab w:val="left" w:pos="1080"/>
              </w:tabs>
              <w:jc w:val="right"/>
              <w:rPr>
                <w:rFonts w:ascii="Times New Roman" w:hAnsi="Times New Roman"/>
                <w:b/>
                <w:bCs/>
                <w:sz w:val="16"/>
                <w:szCs w:val="16"/>
              </w:rPr>
            </w:pPr>
            <w:r>
              <w:rPr>
                <w:rFonts w:ascii="Times New Roman" w:hAnsi="Times New Roman"/>
                <w:b/>
                <w:bCs/>
                <w:color w:val="000000"/>
                <w:sz w:val="16"/>
                <w:szCs w:val="16"/>
              </w:rPr>
              <w:t>(</w:t>
            </w:r>
            <w:r w:rsidRPr="006A6164">
              <w:rPr>
                <w:rFonts w:ascii="Times New Roman" w:hAnsi="Times New Roman"/>
                <w:b/>
                <w:bCs/>
                <w:color w:val="000000"/>
                <w:sz w:val="16"/>
                <w:szCs w:val="16"/>
              </w:rPr>
              <w:t>168,042</w:t>
            </w:r>
            <w:r>
              <w:rPr>
                <w:rFonts w:ascii="Times New Roman" w:hAnsi="Times New Roman"/>
                <w:b/>
                <w:bCs/>
                <w:color w:val="000000"/>
                <w:sz w:val="16"/>
                <w:szCs w:val="16"/>
              </w:rPr>
              <w:t>)</w:t>
            </w:r>
          </w:p>
        </w:tc>
        <w:tc>
          <w:tcPr>
            <w:tcW w:w="977" w:type="dxa"/>
            <w:tcBorders>
              <w:top w:val="nil"/>
              <w:left w:val="nil"/>
              <w:bottom w:val="single" w:sz="8" w:space="0" w:color="000000"/>
              <w:right w:val="single" w:sz="8" w:space="0" w:color="000000"/>
            </w:tcBorders>
            <w:shd w:val="clear" w:color="auto" w:fill="auto"/>
            <w:vAlign w:val="center"/>
          </w:tcPr>
          <w:p w:rsidR="00E342FC" w:rsidRPr="006A6164" w:rsidP="00E342FC" w14:paraId="1F925BDA" w14:textId="55EA4EF7">
            <w:pPr>
              <w:tabs>
                <w:tab w:val="left" w:pos="360"/>
                <w:tab w:val="left" w:pos="630"/>
                <w:tab w:val="left" w:pos="720"/>
                <w:tab w:val="left" w:pos="1080"/>
              </w:tabs>
              <w:jc w:val="right"/>
              <w:rPr>
                <w:rFonts w:ascii="Times New Roman" w:hAnsi="Times New Roman"/>
                <w:b/>
                <w:bCs/>
                <w:sz w:val="16"/>
                <w:szCs w:val="16"/>
              </w:rPr>
            </w:pPr>
            <w:r>
              <w:rPr>
                <w:rFonts w:ascii="Times New Roman" w:hAnsi="Times New Roman"/>
                <w:b/>
                <w:bCs/>
                <w:color w:val="000000"/>
                <w:sz w:val="16"/>
                <w:szCs w:val="16"/>
              </w:rPr>
              <w:t>(</w:t>
            </w:r>
            <w:r w:rsidRPr="006A6164">
              <w:rPr>
                <w:rFonts w:ascii="Times New Roman" w:hAnsi="Times New Roman"/>
                <w:b/>
                <w:bCs/>
                <w:color w:val="000000"/>
                <w:sz w:val="16"/>
                <w:szCs w:val="16"/>
              </w:rPr>
              <w:t>1,323,240</w:t>
            </w:r>
            <w:r w:rsidR="00C40BF5">
              <w:rPr>
                <w:rFonts w:ascii="Times New Roman" w:hAnsi="Times New Roman"/>
                <w:b/>
                <w:bCs/>
                <w:color w:val="000000"/>
                <w:sz w:val="16"/>
                <w:szCs w:val="16"/>
              </w:rPr>
              <w:t>)</w:t>
            </w:r>
          </w:p>
        </w:tc>
      </w:tr>
    </w:tbl>
    <w:p w:rsidR="003A7723" w:rsidP="005C6DEE" w14:paraId="667E4C53" w14:textId="77777777">
      <w:pPr>
        <w:tabs>
          <w:tab w:val="left" w:pos="360"/>
          <w:tab w:val="left" w:pos="630"/>
        </w:tabs>
        <w:rPr>
          <w:rFonts w:ascii="Times New Roman" w:hAnsi="Times New Roman"/>
          <w:sz w:val="20"/>
          <w:szCs w:val="20"/>
        </w:rPr>
      </w:pPr>
    </w:p>
    <w:p w:rsidR="000B3A8F" w:rsidRPr="00B837DE" w:rsidP="005C6DEE" w14:paraId="140B6DAA" w14:textId="1C2E65A1">
      <w:pPr>
        <w:tabs>
          <w:tab w:val="left" w:pos="360"/>
          <w:tab w:val="left" w:pos="630"/>
        </w:tabs>
        <w:rPr>
          <w:rFonts w:ascii="Times New Roman" w:hAnsi="Times New Roman"/>
          <w:b/>
          <w:bCs/>
          <w:sz w:val="20"/>
          <w:szCs w:val="20"/>
        </w:rPr>
      </w:pPr>
      <w:r w:rsidRPr="000B3A8F">
        <w:rPr>
          <w:rFonts w:ascii="Times New Roman" w:hAnsi="Times New Roman"/>
          <w:b/>
          <w:bCs/>
          <w:sz w:val="20"/>
          <w:szCs w:val="20"/>
        </w:rPr>
        <w:t>Table 15-</w:t>
      </w:r>
      <w:r w:rsidR="00B51D0E">
        <w:rPr>
          <w:rFonts w:ascii="Times New Roman" w:hAnsi="Times New Roman"/>
          <w:b/>
          <w:bCs/>
          <w:sz w:val="20"/>
          <w:szCs w:val="20"/>
        </w:rPr>
        <w:t>3</w:t>
      </w:r>
      <w:r w:rsidRPr="000B3A8F">
        <w:rPr>
          <w:rFonts w:ascii="Times New Roman" w:hAnsi="Times New Roman"/>
          <w:b/>
          <w:bCs/>
          <w:sz w:val="20"/>
          <w:szCs w:val="20"/>
        </w:rPr>
        <w:t xml:space="preserve">: </w:t>
      </w:r>
      <w:r w:rsidR="004D3694">
        <w:rPr>
          <w:rFonts w:ascii="Times New Roman" w:hAnsi="Times New Roman"/>
          <w:b/>
          <w:bCs/>
          <w:sz w:val="20"/>
          <w:szCs w:val="20"/>
        </w:rPr>
        <w:t xml:space="preserve">Summary of </w:t>
      </w:r>
      <w:r w:rsidRPr="000B3A8F">
        <w:rPr>
          <w:rFonts w:ascii="Times New Roman" w:hAnsi="Times New Roman"/>
          <w:b/>
          <w:bCs/>
          <w:sz w:val="20"/>
          <w:szCs w:val="20"/>
        </w:rPr>
        <w:t>Burden Changes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2084"/>
        <w:gridCol w:w="2364"/>
        <w:gridCol w:w="2168"/>
      </w:tblGrid>
      <w:tr w14:paraId="37ED27EE" w14:textId="6B5E8E8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00" w:type="dxa"/>
            <w:shd w:val="clear" w:color="auto" w:fill="D9D9D9"/>
          </w:tcPr>
          <w:p w:rsidR="00B837DE" w14:paraId="7667A587" w14:textId="159B2CDD">
            <w:pPr>
              <w:tabs>
                <w:tab w:val="left" w:pos="360"/>
                <w:tab w:val="left" w:pos="630"/>
              </w:tabs>
              <w:jc w:val="center"/>
              <w:rPr>
                <w:rFonts w:ascii="Times New Roman" w:hAnsi="Times New Roman"/>
                <w:b/>
                <w:sz w:val="16"/>
                <w:szCs w:val="16"/>
              </w:rPr>
            </w:pPr>
          </w:p>
        </w:tc>
        <w:tc>
          <w:tcPr>
            <w:tcW w:w="2133" w:type="dxa"/>
            <w:shd w:val="clear" w:color="auto" w:fill="D9D9D9"/>
          </w:tcPr>
          <w:p w:rsidR="00B837DE" w14:paraId="01461300" w14:textId="4FA68A0F">
            <w:pPr>
              <w:tabs>
                <w:tab w:val="left" w:pos="360"/>
                <w:tab w:val="left" w:pos="630"/>
              </w:tabs>
              <w:jc w:val="center"/>
              <w:rPr>
                <w:rFonts w:ascii="Times New Roman" w:hAnsi="Times New Roman"/>
                <w:b/>
                <w:sz w:val="16"/>
                <w:szCs w:val="16"/>
              </w:rPr>
            </w:pPr>
            <w:r>
              <w:rPr>
                <w:rFonts w:ascii="Times New Roman" w:hAnsi="Times New Roman"/>
                <w:b/>
                <w:sz w:val="16"/>
                <w:szCs w:val="16"/>
              </w:rPr>
              <w:t>Annual Responses</w:t>
            </w:r>
          </w:p>
        </w:tc>
        <w:tc>
          <w:tcPr>
            <w:tcW w:w="2423" w:type="dxa"/>
            <w:shd w:val="clear" w:color="auto" w:fill="D9D9D9"/>
          </w:tcPr>
          <w:p w:rsidR="00B837DE" w14:paraId="78538A4A" w14:textId="707BA297">
            <w:pPr>
              <w:tabs>
                <w:tab w:val="left" w:pos="360"/>
                <w:tab w:val="left" w:pos="630"/>
              </w:tabs>
              <w:jc w:val="center"/>
              <w:rPr>
                <w:rFonts w:ascii="Times New Roman" w:hAnsi="Times New Roman"/>
                <w:b/>
                <w:sz w:val="16"/>
                <w:szCs w:val="16"/>
              </w:rPr>
            </w:pPr>
            <w:r>
              <w:rPr>
                <w:rFonts w:ascii="Times New Roman" w:hAnsi="Times New Roman"/>
                <w:b/>
                <w:sz w:val="16"/>
                <w:szCs w:val="16"/>
              </w:rPr>
              <w:t>Annual Burden Hours</w:t>
            </w:r>
          </w:p>
        </w:tc>
        <w:tc>
          <w:tcPr>
            <w:tcW w:w="2212" w:type="dxa"/>
            <w:shd w:val="clear" w:color="auto" w:fill="D9D9D9"/>
          </w:tcPr>
          <w:p w:rsidR="00B837DE" w14:paraId="258E7589" w14:textId="23B5E894">
            <w:pPr>
              <w:tabs>
                <w:tab w:val="left" w:pos="360"/>
                <w:tab w:val="left" w:pos="630"/>
              </w:tabs>
              <w:jc w:val="center"/>
              <w:rPr>
                <w:rFonts w:ascii="Times New Roman" w:hAnsi="Times New Roman"/>
                <w:b/>
                <w:sz w:val="16"/>
                <w:szCs w:val="16"/>
              </w:rPr>
            </w:pPr>
            <w:r>
              <w:rPr>
                <w:rFonts w:ascii="Times New Roman" w:hAnsi="Times New Roman"/>
                <w:b/>
                <w:sz w:val="16"/>
                <w:szCs w:val="16"/>
              </w:rPr>
              <w:t>Annual Cost Burden</w:t>
            </w:r>
          </w:p>
        </w:tc>
      </w:tr>
      <w:tr w14:paraId="0CA44942" w14:textId="77777777">
        <w:tblPrEx>
          <w:tblW w:w="0" w:type="auto"/>
          <w:tblInd w:w="108" w:type="dxa"/>
          <w:tblLook w:val="04A0"/>
        </w:tblPrEx>
        <w:tc>
          <w:tcPr>
            <w:tcW w:w="2700" w:type="dxa"/>
            <w:shd w:val="clear" w:color="auto" w:fill="auto"/>
          </w:tcPr>
          <w:p w:rsidR="00831EC0" w14:paraId="02A9DC75" w14:textId="12BEBC91">
            <w:pPr>
              <w:tabs>
                <w:tab w:val="left" w:pos="360"/>
                <w:tab w:val="left" w:pos="630"/>
              </w:tabs>
              <w:rPr>
                <w:rFonts w:ascii="Times New Roman" w:hAnsi="Times New Roman"/>
                <w:bCs/>
                <w:sz w:val="16"/>
                <w:szCs w:val="16"/>
              </w:rPr>
            </w:pPr>
            <w:r>
              <w:rPr>
                <w:rFonts w:ascii="Times New Roman" w:hAnsi="Times New Roman"/>
                <w:bCs/>
                <w:sz w:val="16"/>
                <w:szCs w:val="16"/>
              </w:rPr>
              <w:t>Current Burden for 1004-0137</w:t>
            </w:r>
          </w:p>
        </w:tc>
        <w:tc>
          <w:tcPr>
            <w:tcW w:w="2133" w:type="dxa"/>
            <w:shd w:val="clear" w:color="auto" w:fill="auto"/>
          </w:tcPr>
          <w:p w:rsidR="00831EC0" w14:paraId="497B2415" w14:textId="17F44A00">
            <w:pPr>
              <w:tabs>
                <w:tab w:val="left" w:pos="360"/>
                <w:tab w:val="left" w:pos="630"/>
              </w:tabs>
              <w:jc w:val="right"/>
              <w:rPr>
                <w:rFonts w:ascii="Times New Roman" w:hAnsi="Times New Roman"/>
                <w:bCs/>
                <w:sz w:val="16"/>
                <w:szCs w:val="16"/>
              </w:rPr>
            </w:pPr>
            <w:r>
              <w:rPr>
                <w:rFonts w:ascii="Times New Roman" w:hAnsi="Times New Roman"/>
                <w:sz w:val="16"/>
                <w:szCs w:val="16"/>
              </w:rPr>
              <w:t>301,663</w:t>
            </w:r>
          </w:p>
        </w:tc>
        <w:tc>
          <w:tcPr>
            <w:tcW w:w="2423" w:type="dxa"/>
            <w:shd w:val="clear" w:color="auto" w:fill="auto"/>
          </w:tcPr>
          <w:p w:rsidR="00831EC0" w14:paraId="14242096" w14:textId="4155FA56">
            <w:pPr>
              <w:tabs>
                <w:tab w:val="left" w:pos="360"/>
                <w:tab w:val="left" w:pos="630"/>
              </w:tabs>
              <w:jc w:val="right"/>
              <w:rPr>
                <w:rFonts w:ascii="Times New Roman" w:hAnsi="Times New Roman"/>
                <w:bCs/>
                <w:sz w:val="16"/>
                <w:szCs w:val="16"/>
              </w:rPr>
            </w:pPr>
            <w:r>
              <w:rPr>
                <w:rFonts w:ascii="Times New Roman" w:hAnsi="Times New Roman"/>
                <w:sz w:val="16"/>
                <w:szCs w:val="16"/>
              </w:rPr>
              <w:t>1,835,888</w:t>
            </w:r>
          </w:p>
        </w:tc>
        <w:tc>
          <w:tcPr>
            <w:tcW w:w="2212" w:type="dxa"/>
            <w:shd w:val="clear" w:color="auto" w:fill="auto"/>
          </w:tcPr>
          <w:p w:rsidR="00831EC0" w14:paraId="4902D4A3" w14:textId="3EE58D9C">
            <w:pPr>
              <w:tabs>
                <w:tab w:val="left" w:pos="360"/>
                <w:tab w:val="left" w:pos="630"/>
              </w:tabs>
              <w:jc w:val="right"/>
              <w:rPr>
                <w:rFonts w:ascii="Times New Roman" w:hAnsi="Times New Roman"/>
                <w:bCs/>
                <w:sz w:val="16"/>
                <w:szCs w:val="16"/>
              </w:rPr>
            </w:pPr>
            <w:r>
              <w:rPr>
                <w:rFonts w:ascii="Times New Roman" w:hAnsi="Times New Roman"/>
                <w:bCs/>
                <w:sz w:val="16"/>
                <w:szCs w:val="16"/>
              </w:rPr>
              <w:t>$31,080,000</w:t>
            </w:r>
          </w:p>
        </w:tc>
      </w:tr>
      <w:tr w14:paraId="06BF5B63" w14:textId="39C47B89">
        <w:tblPrEx>
          <w:tblW w:w="0" w:type="auto"/>
          <w:tblInd w:w="108" w:type="dxa"/>
          <w:tblLook w:val="04A0"/>
        </w:tblPrEx>
        <w:tc>
          <w:tcPr>
            <w:tcW w:w="2700" w:type="dxa"/>
            <w:shd w:val="clear" w:color="auto" w:fill="auto"/>
          </w:tcPr>
          <w:p w:rsidR="00B837DE" w14:paraId="20219BD2" w14:textId="5C80C361">
            <w:pPr>
              <w:tabs>
                <w:tab w:val="left" w:pos="360"/>
                <w:tab w:val="left" w:pos="630"/>
              </w:tabs>
              <w:rPr>
                <w:rFonts w:ascii="Times New Roman" w:hAnsi="Times New Roman"/>
                <w:bCs/>
                <w:sz w:val="16"/>
                <w:szCs w:val="16"/>
              </w:rPr>
            </w:pPr>
            <w:r>
              <w:rPr>
                <w:rFonts w:ascii="Times New Roman" w:hAnsi="Times New Roman"/>
                <w:bCs/>
                <w:sz w:val="16"/>
                <w:szCs w:val="16"/>
              </w:rPr>
              <w:t>Moved to OMB# 1004-0220</w:t>
            </w:r>
          </w:p>
        </w:tc>
        <w:tc>
          <w:tcPr>
            <w:tcW w:w="2133" w:type="dxa"/>
            <w:shd w:val="clear" w:color="auto" w:fill="auto"/>
          </w:tcPr>
          <w:p w:rsidR="00B837DE" w14:paraId="44639045" w14:textId="3A7FA38C">
            <w:pPr>
              <w:tabs>
                <w:tab w:val="left" w:pos="360"/>
                <w:tab w:val="left" w:pos="630"/>
              </w:tabs>
              <w:jc w:val="right"/>
              <w:rPr>
                <w:rFonts w:ascii="Times New Roman" w:hAnsi="Times New Roman"/>
                <w:bCs/>
                <w:sz w:val="16"/>
                <w:szCs w:val="16"/>
              </w:rPr>
            </w:pPr>
            <w:r>
              <w:rPr>
                <w:rFonts w:ascii="Times New Roman" w:hAnsi="Times New Roman"/>
                <w:bCs/>
                <w:sz w:val="16"/>
                <w:szCs w:val="16"/>
              </w:rPr>
              <w:t>(</w:t>
            </w:r>
            <w:r w:rsidR="00117EC9">
              <w:rPr>
                <w:rFonts w:ascii="Times New Roman" w:hAnsi="Times New Roman"/>
                <w:bCs/>
                <w:sz w:val="16"/>
                <w:szCs w:val="16"/>
              </w:rPr>
              <w:t>31,182</w:t>
            </w:r>
            <w:r>
              <w:rPr>
                <w:rFonts w:ascii="Times New Roman" w:hAnsi="Times New Roman"/>
                <w:bCs/>
                <w:sz w:val="16"/>
                <w:szCs w:val="16"/>
              </w:rPr>
              <w:t>)</w:t>
            </w:r>
          </w:p>
        </w:tc>
        <w:tc>
          <w:tcPr>
            <w:tcW w:w="2423" w:type="dxa"/>
            <w:shd w:val="clear" w:color="auto" w:fill="auto"/>
          </w:tcPr>
          <w:p w:rsidR="00B837DE" w14:paraId="3AA27DC2" w14:textId="0147646E">
            <w:pPr>
              <w:tabs>
                <w:tab w:val="left" w:pos="360"/>
                <w:tab w:val="left" w:pos="630"/>
              </w:tabs>
              <w:jc w:val="right"/>
              <w:rPr>
                <w:rFonts w:ascii="Times New Roman" w:hAnsi="Times New Roman"/>
                <w:bCs/>
                <w:sz w:val="16"/>
                <w:szCs w:val="16"/>
              </w:rPr>
            </w:pPr>
            <w:r>
              <w:rPr>
                <w:rFonts w:ascii="Times New Roman" w:hAnsi="Times New Roman"/>
                <w:bCs/>
                <w:sz w:val="16"/>
                <w:szCs w:val="16"/>
              </w:rPr>
              <w:t>(</w:t>
            </w:r>
            <w:r w:rsidR="00117EC9">
              <w:rPr>
                <w:rFonts w:ascii="Times New Roman" w:hAnsi="Times New Roman"/>
                <w:bCs/>
                <w:sz w:val="16"/>
                <w:szCs w:val="16"/>
              </w:rPr>
              <w:t>233,744</w:t>
            </w:r>
            <w:r>
              <w:rPr>
                <w:rFonts w:ascii="Times New Roman" w:hAnsi="Times New Roman"/>
                <w:bCs/>
                <w:sz w:val="16"/>
                <w:szCs w:val="16"/>
              </w:rPr>
              <w:t>)</w:t>
            </w:r>
          </w:p>
        </w:tc>
        <w:tc>
          <w:tcPr>
            <w:tcW w:w="2212" w:type="dxa"/>
            <w:shd w:val="clear" w:color="auto" w:fill="auto"/>
          </w:tcPr>
          <w:p w:rsidR="00B837DE" w14:paraId="41C410AF" w14:textId="59DEE9F5">
            <w:pPr>
              <w:tabs>
                <w:tab w:val="left" w:pos="360"/>
                <w:tab w:val="left" w:pos="630"/>
              </w:tabs>
              <w:jc w:val="right"/>
              <w:rPr>
                <w:rFonts w:ascii="Times New Roman" w:hAnsi="Times New Roman"/>
                <w:bCs/>
                <w:sz w:val="16"/>
                <w:szCs w:val="16"/>
              </w:rPr>
            </w:pPr>
            <w:r>
              <w:rPr>
                <w:rFonts w:ascii="Times New Roman" w:hAnsi="Times New Roman"/>
                <w:bCs/>
                <w:sz w:val="16"/>
                <w:szCs w:val="16"/>
              </w:rPr>
              <w:t>($31,080,000)</w:t>
            </w:r>
          </w:p>
        </w:tc>
      </w:tr>
      <w:tr w14:paraId="21667175" w14:textId="4FDBBED9">
        <w:tblPrEx>
          <w:tblW w:w="0" w:type="auto"/>
          <w:tblInd w:w="108" w:type="dxa"/>
          <w:tblLook w:val="04A0"/>
        </w:tblPrEx>
        <w:tc>
          <w:tcPr>
            <w:tcW w:w="2700" w:type="dxa"/>
            <w:shd w:val="clear" w:color="auto" w:fill="auto"/>
          </w:tcPr>
          <w:p w:rsidR="00671CB2" w:rsidP="00671CB2" w14:paraId="7621AB9F" w14:textId="19E529C2">
            <w:pPr>
              <w:tabs>
                <w:tab w:val="left" w:pos="360"/>
                <w:tab w:val="left" w:pos="630"/>
              </w:tabs>
              <w:rPr>
                <w:rFonts w:ascii="Times New Roman" w:hAnsi="Times New Roman"/>
                <w:bCs/>
                <w:sz w:val="16"/>
                <w:szCs w:val="16"/>
              </w:rPr>
            </w:pPr>
            <w:r w:rsidRPr="00671CB2">
              <w:rPr>
                <w:rFonts w:ascii="Times New Roman" w:hAnsi="Times New Roman"/>
                <w:bCs/>
                <w:sz w:val="16"/>
                <w:szCs w:val="16"/>
              </w:rPr>
              <w:t>Adjusting and Clarifying Burden</w:t>
            </w:r>
          </w:p>
        </w:tc>
        <w:tc>
          <w:tcPr>
            <w:tcW w:w="2133" w:type="dxa"/>
            <w:shd w:val="clear" w:color="auto" w:fill="auto"/>
          </w:tcPr>
          <w:p w:rsidR="00671CB2" w:rsidRPr="00671CB2" w:rsidP="00671CB2" w14:paraId="04C1D79F" w14:textId="439FB248">
            <w:pPr>
              <w:tabs>
                <w:tab w:val="left" w:pos="360"/>
                <w:tab w:val="left" w:pos="630"/>
              </w:tabs>
              <w:jc w:val="right"/>
              <w:rPr>
                <w:rFonts w:ascii="Times New Roman" w:hAnsi="Times New Roman"/>
                <w:sz w:val="16"/>
                <w:szCs w:val="16"/>
              </w:rPr>
            </w:pPr>
            <w:r w:rsidRPr="00671CB2">
              <w:rPr>
                <w:rFonts w:ascii="Times New Roman" w:hAnsi="Times New Roman"/>
                <w:sz w:val="16"/>
                <w:szCs w:val="16"/>
              </w:rPr>
              <w:t>(168,042)</w:t>
            </w:r>
          </w:p>
        </w:tc>
        <w:tc>
          <w:tcPr>
            <w:tcW w:w="2423" w:type="dxa"/>
            <w:shd w:val="clear" w:color="auto" w:fill="auto"/>
          </w:tcPr>
          <w:p w:rsidR="00671CB2" w:rsidRPr="00671CB2" w:rsidP="00671CB2" w14:paraId="1B798EC2" w14:textId="171DCB00">
            <w:pPr>
              <w:tabs>
                <w:tab w:val="left" w:pos="360"/>
                <w:tab w:val="left" w:pos="630"/>
              </w:tabs>
              <w:jc w:val="right"/>
              <w:rPr>
                <w:rFonts w:ascii="Times New Roman" w:hAnsi="Times New Roman"/>
                <w:sz w:val="16"/>
                <w:szCs w:val="16"/>
              </w:rPr>
            </w:pPr>
            <w:r w:rsidRPr="00671CB2">
              <w:rPr>
                <w:rFonts w:ascii="Times New Roman" w:hAnsi="Times New Roman"/>
                <w:sz w:val="16"/>
                <w:szCs w:val="16"/>
              </w:rPr>
              <w:t>(1,</w:t>
            </w:r>
            <w:r w:rsidR="00AF78AC">
              <w:rPr>
                <w:rFonts w:ascii="Times New Roman" w:hAnsi="Times New Roman"/>
                <w:sz w:val="16"/>
                <w:szCs w:val="16"/>
              </w:rPr>
              <w:t>323,240</w:t>
            </w:r>
            <w:r w:rsidRPr="00671CB2">
              <w:rPr>
                <w:rFonts w:ascii="Times New Roman" w:hAnsi="Times New Roman"/>
                <w:sz w:val="16"/>
                <w:szCs w:val="16"/>
              </w:rPr>
              <w:t>)</w:t>
            </w:r>
          </w:p>
        </w:tc>
        <w:tc>
          <w:tcPr>
            <w:tcW w:w="2212" w:type="dxa"/>
            <w:shd w:val="clear" w:color="auto" w:fill="auto"/>
          </w:tcPr>
          <w:p w:rsidR="00671CB2" w:rsidP="00671CB2" w14:paraId="3C35796D" w14:textId="6C623DC4">
            <w:pPr>
              <w:tabs>
                <w:tab w:val="left" w:pos="360"/>
                <w:tab w:val="left" w:pos="630"/>
              </w:tabs>
              <w:jc w:val="right"/>
              <w:rPr>
                <w:rFonts w:ascii="Times New Roman" w:hAnsi="Times New Roman"/>
                <w:bCs/>
                <w:sz w:val="16"/>
                <w:szCs w:val="16"/>
              </w:rPr>
            </w:pPr>
            <w:r>
              <w:rPr>
                <w:rFonts w:ascii="Times New Roman" w:hAnsi="Times New Roman"/>
                <w:bCs/>
                <w:sz w:val="16"/>
                <w:szCs w:val="16"/>
              </w:rPr>
              <w:t>$0</w:t>
            </w:r>
          </w:p>
        </w:tc>
      </w:tr>
      <w:tr w14:paraId="2EBAC326" w14:textId="5E5B7F16">
        <w:tblPrEx>
          <w:tblW w:w="0" w:type="auto"/>
          <w:tblInd w:w="108" w:type="dxa"/>
          <w:tblLook w:val="04A0"/>
        </w:tblPrEx>
        <w:tc>
          <w:tcPr>
            <w:tcW w:w="2700" w:type="dxa"/>
            <w:shd w:val="clear" w:color="auto" w:fill="auto"/>
          </w:tcPr>
          <w:p w:rsidR="00B837DE" w14:paraId="28BA2041" w14:textId="563212E6">
            <w:pPr>
              <w:tabs>
                <w:tab w:val="left" w:pos="360"/>
                <w:tab w:val="left" w:pos="630"/>
              </w:tabs>
              <w:rPr>
                <w:rFonts w:ascii="Times New Roman" w:hAnsi="Times New Roman"/>
                <w:b/>
                <w:sz w:val="16"/>
                <w:szCs w:val="16"/>
              </w:rPr>
            </w:pPr>
            <w:r>
              <w:rPr>
                <w:rFonts w:ascii="Times New Roman" w:hAnsi="Times New Roman"/>
                <w:b/>
                <w:sz w:val="16"/>
                <w:szCs w:val="16"/>
              </w:rPr>
              <w:t xml:space="preserve">New </w:t>
            </w:r>
            <w:r w:rsidR="00B33EA7">
              <w:rPr>
                <w:rFonts w:ascii="Times New Roman" w:hAnsi="Times New Roman"/>
                <w:b/>
                <w:sz w:val="16"/>
                <w:szCs w:val="16"/>
              </w:rPr>
              <w:t>Burden</w:t>
            </w:r>
            <w:r>
              <w:rPr>
                <w:rFonts w:ascii="Times New Roman" w:hAnsi="Times New Roman"/>
                <w:b/>
                <w:sz w:val="16"/>
                <w:szCs w:val="16"/>
              </w:rPr>
              <w:t xml:space="preserve"> for 1004-</w:t>
            </w:r>
            <w:r w:rsidR="00B33EA7">
              <w:rPr>
                <w:rFonts w:ascii="Times New Roman" w:hAnsi="Times New Roman"/>
                <w:b/>
                <w:sz w:val="16"/>
                <w:szCs w:val="16"/>
              </w:rPr>
              <w:t>0137</w:t>
            </w:r>
          </w:p>
        </w:tc>
        <w:tc>
          <w:tcPr>
            <w:tcW w:w="2133" w:type="dxa"/>
            <w:shd w:val="clear" w:color="auto" w:fill="auto"/>
          </w:tcPr>
          <w:p w:rsidR="00B837DE" w14:paraId="0774283F" w14:textId="6569B809">
            <w:pPr>
              <w:tabs>
                <w:tab w:val="left" w:pos="360"/>
                <w:tab w:val="left" w:pos="630"/>
              </w:tabs>
              <w:jc w:val="right"/>
              <w:rPr>
                <w:rFonts w:ascii="Times New Roman" w:hAnsi="Times New Roman"/>
                <w:b/>
                <w:sz w:val="16"/>
                <w:szCs w:val="16"/>
              </w:rPr>
            </w:pPr>
            <w:r>
              <w:rPr>
                <w:rFonts w:ascii="Times New Roman" w:hAnsi="Times New Roman"/>
                <w:b/>
                <w:sz w:val="16"/>
                <w:szCs w:val="16"/>
              </w:rPr>
              <w:t>102,439</w:t>
            </w:r>
          </w:p>
        </w:tc>
        <w:tc>
          <w:tcPr>
            <w:tcW w:w="2423" w:type="dxa"/>
            <w:shd w:val="clear" w:color="auto" w:fill="auto"/>
          </w:tcPr>
          <w:p w:rsidR="00B837DE" w14:paraId="0E38A912" w14:textId="730D9D4F">
            <w:pPr>
              <w:tabs>
                <w:tab w:val="left" w:pos="360"/>
                <w:tab w:val="left" w:pos="630"/>
              </w:tabs>
              <w:jc w:val="right"/>
              <w:rPr>
                <w:rFonts w:ascii="Times New Roman" w:hAnsi="Times New Roman"/>
                <w:b/>
                <w:sz w:val="16"/>
                <w:szCs w:val="16"/>
              </w:rPr>
            </w:pPr>
            <w:r>
              <w:rPr>
                <w:rFonts w:ascii="Times New Roman" w:hAnsi="Times New Roman"/>
                <w:b/>
                <w:sz w:val="16"/>
                <w:szCs w:val="16"/>
              </w:rPr>
              <w:t>278,904</w:t>
            </w:r>
          </w:p>
        </w:tc>
        <w:tc>
          <w:tcPr>
            <w:tcW w:w="2212" w:type="dxa"/>
            <w:shd w:val="clear" w:color="auto" w:fill="auto"/>
          </w:tcPr>
          <w:p w:rsidR="00B837DE" w14:paraId="772744A2" w14:textId="65671F4E">
            <w:pPr>
              <w:tabs>
                <w:tab w:val="left" w:pos="360"/>
                <w:tab w:val="left" w:pos="630"/>
              </w:tabs>
              <w:jc w:val="right"/>
              <w:rPr>
                <w:rFonts w:ascii="Times New Roman" w:hAnsi="Times New Roman"/>
                <w:b/>
                <w:sz w:val="16"/>
                <w:szCs w:val="16"/>
              </w:rPr>
            </w:pPr>
            <w:r>
              <w:rPr>
                <w:rFonts w:ascii="Times New Roman" w:hAnsi="Times New Roman"/>
                <w:b/>
                <w:sz w:val="16"/>
                <w:szCs w:val="16"/>
              </w:rPr>
              <w:t>$0</w:t>
            </w:r>
          </w:p>
        </w:tc>
      </w:tr>
    </w:tbl>
    <w:p w:rsidR="00A93817" w:rsidRPr="00391598" w:rsidP="005C6DEE" w14:paraId="38E1A026" w14:textId="77777777">
      <w:pPr>
        <w:tabs>
          <w:tab w:val="left" w:pos="360"/>
          <w:tab w:val="left" w:pos="630"/>
        </w:tabs>
        <w:rPr>
          <w:rFonts w:ascii="Times New Roman" w:hAnsi="Times New Roman"/>
          <w:sz w:val="20"/>
          <w:szCs w:val="20"/>
        </w:rPr>
      </w:pPr>
    </w:p>
    <w:p w:rsidR="00C407C8" w:rsidRPr="00391598" w:rsidP="00C407C8" w14:paraId="42C99504" w14:textId="77777777">
      <w:pPr>
        <w:tabs>
          <w:tab w:val="left" w:pos="360"/>
          <w:tab w:val="left" w:pos="630"/>
        </w:tabs>
        <w:ind w:left="360" w:hanging="360"/>
        <w:rPr>
          <w:rFonts w:ascii="Times New Roman" w:hAnsi="Times New Roman"/>
          <w:b/>
          <w:sz w:val="20"/>
          <w:szCs w:val="20"/>
        </w:rPr>
      </w:pPr>
      <w:r w:rsidRPr="00391598">
        <w:rPr>
          <w:rFonts w:ascii="Times New Roman" w:hAnsi="Times New Roman"/>
          <w:b/>
          <w:sz w:val="20"/>
          <w:szCs w:val="20"/>
        </w:rPr>
        <w:t>16.</w:t>
      </w:r>
      <w:r w:rsidRPr="00391598">
        <w:rPr>
          <w:rFonts w:ascii="Times New Roman" w:hAnsi="Times New Roman"/>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154C0" w:rsidRPr="00391598" w:rsidP="00884A6D" w14:paraId="4A6691AB" w14:textId="77777777">
      <w:pPr>
        <w:tabs>
          <w:tab w:val="left" w:pos="360"/>
          <w:tab w:val="left" w:pos="630"/>
        </w:tabs>
        <w:rPr>
          <w:rFonts w:ascii="Times New Roman" w:hAnsi="Times New Roman"/>
          <w:sz w:val="20"/>
          <w:szCs w:val="20"/>
          <w:u w:val="single"/>
        </w:rPr>
      </w:pPr>
    </w:p>
    <w:p w:rsidR="007154C0" w:rsidRPr="00391598" w:rsidP="00884A6D" w14:paraId="5BEF3771" w14:textId="77777777">
      <w:pPr>
        <w:tabs>
          <w:tab w:val="left" w:pos="360"/>
          <w:tab w:val="left" w:pos="630"/>
        </w:tabs>
        <w:rPr>
          <w:rFonts w:ascii="Times New Roman" w:hAnsi="Times New Roman"/>
          <w:sz w:val="20"/>
          <w:szCs w:val="20"/>
        </w:rPr>
      </w:pPr>
      <w:r w:rsidRPr="00391598">
        <w:rPr>
          <w:rFonts w:ascii="Times New Roman" w:hAnsi="Times New Roman"/>
          <w:sz w:val="20"/>
          <w:szCs w:val="20"/>
        </w:rPr>
        <w:t>The BLM will not publish the results of this collection.</w:t>
      </w:r>
    </w:p>
    <w:p w:rsidR="007154C0" w:rsidRPr="00391598" w:rsidP="00884A6D" w14:paraId="032EE097" w14:textId="77777777">
      <w:pPr>
        <w:tabs>
          <w:tab w:val="left" w:pos="360"/>
          <w:tab w:val="left" w:pos="630"/>
        </w:tabs>
        <w:rPr>
          <w:rFonts w:ascii="Times New Roman" w:hAnsi="Times New Roman"/>
          <w:sz w:val="20"/>
          <w:szCs w:val="20"/>
        </w:rPr>
      </w:pPr>
    </w:p>
    <w:p w:rsidR="00691BB4" w:rsidRPr="00391598" w:rsidP="00691BB4" w14:paraId="386AC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17.</w:t>
      </w:r>
      <w:r w:rsidRPr="00391598">
        <w:rPr>
          <w:rFonts w:ascii="Times New Roman" w:hAnsi="Times New Roman"/>
          <w:b/>
          <w:sz w:val="20"/>
          <w:szCs w:val="20"/>
        </w:rPr>
        <w:tab/>
        <w:t>If seeking approval to not display the expiration date for OMB approval of the information collection, explain the reasons that display would be inappropriate.</w:t>
      </w:r>
    </w:p>
    <w:p w:rsidR="007154C0" w:rsidRPr="00391598" w:rsidP="00884A6D" w14:paraId="72A01B03" w14:textId="77777777">
      <w:pPr>
        <w:tabs>
          <w:tab w:val="left" w:pos="360"/>
          <w:tab w:val="left" w:pos="630"/>
        </w:tabs>
        <w:rPr>
          <w:rFonts w:ascii="Times New Roman" w:hAnsi="Times New Roman"/>
          <w:b/>
          <w:sz w:val="20"/>
          <w:szCs w:val="20"/>
        </w:rPr>
      </w:pPr>
    </w:p>
    <w:p w:rsidR="008148BF" w:rsidRPr="00391598" w:rsidP="008148BF" w14:paraId="033943B8" w14:textId="040F7C4D">
      <w:pPr>
        <w:rPr>
          <w:rFonts w:ascii="Times New Roman" w:hAnsi="Times New Roman"/>
          <w:sz w:val="20"/>
          <w:szCs w:val="20"/>
        </w:rPr>
      </w:pPr>
      <w:r w:rsidRPr="00391598">
        <w:rPr>
          <w:rFonts w:ascii="Times New Roman" w:hAnsi="Times New Roman"/>
          <w:sz w:val="20"/>
          <w:szCs w:val="20"/>
        </w:rPr>
        <w:t xml:space="preserve">The BLM will display the expiration date of the OMB approval on the form included in this information collection. The OMB number and expiration date displayed on the form as well as at </w:t>
      </w:r>
      <w:hyperlink r:id="rId10" w:history="1">
        <w:r w:rsidRPr="00391598">
          <w:rPr>
            <w:rStyle w:val="Hyperlink"/>
            <w:rFonts w:ascii="Times New Roman" w:hAnsi="Times New Roman"/>
            <w:sz w:val="20"/>
            <w:szCs w:val="20"/>
          </w:rPr>
          <w:t>www.reginfo.gov</w:t>
        </w:r>
      </w:hyperlink>
      <w:r w:rsidRPr="00391598">
        <w:rPr>
          <w:rFonts w:ascii="Times New Roman" w:hAnsi="Times New Roman"/>
          <w:sz w:val="20"/>
          <w:szCs w:val="20"/>
        </w:rPr>
        <w:t>.</w:t>
      </w:r>
    </w:p>
    <w:p w:rsidR="000D4374" w:rsidRPr="00391598" w:rsidP="00884A6D" w14:paraId="46E7A69C" w14:textId="77777777">
      <w:pPr>
        <w:tabs>
          <w:tab w:val="left" w:pos="360"/>
          <w:tab w:val="left" w:pos="630"/>
        </w:tabs>
        <w:rPr>
          <w:rFonts w:ascii="Times New Roman" w:hAnsi="Times New Roman"/>
          <w:sz w:val="20"/>
          <w:szCs w:val="20"/>
        </w:rPr>
      </w:pPr>
    </w:p>
    <w:p w:rsidR="004A3011" w:rsidRPr="00391598" w:rsidP="004A3011" w14:paraId="3FEF94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0"/>
          <w:szCs w:val="20"/>
        </w:rPr>
      </w:pPr>
      <w:r w:rsidRPr="00391598">
        <w:rPr>
          <w:rFonts w:ascii="Times New Roman" w:hAnsi="Times New Roman"/>
          <w:b/>
          <w:sz w:val="20"/>
          <w:szCs w:val="20"/>
        </w:rPr>
        <w:t>18.</w:t>
      </w:r>
      <w:r w:rsidRPr="00391598">
        <w:rPr>
          <w:rFonts w:ascii="Times New Roman" w:hAnsi="Times New Roman"/>
          <w:b/>
          <w:sz w:val="20"/>
          <w:szCs w:val="20"/>
        </w:rPr>
        <w:tab/>
        <w:t>Explain each exception to the topics of the certification statement identified in "Certification for Paperwork Reduction Act Submissions."</w:t>
      </w:r>
    </w:p>
    <w:p w:rsidR="000D4374" w:rsidRPr="00391598" w:rsidP="00884A6D" w14:paraId="651DFDB3" w14:textId="77777777">
      <w:pPr>
        <w:tabs>
          <w:tab w:val="left" w:pos="360"/>
          <w:tab w:val="left" w:pos="630"/>
        </w:tabs>
        <w:rPr>
          <w:rFonts w:ascii="Times New Roman" w:hAnsi="Times New Roman"/>
          <w:b/>
          <w:sz w:val="20"/>
          <w:szCs w:val="20"/>
        </w:rPr>
      </w:pPr>
    </w:p>
    <w:p w:rsidR="008148BF" w:rsidRPr="00391598" w:rsidP="008148BF" w14:paraId="4A9AAFA4" w14:textId="77777777">
      <w:pPr>
        <w:rPr>
          <w:rFonts w:ascii="Times New Roman" w:hAnsi="Times New Roman"/>
          <w:sz w:val="20"/>
          <w:szCs w:val="20"/>
        </w:rPr>
      </w:pPr>
      <w:r w:rsidRPr="00391598">
        <w:rPr>
          <w:rFonts w:ascii="Times New Roman" w:hAnsi="Times New Roman"/>
          <w:sz w:val="20"/>
          <w:szCs w:val="20"/>
        </w:rPr>
        <w:t>There are no exceptions to the certification requirements of 5 CFR 1320.9.</w:t>
      </w:r>
    </w:p>
    <w:p w:rsidR="00274C17" w:rsidP="00691593" w14:paraId="1DB661E0" w14:textId="49E420A3">
      <w:pPr>
        <w:rPr>
          <w:rFonts w:ascii="Times New Roman" w:hAnsi="Times New Roman"/>
          <w:sz w:val="20"/>
          <w:szCs w:val="20"/>
        </w:rPr>
      </w:pPr>
    </w:p>
    <w:p w:rsidR="00691593" w:rsidP="00691593" w14:paraId="51D6FA51" w14:textId="77777777">
      <w:pPr>
        <w:rPr>
          <w:rFonts w:ascii="Times New Roman" w:hAnsi="Times New Roman"/>
          <w:sz w:val="20"/>
          <w:szCs w:val="20"/>
        </w:rPr>
      </w:pPr>
    </w:p>
    <w:p w:rsidR="00691593" w:rsidP="00691593" w14:paraId="298AB90E" w14:textId="77777777">
      <w:pPr>
        <w:rPr>
          <w:rFonts w:ascii="Times New Roman" w:hAnsi="Times New Roman"/>
          <w:sz w:val="20"/>
          <w:szCs w:val="20"/>
        </w:rPr>
      </w:pPr>
    </w:p>
    <w:p w:rsidR="00691593" w:rsidP="00691593" w14:paraId="33F40456" w14:textId="77777777">
      <w:pPr>
        <w:rPr>
          <w:rFonts w:ascii="Times New Roman" w:hAnsi="Times New Roman"/>
          <w:sz w:val="20"/>
          <w:szCs w:val="20"/>
        </w:rPr>
      </w:pPr>
    </w:p>
    <w:p w:rsidR="00691593" w:rsidP="00691593" w14:paraId="304E0378" w14:textId="77777777">
      <w:pPr>
        <w:rPr>
          <w:rFonts w:ascii="Times New Roman" w:hAnsi="Times New Roman"/>
          <w:sz w:val="20"/>
          <w:szCs w:val="20"/>
        </w:rPr>
      </w:pPr>
    </w:p>
    <w:p w:rsidR="00691593" w:rsidRPr="00391598" w:rsidP="00691593" w14:paraId="4AB11825" w14:textId="6497FE12">
      <w:pPr>
        <w:jc w:val="center"/>
        <w:rPr>
          <w:rFonts w:ascii="Times New Roman" w:hAnsi="Times New Roman"/>
          <w:sz w:val="20"/>
          <w:szCs w:val="20"/>
        </w:rPr>
      </w:pPr>
      <w:r>
        <w:rPr>
          <w:rFonts w:ascii="Times New Roman" w:hAnsi="Times New Roman"/>
          <w:sz w:val="20"/>
          <w:szCs w:val="20"/>
        </w:rPr>
        <w:t>###</w:t>
      </w:r>
    </w:p>
    <w:p w:rsidR="000D4374" w:rsidRPr="00391598" w:rsidP="008148BF" w14:paraId="78D5A36A" w14:textId="77777777">
      <w:pPr>
        <w:tabs>
          <w:tab w:val="left" w:pos="360"/>
          <w:tab w:val="left" w:pos="630"/>
        </w:tabs>
        <w:rPr>
          <w:rFonts w:ascii="Times New Roman" w:hAnsi="Times New Roman"/>
          <w:sz w:val="20"/>
          <w:szCs w:val="20"/>
        </w:rPr>
      </w:pPr>
    </w:p>
    <w:sectPr w:rsidSect="00F51484">
      <w:headerReference w:type="default" r:id="rId11"/>
      <w:footerReference w:type="default" r:id="rId1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MNNPH+TimesNewRoman,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FD2" w14:paraId="1247000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972FD2" w14:paraId="48D9AD6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003" w14:paraId="05906BD3" w14:textId="77777777">
      <w:r>
        <w:separator/>
      </w:r>
    </w:p>
  </w:footnote>
  <w:footnote w:type="continuationSeparator" w:id="1">
    <w:p w:rsidR="001F4003" w14:paraId="6197E6B3" w14:textId="77777777">
      <w:r>
        <w:continuationSeparator/>
      </w:r>
    </w:p>
  </w:footnote>
  <w:footnote w:id="2">
    <w:p w:rsidR="0093381F" w:rsidRPr="00B4440F" w:rsidP="00B4440F" w14:paraId="34EB5D3D" w14:textId="77777777">
      <w:pPr>
        <w:pStyle w:val="FootnoteText"/>
        <w:spacing w:after="0"/>
        <w:rPr>
          <w:rFonts w:ascii="Times New Roman" w:hAnsi="Times New Roman"/>
        </w:rPr>
      </w:pPr>
      <w:r w:rsidRPr="00B4440F">
        <w:rPr>
          <w:rStyle w:val="FootnoteReference"/>
          <w:rFonts w:ascii="Times New Roman" w:hAnsi="Times New Roman"/>
        </w:rPr>
        <w:footnoteRef/>
      </w:r>
      <w:r w:rsidRPr="00B4440F">
        <w:rPr>
          <w:rFonts w:ascii="Times New Roman" w:hAnsi="Times New Roman"/>
        </w:rPr>
        <w:t xml:space="preserve"> “Mcf” means 1,000 cubic feet of gas.</w:t>
      </w:r>
    </w:p>
  </w:footnote>
  <w:footnote w:id="3">
    <w:p w:rsidR="0093381F" w:rsidP="0093381F" w14:paraId="4464C20E" w14:textId="77777777">
      <w:pPr>
        <w:pStyle w:val="FootnoteText"/>
      </w:pPr>
      <w:r w:rsidRPr="00B4440F">
        <w:rPr>
          <w:rStyle w:val="FootnoteReference"/>
          <w:rFonts w:ascii="Times New Roman" w:hAnsi="Times New Roman"/>
        </w:rPr>
        <w:footnoteRef/>
      </w:r>
      <w:r w:rsidRPr="00B4440F">
        <w:rPr>
          <w:rFonts w:ascii="Times New Roman" w:hAnsi="Times New Roman"/>
        </w:rPr>
        <w:t xml:space="preserve"> In the United States, “</w:t>
      </w:r>
      <w:r w:rsidRPr="00B4440F">
        <w:rPr>
          <w:rFonts w:ascii="Times New Roman" w:hAnsi="Times New Roman"/>
        </w:rPr>
        <w:t>bbl</w:t>
      </w:r>
      <w:r w:rsidRPr="00B4440F">
        <w:rPr>
          <w:rFonts w:ascii="Times New Roman" w:hAnsi="Times New Roman"/>
        </w:rPr>
        <w:t>” (or barrel) means a unit of oil volume that is equivalent to 42 U.S. gallons.</w:t>
      </w:r>
    </w:p>
  </w:footnote>
  <w:footnote w:id="4">
    <w:p w:rsidR="0076112A" w:rsidRPr="005B6075" w:rsidP="003D4233" w14:paraId="68756535" w14:textId="0797450A">
      <w:pPr>
        <w:widowControl/>
        <w:autoSpaceDE/>
        <w:autoSpaceDN/>
        <w:adjustRightInd/>
        <w:spacing w:after="4" w:line="228" w:lineRule="auto"/>
        <w:ind w:left="170" w:right="45"/>
        <w:rPr>
          <w:rFonts w:ascii="Times New Roman" w:hAnsi="Times New Roman"/>
          <w:sz w:val="20"/>
        </w:rPr>
      </w:pPr>
      <w:r w:rsidRPr="0060763B">
        <w:rPr>
          <w:rStyle w:val="FootnoteReference"/>
          <w:rFonts w:ascii="Times New Roman" w:hAnsi="Times New Roman"/>
        </w:rPr>
        <w:footnoteRef/>
      </w:r>
      <w:r w:rsidRPr="0060763B">
        <w:rPr>
          <w:rFonts w:ascii="Times New Roman" w:hAnsi="Times New Roman"/>
        </w:rPr>
        <w:t xml:space="preserve"> </w:t>
      </w:r>
      <w:r w:rsidRPr="0060763B">
        <w:rPr>
          <w:rFonts w:ascii="Times New Roman" w:hAnsi="Times New Roman"/>
          <w:sz w:val="20"/>
        </w:rPr>
        <w:t>Under</w:t>
      </w:r>
      <w:r w:rsidRPr="005B6075">
        <w:rPr>
          <w:rFonts w:ascii="Times New Roman" w:hAnsi="Times New Roman"/>
          <w:sz w:val="20"/>
        </w:rPr>
        <w:t xml:space="preserve"> 43 CFR 3173.16(a)(1), the BLM will </w:t>
      </w:r>
      <w:r w:rsidRPr="005B6075" w:rsidR="005B6075">
        <w:rPr>
          <w:rFonts w:ascii="Times New Roman" w:hAnsi="Times New Roman"/>
          <w:sz w:val="20"/>
        </w:rPr>
        <w:t>continue to allow</w:t>
      </w:r>
      <w:r w:rsidRPr="005B6075">
        <w:rPr>
          <w:rFonts w:ascii="Times New Roman" w:hAnsi="Times New Roman"/>
          <w:sz w:val="20"/>
        </w:rPr>
        <w:t xml:space="preserve"> an existing CAA if it involves downhole commingling that includes Federal or Indian leases, unit PAs, or CAs.  Under 43 CFR 3173.16(a)(2), the BLM will grandfather an existing CAA if it is for surface commingling and the average production rate over the previous 12 months for each Federal or Indian lease, unit PA, and CA included in the CAA is less than 1,000 Mcf per month for gas, or less than 100 </w:t>
      </w:r>
      <w:r w:rsidRPr="005B6075">
        <w:rPr>
          <w:rFonts w:ascii="Times New Roman" w:hAnsi="Times New Roman"/>
          <w:sz w:val="20"/>
        </w:rPr>
        <w:t>bbl</w:t>
      </w:r>
      <w:r w:rsidRPr="005B6075">
        <w:rPr>
          <w:rFonts w:ascii="Times New Roman" w:hAnsi="Times New Roman"/>
          <w:sz w:val="20"/>
        </w:rPr>
        <w:t xml:space="preserve"> per month for oil.</w:t>
      </w:r>
    </w:p>
  </w:footnote>
  <w:footnote w:id="5">
    <w:p w:rsidR="008F63ED" w:rsidRPr="00864C53" w:rsidP="00864C53" w14:paraId="22C9B710" w14:textId="2F48A121">
      <w:pPr>
        <w:widowControl/>
        <w:rPr>
          <w:rFonts w:ascii="Times New Roman" w:hAnsi="Times New Roman"/>
          <w:sz w:val="20"/>
          <w:szCs w:val="20"/>
        </w:rPr>
      </w:pPr>
      <w:r w:rsidRPr="00864C53">
        <w:rPr>
          <w:rStyle w:val="FootnoteReference"/>
          <w:rFonts w:ascii="Times New Roman" w:hAnsi="Times New Roman"/>
          <w:sz w:val="20"/>
          <w:szCs w:val="20"/>
        </w:rPr>
        <w:footnoteRef/>
      </w:r>
      <w:r w:rsidRPr="00864C53">
        <w:rPr>
          <w:rFonts w:ascii="Times New Roman" w:hAnsi="Times New Roman"/>
          <w:sz w:val="20"/>
          <w:szCs w:val="20"/>
        </w:rPr>
        <w:t xml:space="preserve"> Federal Oil and Gas Royalty Simplification and Fairness Act of 1996, Public Law 104–185, 110 Stat. 1700 (Aug. 13, 1996).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0851" w:rsidRPr="00391598" w:rsidP="00DC55A0" w14:paraId="6CC3CB82" w14:textId="10B338D0">
    <w:pPr>
      <w:pStyle w:val="Header"/>
      <w:jc w:val="right"/>
      <w:rPr>
        <w:b/>
        <w:bCs/>
        <w:sz w:val="20"/>
        <w:szCs w:val="20"/>
      </w:rPr>
    </w:pPr>
    <w:r w:rsidRPr="00391598">
      <w:rPr>
        <w:b/>
        <w:bCs/>
        <w:sz w:val="20"/>
        <w:szCs w:val="20"/>
      </w:rPr>
      <w:t>2025</w:t>
    </w:r>
    <w:r w:rsidR="004F58D7">
      <w:rPr>
        <w:b/>
        <w:bCs/>
        <w:sz w:val="20"/>
        <w:szCs w:val="20"/>
      </w:rPr>
      <w:t xml:space="preserve"> </w:t>
    </w:r>
    <w:r w:rsidRPr="00391598">
      <w:rPr>
        <w:b/>
        <w:bCs/>
        <w:sz w:val="20"/>
        <w:szCs w:val="20"/>
      </w:rPr>
      <w:t>RENEWAL</w:t>
    </w:r>
  </w:p>
  <w:p w:rsidR="000714AE" w14:paraId="339197C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E65FA"/>
    <w:multiLevelType w:val="hybridMultilevel"/>
    <w:tmpl w:val="FC1A2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C412E5"/>
    <w:multiLevelType w:val="hybridMultilevel"/>
    <w:tmpl w:val="30D4B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F95250"/>
    <w:multiLevelType w:val="hybridMultilevel"/>
    <w:tmpl w:val="F85A25A8"/>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3">
    <w:nsid w:val="0C3C10EA"/>
    <w:multiLevelType w:val="hybridMultilevel"/>
    <w:tmpl w:val="3E62A5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8D7AB0"/>
    <w:multiLevelType w:val="hybridMultilevel"/>
    <w:tmpl w:val="249CEF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601D26"/>
    <w:multiLevelType w:val="hybridMultilevel"/>
    <w:tmpl w:val="10E46394"/>
    <w:lvl w:ilvl="0">
      <w:start w:val="2"/>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9F5F95"/>
    <w:multiLevelType w:val="hybridMultilevel"/>
    <w:tmpl w:val="27DA4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EB11138"/>
    <w:multiLevelType w:val="hybridMultilevel"/>
    <w:tmpl w:val="7570E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DF497B"/>
    <w:multiLevelType w:val="hybridMultilevel"/>
    <w:tmpl w:val="69821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8E4061"/>
    <w:multiLevelType w:val="hybridMultilevel"/>
    <w:tmpl w:val="83DAE3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1C7AA2"/>
    <w:multiLevelType w:val="hybridMultilevel"/>
    <w:tmpl w:val="C936C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EC6BD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2">
    <w:nsid w:val="2F482620"/>
    <w:multiLevelType w:val="hybridMultilevel"/>
    <w:tmpl w:val="C2CEC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937604"/>
    <w:multiLevelType w:val="hybridMultilevel"/>
    <w:tmpl w:val="72C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28737D"/>
    <w:multiLevelType w:val="hybridMultilevel"/>
    <w:tmpl w:val="9510EF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3C478C"/>
    <w:multiLevelType w:val="hybridMultilevel"/>
    <w:tmpl w:val="0A8AB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1991976"/>
    <w:multiLevelType w:val="hybridMultilevel"/>
    <w:tmpl w:val="01B4B3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AD33FC"/>
    <w:multiLevelType w:val="hybridMultilevel"/>
    <w:tmpl w:val="2B246C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223B89"/>
    <w:multiLevelType w:val="hybridMultilevel"/>
    <w:tmpl w:val="51F21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C463FC8"/>
    <w:multiLevelType w:val="hybridMultilevel"/>
    <w:tmpl w:val="A2CE392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F2E3E1F"/>
    <w:multiLevelType w:val="hybridMultilevel"/>
    <w:tmpl w:val="FCFC0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177352"/>
    <w:multiLevelType w:val="hybridMultilevel"/>
    <w:tmpl w:val="D0806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622871"/>
    <w:multiLevelType w:val="hybridMultilevel"/>
    <w:tmpl w:val="A59E32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4740574"/>
    <w:multiLevelType w:val="hybridMultilevel"/>
    <w:tmpl w:val="A11E7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3D25D4"/>
    <w:multiLevelType w:val="hybridMultilevel"/>
    <w:tmpl w:val="E4BC9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A34B69"/>
    <w:multiLevelType w:val="hybridMultilevel"/>
    <w:tmpl w:val="99F022F4"/>
    <w:lvl w:ilvl="0">
      <w:start w:val="1"/>
      <w:numFmt w:val="bullet"/>
      <w:lvlText w:val="o"/>
      <w:lvlJc w:val="left"/>
      <w:pPr>
        <w:ind w:left="890" w:hanging="360"/>
      </w:pPr>
      <w:rPr>
        <w:rFonts w:ascii="Courier New" w:hAnsi="Courier New" w:cs="Courier New"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26">
    <w:nsid w:val="6E632549"/>
    <w:multiLevelType w:val="hybridMultilevel"/>
    <w:tmpl w:val="30E8B244"/>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27">
    <w:nsid w:val="6F432F44"/>
    <w:multiLevelType w:val="hybridMultilevel"/>
    <w:tmpl w:val="06506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7E020DE"/>
    <w:multiLevelType w:val="hybridMultilevel"/>
    <w:tmpl w:val="16563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2D7A78"/>
    <w:multiLevelType w:val="hybridMultilevel"/>
    <w:tmpl w:val="3BDA65B6"/>
    <w:lvl w:ilvl="0">
      <w:start w:val="1"/>
      <w:numFmt w:val="bullet"/>
      <w:lvlText w:val="o"/>
      <w:lvlJc w:val="left"/>
      <w:pPr>
        <w:ind w:left="990" w:hanging="360"/>
      </w:pPr>
      <w:rPr>
        <w:rFonts w:ascii="Courier New" w:hAnsi="Courier New" w:cs="Courier New"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0">
    <w:nsid w:val="7F5D5F02"/>
    <w:multiLevelType w:val="hybridMultilevel"/>
    <w:tmpl w:val="3CCCB7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937151"/>
    <w:multiLevelType w:val="hybridMultilevel"/>
    <w:tmpl w:val="FEE2B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5473276">
    <w:abstractNumId w:val="20"/>
  </w:num>
  <w:num w:numId="2" w16cid:durableId="450829144">
    <w:abstractNumId w:val="11"/>
  </w:num>
  <w:num w:numId="3" w16cid:durableId="887642975">
    <w:abstractNumId w:val="21"/>
  </w:num>
  <w:num w:numId="4" w16cid:durableId="536352076">
    <w:abstractNumId w:val="7"/>
  </w:num>
  <w:num w:numId="5" w16cid:durableId="521748162">
    <w:abstractNumId w:val="26"/>
  </w:num>
  <w:num w:numId="6" w16cid:durableId="1151096908">
    <w:abstractNumId w:val="12"/>
  </w:num>
  <w:num w:numId="7" w16cid:durableId="594438206">
    <w:abstractNumId w:val="14"/>
  </w:num>
  <w:num w:numId="8" w16cid:durableId="977418966">
    <w:abstractNumId w:val="18"/>
  </w:num>
  <w:num w:numId="9" w16cid:durableId="1377048541">
    <w:abstractNumId w:val="30"/>
  </w:num>
  <w:num w:numId="10" w16cid:durableId="287056675">
    <w:abstractNumId w:val="0"/>
  </w:num>
  <w:num w:numId="11" w16cid:durableId="486288454">
    <w:abstractNumId w:val="22"/>
  </w:num>
  <w:num w:numId="12" w16cid:durableId="1921674096">
    <w:abstractNumId w:val="19"/>
  </w:num>
  <w:num w:numId="13" w16cid:durableId="629284160">
    <w:abstractNumId w:val="5"/>
  </w:num>
  <w:num w:numId="14" w16cid:durableId="456070900">
    <w:abstractNumId w:val="2"/>
  </w:num>
  <w:num w:numId="15" w16cid:durableId="874389972">
    <w:abstractNumId w:val="8"/>
  </w:num>
  <w:num w:numId="16" w16cid:durableId="1038893019">
    <w:abstractNumId w:val="25"/>
  </w:num>
  <w:num w:numId="17" w16cid:durableId="222715753">
    <w:abstractNumId w:val="15"/>
  </w:num>
  <w:num w:numId="18" w16cid:durableId="1123961799">
    <w:abstractNumId w:val="10"/>
  </w:num>
  <w:num w:numId="19" w16cid:durableId="29230695">
    <w:abstractNumId w:val="24"/>
  </w:num>
  <w:num w:numId="20" w16cid:durableId="340469446">
    <w:abstractNumId w:val="29"/>
  </w:num>
  <w:num w:numId="21" w16cid:durableId="1687832240">
    <w:abstractNumId w:val="1"/>
  </w:num>
  <w:num w:numId="22" w16cid:durableId="86462671">
    <w:abstractNumId w:val="31"/>
  </w:num>
  <w:num w:numId="23" w16cid:durableId="2043939378">
    <w:abstractNumId w:val="16"/>
  </w:num>
  <w:num w:numId="24" w16cid:durableId="632447308">
    <w:abstractNumId w:val="23"/>
  </w:num>
  <w:num w:numId="25" w16cid:durableId="616522285">
    <w:abstractNumId w:val="6"/>
  </w:num>
  <w:num w:numId="26" w16cid:durableId="510067920">
    <w:abstractNumId w:val="28"/>
  </w:num>
  <w:num w:numId="27" w16cid:durableId="741830604">
    <w:abstractNumId w:val="27"/>
  </w:num>
  <w:num w:numId="28" w16cid:durableId="2135249514">
    <w:abstractNumId w:val="17"/>
  </w:num>
  <w:num w:numId="29" w16cid:durableId="1163005553">
    <w:abstractNumId w:val="3"/>
  </w:num>
  <w:num w:numId="30" w16cid:durableId="687095882">
    <w:abstractNumId w:val="9"/>
  </w:num>
  <w:num w:numId="31" w16cid:durableId="1736120385">
    <w:abstractNumId w:val="13"/>
  </w:num>
  <w:num w:numId="32" w16cid:durableId="192918773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0"/>
    <w:rsid w:val="00000421"/>
    <w:rsid w:val="00001D8B"/>
    <w:rsid w:val="00002D29"/>
    <w:rsid w:val="000031F3"/>
    <w:rsid w:val="000033BC"/>
    <w:rsid w:val="000036AA"/>
    <w:rsid w:val="00003EC1"/>
    <w:rsid w:val="0000445A"/>
    <w:rsid w:val="00004D4D"/>
    <w:rsid w:val="000059B4"/>
    <w:rsid w:val="00005ECA"/>
    <w:rsid w:val="00005F13"/>
    <w:rsid w:val="0000646E"/>
    <w:rsid w:val="0000704C"/>
    <w:rsid w:val="000074AB"/>
    <w:rsid w:val="00010FA5"/>
    <w:rsid w:val="0001101A"/>
    <w:rsid w:val="00011D4D"/>
    <w:rsid w:val="00012123"/>
    <w:rsid w:val="000148AD"/>
    <w:rsid w:val="00014B86"/>
    <w:rsid w:val="0001562B"/>
    <w:rsid w:val="00015BB2"/>
    <w:rsid w:val="000167CD"/>
    <w:rsid w:val="00020C61"/>
    <w:rsid w:val="00022040"/>
    <w:rsid w:val="0002398D"/>
    <w:rsid w:val="00025450"/>
    <w:rsid w:val="000255EC"/>
    <w:rsid w:val="000259B3"/>
    <w:rsid w:val="00025AD6"/>
    <w:rsid w:val="00025FC3"/>
    <w:rsid w:val="00027B2A"/>
    <w:rsid w:val="00030322"/>
    <w:rsid w:val="000303E0"/>
    <w:rsid w:val="000304E7"/>
    <w:rsid w:val="00031300"/>
    <w:rsid w:val="00032708"/>
    <w:rsid w:val="00032B11"/>
    <w:rsid w:val="0003459A"/>
    <w:rsid w:val="000345D1"/>
    <w:rsid w:val="0003593D"/>
    <w:rsid w:val="00036B0D"/>
    <w:rsid w:val="00037143"/>
    <w:rsid w:val="00042AB3"/>
    <w:rsid w:val="00042BE7"/>
    <w:rsid w:val="00042CC2"/>
    <w:rsid w:val="00042FBD"/>
    <w:rsid w:val="000438A5"/>
    <w:rsid w:val="00044049"/>
    <w:rsid w:val="00044178"/>
    <w:rsid w:val="0004458C"/>
    <w:rsid w:val="00044851"/>
    <w:rsid w:val="00045C07"/>
    <w:rsid w:val="00046E8C"/>
    <w:rsid w:val="00047FB1"/>
    <w:rsid w:val="00050741"/>
    <w:rsid w:val="000512C2"/>
    <w:rsid w:val="000516AC"/>
    <w:rsid w:val="000519BC"/>
    <w:rsid w:val="00051F55"/>
    <w:rsid w:val="000529D7"/>
    <w:rsid w:val="0005311C"/>
    <w:rsid w:val="00053459"/>
    <w:rsid w:val="00053641"/>
    <w:rsid w:val="000536F2"/>
    <w:rsid w:val="00053782"/>
    <w:rsid w:val="0005478D"/>
    <w:rsid w:val="00055B95"/>
    <w:rsid w:val="00056F45"/>
    <w:rsid w:val="00057143"/>
    <w:rsid w:val="0006012C"/>
    <w:rsid w:val="0006064E"/>
    <w:rsid w:val="00061781"/>
    <w:rsid w:val="0006210E"/>
    <w:rsid w:val="0006266A"/>
    <w:rsid w:val="000628C9"/>
    <w:rsid w:val="000629DF"/>
    <w:rsid w:val="00062B36"/>
    <w:rsid w:val="00063DC6"/>
    <w:rsid w:val="000654AB"/>
    <w:rsid w:val="0006689C"/>
    <w:rsid w:val="00066D3E"/>
    <w:rsid w:val="00070073"/>
    <w:rsid w:val="00070AB8"/>
    <w:rsid w:val="00070C32"/>
    <w:rsid w:val="000714AE"/>
    <w:rsid w:val="00072CE0"/>
    <w:rsid w:val="00073392"/>
    <w:rsid w:val="00073973"/>
    <w:rsid w:val="00074F47"/>
    <w:rsid w:val="0007557E"/>
    <w:rsid w:val="00077443"/>
    <w:rsid w:val="0008068E"/>
    <w:rsid w:val="00080720"/>
    <w:rsid w:val="00081000"/>
    <w:rsid w:val="0008186B"/>
    <w:rsid w:val="00081A94"/>
    <w:rsid w:val="00081BF1"/>
    <w:rsid w:val="00082EC3"/>
    <w:rsid w:val="000831A2"/>
    <w:rsid w:val="00083EC7"/>
    <w:rsid w:val="00084082"/>
    <w:rsid w:val="00084EAE"/>
    <w:rsid w:val="00084FCD"/>
    <w:rsid w:val="00085780"/>
    <w:rsid w:val="00086098"/>
    <w:rsid w:val="00087728"/>
    <w:rsid w:val="00087AE2"/>
    <w:rsid w:val="00091758"/>
    <w:rsid w:val="00092589"/>
    <w:rsid w:val="00092929"/>
    <w:rsid w:val="0009307F"/>
    <w:rsid w:val="00095328"/>
    <w:rsid w:val="00095344"/>
    <w:rsid w:val="00095A9E"/>
    <w:rsid w:val="000964C0"/>
    <w:rsid w:val="00096C1D"/>
    <w:rsid w:val="00096D9B"/>
    <w:rsid w:val="000977FE"/>
    <w:rsid w:val="0009781C"/>
    <w:rsid w:val="00097E63"/>
    <w:rsid w:val="000A023D"/>
    <w:rsid w:val="000A0561"/>
    <w:rsid w:val="000A0574"/>
    <w:rsid w:val="000A1312"/>
    <w:rsid w:val="000A27D9"/>
    <w:rsid w:val="000A3951"/>
    <w:rsid w:val="000A5F67"/>
    <w:rsid w:val="000B15F7"/>
    <w:rsid w:val="000B279C"/>
    <w:rsid w:val="000B3A8F"/>
    <w:rsid w:val="000B58DD"/>
    <w:rsid w:val="000B6A96"/>
    <w:rsid w:val="000B6F02"/>
    <w:rsid w:val="000B706E"/>
    <w:rsid w:val="000B782E"/>
    <w:rsid w:val="000B7A68"/>
    <w:rsid w:val="000C01BA"/>
    <w:rsid w:val="000C0291"/>
    <w:rsid w:val="000C0988"/>
    <w:rsid w:val="000C0E3E"/>
    <w:rsid w:val="000C1BDE"/>
    <w:rsid w:val="000C377C"/>
    <w:rsid w:val="000C3846"/>
    <w:rsid w:val="000C3BFE"/>
    <w:rsid w:val="000C3E22"/>
    <w:rsid w:val="000C4002"/>
    <w:rsid w:val="000C5197"/>
    <w:rsid w:val="000C6072"/>
    <w:rsid w:val="000C6801"/>
    <w:rsid w:val="000C6A8F"/>
    <w:rsid w:val="000C7355"/>
    <w:rsid w:val="000D0223"/>
    <w:rsid w:val="000D1FBF"/>
    <w:rsid w:val="000D2A7B"/>
    <w:rsid w:val="000D4374"/>
    <w:rsid w:val="000D4E19"/>
    <w:rsid w:val="000D5856"/>
    <w:rsid w:val="000D5878"/>
    <w:rsid w:val="000D5B99"/>
    <w:rsid w:val="000D5FA8"/>
    <w:rsid w:val="000D6D95"/>
    <w:rsid w:val="000E0322"/>
    <w:rsid w:val="000E0B87"/>
    <w:rsid w:val="000E25CC"/>
    <w:rsid w:val="000E418A"/>
    <w:rsid w:val="000E4B77"/>
    <w:rsid w:val="000E67F5"/>
    <w:rsid w:val="000E6D76"/>
    <w:rsid w:val="000F0876"/>
    <w:rsid w:val="000F0EB7"/>
    <w:rsid w:val="000F24F2"/>
    <w:rsid w:val="000F75E3"/>
    <w:rsid w:val="00101F10"/>
    <w:rsid w:val="0010220F"/>
    <w:rsid w:val="00103F09"/>
    <w:rsid w:val="00104A5E"/>
    <w:rsid w:val="001050AA"/>
    <w:rsid w:val="0010521E"/>
    <w:rsid w:val="001056B8"/>
    <w:rsid w:val="00105F53"/>
    <w:rsid w:val="00106D78"/>
    <w:rsid w:val="00106EDE"/>
    <w:rsid w:val="001071D1"/>
    <w:rsid w:val="00107913"/>
    <w:rsid w:val="00107B66"/>
    <w:rsid w:val="001100D3"/>
    <w:rsid w:val="001118EA"/>
    <w:rsid w:val="00112BB4"/>
    <w:rsid w:val="00114302"/>
    <w:rsid w:val="0011490A"/>
    <w:rsid w:val="00115F91"/>
    <w:rsid w:val="0011601B"/>
    <w:rsid w:val="0011643C"/>
    <w:rsid w:val="00117B56"/>
    <w:rsid w:val="00117EC9"/>
    <w:rsid w:val="00120BFA"/>
    <w:rsid w:val="00122B51"/>
    <w:rsid w:val="00123F9F"/>
    <w:rsid w:val="001256E7"/>
    <w:rsid w:val="00125798"/>
    <w:rsid w:val="001262D5"/>
    <w:rsid w:val="00126D6F"/>
    <w:rsid w:val="00127375"/>
    <w:rsid w:val="00127758"/>
    <w:rsid w:val="00127DE7"/>
    <w:rsid w:val="001304C4"/>
    <w:rsid w:val="00130581"/>
    <w:rsid w:val="00131DAC"/>
    <w:rsid w:val="00131FA4"/>
    <w:rsid w:val="0013213A"/>
    <w:rsid w:val="00132C95"/>
    <w:rsid w:val="00134548"/>
    <w:rsid w:val="00136C20"/>
    <w:rsid w:val="00136D2D"/>
    <w:rsid w:val="00136E04"/>
    <w:rsid w:val="00137CC5"/>
    <w:rsid w:val="001403D1"/>
    <w:rsid w:val="00141085"/>
    <w:rsid w:val="0014301F"/>
    <w:rsid w:val="00143D8C"/>
    <w:rsid w:val="00143FBB"/>
    <w:rsid w:val="00145227"/>
    <w:rsid w:val="00145F9C"/>
    <w:rsid w:val="00146D06"/>
    <w:rsid w:val="0015078A"/>
    <w:rsid w:val="001515A9"/>
    <w:rsid w:val="00152CBB"/>
    <w:rsid w:val="00152CC3"/>
    <w:rsid w:val="001536FB"/>
    <w:rsid w:val="0015380B"/>
    <w:rsid w:val="0015436C"/>
    <w:rsid w:val="00154FEE"/>
    <w:rsid w:val="00155697"/>
    <w:rsid w:val="001576DC"/>
    <w:rsid w:val="00160485"/>
    <w:rsid w:val="00160A98"/>
    <w:rsid w:val="00162971"/>
    <w:rsid w:val="001633D7"/>
    <w:rsid w:val="001634B9"/>
    <w:rsid w:val="00163561"/>
    <w:rsid w:val="001636DD"/>
    <w:rsid w:val="001639BD"/>
    <w:rsid w:val="00163B8B"/>
    <w:rsid w:val="00163DE9"/>
    <w:rsid w:val="001649DE"/>
    <w:rsid w:val="001649F0"/>
    <w:rsid w:val="001650CC"/>
    <w:rsid w:val="00167124"/>
    <w:rsid w:val="00170F07"/>
    <w:rsid w:val="00174BE3"/>
    <w:rsid w:val="001752B6"/>
    <w:rsid w:val="00180449"/>
    <w:rsid w:val="00180CB8"/>
    <w:rsid w:val="00180CC4"/>
    <w:rsid w:val="001811CB"/>
    <w:rsid w:val="001817F2"/>
    <w:rsid w:val="00182364"/>
    <w:rsid w:val="001826BA"/>
    <w:rsid w:val="001830E1"/>
    <w:rsid w:val="00183E55"/>
    <w:rsid w:val="0018574B"/>
    <w:rsid w:val="00186DC9"/>
    <w:rsid w:val="001876C9"/>
    <w:rsid w:val="001879E2"/>
    <w:rsid w:val="0019044D"/>
    <w:rsid w:val="00191663"/>
    <w:rsid w:val="00191898"/>
    <w:rsid w:val="001935CA"/>
    <w:rsid w:val="00193BBB"/>
    <w:rsid w:val="00193BFB"/>
    <w:rsid w:val="001951EE"/>
    <w:rsid w:val="00196EB6"/>
    <w:rsid w:val="001A02C9"/>
    <w:rsid w:val="001A0AD7"/>
    <w:rsid w:val="001A0FBC"/>
    <w:rsid w:val="001A1549"/>
    <w:rsid w:val="001A16EE"/>
    <w:rsid w:val="001A1CDF"/>
    <w:rsid w:val="001A24FC"/>
    <w:rsid w:val="001A25BE"/>
    <w:rsid w:val="001A2B9A"/>
    <w:rsid w:val="001A30F0"/>
    <w:rsid w:val="001A3808"/>
    <w:rsid w:val="001A6081"/>
    <w:rsid w:val="001A62AE"/>
    <w:rsid w:val="001B1467"/>
    <w:rsid w:val="001B19AA"/>
    <w:rsid w:val="001B2C80"/>
    <w:rsid w:val="001B3719"/>
    <w:rsid w:val="001B38A4"/>
    <w:rsid w:val="001B4162"/>
    <w:rsid w:val="001B4621"/>
    <w:rsid w:val="001B583B"/>
    <w:rsid w:val="001C154D"/>
    <w:rsid w:val="001C1900"/>
    <w:rsid w:val="001C1FD9"/>
    <w:rsid w:val="001C3B21"/>
    <w:rsid w:val="001C5168"/>
    <w:rsid w:val="001C5313"/>
    <w:rsid w:val="001C54B2"/>
    <w:rsid w:val="001C59A8"/>
    <w:rsid w:val="001C59BD"/>
    <w:rsid w:val="001C5FFF"/>
    <w:rsid w:val="001C624E"/>
    <w:rsid w:val="001C62E1"/>
    <w:rsid w:val="001C6D5A"/>
    <w:rsid w:val="001C769D"/>
    <w:rsid w:val="001C796E"/>
    <w:rsid w:val="001D1807"/>
    <w:rsid w:val="001D1FCA"/>
    <w:rsid w:val="001D2473"/>
    <w:rsid w:val="001D2BF8"/>
    <w:rsid w:val="001D421A"/>
    <w:rsid w:val="001D4E2E"/>
    <w:rsid w:val="001D5148"/>
    <w:rsid w:val="001D55AA"/>
    <w:rsid w:val="001D5D04"/>
    <w:rsid w:val="001E00B5"/>
    <w:rsid w:val="001E03A8"/>
    <w:rsid w:val="001E1AF5"/>
    <w:rsid w:val="001E1B8C"/>
    <w:rsid w:val="001E29E3"/>
    <w:rsid w:val="001E2DEF"/>
    <w:rsid w:val="001E2E0C"/>
    <w:rsid w:val="001E436A"/>
    <w:rsid w:val="001E44F7"/>
    <w:rsid w:val="001E5406"/>
    <w:rsid w:val="001E54F8"/>
    <w:rsid w:val="001E5928"/>
    <w:rsid w:val="001E5BDC"/>
    <w:rsid w:val="001E7110"/>
    <w:rsid w:val="001F00DE"/>
    <w:rsid w:val="001F0A17"/>
    <w:rsid w:val="001F18BE"/>
    <w:rsid w:val="001F21D3"/>
    <w:rsid w:val="001F3248"/>
    <w:rsid w:val="001F4003"/>
    <w:rsid w:val="001F4841"/>
    <w:rsid w:val="001F4ED1"/>
    <w:rsid w:val="001F59DF"/>
    <w:rsid w:val="001F5CF1"/>
    <w:rsid w:val="001F60B0"/>
    <w:rsid w:val="001F6179"/>
    <w:rsid w:val="001F6C00"/>
    <w:rsid w:val="001F71CC"/>
    <w:rsid w:val="001F7D0D"/>
    <w:rsid w:val="002003F0"/>
    <w:rsid w:val="002007C0"/>
    <w:rsid w:val="00200ADD"/>
    <w:rsid w:val="002011AE"/>
    <w:rsid w:val="00201BEE"/>
    <w:rsid w:val="00202325"/>
    <w:rsid w:val="00202E14"/>
    <w:rsid w:val="00203EAD"/>
    <w:rsid w:val="00204CE1"/>
    <w:rsid w:val="002065AB"/>
    <w:rsid w:val="00207745"/>
    <w:rsid w:val="00207D3C"/>
    <w:rsid w:val="00207F12"/>
    <w:rsid w:val="002100F9"/>
    <w:rsid w:val="00210532"/>
    <w:rsid w:val="00210E23"/>
    <w:rsid w:val="00211203"/>
    <w:rsid w:val="00213720"/>
    <w:rsid w:val="00214974"/>
    <w:rsid w:val="00216029"/>
    <w:rsid w:val="00217227"/>
    <w:rsid w:val="0022138F"/>
    <w:rsid w:val="00222668"/>
    <w:rsid w:val="00223638"/>
    <w:rsid w:val="00224713"/>
    <w:rsid w:val="00227DFE"/>
    <w:rsid w:val="0023023A"/>
    <w:rsid w:val="00230560"/>
    <w:rsid w:val="002305EA"/>
    <w:rsid w:val="002306FE"/>
    <w:rsid w:val="00230914"/>
    <w:rsid w:val="002314C8"/>
    <w:rsid w:val="002321F1"/>
    <w:rsid w:val="0023233C"/>
    <w:rsid w:val="00234584"/>
    <w:rsid w:val="00235483"/>
    <w:rsid w:val="002358AE"/>
    <w:rsid w:val="00235BB8"/>
    <w:rsid w:val="0023671C"/>
    <w:rsid w:val="00237DE0"/>
    <w:rsid w:val="00237E9B"/>
    <w:rsid w:val="00240EDA"/>
    <w:rsid w:val="00241A0A"/>
    <w:rsid w:val="002427A2"/>
    <w:rsid w:val="002436C6"/>
    <w:rsid w:val="00243C1E"/>
    <w:rsid w:val="0024417C"/>
    <w:rsid w:val="0024460B"/>
    <w:rsid w:val="00244AD5"/>
    <w:rsid w:val="00246058"/>
    <w:rsid w:val="00246911"/>
    <w:rsid w:val="002522D1"/>
    <w:rsid w:val="0025369E"/>
    <w:rsid w:val="002538C5"/>
    <w:rsid w:val="002539DA"/>
    <w:rsid w:val="00254EAD"/>
    <w:rsid w:val="00255733"/>
    <w:rsid w:val="00256320"/>
    <w:rsid w:val="0025750E"/>
    <w:rsid w:val="002608DB"/>
    <w:rsid w:val="0026136D"/>
    <w:rsid w:val="00262F84"/>
    <w:rsid w:val="00264293"/>
    <w:rsid w:val="00266C16"/>
    <w:rsid w:val="00267568"/>
    <w:rsid w:val="00270599"/>
    <w:rsid w:val="002708F6"/>
    <w:rsid w:val="002710F8"/>
    <w:rsid w:val="00272971"/>
    <w:rsid w:val="0027348E"/>
    <w:rsid w:val="0027426E"/>
    <w:rsid w:val="002745EC"/>
    <w:rsid w:val="00274C17"/>
    <w:rsid w:val="0027502A"/>
    <w:rsid w:val="00276ACB"/>
    <w:rsid w:val="00276CD6"/>
    <w:rsid w:val="00280C10"/>
    <w:rsid w:val="00281865"/>
    <w:rsid w:val="00281CAD"/>
    <w:rsid w:val="00282C2A"/>
    <w:rsid w:val="0028325D"/>
    <w:rsid w:val="0028510D"/>
    <w:rsid w:val="002858ED"/>
    <w:rsid w:val="00286F7B"/>
    <w:rsid w:val="00287C4E"/>
    <w:rsid w:val="00287F20"/>
    <w:rsid w:val="00290B07"/>
    <w:rsid w:val="0029125E"/>
    <w:rsid w:val="00291764"/>
    <w:rsid w:val="00292721"/>
    <w:rsid w:val="00292D76"/>
    <w:rsid w:val="0029343E"/>
    <w:rsid w:val="00293EA4"/>
    <w:rsid w:val="00294B76"/>
    <w:rsid w:val="0029557C"/>
    <w:rsid w:val="00297405"/>
    <w:rsid w:val="002A010C"/>
    <w:rsid w:val="002A26D4"/>
    <w:rsid w:val="002A2849"/>
    <w:rsid w:val="002A2EE8"/>
    <w:rsid w:val="002A3E56"/>
    <w:rsid w:val="002A3F7C"/>
    <w:rsid w:val="002A3F82"/>
    <w:rsid w:val="002A4046"/>
    <w:rsid w:val="002A472E"/>
    <w:rsid w:val="002A485D"/>
    <w:rsid w:val="002A49B4"/>
    <w:rsid w:val="002B00AD"/>
    <w:rsid w:val="002B24F5"/>
    <w:rsid w:val="002B3C55"/>
    <w:rsid w:val="002B44AA"/>
    <w:rsid w:val="002B5D55"/>
    <w:rsid w:val="002B5E21"/>
    <w:rsid w:val="002B663C"/>
    <w:rsid w:val="002B6A3A"/>
    <w:rsid w:val="002B6C62"/>
    <w:rsid w:val="002C0025"/>
    <w:rsid w:val="002C09F7"/>
    <w:rsid w:val="002C0AF2"/>
    <w:rsid w:val="002C14C3"/>
    <w:rsid w:val="002C2DAF"/>
    <w:rsid w:val="002C3CA0"/>
    <w:rsid w:val="002C54C4"/>
    <w:rsid w:val="002D22D1"/>
    <w:rsid w:val="002D2432"/>
    <w:rsid w:val="002D3467"/>
    <w:rsid w:val="002D3D2D"/>
    <w:rsid w:val="002D4AB5"/>
    <w:rsid w:val="002D633F"/>
    <w:rsid w:val="002D6E28"/>
    <w:rsid w:val="002E1AA6"/>
    <w:rsid w:val="002E1D2A"/>
    <w:rsid w:val="002E2ACA"/>
    <w:rsid w:val="002E31E0"/>
    <w:rsid w:val="002E334C"/>
    <w:rsid w:val="002E3C6F"/>
    <w:rsid w:val="002E49D4"/>
    <w:rsid w:val="002E4C81"/>
    <w:rsid w:val="002E58B5"/>
    <w:rsid w:val="002E600B"/>
    <w:rsid w:val="002E66CF"/>
    <w:rsid w:val="002E6A71"/>
    <w:rsid w:val="002E7A97"/>
    <w:rsid w:val="002E7F97"/>
    <w:rsid w:val="002F14BD"/>
    <w:rsid w:val="002F2122"/>
    <w:rsid w:val="002F2877"/>
    <w:rsid w:val="002F3669"/>
    <w:rsid w:val="002F3677"/>
    <w:rsid w:val="002F3966"/>
    <w:rsid w:val="002F46C3"/>
    <w:rsid w:val="002F4751"/>
    <w:rsid w:val="002F6560"/>
    <w:rsid w:val="002F692A"/>
    <w:rsid w:val="002F7E8F"/>
    <w:rsid w:val="003004AB"/>
    <w:rsid w:val="00300C78"/>
    <w:rsid w:val="00300F09"/>
    <w:rsid w:val="00302246"/>
    <w:rsid w:val="00302924"/>
    <w:rsid w:val="003032DE"/>
    <w:rsid w:val="00303FB0"/>
    <w:rsid w:val="00303FCA"/>
    <w:rsid w:val="00306866"/>
    <w:rsid w:val="00306A75"/>
    <w:rsid w:val="00307042"/>
    <w:rsid w:val="003073ED"/>
    <w:rsid w:val="00307E66"/>
    <w:rsid w:val="0031070F"/>
    <w:rsid w:val="0031072F"/>
    <w:rsid w:val="003119C9"/>
    <w:rsid w:val="003128C5"/>
    <w:rsid w:val="0031306B"/>
    <w:rsid w:val="00313179"/>
    <w:rsid w:val="00313445"/>
    <w:rsid w:val="00314B74"/>
    <w:rsid w:val="00314D27"/>
    <w:rsid w:val="0031558F"/>
    <w:rsid w:val="003169B0"/>
    <w:rsid w:val="00316CB1"/>
    <w:rsid w:val="0032076B"/>
    <w:rsid w:val="0032078E"/>
    <w:rsid w:val="00320BE7"/>
    <w:rsid w:val="00321ED6"/>
    <w:rsid w:val="00323E4E"/>
    <w:rsid w:val="0032441F"/>
    <w:rsid w:val="0032487D"/>
    <w:rsid w:val="00324B4C"/>
    <w:rsid w:val="003253EC"/>
    <w:rsid w:val="00326214"/>
    <w:rsid w:val="0032699C"/>
    <w:rsid w:val="00326C0F"/>
    <w:rsid w:val="00326F72"/>
    <w:rsid w:val="0032739B"/>
    <w:rsid w:val="00327765"/>
    <w:rsid w:val="00327AAA"/>
    <w:rsid w:val="0033028D"/>
    <w:rsid w:val="00331D66"/>
    <w:rsid w:val="0033308F"/>
    <w:rsid w:val="003331F2"/>
    <w:rsid w:val="00335A11"/>
    <w:rsid w:val="00335BAF"/>
    <w:rsid w:val="00336151"/>
    <w:rsid w:val="00336842"/>
    <w:rsid w:val="00340209"/>
    <w:rsid w:val="00340551"/>
    <w:rsid w:val="00341963"/>
    <w:rsid w:val="003422B5"/>
    <w:rsid w:val="0034282C"/>
    <w:rsid w:val="00344E3B"/>
    <w:rsid w:val="00344E88"/>
    <w:rsid w:val="00347A90"/>
    <w:rsid w:val="003513E9"/>
    <w:rsid w:val="00352842"/>
    <w:rsid w:val="00352F88"/>
    <w:rsid w:val="003536D6"/>
    <w:rsid w:val="00353D7A"/>
    <w:rsid w:val="00354046"/>
    <w:rsid w:val="00354444"/>
    <w:rsid w:val="0035453A"/>
    <w:rsid w:val="003545E5"/>
    <w:rsid w:val="00354F57"/>
    <w:rsid w:val="003552CC"/>
    <w:rsid w:val="00356A2D"/>
    <w:rsid w:val="003571EF"/>
    <w:rsid w:val="00357B0B"/>
    <w:rsid w:val="00360204"/>
    <w:rsid w:val="00360D27"/>
    <w:rsid w:val="00361068"/>
    <w:rsid w:val="003636C7"/>
    <w:rsid w:val="00363CD1"/>
    <w:rsid w:val="0036523D"/>
    <w:rsid w:val="00366D47"/>
    <w:rsid w:val="00366E45"/>
    <w:rsid w:val="00370067"/>
    <w:rsid w:val="00370E47"/>
    <w:rsid w:val="00371CA7"/>
    <w:rsid w:val="003732B6"/>
    <w:rsid w:val="00373FBC"/>
    <w:rsid w:val="003742A4"/>
    <w:rsid w:val="003756EC"/>
    <w:rsid w:val="003757C8"/>
    <w:rsid w:val="00376938"/>
    <w:rsid w:val="00380B2A"/>
    <w:rsid w:val="0038128E"/>
    <w:rsid w:val="00383875"/>
    <w:rsid w:val="00383FA9"/>
    <w:rsid w:val="003844CC"/>
    <w:rsid w:val="00385365"/>
    <w:rsid w:val="003859D5"/>
    <w:rsid w:val="00385B51"/>
    <w:rsid w:val="003868B8"/>
    <w:rsid w:val="0038698A"/>
    <w:rsid w:val="00386A64"/>
    <w:rsid w:val="00386C41"/>
    <w:rsid w:val="0039046F"/>
    <w:rsid w:val="00390984"/>
    <w:rsid w:val="00391598"/>
    <w:rsid w:val="003917B7"/>
    <w:rsid w:val="003920A1"/>
    <w:rsid w:val="0039349E"/>
    <w:rsid w:val="00393749"/>
    <w:rsid w:val="00393D10"/>
    <w:rsid w:val="0039505F"/>
    <w:rsid w:val="00395D95"/>
    <w:rsid w:val="003961B7"/>
    <w:rsid w:val="003961C8"/>
    <w:rsid w:val="003961FE"/>
    <w:rsid w:val="003A0539"/>
    <w:rsid w:val="003A15ED"/>
    <w:rsid w:val="003A1694"/>
    <w:rsid w:val="003A1E6A"/>
    <w:rsid w:val="003A200B"/>
    <w:rsid w:val="003A26FC"/>
    <w:rsid w:val="003A3283"/>
    <w:rsid w:val="003A3678"/>
    <w:rsid w:val="003A3BC2"/>
    <w:rsid w:val="003A3E68"/>
    <w:rsid w:val="003A3F65"/>
    <w:rsid w:val="003A5634"/>
    <w:rsid w:val="003A6075"/>
    <w:rsid w:val="003A68DA"/>
    <w:rsid w:val="003A724D"/>
    <w:rsid w:val="003A7723"/>
    <w:rsid w:val="003A7ED7"/>
    <w:rsid w:val="003B037A"/>
    <w:rsid w:val="003B07A4"/>
    <w:rsid w:val="003B09FD"/>
    <w:rsid w:val="003B33E0"/>
    <w:rsid w:val="003B35C3"/>
    <w:rsid w:val="003B3902"/>
    <w:rsid w:val="003B3C2A"/>
    <w:rsid w:val="003B574E"/>
    <w:rsid w:val="003B6560"/>
    <w:rsid w:val="003B79AF"/>
    <w:rsid w:val="003C1F09"/>
    <w:rsid w:val="003C26F3"/>
    <w:rsid w:val="003C4007"/>
    <w:rsid w:val="003C53F7"/>
    <w:rsid w:val="003C5758"/>
    <w:rsid w:val="003C6ADD"/>
    <w:rsid w:val="003C746B"/>
    <w:rsid w:val="003C7F86"/>
    <w:rsid w:val="003D23C7"/>
    <w:rsid w:val="003D4233"/>
    <w:rsid w:val="003D438C"/>
    <w:rsid w:val="003D485C"/>
    <w:rsid w:val="003D4E66"/>
    <w:rsid w:val="003D52A8"/>
    <w:rsid w:val="003D53A9"/>
    <w:rsid w:val="003D584F"/>
    <w:rsid w:val="003D6FC8"/>
    <w:rsid w:val="003D72B8"/>
    <w:rsid w:val="003D72FE"/>
    <w:rsid w:val="003E0A1A"/>
    <w:rsid w:val="003E10EB"/>
    <w:rsid w:val="003E14B2"/>
    <w:rsid w:val="003E14CB"/>
    <w:rsid w:val="003E15FF"/>
    <w:rsid w:val="003E1F55"/>
    <w:rsid w:val="003E24F8"/>
    <w:rsid w:val="003E3C79"/>
    <w:rsid w:val="003E499B"/>
    <w:rsid w:val="003E50E5"/>
    <w:rsid w:val="003E52E2"/>
    <w:rsid w:val="003E613B"/>
    <w:rsid w:val="003E6DC7"/>
    <w:rsid w:val="003F1DA2"/>
    <w:rsid w:val="003F1E21"/>
    <w:rsid w:val="003F1E53"/>
    <w:rsid w:val="003F28B6"/>
    <w:rsid w:val="003F31E4"/>
    <w:rsid w:val="003F41A2"/>
    <w:rsid w:val="003F4C8F"/>
    <w:rsid w:val="003F5077"/>
    <w:rsid w:val="003F55FD"/>
    <w:rsid w:val="003F5D6C"/>
    <w:rsid w:val="003F6385"/>
    <w:rsid w:val="003F6970"/>
    <w:rsid w:val="003F6EF3"/>
    <w:rsid w:val="003F76E0"/>
    <w:rsid w:val="004007F5"/>
    <w:rsid w:val="00400F43"/>
    <w:rsid w:val="004033B5"/>
    <w:rsid w:val="00405620"/>
    <w:rsid w:val="00406792"/>
    <w:rsid w:val="00406868"/>
    <w:rsid w:val="00406FFE"/>
    <w:rsid w:val="00407110"/>
    <w:rsid w:val="00407DB8"/>
    <w:rsid w:val="00410EFE"/>
    <w:rsid w:val="004121F2"/>
    <w:rsid w:val="00414493"/>
    <w:rsid w:val="00415F6E"/>
    <w:rsid w:val="00416376"/>
    <w:rsid w:val="004166C7"/>
    <w:rsid w:val="00416AA1"/>
    <w:rsid w:val="004205FE"/>
    <w:rsid w:val="00420C5A"/>
    <w:rsid w:val="004237E3"/>
    <w:rsid w:val="004237EA"/>
    <w:rsid w:val="00424E2E"/>
    <w:rsid w:val="00425DB8"/>
    <w:rsid w:val="004265F3"/>
    <w:rsid w:val="00426D53"/>
    <w:rsid w:val="00430694"/>
    <w:rsid w:val="00430C33"/>
    <w:rsid w:val="00430FF2"/>
    <w:rsid w:val="004312C5"/>
    <w:rsid w:val="00431876"/>
    <w:rsid w:val="004322C8"/>
    <w:rsid w:val="00432A8A"/>
    <w:rsid w:val="00432CD0"/>
    <w:rsid w:val="004341D1"/>
    <w:rsid w:val="00435CCE"/>
    <w:rsid w:val="004362CD"/>
    <w:rsid w:val="00436D20"/>
    <w:rsid w:val="0044106D"/>
    <w:rsid w:val="00441B3D"/>
    <w:rsid w:val="00442585"/>
    <w:rsid w:val="004437F3"/>
    <w:rsid w:val="00443823"/>
    <w:rsid w:val="004447AC"/>
    <w:rsid w:val="00444D25"/>
    <w:rsid w:val="00445201"/>
    <w:rsid w:val="00447DB4"/>
    <w:rsid w:val="00447DD5"/>
    <w:rsid w:val="00447FD6"/>
    <w:rsid w:val="0045080C"/>
    <w:rsid w:val="00450EE1"/>
    <w:rsid w:val="00451B0D"/>
    <w:rsid w:val="00453252"/>
    <w:rsid w:val="0045339B"/>
    <w:rsid w:val="00454787"/>
    <w:rsid w:val="0045522A"/>
    <w:rsid w:val="00455808"/>
    <w:rsid w:val="00455C1C"/>
    <w:rsid w:val="00456E20"/>
    <w:rsid w:val="004570D3"/>
    <w:rsid w:val="00457453"/>
    <w:rsid w:val="00457470"/>
    <w:rsid w:val="00460478"/>
    <w:rsid w:val="00461148"/>
    <w:rsid w:val="00462B36"/>
    <w:rsid w:val="00462CD2"/>
    <w:rsid w:val="004636A7"/>
    <w:rsid w:val="00463EFC"/>
    <w:rsid w:val="004649B0"/>
    <w:rsid w:val="00465B30"/>
    <w:rsid w:val="0046642C"/>
    <w:rsid w:val="004665E7"/>
    <w:rsid w:val="00466C91"/>
    <w:rsid w:val="00467C6C"/>
    <w:rsid w:val="0047137B"/>
    <w:rsid w:val="00472998"/>
    <w:rsid w:val="00472C6B"/>
    <w:rsid w:val="00472D0A"/>
    <w:rsid w:val="00473FC3"/>
    <w:rsid w:val="00474088"/>
    <w:rsid w:val="0047494F"/>
    <w:rsid w:val="00475BD2"/>
    <w:rsid w:val="004771DC"/>
    <w:rsid w:val="00477A32"/>
    <w:rsid w:val="00477E0A"/>
    <w:rsid w:val="0048172B"/>
    <w:rsid w:val="00484B59"/>
    <w:rsid w:val="0048723D"/>
    <w:rsid w:val="00487C31"/>
    <w:rsid w:val="00492ABA"/>
    <w:rsid w:val="0049310C"/>
    <w:rsid w:val="00493FCC"/>
    <w:rsid w:val="00495056"/>
    <w:rsid w:val="00495419"/>
    <w:rsid w:val="00495DF1"/>
    <w:rsid w:val="0049733C"/>
    <w:rsid w:val="004A0204"/>
    <w:rsid w:val="004A0B3A"/>
    <w:rsid w:val="004A0E38"/>
    <w:rsid w:val="004A116A"/>
    <w:rsid w:val="004A1F4F"/>
    <w:rsid w:val="004A21AE"/>
    <w:rsid w:val="004A22B2"/>
    <w:rsid w:val="004A2301"/>
    <w:rsid w:val="004A23B2"/>
    <w:rsid w:val="004A3011"/>
    <w:rsid w:val="004A33DB"/>
    <w:rsid w:val="004A35EB"/>
    <w:rsid w:val="004A3904"/>
    <w:rsid w:val="004A4B46"/>
    <w:rsid w:val="004A5B14"/>
    <w:rsid w:val="004A69D2"/>
    <w:rsid w:val="004A6F60"/>
    <w:rsid w:val="004A7755"/>
    <w:rsid w:val="004B0275"/>
    <w:rsid w:val="004B1EDA"/>
    <w:rsid w:val="004B24DF"/>
    <w:rsid w:val="004B3184"/>
    <w:rsid w:val="004B3493"/>
    <w:rsid w:val="004B4FA8"/>
    <w:rsid w:val="004B5256"/>
    <w:rsid w:val="004B5320"/>
    <w:rsid w:val="004B53C4"/>
    <w:rsid w:val="004B640B"/>
    <w:rsid w:val="004B788D"/>
    <w:rsid w:val="004B7B26"/>
    <w:rsid w:val="004C1ECC"/>
    <w:rsid w:val="004C22D9"/>
    <w:rsid w:val="004C328B"/>
    <w:rsid w:val="004C3392"/>
    <w:rsid w:val="004C4A22"/>
    <w:rsid w:val="004D04BD"/>
    <w:rsid w:val="004D0F58"/>
    <w:rsid w:val="004D170E"/>
    <w:rsid w:val="004D1A7A"/>
    <w:rsid w:val="004D1E06"/>
    <w:rsid w:val="004D24FF"/>
    <w:rsid w:val="004D3694"/>
    <w:rsid w:val="004D41B8"/>
    <w:rsid w:val="004D4570"/>
    <w:rsid w:val="004D45DD"/>
    <w:rsid w:val="004D65C4"/>
    <w:rsid w:val="004D701B"/>
    <w:rsid w:val="004E076D"/>
    <w:rsid w:val="004E0EF1"/>
    <w:rsid w:val="004E1404"/>
    <w:rsid w:val="004E18D2"/>
    <w:rsid w:val="004E2606"/>
    <w:rsid w:val="004E26A8"/>
    <w:rsid w:val="004E4920"/>
    <w:rsid w:val="004E4FDD"/>
    <w:rsid w:val="004E55C8"/>
    <w:rsid w:val="004E63AC"/>
    <w:rsid w:val="004E662D"/>
    <w:rsid w:val="004E6934"/>
    <w:rsid w:val="004E6A98"/>
    <w:rsid w:val="004E6DC8"/>
    <w:rsid w:val="004F026E"/>
    <w:rsid w:val="004F0280"/>
    <w:rsid w:val="004F048A"/>
    <w:rsid w:val="004F0BB7"/>
    <w:rsid w:val="004F102B"/>
    <w:rsid w:val="004F1C3F"/>
    <w:rsid w:val="004F4F4E"/>
    <w:rsid w:val="004F50FB"/>
    <w:rsid w:val="004F58D7"/>
    <w:rsid w:val="004F63A8"/>
    <w:rsid w:val="0050197F"/>
    <w:rsid w:val="00501D69"/>
    <w:rsid w:val="00502750"/>
    <w:rsid w:val="00503CC4"/>
    <w:rsid w:val="00503ED5"/>
    <w:rsid w:val="00504C6D"/>
    <w:rsid w:val="00506862"/>
    <w:rsid w:val="0050728F"/>
    <w:rsid w:val="00507DF5"/>
    <w:rsid w:val="00511046"/>
    <w:rsid w:val="00511A9D"/>
    <w:rsid w:val="00511E66"/>
    <w:rsid w:val="00512392"/>
    <w:rsid w:val="005124E1"/>
    <w:rsid w:val="005131C9"/>
    <w:rsid w:val="00513AC1"/>
    <w:rsid w:val="00514358"/>
    <w:rsid w:val="0051486E"/>
    <w:rsid w:val="005157D4"/>
    <w:rsid w:val="00515D02"/>
    <w:rsid w:val="0051606A"/>
    <w:rsid w:val="00516A5D"/>
    <w:rsid w:val="00521D5E"/>
    <w:rsid w:val="005226C2"/>
    <w:rsid w:val="005231C0"/>
    <w:rsid w:val="00523A22"/>
    <w:rsid w:val="00525649"/>
    <w:rsid w:val="00526983"/>
    <w:rsid w:val="00526B30"/>
    <w:rsid w:val="00526D8A"/>
    <w:rsid w:val="00530173"/>
    <w:rsid w:val="00530575"/>
    <w:rsid w:val="00530D7A"/>
    <w:rsid w:val="0053125A"/>
    <w:rsid w:val="00532588"/>
    <w:rsid w:val="0053300C"/>
    <w:rsid w:val="00533189"/>
    <w:rsid w:val="005338EA"/>
    <w:rsid w:val="00534A92"/>
    <w:rsid w:val="00534E6C"/>
    <w:rsid w:val="0053630A"/>
    <w:rsid w:val="005364E6"/>
    <w:rsid w:val="00540410"/>
    <w:rsid w:val="00540453"/>
    <w:rsid w:val="00540851"/>
    <w:rsid w:val="00541178"/>
    <w:rsid w:val="005422AC"/>
    <w:rsid w:val="00542A63"/>
    <w:rsid w:val="005438C7"/>
    <w:rsid w:val="00543ADA"/>
    <w:rsid w:val="0054436F"/>
    <w:rsid w:val="00546F17"/>
    <w:rsid w:val="005517FD"/>
    <w:rsid w:val="00551A6F"/>
    <w:rsid w:val="00552C83"/>
    <w:rsid w:val="00553A5B"/>
    <w:rsid w:val="00554238"/>
    <w:rsid w:val="00555E26"/>
    <w:rsid w:val="0055708D"/>
    <w:rsid w:val="005575D7"/>
    <w:rsid w:val="00560EBE"/>
    <w:rsid w:val="005612DB"/>
    <w:rsid w:val="00561492"/>
    <w:rsid w:val="0056246E"/>
    <w:rsid w:val="00562BD9"/>
    <w:rsid w:val="00562BE0"/>
    <w:rsid w:val="005640A4"/>
    <w:rsid w:val="005643F1"/>
    <w:rsid w:val="00564BF1"/>
    <w:rsid w:val="00565F89"/>
    <w:rsid w:val="005661DE"/>
    <w:rsid w:val="0056630F"/>
    <w:rsid w:val="005668BF"/>
    <w:rsid w:val="00567347"/>
    <w:rsid w:val="0056752D"/>
    <w:rsid w:val="005677C7"/>
    <w:rsid w:val="00570B97"/>
    <w:rsid w:val="00572601"/>
    <w:rsid w:val="005742FE"/>
    <w:rsid w:val="00574709"/>
    <w:rsid w:val="00574DD5"/>
    <w:rsid w:val="0057518E"/>
    <w:rsid w:val="00575272"/>
    <w:rsid w:val="00575B5E"/>
    <w:rsid w:val="00576461"/>
    <w:rsid w:val="00576544"/>
    <w:rsid w:val="0057660B"/>
    <w:rsid w:val="00576B21"/>
    <w:rsid w:val="00576FFC"/>
    <w:rsid w:val="00577067"/>
    <w:rsid w:val="005804DF"/>
    <w:rsid w:val="00580B6B"/>
    <w:rsid w:val="00582323"/>
    <w:rsid w:val="00583415"/>
    <w:rsid w:val="0058379C"/>
    <w:rsid w:val="005845C8"/>
    <w:rsid w:val="005851E9"/>
    <w:rsid w:val="00586DDF"/>
    <w:rsid w:val="00587AEF"/>
    <w:rsid w:val="005907D7"/>
    <w:rsid w:val="00591592"/>
    <w:rsid w:val="00591AB3"/>
    <w:rsid w:val="00591F09"/>
    <w:rsid w:val="00593E5D"/>
    <w:rsid w:val="00593F22"/>
    <w:rsid w:val="00594C1C"/>
    <w:rsid w:val="0059623A"/>
    <w:rsid w:val="00596E70"/>
    <w:rsid w:val="005A13DE"/>
    <w:rsid w:val="005A3C25"/>
    <w:rsid w:val="005A5623"/>
    <w:rsid w:val="005A5B8F"/>
    <w:rsid w:val="005A6B4B"/>
    <w:rsid w:val="005A6B81"/>
    <w:rsid w:val="005A7B2B"/>
    <w:rsid w:val="005B0190"/>
    <w:rsid w:val="005B1650"/>
    <w:rsid w:val="005B1BF1"/>
    <w:rsid w:val="005B2257"/>
    <w:rsid w:val="005B28CF"/>
    <w:rsid w:val="005B2972"/>
    <w:rsid w:val="005B32A0"/>
    <w:rsid w:val="005B3D3A"/>
    <w:rsid w:val="005B4575"/>
    <w:rsid w:val="005B4FBB"/>
    <w:rsid w:val="005B5037"/>
    <w:rsid w:val="005B52E8"/>
    <w:rsid w:val="005B5815"/>
    <w:rsid w:val="005B5943"/>
    <w:rsid w:val="005B5A8E"/>
    <w:rsid w:val="005B6075"/>
    <w:rsid w:val="005B6A9A"/>
    <w:rsid w:val="005B6B8A"/>
    <w:rsid w:val="005B709D"/>
    <w:rsid w:val="005B7177"/>
    <w:rsid w:val="005C144F"/>
    <w:rsid w:val="005C177A"/>
    <w:rsid w:val="005C205F"/>
    <w:rsid w:val="005C3645"/>
    <w:rsid w:val="005C4224"/>
    <w:rsid w:val="005C45A1"/>
    <w:rsid w:val="005C4B23"/>
    <w:rsid w:val="005C5237"/>
    <w:rsid w:val="005C6124"/>
    <w:rsid w:val="005C61E7"/>
    <w:rsid w:val="005C662E"/>
    <w:rsid w:val="005C6DEE"/>
    <w:rsid w:val="005C796B"/>
    <w:rsid w:val="005D01F9"/>
    <w:rsid w:val="005D0F48"/>
    <w:rsid w:val="005D15C1"/>
    <w:rsid w:val="005D32DD"/>
    <w:rsid w:val="005D4B4D"/>
    <w:rsid w:val="005D58A1"/>
    <w:rsid w:val="005D5CD2"/>
    <w:rsid w:val="005D69FE"/>
    <w:rsid w:val="005E05F3"/>
    <w:rsid w:val="005E504E"/>
    <w:rsid w:val="005E5FA1"/>
    <w:rsid w:val="005E61B8"/>
    <w:rsid w:val="005E69ED"/>
    <w:rsid w:val="005E7AB5"/>
    <w:rsid w:val="005F06ED"/>
    <w:rsid w:val="005F09A7"/>
    <w:rsid w:val="005F0A89"/>
    <w:rsid w:val="005F0C0B"/>
    <w:rsid w:val="005F0CFC"/>
    <w:rsid w:val="005F1DA8"/>
    <w:rsid w:val="005F27B5"/>
    <w:rsid w:val="005F28E6"/>
    <w:rsid w:val="005F3DE6"/>
    <w:rsid w:val="005F591F"/>
    <w:rsid w:val="005F6920"/>
    <w:rsid w:val="005F6A54"/>
    <w:rsid w:val="005F74B3"/>
    <w:rsid w:val="005F7884"/>
    <w:rsid w:val="005F7FD5"/>
    <w:rsid w:val="0060119A"/>
    <w:rsid w:val="0060203F"/>
    <w:rsid w:val="006033E3"/>
    <w:rsid w:val="00603C70"/>
    <w:rsid w:val="006049CE"/>
    <w:rsid w:val="00605564"/>
    <w:rsid w:val="00605B32"/>
    <w:rsid w:val="006064D6"/>
    <w:rsid w:val="00606665"/>
    <w:rsid w:val="006070D5"/>
    <w:rsid w:val="00607479"/>
    <w:rsid w:val="0060763B"/>
    <w:rsid w:val="00610EC7"/>
    <w:rsid w:val="006126F9"/>
    <w:rsid w:val="00612A0C"/>
    <w:rsid w:val="00613639"/>
    <w:rsid w:val="00613740"/>
    <w:rsid w:val="00613C1C"/>
    <w:rsid w:val="00613C33"/>
    <w:rsid w:val="00614FA3"/>
    <w:rsid w:val="006156AD"/>
    <w:rsid w:val="00615823"/>
    <w:rsid w:val="006165CC"/>
    <w:rsid w:val="006169A6"/>
    <w:rsid w:val="00616EB5"/>
    <w:rsid w:val="00617040"/>
    <w:rsid w:val="00617DE5"/>
    <w:rsid w:val="00621462"/>
    <w:rsid w:val="00624DE6"/>
    <w:rsid w:val="00624DE9"/>
    <w:rsid w:val="0062695E"/>
    <w:rsid w:val="00626F79"/>
    <w:rsid w:val="00630CDA"/>
    <w:rsid w:val="00631C88"/>
    <w:rsid w:val="00632F4B"/>
    <w:rsid w:val="00633E45"/>
    <w:rsid w:val="006348F5"/>
    <w:rsid w:val="00635EED"/>
    <w:rsid w:val="00636296"/>
    <w:rsid w:val="006370CF"/>
    <w:rsid w:val="00641208"/>
    <w:rsid w:val="00642AA9"/>
    <w:rsid w:val="0064408F"/>
    <w:rsid w:val="00644E01"/>
    <w:rsid w:val="00645623"/>
    <w:rsid w:val="00646135"/>
    <w:rsid w:val="006461BB"/>
    <w:rsid w:val="0064653B"/>
    <w:rsid w:val="00650E1A"/>
    <w:rsid w:val="00651610"/>
    <w:rsid w:val="0065176B"/>
    <w:rsid w:val="00653AD6"/>
    <w:rsid w:val="00653CD7"/>
    <w:rsid w:val="00653FEC"/>
    <w:rsid w:val="00654C27"/>
    <w:rsid w:val="00655C8D"/>
    <w:rsid w:val="00656F1D"/>
    <w:rsid w:val="00656FA6"/>
    <w:rsid w:val="00657420"/>
    <w:rsid w:val="00657A7C"/>
    <w:rsid w:val="00657A8E"/>
    <w:rsid w:val="0066075F"/>
    <w:rsid w:val="0066259F"/>
    <w:rsid w:val="00662A5C"/>
    <w:rsid w:val="00664F1C"/>
    <w:rsid w:val="006663F0"/>
    <w:rsid w:val="00666438"/>
    <w:rsid w:val="00666574"/>
    <w:rsid w:val="00666A77"/>
    <w:rsid w:val="00666ED3"/>
    <w:rsid w:val="00667A27"/>
    <w:rsid w:val="00667BFF"/>
    <w:rsid w:val="006702B8"/>
    <w:rsid w:val="006710ED"/>
    <w:rsid w:val="00671CB2"/>
    <w:rsid w:val="0067272C"/>
    <w:rsid w:val="006731BC"/>
    <w:rsid w:val="006738B4"/>
    <w:rsid w:val="00673B11"/>
    <w:rsid w:val="00673F89"/>
    <w:rsid w:val="0067583C"/>
    <w:rsid w:val="00676B2F"/>
    <w:rsid w:val="00677501"/>
    <w:rsid w:val="0068035D"/>
    <w:rsid w:val="00680831"/>
    <w:rsid w:val="00680AFD"/>
    <w:rsid w:val="006825D4"/>
    <w:rsid w:val="00682803"/>
    <w:rsid w:val="0068324B"/>
    <w:rsid w:val="006832BF"/>
    <w:rsid w:val="006844C8"/>
    <w:rsid w:val="006846A3"/>
    <w:rsid w:val="00686F44"/>
    <w:rsid w:val="006874A7"/>
    <w:rsid w:val="00690E14"/>
    <w:rsid w:val="00691593"/>
    <w:rsid w:val="00691A41"/>
    <w:rsid w:val="00691A5A"/>
    <w:rsid w:val="00691BB4"/>
    <w:rsid w:val="00693DE3"/>
    <w:rsid w:val="006944E7"/>
    <w:rsid w:val="006949B8"/>
    <w:rsid w:val="00696CA2"/>
    <w:rsid w:val="00696CD3"/>
    <w:rsid w:val="006A1E44"/>
    <w:rsid w:val="006A31AE"/>
    <w:rsid w:val="006A3A79"/>
    <w:rsid w:val="006A3A7F"/>
    <w:rsid w:val="006A4DFE"/>
    <w:rsid w:val="006A4F1F"/>
    <w:rsid w:val="006A6164"/>
    <w:rsid w:val="006A6722"/>
    <w:rsid w:val="006A691E"/>
    <w:rsid w:val="006B053E"/>
    <w:rsid w:val="006B1F5D"/>
    <w:rsid w:val="006B202C"/>
    <w:rsid w:val="006B2AC5"/>
    <w:rsid w:val="006B3899"/>
    <w:rsid w:val="006B3D83"/>
    <w:rsid w:val="006B5890"/>
    <w:rsid w:val="006B5C1A"/>
    <w:rsid w:val="006B655F"/>
    <w:rsid w:val="006B6907"/>
    <w:rsid w:val="006B6E4E"/>
    <w:rsid w:val="006B7088"/>
    <w:rsid w:val="006B7248"/>
    <w:rsid w:val="006B7ECD"/>
    <w:rsid w:val="006C11E7"/>
    <w:rsid w:val="006C1973"/>
    <w:rsid w:val="006C1986"/>
    <w:rsid w:val="006C40DD"/>
    <w:rsid w:val="006C5201"/>
    <w:rsid w:val="006C5C77"/>
    <w:rsid w:val="006C7842"/>
    <w:rsid w:val="006D0490"/>
    <w:rsid w:val="006D0B58"/>
    <w:rsid w:val="006D0E39"/>
    <w:rsid w:val="006D181A"/>
    <w:rsid w:val="006D1AD3"/>
    <w:rsid w:val="006D2445"/>
    <w:rsid w:val="006D2B37"/>
    <w:rsid w:val="006D381E"/>
    <w:rsid w:val="006D3C97"/>
    <w:rsid w:val="006D4E59"/>
    <w:rsid w:val="006D52D2"/>
    <w:rsid w:val="006D5830"/>
    <w:rsid w:val="006D6E71"/>
    <w:rsid w:val="006D708C"/>
    <w:rsid w:val="006D7346"/>
    <w:rsid w:val="006D7756"/>
    <w:rsid w:val="006E06C5"/>
    <w:rsid w:val="006E12A5"/>
    <w:rsid w:val="006E14BC"/>
    <w:rsid w:val="006E2002"/>
    <w:rsid w:val="006E3C1C"/>
    <w:rsid w:val="006E4110"/>
    <w:rsid w:val="006E4349"/>
    <w:rsid w:val="006E4FC8"/>
    <w:rsid w:val="006E6659"/>
    <w:rsid w:val="006E739D"/>
    <w:rsid w:val="006E7556"/>
    <w:rsid w:val="006E7736"/>
    <w:rsid w:val="006F08CF"/>
    <w:rsid w:val="006F19C3"/>
    <w:rsid w:val="006F3182"/>
    <w:rsid w:val="006F44E4"/>
    <w:rsid w:val="006F4576"/>
    <w:rsid w:val="006F4C4A"/>
    <w:rsid w:val="006F59A9"/>
    <w:rsid w:val="006F76FA"/>
    <w:rsid w:val="007003B0"/>
    <w:rsid w:val="00700559"/>
    <w:rsid w:val="00700B20"/>
    <w:rsid w:val="00701014"/>
    <w:rsid w:val="00701E3B"/>
    <w:rsid w:val="007028BE"/>
    <w:rsid w:val="007031A2"/>
    <w:rsid w:val="00703855"/>
    <w:rsid w:val="00703FF5"/>
    <w:rsid w:val="007049AE"/>
    <w:rsid w:val="00711469"/>
    <w:rsid w:val="00712846"/>
    <w:rsid w:val="00713CF2"/>
    <w:rsid w:val="007154C0"/>
    <w:rsid w:val="00716A9E"/>
    <w:rsid w:val="00716B5E"/>
    <w:rsid w:val="00717805"/>
    <w:rsid w:val="00717DCD"/>
    <w:rsid w:val="00720D19"/>
    <w:rsid w:val="007211E7"/>
    <w:rsid w:val="00721270"/>
    <w:rsid w:val="00722AF4"/>
    <w:rsid w:val="007237F8"/>
    <w:rsid w:val="007258D7"/>
    <w:rsid w:val="00725995"/>
    <w:rsid w:val="00725F32"/>
    <w:rsid w:val="007261E5"/>
    <w:rsid w:val="00726B3E"/>
    <w:rsid w:val="00726DF0"/>
    <w:rsid w:val="00726FE8"/>
    <w:rsid w:val="007301FB"/>
    <w:rsid w:val="007316AE"/>
    <w:rsid w:val="0073214A"/>
    <w:rsid w:val="00734066"/>
    <w:rsid w:val="0073491B"/>
    <w:rsid w:val="00735F62"/>
    <w:rsid w:val="00736130"/>
    <w:rsid w:val="0073663E"/>
    <w:rsid w:val="00736D80"/>
    <w:rsid w:val="00740EE7"/>
    <w:rsid w:val="00742982"/>
    <w:rsid w:val="00742F96"/>
    <w:rsid w:val="00746082"/>
    <w:rsid w:val="007463DE"/>
    <w:rsid w:val="007468CE"/>
    <w:rsid w:val="00747F32"/>
    <w:rsid w:val="0075062F"/>
    <w:rsid w:val="00750DD6"/>
    <w:rsid w:val="0075205C"/>
    <w:rsid w:val="007523C3"/>
    <w:rsid w:val="00754646"/>
    <w:rsid w:val="00755393"/>
    <w:rsid w:val="00755AB1"/>
    <w:rsid w:val="0075646B"/>
    <w:rsid w:val="00756E6E"/>
    <w:rsid w:val="00760548"/>
    <w:rsid w:val="0076112A"/>
    <w:rsid w:val="00761DAF"/>
    <w:rsid w:val="007663AC"/>
    <w:rsid w:val="0077029F"/>
    <w:rsid w:val="0077070D"/>
    <w:rsid w:val="0077074A"/>
    <w:rsid w:val="0077095B"/>
    <w:rsid w:val="00770FAF"/>
    <w:rsid w:val="007714BF"/>
    <w:rsid w:val="00772B23"/>
    <w:rsid w:val="00774D55"/>
    <w:rsid w:val="00775024"/>
    <w:rsid w:val="00776241"/>
    <w:rsid w:val="00776DB4"/>
    <w:rsid w:val="00776DFB"/>
    <w:rsid w:val="007805F7"/>
    <w:rsid w:val="00781035"/>
    <w:rsid w:val="00781222"/>
    <w:rsid w:val="007817CC"/>
    <w:rsid w:val="00782970"/>
    <w:rsid w:val="00782991"/>
    <w:rsid w:val="007838A7"/>
    <w:rsid w:val="007840DE"/>
    <w:rsid w:val="00784879"/>
    <w:rsid w:val="00784CD7"/>
    <w:rsid w:val="00791125"/>
    <w:rsid w:val="007921A8"/>
    <w:rsid w:val="00792AD2"/>
    <w:rsid w:val="00793911"/>
    <w:rsid w:val="00793E28"/>
    <w:rsid w:val="007941BE"/>
    <w:rsid w:val="007947F9"/>
    <w:rsid w:val="00795020"/>
    <w:rsid w:val="0079547A"/>
    <w:rsid w:val="007974E2"/>
    <w:rsid w:val="007978D1"/>
    <w:rsid w:val="00797958"/>
    <w:rsid w:val="00797986"/>
    <w:rsid w:val="00797AA0"/>
    <w:rsid w:val="007A010D"/>
    <w:rsid w:val="007A0CB2"/>
    <w:rsid w:val="007A0D1D"/>
    <w:rsid w:val="007A106B"/>
    <w:rsid w:val="007A1742"/>
    <w:rsid w:val="007A246A"/>
    <w:rsid w:val="007A2A4E"/>
    <w:rsid w:val="007A2D97"/>
    <w:rsid w:val="007A30DA"/>
    <w:rsid w:val="007A4721"/>
    <w:rsid w:val="007A505C"/>
    <w:rsid w:val="007A5533"/>
    <w:rsid w:val="007A6F7D"/>
    <w:rsid w:val="007A7043"/>
    <w:rsid w:val="007B344C"/>
    <w:rsid w:val="007B3897"/>
    <w:rsid w:val="007B4196"/>
    <w:rsid w:val="007B58EB"/>
    <w:rsid w:val="007B6030"/>
    <w:rsid w:val="007B6BDC"/>
    <w:rsid w:val="007C0224"/>
    <w:rsid w:val="007C0232"/>
    <w:rsid w:val="007C02E6"/>
    <w:rsid w:val="007C0FD6"/>
    <w:rsid w:val="007C287B"/>
    <w:rsid w:val="007C5430"/>
    <w:rsid w:val="007C5BA9"/>
    <w:rsid w:val="007C5EC4"/>
    <w:rsid w:val="007C64CB"/>
    <w:rsid w:val="007C7821"/>
    <w:rsid w:val="007D0772"/>
    <w:rsid w:val="007D0848"/>
    <w:rsid w:val="007D0CC8"/>
    <w:rsid w:val="007D2C41"/>
    <w:rsid w:val="007D30B5"/>
    <w:rsid w:val="007D3772"/>
    <w:rsid w:val="007D3C2C"/>
    <w:rsid w:val="007D4775"/>
    <w:rsid w:val="007D6358"/>
    <w:rsid w:val="007E08B9"/>
    <w:rsid w:val="007E0C86"/>
    <w:rsid w:val="007E0D25"/>
    <w:rsid w:val="007E2087"/>
    <w:rsid w:val="007E3FA3"/>
    <w:rsid w:val="007E5176"/>
    <w:rsid w:val="007E5ACA"/>
    <w:rsid w:val="007E7E4E"/>
    <w:rsid w:val="007F2827"/>
    <w:rsid w:val="007F4386"/>
    <w:rsid w:val="007F5632"/>
    <w:rsid w:val="007F64E2"/>
    <w:rsid w:val="008007A2"/>
    <w:rsid w:val="00801DA3"/>
    <w:rsid w:val="00801E82"/>
    <w:rsid w:val="00801E8C"/>
    <w:rsid w:val="00802149"/>
    <w:rsid w:val="008025E6"/>
    <w:rsid w:val="0080345F"/>
    <w:rsid w:val="008038CD"/>
    <w:rsid w:val="00803C4C"/>
    <w:rsid w:val="00805BB1"/>
    <w:rsid w:val="008064F1"/>
    <w:rsid w:val="00806572"/>
    <w:rsid w:val="0080699F"/>
    <w:rsid w:val="00806E4D"/>
    <w:rsid w:val="008075C0"/>
    <w:rsid w:val="00810A03"/>
    <w:rsid w:val="00810F70"/>
    <w:rsid w:val="008117A8"/>
    <w:rsid w:val="00811B2F"/>
    <w:rsid w:val="00811E36"/>
    <w:rsid w:val="00812DEA"/>
    <w:rsid w:val="0081450D"/>
    <w:rsid w:val="008148BF"/>
    <w:rsid w:val="00814EFD"/>
    <w:rsid w:val="00815012"/>
    <w:rsid w:val="008150A2"/>
    <w:rsid w:val="008152A7"/>
    <w:rsid w:val="00816F9F"/>
    <w:rsid w:val="00817D19"/>
    <w:rsid w:val="008205BB"/>
    <w:rsid w:val="00822388"/>
    <w:rsid w:val="00823306"/>
    <w:rsid w:val="00823338"/>
    <w:rsid w:val="00824161"/>
    <w:rsid w:val="008243DE"/>
    <w:rsid w:val="00827AC4"/>
    <w:rsid w:val="00830323"/>
    <w:rsid w:val="00831155"/>
    <w:rsid w:val="00831EC0"/>
    <w:rsid w:val="00831FB1"/>
    <w:rsid w:val="00832DBB"/>
    <w:rsid w:val="00833F9D"/>
    <w:rsid w:val="00835CF9"/>
    <w:rsid w:val="00836B4F"/>
    <w:rsid w:val="00837705"/>
    <w:rsid w:val="00837C8D"/>
    <w:rsid w:val="00837EB4"/>
    <w:rsid w:val="00837F0B"/>
    <w:rsid w:val="00840063"/>
    <w:rsid w:val="00841B6D"/>
    <w:rsid w:val="00844D37"/>
    <w:rsid w:val="0084511B"/>
    <w:rsid w:val="008455C6"/>
    <w:rsid w:val="008458FE"/>
    <w:rsid w:val="00846264"/>
    <w:rsid w:val="00850809"/>
    <w:rsid w:val="00850D1B"/>
    <w:rsid w:val="0085111C"/>
    <w:rsid w:val="008519E1"/>
    <w:rsid w:val="00852878"/>
    <w:rsid w:val="008532CB"/>
    <w:rsid w:val="00854019"/>
    <w:rsid w:val="00854850"/>
    <w:rsid w:val="0085564F"/>
    <w:rsid w:val="008559C1"/>
    <w:rsid w:val="00857134"/>
    <w:rsid w:val="008601F8"/>
    <w:rsid w:val="008606A7"/>
    <w:rsid w:val="00860965"/>
    <w:rsid w:val="008617AF"/>
    <w:rsid w:val="00861E16"/>
    <w:rsid w:val="0086405C"/>
    <w:rsid w:val="00864C53"/>
    <w:rsid w:val="008657F8"/>
    <w:rsid w:val="00865AD3"/>
    <w:rsid w:val="008669F8"/>
    <w:rsid w:val="00867EE1"/>
    <w:rsid w:val="00870A19"/>
    <w:rsid w:val="00870BD4"/>
    <w:rsid w:val="00871F65"/>
    <w:rsid w:val="00873103"/>
    <w:rsid w:val="008750E7"/>
    <w:rsid w:val="008750FB"/>
    <w:rsid w:val="0087557E"/>
    <w:rsid w:val="00875B5E"/>
    <w:rsid w:val="00880F68"/>
    <w:rsid w:val="00881676"/>
    <w:rsid w:val="00881C23"/>
    <w:rsid w:val="0088295B"/>
    <w:rsid w:val="00884397"/>
    <w:rsid w:val="00884A6D"/>
    <w:rsid w:val="00885DEF"/>
    <w:rsid w:val="00886929"/>
    <w:rsid w:val="00887262"/>
    <w:rsid w:val="0088744F"/>
    <w:rsid w:val="0088761C"/>
    <w:rsid w:val="00887774"/>
    <w:rsid w:val="00887AF5"/>
    <w:rsid w:val="00890F82"/>
    <w:rsid w:val="00891CE0"/>
    <w:rsid w:val="00894416"/>
    <w:rsid w:val="00894A82"/>
    <w:rsid w:val="00894EF0"/>
    <w:rsid w:val="00895D3D"/>
    <w:rsid w:val="00896A26"/>
    <w:rsid w:val="008978AA"/>
    <w:rsid w:val="008A1DEA"/>
    <w:rsid w:val="008A2BC4"/>
    <w:rsid w:val="008A3669"/>
    <w:rsid w:val="008A3D4B"/>
    <w:rsid w:val="008A3E4C"/>
    <w:rsid w:val="008A4628"/>
    <w:rsid w:val="008A5542"/>
    <w:rsid w:val="008A5A16"/>
    <w:rsid w:val="008A6502"/>
    <w:rsid w:val="008A67A1"/>
    <w:rsid w:val="008A6932"/>
    <w:rsid w:val="008A7D38"/>
    <w:rsid w:val="008B01CA"/>
    <w:rsid w:val="008B13C1"/>
    <w:rsid w:val="008B1B2E"/>
    <w:rsid w:val="008B22CA"/>
    <w:rsid w:val="008B314C"/>
    <w:rsid w:val="008B38D4"/>
    <w:rsid w:val="008B3E37"/>
    <w:rsid w:val="008B3EAB"/>
    <w:rsid w:val="008B5D76"/>
    <w:rsid w:val="008B799C"/>
    <w:rsid w:val="008B7B81"/>
    <w:rsid w:val="008B7CA7"/>
    <w:rsid w:val="008C07F5"/>
    <w:rsid w:val="008C0834"/>
    <w:rsid w:val="008C143B"/>
    <w:rsid w:val="008C20A4"/>
    <w:rsid w:val="008C262F"/>
    <w:rsid w:val="008C2A53"/>
    <w:rsid w:val="008C361D"/>
    <w:rsid w:val="008C37D4"/>
    <w:rsid w:val="008C40B8"/>
    <w:rsid w:val="008C40D5"/>
    <w:rsid w:val="008C45C0"/>
    <w:rsid w:val="008C532D"/>
    <w:rsid w:val="008C59CC"/>
    <w:rsid w:val="008C6C73"/>
    <w:rsid w:val="008D3C58"/>
    <w:rsid w:val="008D455F"/>
    <w:rsid w:val="008D4862"/>
    <w:rsid w:val="008D498D"/>
    <w:rsid w:val="008D49F8"/>
    <w:rsid w:val="008D4B61"/>
    <w:rsid w:val="008D4DD6"/>
    <w:rsid w:val="008D5125"/>
    <w:rsid w:val="008D5525"/>
    <w:rsid w:val="008D5889"/>
    <w:rsid w:val="008D59D4"/>
    <w:rsid w:val="008D66A2"/>
    <w:rsid w:val="008E06B6"/>
    <w:rsid w:val="008E0C32"/>
    <w:rsid w:val="008E0DE3"/>
    <w:rsid w:val="008E0EFB"/>
    <w:rsid w:val="008E354B"/>
    <w:rsid w:val="008E3F65"/>
    <w:rsid w:val="008E5A51"/>
    <w:rsid w:val="008E5ABB"/>
    <w:rsid w:val="008E6944"/>
    <w:rsid w:val="008E6FB3"/>
    <w:rsid w:val="008E7B08"/>
    <w:rsid w:val="008F0B0C"/>
    <w:rsid w:val="008F0CB4"/>
    <w:rsid w:val="008F63ED"/>
    <w:rsid w:val="008F65B0"/>
    <w:rsid w:val="008F6FF8"/>
    <w:rsid w:val="008F7469"/>
    <w:rsid w:val="00901E08"/>
    <w:rsid w:val="00902666"/>
    <w:rsid w:val="00903348"/>
    <w:rsid w:val="00903560"/>
    <w:rsid w:val="009057D4"/>
    <w:rsid w:val="00906D1E"/>
    <w:rsid w:val="009107B6"/>
    <w:rsid w:val="0091090D"/>
    <w:rsid w:val="009117BA"/>
    <w:rsid w:val="00911AA8"/>
    <w:rsid w:val="00911F7A"/>
    <w:rsid w:val="009127B3"/>
    <w:rsid w:val="00913A7C"/>
    <w:rsid w:val="00914595"/>
    <w:rsid w:val="00914DE3"/>
    <w:rsid w:val="009151C6"/>
    <w:rsid w:val="009164B4"/>
    <w:rsid w:val="00921249"/>
    <w:rsid w:val="00924584"/>
    <w:rsid w:val="009254D5"/>
    <w:rsid w:val="009258B3"/>
    <w:rsid w:val="00925B35"/>
    <w:rsid w:val="00925F94"/>
    <w:rsid w:val="00930ED1"/>
    <w:rsid w:val="009326DA"/>
    <w:rsid w:val="0093381F"/>
    <w:rsid w:val="00933B4A"/>
    <w:rsid w:val="00933B77"/>
    <w:rsid w:val="009357AE"/>
    <w:rsid w:val="00936F0D"/>
    <w:rsid w:val="0093787F"/>
    <w:rsid w:val="00937A58"/>
    <w:rsid w:val="00937A60"/>
    <w:rsid w:val="00937E17"/>
    <w:rsid w:val="00940335"/>
    <w:rsid w:val="00946323"/>
    <w:rsid w:val="009467F5"/>
    <w:rsid w:val="0095007B"/>
    <w:rsid w:val="009500CD"/>
    <w:rsid w:val="009500ED"/>
    <w:rsid w:val="00950BE9"/>
    <w:rsid w:val="009521E6"/>
    <w:rsid w:val="009529F9"/>
    <w:rsid w:val="00952F8F"/>
    <w:rsid w:val="0095513E"/>
    <w:rsid w:val="00955BC5"/>
    <w:rsid w:val="009566B7"/>
    <w:rsid w:val="00956D81"/>
    <w:rsid w:val="00956DEB"/>
    <w:rsid w:val="009571D5"/>
    <w:rsid w:val="00960C35"/>
    <w:rsid w:val="00960E5E"/>
    <w:rsid w:val="00961183"/>
    <w:rsid w:val="0096233E"/>
    <w:rsid w:val="00962F70"/>
    <w:rsid w:val="009632D0"/>
    <w:rsid w:val="00963B16"/>
    <w:rsid w:val="00963C02"/>
    <w:rsid w:val="009647D4"/>
    <w:rsid w:val="009652F8"/>
    <w:rsid w:val="0097061E"/>
    <w:rsid w:val="00970EB2"/>
    <w:rsid w:val="009714F4"/>
    <w:rsid w:val="00972FD2"/>
    <w:rsid w:val="009760D6"/>
    <w:rsid w:val="009760FB"/>
    <w:rsid w:val="009761D4"/>
    <w:rsid w:val="009762B3"/>
    <w:rsid w:val="0097660E"/>
    <w:rsid w:val="00976938"/>
    <w:rsid w:val="00977531"/>
    <w:rsid w:val="00977BF1"/>
    <w:rsid w:val="00980337"/>
    <w:rsid w:val="00980789"/>
    <w:rsid w:val="009807A1"/>
    <w:rsid w:val="00980861"/>
    <w:rsid w:val="00981134"/>
    <w:rsid w:val="0098118C"/>
    <w:rsid w:val="0098168F"/>
    <w:rsid w:val="00981AFE"/>
    <w:rsid w:val="00983801"/>
    <w:rsid w:val="00984838"/>
    <w:rsid w:val="00985265"/>
    <w:rsid w:val="009854B6"/>
    <w:rsid w:val="00991A95"/>
    <w:rsid w:val="00991B63"/>
    <w:rsid w:val="009937E5"/>
    <w:rsid w:val="009945C3"/>
    <w:rsid w:val="009967A7"/>
    <w:rsid w:val="0099682E"/>
    <w:rsid w:val="00996915"/>
    <w:rsid w:val="00997A9E"/>
    <w:rsid w:val="009A0270"/>
    <w:rsid w:val="009A13B4"/>
    <w:rsid w:val="009A1DD1"/>
    <w:rsid w:val="009A1ED4"/>
    <w:rsid w:val="009A3B86"/>
    <w:rsid w:val="009A4A03"/>
    <w:rsid w:val="009A5361"/>
    <w:rsid w:val="009A6020"/>
    <w:rsid w:val="009A6D04"/>
    <w:rsid w:val="009A6EF7"/>
    <w:rsid w:val="009B24F8"/>
    <w:rsid w:val="009B34F3"/>
    <w:rsid w:val="009B34FC"/>
    <w:rsid w:val="009B4F7B"/>
    <w:rsid w:val="009B5B87"/>
    <w:rsid w:val="009B6244"/>
    <w:rsid w:val="009B6D16"/>
    <w:rsid w:val="009B6E83"/>
    <w:rsid w:val="009B7819"/>
    <w:rsid w:val="009C05A8"/>
    <w:rsid w:val="009C0CCD"/>
    <w:rsid w:val="009C1821"/>
    <w:rsid w:val="009C1B61"/>
    <w:rsid w:val="009C1FFE"/>
    <w:rsid w:val="009C238B"/>
    <w:rsid w:val="009C294B"/>
    <w:rsid w:val="009C3DBE"/>
    <w:rsid w:val="009C4994"/>
    <w:rsid w:val="009C5146"/>
    <w:rsid w:val="009C6576"/>
    <w:rsid w:val="009D09A8"/>
    <w:rsid w:val="009D122B"/>
    <w:rsid w:val="009D22F9"/>
    <w:rsid w:val="009D2342"/>
    <w:rsid w:val="009D245D"/>
    <w:rsid w:val="009D270D"/>
    <w:rsid w:val="009D3A42"/>
    <w:rsid w:val="009D411D"/>
    <w:rsid w:val="009D5F44"/>
    <w:rsid w:val="009D7A28"/>
    <w:rsid w:val="009E016A"/>
    <w:rsid w:val="009E0D28"/>
    <w:rsid w:val="009E1465"/>
    <w:rsid w:val="009E3328"/>
    <w:rsid w:val="009E39AC"/>
    <w:rsid w:val="009E62F5"/>
    <w:rsid w:val="009E66C5"/>
    <w:rsid w:val="009E6D08"/>
    <w:rsid w:val="009E6E09"/>
    <w:rsid w:val="009E71D5"/>
    <w:rsid w:val="009F0997"/>
    <w:rsid w:val="009F09E3"/>
    <w:rsid w:val="009F15AA"/>
    <w:rsid w:val="009F1BCA"/>
    <w:rsid w:val="009F300D"/>
    <w:rsid w:val="009F4280"/>
    <w:rsid w:val="009F4B4D"/>
    <w:rsid w:val="009F637C"/>
    <w:rsid w:val="00A00F47"/>
    <w:rsid w:val="00A016C7"/>
    <w:rsid w:val="00A02097"/>
    <w:rsid w:val="00A02445"/>
    <w:rsid w:val="00A02DE0"/>
    <w:rsid w:val="00A03D7B"/>
    <w:rsid w:val="00A03D81"/>
    <w:rsid w:val="00A03DA2"/>
    <w:rsid w:val="00A0546D"/>
    <w:rsid w:val="00A1001A"/>
    <w:rsid w:val="00A105FA"/>
    <w:rsid w:val="00A10D3C"/>
    <w:rsid w:val="00A1117E"/>
    <w:rsid w:val="00A11606"/>
    <w:rsid w:val="00A116A5"/>
    <w:rsid w:val="00A1242E"/>
    <w:rsid w:val="00A125C7"/>
    <w:rsid w:val="00A12ACE"/>
    <w:rsid w:val="00A12F77"/>
    <w:rsid w:val="00A13675"/>
    <w:rsid w:val="00A139E3"/>
    <w:rsid w:val="00A146C6"/>
    <w:rsid w:val="00A14772"/>
    <w:rsid w:val="00A15DD9"/>
    <w:rsid w:val="00A16CD2"/>
    <w:rsid w:val="00A17DC7"/>
    <w:rsid w:val="00A202BD"/>
    <w:rsid w:val="00A2066C"/>
    <w:rsid w:val="00A20D33"/>
    <w:rsid w:val="00A21BB4"/>
    <w:rsid w:val="00A2280F"/>
    <w:rsid w:val="00A22C08"/>
    <w:rsid w:val="00A22C8D"/>
    <w:rsid w:val="00A231F9"/>
    <w:rsid w:val="00A235EA"/>
    <w:rsid w:val="00A23CBD"/>
    <w:rsid w:val="00A23F18"/>
    <w:rsid w:val="00A24238"/>
    <w:rsid w:val="00A248E1"/>
    <w:rsid w:val="00A24B6A"/>
    <w:rsid w:val="00A24F8A"/>
    <w:rsid w:val="00A27D57"/>
    <w:rsid w:val="00A3057E"/>
    <w:rsid w:val="00A30F81"/>
    <w:rsid w:val="00A310EA"/>
    <w:rsid w:val="00A31546"/>
    <w:rsid w:val="00A339A0"/>
    <w:rsid w:val="00A33FBB"/>
    <w:rsid w:val="00A340B4"/>
    <w:rsid w:val="00A3446E"/>
    <w:rsid w:val="00A34AD7"/>
    <w:rsid w:val="00A35BB5"/>
    <w:rsid w:val="00A40ECA"/>
    <w:rsid w:val="00A44C5F"/>
    <w:rsid w:val="00A455B1"/>
    <w:rsid w:val="00A466E8"/>
    <w:rsid w:val="00A46997"/>
    <w:rsid w:val="00A472BD"/>
    <w:rsid w:val="00A47C37"/>
    <w:rsid w:val="00A50A8A"/>
    <w:rsid w:val="00A50C82"/>
    <w:rsid w:val="00A5182F"/>
    <w:rsid w:val="00A51C8B"/>
    <w:rsid w:val="00A53251"/>
    <w:rsid w:val="00A53485"/>
    <w:rsid w:val="00A54A4B"/>
    <w:rsid w:val="00A54AE1"/>
    <w:rsid w:val="00A55271"/>
    <w:rsid w:val="00A555FB"/>
    <w:rsid w:val="00A55704"/>
    <w:rsid w:val="00A55967"/>
    <w:rsid w:val="00A5746B"/>
    <w:rsid w:val="00A6018E"/>
    <w:rsid w:val="00A62C9E"/>
    <w:rsid w:val="00A645BB"/>
    <w:rsid w:val="00A655FA"/>
    <w:rsid w:val="00A65FC4"/>
    <w:rsid w:val="00A6609B"/>
    <w:rsid w:val="00A66552"/>
    <w:rsid w:val="00A66CDB"/>
    <w:rsid w:val="00A67611"/>
    <w:rsid w:val="00A679C2"/>
    <w:rsid w:val="00A67E2F"/>
    <w:rsid w:val="00A67F13"/>
    <w:rsid w:val="00A700F0"/>
    <w:rsid w:val="00A705A5"/>
    <w:rsid w:val="00A7069E"/>
    <w:rsid w:val="00A70D1C"/>
    <w:rsid w:val="00A714F2"/>
    <w:rsid w:val="00A72DC8"/>
    <w:rsid w:val="00A74B93"/>
    <w:rsid w:val="00A753D2"/>
    <w:rsid w:val="00A757C7"/>
    <w:rsid w:val="00A80CC7"/>
    <w:rsid w:val="00A81654"/>
    <w:rsid w:val="00A82858"/>
    <w:rsid w:val="00A82FE6"/>
    <w:rsid w:val="00A83A84"/>
    <w:rsid w:val="00A83B74"/>
    <w:rsid w:val="00A83F76"/>
    <w:rsid w:val="00A85088"/>
    <w:rsid w:val="00A85135"/>
    <w:rsid w:val="00A86D70"/>
    <w:rsid w:val="00A86E8E"/>
    <w:rsid w:val="00A875A3"/>
    <w:rsid w:val="00A8760D"/>
    <w:rsid w:val="00A907EC"/>
    <w:rsid w:val="00A918EA"/>
    <w:rsid w:val="00A91D3E"/>
    <w:rsid w:val="00A92E91"/>
    <w:rsid w:val="00A93817"/>
    <w:rsid w:val="00A9408F"/>
    <w:rsid w:val="00A95949"/>
    <w:rsid w:val="00A95C20"/>
    <w:rsid w:val="00A95C75"/>
    <w:rsid w:val="00A960C4"/>
    <w:rsid w:val="00A96677"/>
    <w:rsid w:val="00A9679D"/>
    <w:rsid w:val="00A9738A"/>
    <w:rsid w:val="00AA1215"/>
    <w:rsid w:val="00AA1615"/>
    <w:rsid w:val="00AA1C56"/>
    <w:rsid w:val="00AA2373"/>
    <w:rsid w:val="00AA27AE"/>
    <w:rsid w:val="00AA2F7F"/>
    <w:rsid w:val="00AA327B"/>
    <w:rsid w:val="00AA4798"/>
    <w:rsid w:val="00AA4A39"/>
    <w:rsid w:val="00AA5739"/>
    <w:rsid w:val="00AA6177"/>
    <w:rsid w:val="00AA6EB1"/>
    <w:rsid w:val="00AB1A23"/>
    <w:rsid w:val="00AB202E"/>
    <w:rsid w:val="00AB2428"/>
    <w:rsid w:val="00AB347C"/>
    <w:rsid w:val="00AB59C1"/>
    <w:rsid w:val="00AB5B22"/>
    <w:rsid w:val="00AB6003"/>
    <w:rsid w:val="00AB6B2F"/>
    <w:rsid w:val="00AB6D41"/>
    <w:rsid w:val="00AB70ED"/>
    <w:rsid w:val="00AC10EA"/>
    <w:rsid w:val="00AC1755"/>
    <w:rsid w:val="00AC1855"/>
    <w:rsid w:val="00AC1A5F"/>
    <w:rsid w:val="00AC2F87"/>
    <w:rsid w:val="00AC46C2"/>
    <w:rsid w:val="00AC54B8"/>
    <w:rsid w:val="00AC5998"/>
    <w:rsid w:val="00AC6228"/>
    <w:rsid w:val="00AC679F"/>
    <w:rsid w:val="00AC685D"/>
    <w:rsid w:val="00AC6942"/>
    <w:rsid w:val="00AC6ACC"/>
    <w:rsid w:val="00AC7537"/>
    <w:rsid w:val="00AC7944"/>
    <w:rsid w:val="00AD06AC"/>
    <w:rsid w:val="00AD0B1C"/>
    <w:rsid w:val="00AD0C5F"/>
    <w:rsid w:val="00AD185C"/>
    <w:rsid w:val="00AD19E7"/>
    <w:rsid w:val="00AD37D1"/>
    <w:rsid w:val="00AD52DE"/>
    <w:rsid w:val="00AD64F7"/>
    <w:rsid w:val="00AD6F6E"/>
    <w:rsid w:val="00AE16FB"/>
    <w:rsid w:val="00AE1D80"/>
    <w:rsid w:val="00AE1F58"/>
    <w:rsid w:val="00AE2116"/>
    <w:rsid w:val="00AE2497"/>
    <w:rsid w:val="00AE34B8"/>
    <w:rsid w:val="00AE3513"/>
    <w:rsid w:val="00AE500B"/>
    <w:rsid w:val="00AE6449"/>
    <w:rsid w:val="00AE6532"/>
    <w:rsid w:val="00AE6D79"/>
    <w:rsid w:val="00AE76B7"/>
    <w:rsid w:val="00AF0405"/>
    <w:rsid w:val="00AF0C38"/>
    <w:rsid w:val="00AF0E5B"/>
    <w:rsid w:val="00AF274D"/>
    <w:rsid w:val="00AF51EF"/>
    <w:rsid w:val="00AF5383"/>
    <w:rsid w:val="00AF5A65"/>
    <w:rsid w:val="00AF5F4C"/>
    <w:rsid w:val="00AF72BB"/>
    <w:rsid w:val="00AF75B6"/>
    <w:rsid w:val="00AF78AC"/>
    <w:rsid w:val="00AF7DFC"/>
    <w:rsid w:val="00B00AF6"/>
    <w:rsid w:val="00B0490F"/>
    <w:rsid w:val="00B05D24"/>
    <w:rsid w:val="00B05F77"/>
    <w:rsid w:val="00B0608E"/>
    <w:rsid w:val="00B06CEC"/>
    <w:rsid w:val="00B07BA9"/>
    <w:rsid w:val="00B1047E"/>
    <w:rsid w:val="00B10828"/>
    <w:rsid w:val="00B115A9"/>
    <w:rsid w:val="00B122BE"/>
    <w:rsid w:val="00B127EE"/>
    <w:rsid w:val="00B137D9"/>
    <w:rsid w:val="00B14DD3"/>
    <w:rsid w:val="00B153D3"/>
    <w:rsid w:val="00B15A83"/>
    <w:rsid w:val="00B1607B"/>
    <w:rsid w:val="00B16D84"/>
    <w:rsid w:val="00B178D7"/>
    <w:rsid w:val="00B21330"/>
    <w:rsid w:val="00B214D8"/>
    <w:rsid w:val="00B22A53"/>
    <w:rsid w:val="00B26257"/>
    <w:rsid w:val="00B26357"/>
    <w:rsid w:val="00B26E40"/>
    <w:rsid w:val="00B2795B"/>
    <w:rsid w:val="00B30C6E"/>
    <w:rsid w:val="00B32B05"/>
    <w:rsid w:val="00B33419"/>
    <w:rsid w:val="00B33EA7"/>
    <w:rsid w:val="00B33FE9"/>
    <w:rsid w:val="00B347A3"/>
    <w:rsid w:val="00B34DC8"/>
    <w:rsid w:val="00B34E20"/>
    <w:rsid w:val="00B35898"/>
    <w:rsid w:val="00B4021C"/>
    <w:rsid w:val="00B404B8"/>
    <w:rsid w:val="00B407DE"/>
    <w:rsid w:val="00B41848"/>
    <w:rsid w:val="00B4204E"/>
    <w:rsid w:val="00B4440F"/>
    <w:rsid w:val="00B47632"/>
    <w:rsid w:val="00B50FA1"/>
    <w:rsid w:val="00B51264"/>
    <w:rsid w:val="00B51D0E"/>
    <w:rsid w:val="00B51E84"/>
    <w:rsid w:val="00B5240E"/>
    <w:rsid w:val="00B526CE"/>
    <w:rsid w:val="00B52D94"/>
    <w:rsid w:val="00B5321B"/>
    <w:rsid w:val="00B53806"/>
    <w:rsid w:val="00B53C91"/>
    <w:rsid w:val="00B540BF"/>
    <w:rsid w:val="00B5468C"/>
    <w:rsid w:val="00B54AFF"/>
    <w:rsid w:val="00B54E51"/>
    <w:rsid w:val="00B55C45"/>
    <w:rsid w:val="00B56970"/>
    <w:rsid w:val="00B56C92"/>
    <w:rsid w:val="00B5711E"/>
    <w:rsid w:val="00B5712B"/>
    <w:rsid w:val="00B610F7"/>
    <w:rsid w:val="00B61226"/>
    <w:rsid w:val="00B6155A"/>
    <w:rsid w:val="00B6196A"/>
    <w:rsid w:val="00B61F2D"/>
    <w:rsid w:val="00B65FE7"/>
    <w:rsid w:val="00B67AAB"/>
    <w:rsid w:val="00B67CCB"/>
    <w:rsid w:val="00B71BFA"/>
    <w:rsid w:val="00B727CB"/>
    <w:rsid w:val="00B72EFC"/>
    <w:rsid w:val="00B73195"/>
    <w:rsid w:val="00B7383A"/>
    <w:rsid w:val="00B739A5"/>
    <w:rsid w:val="00B75BD3"/>
    <w:rsid w:val="00B773DD"/>
    <w:rsid w:val="00B777D5"/>
    <w:rsid w:val="00B77F0A"/>
    <w:rsid w:val="00B80358"/>
    <w:rsid w:val="00B80A5D"/>
    <w:rsid w:val="00B815AD"/>
    <w:rsid w:val="00B82F9D"/>
    <w:rsid w:val="00B832BB"/>
    <w:rsid w:val="00B837DE"/>
    <w:rsid w:val="00B84BA6"/>
    <w:rsid w:val="00B852AC"/>
    <w:rsid w:val="00B8559C"/>
    <w:rsid w:val="00B85F0E"/>
    <w:rsid w:val="00B91D93"/>
    <w:rsid w:val="00B91DE2"/>
    <w:rsid w:val="00B92DFD"/>
    <w:rsid w:val="00B931CA"/>
    <w:rsid w:val="00B953AC"/>
    <w:rsid w:val="00B95C40"/>
    <w:rsid w:val="00B96FD5"/>
    <w:rsid w:val="00B97BD7"/>
    <w:rsid w:val="00BA00BD"/>
    <w:rsid w:val="00BA0C55"/>
    <w:rsid w:val="00BA16D5"/>
    <w:rsid w:val="00BA21AF"/>
    <w:rsid w:val="00BA3CD3"/>
    <w:rsid w:val="00BA41CD"/>
    <w:rsid w:val="00BA4A29"/>
    <w:rsid w:val="00BA4FEC"/>
    <w:rsid w:val="00BA5AC5"/>
    <w:rsid w:val="00BA5E21"/>
    <w:rsid w:val="00BA6804"/>
    <w:rsid w:val="00BB01E3"/>
    <w:rsid w:val="00BB03C6"/>
    <w:rsid w:val="00BB0579"/>
    <w:rsid w:val="00BB0D14"/>
    <w:rsid w:val="00BB1227"/>
    <w:rsid w:val="00BB17FB"/>
    <w:rsid w:val="00BB221D"/>
    <w:rsid w:val="00BB2B20"/>
    <w:rsid w:val="00BB30A0"/>
    <w:rsid w:val="00BB3902"/>
    <w:rsid w:val="00BB4625"/>
    <w:rsid w:val="00BB486B"/>
    <w:rsid w:val="00BB4F8F"/>
    <w:rsid w:val="00BB5479"/>
    <w:rsid w:val="00BB5C85"/>
    <w:rsid w:val="00BC0E21"/>
    <w:rsid w:val="00BC225F"/>
    <w:rsid w:val="00BC271C"/>
    <w:rsid w:val="00BC2D56"/>
    <w:rsid w:val="00BC431A"/>
    <w:rsid w:val="00BC45D9"/>
    <w:rsid w:val="00BC4979"/>
    <w:rsid w:val="00BC4DF6"/>
    <w:rsid w:val="00BC64F3"/>
    <w:rsid w:val="00BC6551"/>
    <w:rsid w:val="00BC6EB8"/>
    <w:rsid w:val="00BC7D9F"/>
    <w:rsid w:val="00BD20AC"/>
    <w:rsid w:val="00BD2ABA"/>
    <w:rsid w:val="00BD2E2E"/>
    <w:rsid w:val="00BD3016"/>
    <w:rsid w:val="00BD393B"/>
    <w:rsid w:val="00BD4BFC"/>
    <w:rsid w:val="00BD5257"/>
    <w:rsid w:val="00BD6B74"/>
    <w:rsid w:val="00BE0C8F"/>
    <w:rsid w:val="00BE1879"/>
    <w:rsid w:val="00BE1F9F"/>
    <w:rsid w:val="00BE23D5"/>
    <w:rsid w:val="00BE27EC"/>
    <w:rsid w:val="00BE2958"/>
    <w:rsid w:val="00BE43A4"/>
    <w:rsid w:val="00BE4403"/>
    <w:rsid w:val="00BE45C8"/>
    <w:rsid w:val="00BE48DC"/>
    <w:rsid w:val="00BE4CE6"/>
    <w:rsid w:val="00BE4FD5"/>
    <w:rsid w:val="00BE6046"/>
    <w:rsid w:val="00BE60CE"/>
    <w:rsid w:val="00BE6C20"/>
    <w:rsid w:val="00BE6F7A"/>
    <w:rsid w:val="00BE7530"/>
    <w:rsid w:val="00BE7FC7"/>
    <w:rsid w:val="00BF0E25"/>
    <w:rsid w:val="00BF266A"/>
    <w:rsid w:val="00BF342C"/>
    <w:rsid w:val="00BF55EB"/>
    <w:rsid w:val="00BF6FE9"/>
    <w:rsid w:val="00BF7BA4"/>
    <w:rsid w:val="00BF7CCF"/>
    <w:rsid w:val="00BF7F73"/>
    <w:rsid w:val="00C012B8"/>
    <w:rsid w:val="00C01418"/>
    <w:rsid w:val="00C01740"/>
    <w:rsid w:val="00C01A49"/>
    <w:rsid w:val="00C035AF"/>
    <w:rsid w:val="00C038DD"/>
    <w:rsid w:val="00C03BEB"/>
    <w:rsid w:val="00C04416"/>
    <w:rsid w:val="00C10781"/>
    <w:rsid w:val="00C11686"/>
    <w:rsid w:val="00C124AF"/>
    <w:rsid w:val="00C124D4"/>
    <w:rsid w:val="00C17894"/>
    <w:rsid w:val="00C1797C"/>
    <w:rsid w:val="00C20E39"/>
    <w:rsid w:val="00C21079"/>
    <w:rsid w:val="00C21D32"/>
    <w:rsid w:val="00C22252"/>
    <w:rsid w:val="00C23098"/>
    <w:rsid w:val="00C230A6"/>
    <w:rsid w:val="00C23241"/>
    <w:rsid w:val="00C2330C"/>
    <w:rsid w:val="00C25E02"/>
    <w:rsid w:val="00C269F8"/>
    <w:rsid w:val="00C26D42"/>
    <w:rsid w:val="00C2749D"/>
    <w:rsid w:val="00C27556"/>
    <w:rsid w:val="00C27942"/>
    <w:rsid w:val="00C30128"/>
    <w:rsid w:val="00C317D6"/>
    <w:rsid w:val="00C31C76"/>
    <w:rsid w:val="00C3275F"/>
    <w:rsid w:val="00C32CA7"/>
    <w:rsid w:val="00C33631"/>
    <w:rsid w:val="00C339B5"/>
    <w:rsid w:val="00C33A0B"/>
    <w:rsid w:val="00C344F8"/>
    <w:rsid w:val="00C346E4"/>
    <w:rsid w:val="00C34788"/>
    <w:rsid w:val="00C347CA"/>
    <w:rsid w:val="00C34A16"/>
    <w:rsid w:val="00C36029"/>
    <w:rsid w:val="00C36FAB"/>
    <w:rsid w:val="00C407C8"/>
    <w:rsid w:val="00C40BF5"/>
    <w:rsid w:val="00C40EF9"/>
    <w:rsid w:val="00C41471"/>
    <w:rsid w:val="00C419B0"/>
    <w:rsid w:val="00C422AD"/>
    <w:rsid w:val="00C43468"/>
    <w:rsid w:val="00C43BA3"/>
    <w:rsid w:val="00C43E3F"/>
    <w:rsid w:val="00C44C0C"/>
    <w:rsid w:val="00C44C2F"/>
    <w:rsid w:val="00C4516E"/>
    <w:rsid w:val="00C46B9C"/>
    <w:rsid w:val="00C50491"/>
    <w:rsid w:val="00C50A29"/>
    <w:rsid w:val="00C51771"/>
    <w:rsid w:val="00C52EB9"/>
    <w:rsid w:val="00C54616"/>
    <w:rsid w:val="00C55BD3"/>
    <w:rsid w:val="00C60786"/>
    <w:rsid w:val="00C60C96"/>
    <w:rsid w:val="00C6146A"/>
    <w:rsid w:val="00C614FF"/>
    <w:rsid w:val="00C61543"/>
    <w:rsid w:val="00C61DDD"/>
    <w:rsid w:val="00C63367"/>
    <w:rsid w:val="00C64F3A"/>
    <w:rsid w:val="00C659DA"/>
    <w:rsid w:val="00C65F76"/>
    <w:rsid w:val="00C664A1"/>
    <w:rsid w:val="00C6720A"/>
    <w:rsid w:val="00C7013D"/>
    <w:rsid w:val="00C70C11"/>
    <w:rsid w:val="00C747C4"/>
    <w:rsid w:val="00C76D2D"/>
    <w:rsid w:val="00C77010"/>
    <w:rsid w:val="00C81FB2"/>
    <w:rsid w:val="00C827C3"/>
    <w:rsid w:val="00C83475"/>
    <w:rsid w:val="00C83593"/>
    <w:rsid w:val="00C83C4C"/>
    <w:rsid w:val="00C85D2F"/>
    <w:rsid w:val="00C8770F"/>
    <w:rsid w:val="00C87D30"/>
    <w:rsid w:val="00C87E45"/>
    <w:rsid w:val="00C904C3"/>
    <w:rsid w:val="00C90F23"/>
    <w:rsid w:val="00C9190C"/>
    <w:rsid w:val="00C92116"/>
    <w:rsid w:val="00C923D3"/>
    <w:rsid w:val="00C9299F"/>
    <w:rsid w:val="00C944A5"/>
    <w:rsid w:val="00C94F82"/>
    <w:rsid w:val="00C958CD"/>
    <w:rsid w:val="00C9616D"/>
    <w:rsid w:val="00C96226"/>
    <w:rsid w:val="00C96780"/>
    <w:rsid w:val="00C96F46"/>
    <w:rsid w:val="00CA02FE"/>
    <w:rsid w:val="00CA0818"/>
    <w:rsid w:val="00CA22E1"/>
    <w:rsid w:val="00CA2558"/>
    <w:rsid w:val="00CA285E"/>
    <w:rsid w:val="00CA2997"/>
    <w:rsid w:val="00CA49E5"/>
    <w:rsid w:val="00CA5968"/>
    <w:rsid w:val="00CA5B0B"/>
    <w:rsid w:val="00CA5CFE"/>
    <w:rsid w:val="00CA5F8C"/>
    <w:rsid w:val="00CA6218"/>
    <w:rsid w:val="00CA65CD"/>
    <w:rsid w:val="00CA666C"/>
    <w:rsid w:val="00CA6752"/>
    <w:rsid w:val="00CA7952"/>
    <w:rsid w:val="00CB047B"/>
    <w:rsid w:val="00CB131B"/>
    <w:rsid w:val="00CB17C5"/>
    <w:rsid w:val="00CB2247"/>
    <w:rsid w:val="00CB31B9"/>
    <w:rsid w:val="00CB35A0"/>
    <w:rsid w:val="00CB3EEC"/>
    <w:rsid w:val="00CB4018"/>
    <w:rsid w:val="00CB50E3"/>
    <w:rsid w:val="00CB55D3"/>
    <w:rsid w:val="00CB703E"/>
    <w:rsid w:val="00CC24BD"/>
    <w:rsid w:val="00CC25C7"/>
    <w:rsid w:val="00CC323F"/>
    <w:rsid w:val="00CC39AD"/>
    <w:rsid w:val="00CC4126"/>
    <w:rsid w:val="00CC5B80"/>
    <w:rsid w:val="00CD0148"/>
    <w:rsid w:val="00CD095F"/>
    <w:rsid w:val="00CD106D"/>
    <w:rsid w:val="00CD11FF"/>
    <w:rsid w:val="00CD1ED9"/>
    <w:rsid w:val="00CD45AF"/>
    <w:rsid w:val="00CD4D13"/>
    <w:rsid w:val="00CD4DA9"/>
    <w:rsid w:val="00CD50C9"/>
    <w:rsid w:val="00CD5F79"/>
    <w:rsid w:val="00CD6C65"/>
    <w:rsid w:val="00CD7040"/>
    <w:rsid w:val="00CD72F1"/>
    <w:rsid w:val="00CE0A6E"/>
    <w:rsid w:val="00CE225E"/>
    <w:rsid w:val="00CE28B4"/>
    <w:rsid w:val="00CE2CCE"/>
    <w:rsid w:val="00CE5D73"/>
    <w:rsid w:val="00CE6388"/>
    <w:rsid w:val="00CE75AB"/>
    <w:rsid w:val="00CE7819"/>
    <w:rsid w:val="00CE7F11"/>
    <w:rsid w:val="00CF0CA8"/>
    <w:rsid w:val="00CF1FD0"/>
    <w:rsid w:val="00CF2CD6"/>
    <w:rsid w:val="00CF4220"/>
    <w:rsid w:val="00CF464A"/>
    <w:rsid w:val="00CF54F5"/>
    <w:rsid w:val="00CF55B3"/>
    <w:rsid w:val="00CF5749"/>
    <w:rsid w:val="00CF632B"/>
    <w:rsid w:val="00CF6B9B"/>
    <w:rsid w:val="00CF6D53"/>
    <w:rsid w:val="00D005CF"/>
    <w:rsid w:val="00D0066E"/>
    <w:rsid w:val="00D03275"/>
    <w:rsid w:val="00D03728"/>
    <w:rsid w:val="00D03EA7"/>
    <w:rsid w:val="00D04912"/>
    <w:rsid w:val="00D0714C"/>
    <w:rsid w:val="00D07CEE"/>
    <w:rsid w:val="00D101F2"/>
    <w:rsid w:val="00D1068F"/>
    <w:rsid w:val="00D1517C"/>
    <w:rsid w:val="00D168EA"/>
    <w:rsid w:val="00D1750B"/>
    <w:rsid w:val="00D17E08"/>
    <w:rsid w:val="00D2019D"/>
    <w:rsid w:val="00D2155E"/>
    <w:rsid w:val="00D21BDD"/>
    <w:rsid w:val="00D21C57"/>
    <w:rsid w:val="00D2290D"/>
    <w:rsid w:val="00D23188"/>
    <w:rsid w:val="00D2368E"/>
    <w:rsid w:val="00D23C9B"/>
    <w:rsid w:val="00D24E6C"/>
    <w:rsid w:val="00D2547D"/>
    <w:rsid w:val="00D25AB2"/>
    <w:rsid w:val="00D26308"/>
    <w:rsid w:val="00D26C3B"/>
    <w:rsid w:val="00D270FF"/>
    <w:rsid w:val="00D3000D"/>
    <w:rsid w:val="00D305E6"/>
    <w:rsid w:val="00D30BB3"/>
    <w:rsid w:val="00D31B11"/>
    <w:rsid w:val="00D327E7"/>
    <w:rsid w:val="00D33AEC"/>
    <w:rsid w:val="00D34776"/>
    <w:rsid w:val="00D35193"/>
    <w:rsid w:val="00D3547D"/>
    <w:rsid w:val="00D35FAF"/>
    <w:rsid w:val="00D372C5"/>
    <w:rsid w:val="00D40167"/>
    <w:rsid w:val="00D41892"/>
    <w:rsid w:val="00D421C3"/>
    <w:rsid w:val="00D434A1"/>
    <w:rsid w:val="00D43949"/>
    <w:rsid w:val="00D4417F"/>
    <w:rsid w:val="00D45021"/>
    <w:rsid w:val="00D45B2C"/>
    <w:rsid w:val="00D45DBA"/>
    <w:rsid w:val="00D46C5A"/>
    <w:rsid w:val="00D46EE2"/>
    <w:rsid w:val="00D4722A"/>
    <w:rsid w:val="00D50638"/>
    <w:rsid w:val="00D511B3"/>
    <w:rsid w:val="00D52237"/>
    <w:rsid w:val="00D5259D"/>
    <w:rsid w:val="00D52942"/>
    <w:rsid w:val="00D54B4C"/>
    <w:rsid w:val="00D54CC8"/>
    <w:rsid w:val="00D5508A"/>
    <w:rsid w:val="00D55C8E"/>
    <w:rsid w:val="00D56910"/>
    <w:rsid w:val="00D57EDF"/>
    <w:rsid w:val="00D604AC"/>
    <w:rsid w:val="00D60D32"/>
    <w:rsid w:val="00D6217F"/>
    <w:rsid w:val="00D62BB2"/>
    <w:rsid w:val="00D6364C"/>
    <w:rsid w:val="00D6396B"/>
    <w:rsid w:val="00D63C98"/>
    <w:rsid w:val="00D65ED3"/>
    <w:rsid w:val="00D6689D"/>
    <w:rsid w:val="00D6724C"/>
    <w:rsid w:val="00D67AC8"/>
    <w:rsid w:val="00D725EB"/>
    <w:rsid w:val="00D726C2"/>
    <w:rsid w:val="00D739B3"/>
    <w:rsid w:val="00D73B8B"/>
    <w:rsid w:val="00D74012"/>
    <w:rsid w:val="00D74419"/>
    <w:rsid w:val="00D75397"/>
    <w:rsid w:val="00D758A8"/>
    <w:rsid w:val="00D80671"/>
    <w:rsid w:val="00D80DE4"/>
    <w:rsid w:val="00D81D67"/>
    <w:rsid w:val="00D82F10"/>
    <w:rsid w:val="00D830B3"/>
    <w:rsid w:val="00D83AB0"/>
    <w:rsid w:val="00D84421"/>
    <w:rsid w:val="00D84684"/>
    <w:rsid w:val="00D867A8"/>
    <w:rsid w:val="00D8750E"/>
    <w:rsid w:val="00D87A41"/>
    <w:rsid w:val="00D905F0"/>
    <w:rsid w:val="00D91575"/>
    <w:rsid w:val="00D9178C"/>
    <w:rsid w:val="00D918F0"/>
    <w:rsid w:val="00D92365"/>
    <w:rsid w:val="00D9289A"/>
    <w:rsid w:val="00D92A72"/>
    <w:rsid w:val="00D92E0D"/>
    <w:rsid w:val="00D9427F"/>
    <w:rsid w:val="00D95DE3"/>
    <w:rsid w:val="00D963FE"/>
    <w:rsid w:val="00D971BB"/>
    <w:rsid w:val="00D97531"/>
    <w:rsid w:val="00DA0159"/>
    <w:rsid w:val="00DA141D"/>
    <w:rsid w:val="00DA2741"/>
    <w:rsid w:val="00DA37D9"/>
    <w:rsid w:val="00DA3A83"/>
    <w:rsid w:val="00DA437D"/>
    <w:rsid w:val="00DA4445"/>
    <w:rsid w:val="00DA4725"/>
    <w:rsid w:val="00DA48D5"/>
    <w:rsid w:val="00DA5670"/>
    <w:rsid w:val="00DA60C2"/>
    <w:rsid w:val="00DA6152"/>
    <w:rsid w:val="00DA63C5"/>
    <w:rsid w:val="00DB1D42"/>
    <w:rsid w:val="00DB2454"/>
    <w:rsid w:val="00DB2FB6"/>
    <w:rsid w:val="00DB34AD"/>
    <w:rsid w:val="00DB58FF"/>
    <w:rsid w:val="00DB5B39"/>
    <w:rsid w:val="00DB602C"/>
    <w:rsid w:val="00DB72F7"/>
    <w:rsid w:val="00DB7AA2"/>
    <w:rsid w:val="00DB7D0B"/>
    <w:rsid w:val="00DC0016"/>
    <w:rsid w:val="00DC0416"/>
    <w:rsid w:val="00DC0D8D"/>
    <w:rsid w:val="00DC1023"/>
    <w:rsid w:val="00DC3AFA"/>
    <w:rsid w:val="00DC52F5"/>
    <w:rsid w:val="00DC55A0"/>
    <w:rsid w:val="00DC6D8B"/>
    <w:rsid w:val="00DC7FD0"/>
    <w:rsid w:val="00DD1AA1"/>
    <w:rsid w:val="00DD1F0E"/>
    <w:rsid w:val="00DD29BA"/>
    <w:rsid w:val="00DD3D05"/>
    <w:rsid w:val="00DD3D99"/>
    <w:rsid w:val="00DD4CF6"/>
    <w:rsid w:val="00DD51FD"/>
    <w:rsid w:val="00DD5795"/>
    <w:rsid w:val="00DD5A0A"/>
    <w:rsid w:val="00DD5BED"/>
    <w:rsid w:val="00DD5C86"/>
    <w:rsid w:val="00DD5F9F"/>
    <w:rsid w:val="00DD6263"/>
    <w:rsid w:val="00DD62DE"/>
    <w:rsid w:val="00DE044B"/>
    <w:rsid w:val="00DE0793"/>
    <w:rsid w:val="00DE0E4A"/>
    <w:rsid w:val="00DE1C11"/>
    <w:rsid w:val="00DE235B"/>
    <w:rsid w:val="00DE2A79"/>
    <w:rsid w:val="00DE2D96"/>
    <w:rsid w:val="00DE56C7"/>
    <w:rsid w:val="00DE689D"/>
    <w:rsid w:val="00DE6DD5"/>
    <w:rsid w:val="00DE765A"/>
    <w:rsid w:val="00DE7ADD"/>
    <w:rsid w:val="00DE7B7B"/>
    <w:rsid w:val="00DE7BE2"/>
    <w:rsid w:val="00DF048B"/>
    <w:rsid w:val="00DF1026"/>
    <w:rsid w:val="00DF132B"/>
    <w:rsid w:val="00DF17AA"/>
    <w:rsid w:val="00DF22B1"/>
    <w:rsid w:val="00DF2DC9"/>
    <w:rsid w:val="00DF2F16"/>
    <w:rsid w:val="00DF556D"/>
    <w:rsid w:val="00DF572F"/>
    <w:rsid w:val="00DF57AD"/>
    <w:rsid w:val="00DF5A11"/>
    <w:rsid w:val="00DF6F7C"/>
    <w:rsid w:val="00DF6F81"/>
    <w:rsid w:val="00DF7F76"/>
    <w:rsid w:val="00E02083"/>
    <w:rsid w:val="00E02AF0"/>
    <w:rsid w:val="00E02DB5"/>
    <w:rsid w:val="00E03176"/>
    <w:rsid w:val="00E0405A"/>
    <w:rsid w:val="00E040F8"/>
    <w:rsid w:val="00E0499B"/>
    <w:rsid w:val="00E04F30"/>
    <w:rsid w:val="00E051FB"/>
    <w:rsid w:val="00E05AD4"/>
    <w:rsid w:val="00E05C41"/>
    <w:rsid w:val="00E072DE"/>
    <w:rsid w:val="00E075D2"/>
    <w:rsid w:val="00E07BD5"/>
    <w:rsid w:val="00E07D2D"/>
    <w:rsid w:val="00E1005E"/>
    <w:rsid w:val="00E10780"/>
    <w:rsid w:val="00E10AA8"/>
    <w:rsid w:val="00E12CA3"/>
    <w:rsid w:val="00E14E34"/>
    <w:rsid w:val="00E14EC8"/>
    <w:rsid w:val="00E15EE9"/>
    <w:rsid w:val="00E162DE"/>
    <w:rsid w:val="00E1675A"/>
    <w:rsid w:val="00E17C37"/>
    <w:rsid w:val="00E2007F"/>
    <w:rsid w:val="00E233C8"/>
    <w:rsid w:val="00E23F47"/>
    <w:rsid w:val="00E240F4"/>
    <w:rsid w:val="00E246B0"/>
    <w:rsid w:val="00E24820"/>
    <w:rsid w:val="00E24EA3"/>
    <w:rsid w:val="00E26141"/>
    <w:rsid w:val="00E26B8E"/>
    <w:rsid w:val="00E27569"/>
    <w:rsid w:val="00E308B9"/>
    <w:rsid w:val="00E315EB"/>
    <w:rsid w:val="00E318CE"/>
    <w:rsid w:val="00E3195D"/>
    <w:rsid w:val="00E3259B"/>
    <w:rsid w:val="00E32DFF"/>
    <w:rsid w:val="00E33300"/>
    <w:rsid w:val="00E342FC"/>
    <w:rsid w:val="00E34A5B"/>
    <w:rsid w:val="00E3693D"/>
    <w:rsid w:val="00E36F6D"/>
    <w:rsid w:val="00E37A2B"/>
    <w:rsid w:val="00E37D36"/>
    <w:rsid w:val="00E404AA"/>
    <w:rsid w:val="00E40CC1"/>
    <w:rsid w:val="00E4146A"/>
    <w:rsid w:val="00E414F4"/>
    <w:rsid w:val="00E4163E"/>
    <w:rsid w:val="00E417DB"/>
    <w:rsid w:val="00E41C15"/>
    <w:rsid w:val="00E42732"/>
    <w:rsid w:val="00E43FF2"/>
    <w:rsid w:val="00E44716"/>
    <w:rsid w:val="00E45136"/>
    <w:rsid w:val="00E45269"/>
    <w:rsid w:val="00E45A41"/>
    <w:rsid w:val="00E46314"/>
    <w:rsid w:val="00E46890"/>
    <w:rsid w:val="00E471BE"/>
    <w:rsid w:val="00E477FC"/>
    <w:rsid w:val="00E50071"/>
    <w:rsid w:val="00E50208"/>
    <w:rsid w:val="00E50A7B"/>
    <w:rsid w:val="00E51AF7"/>
    <w:rsid w:val="00E51B7E"/>
    <w:rsid w:val="00E51D89"/>
    <w:rsid w:val="00E53600"/>
    <w:rsid w:val="00E538EE"/>
    <w:rsid w:val="00E53AA2"/>
    <w:rsid w:val="00E53D26"/>
    <w:rsid w:val="00E54AB8"/>
    <w:rsid w:val="00E56761"/>
    <w:rsid w:val="00E5782E"/>
    <w:rsid w:val="00E6053D"/>
    <w:rsid w:val="00E60C85"/>
    <w:rsid w:val="00E63EBB"/>
    <w:rsid w:val="00E643AB"/>
    <w:rsid w:val="00E658F9"/>
    <w:rsid w:val="00E65E53"/>
    <w:rsid w:val="00E66618"/>
    <w:rsid w:val="00E66EE9"/>
    <w:rsid w:val="00E676E0"/>
    <w:rsid w:val="00E67797"/>
    <w:rsid w:val="00E67A6A"/>
    <w:rsid w:val="00E67F6F"/>
    <w:rsid w:val="00E7017A"/>
    <w:rsid w:val="00E703CE"/>
    <w:rsid w:val="00E70D96"/>
    <w:rsid w:val="00E710EA"/>
    <w:rsid w:val="00E71EB6"/>
    <w:rsid w:val="00E721AA"/>
    <w:rsid w:val="00E723C5"/>
    <w:rsid w:val="00E726AF"/>
    <w:rsid w:val="00E72AC3"/>
    <w:rsid w:val="00E73060"/>
    <w:rsid w:val="00E762E6"/>
    <w:rsid w:val="00E8096E"/>
    <w:rsid w:val="00E81AD3"/>
    <w:rsid w:val="00E826A1"/>
    <w:rsid w:val="00E8283B"/>
    <w:rsid w:val="00E82AED"/>
    <w:rsid w:val="00E83353"/>
    <w:rsid w:val="00E85708"/>
    <w:rsid w:val="00E85EC1"/>
    <w:rsid w:val="00E863A5"/>
    <w:rsid w:val="00E8731B"/>
    <w:rsid w:val="00E87406"/>
    <w:rsid w:val="00E8765D"/>
    <w:rsid w:val="00E87A36"/>
    <w:rsid w:val="00E87C06"/>
    <w:rsid w:val="00E90D8B"/>
    <w:rsid w:val="00E90EBC"/>
    <w:rsid w:val="00E912F5"/>
    <w:rsid w:val="00E91B64"/>
    <w:rsid w:val="00E93505"/>
    <w:rsid w:val="00E94575"/>
    <w:rsid w:val="00E9497D"/>
    <w:rsid w:val="00E949CE"/>
    <w:rsid w:val="00E94C0D"/>
    <w:rsid w:val="00E9558E"/>
    <w:rsid w:val="00E95B02"/>
    <w:rsid w:val="00E95C3F"/>
    <w:rsid w:val="00E95CD5"/>
    <w:rsid w:val="00E9650B"/>
    <w:rsid w:val="00E96862"/>
    <w:rsid w:val="00E96F52"/>
    <w:rsid w:val="00E9727C"/>
    <w:rsid w:val="00E972B7"/>
    <w:rsid w:val="00E97559"/>
    <w:rsid w:val="00E9771C"/>
    <w:rsid w:val="00EA0368"/>
    <w:rsid w:val="00EA0513"/>
    <w:rsid w:val="00EA3437"/>
    <w:rsid w:val="00EA362C"/>
    <w:rsid w:val="00EA4249"/>
    <w:rsid w:val="00EA470A"/>
    <w:rsid w:val="00EA7573"/>
    <w:rsid w:val="00EB0009"/>
    <w:rsid w:val="00EB0AAF"/>
    <w:rsid w:val="00EB0C7B"/>
    <w:rsid w:val="00EB1C56"/>
    <w:rsid w:val="00EB2264"/>
    <w:rsid w:val="00EB285B"/>
    <w:rsid w:val="00EB2C60"/>
    <w:rsid w:val="00EB32BD"/>
    <w:rsid w:val="00EB459D"/>
    <w:rsid w:val="00EB47BE"/>
    <w:rsid w:val="00EB4CE0"/>
    <w:rsid w:val="00EB5961"/>
    <w:rsid w:val="00EB5D9F"/>
    <w:rsid w:val="00EB70F6"/>
    <w:rsid w:val="00EB73C9"/>
    <w:rsid w:val="00EB7784"/>
    <w:rsid w:val="00EB7D08"/>
    <w:rsid w:val="00EC018A"/>
    <w:rsid w:val="00EC07BA"/>
    <w:rsid w:val="00EC1418"/>
    <w:rsid w:val="00EC1A3C"/>
    <w:rsid w:val="00EC2175"/>
    <w:rsid w:val="00EC26D5"/>
    <w:rsid w:val="00EC2E7A"/>
    <w:rsid w:val="00EC41AF"/>
    <w:rsid w:val="00EC44B6"/>
    <w:rsid w:val="00EC47AB"/>
    <w:rsid w:val="00EC48EA"/>
    <w:rsid w:val="00EC5483"/>
    <w:rsid w:val="00EC6300"/>
    <w:rsid w:val="00EC7399"/>
    <w:rsid w:val="00ED08EC"/>
    <w:rsid w:val="00ED0E70"/>
    <w:rsid w:val="00ED134B"/>
    <w:rsid w:val="00ED1F14"/>
    <w:rsid w:val="00ED2296"/>
    <w:rsid w:val="00ED23F7"/>
    <w:rsid w:val="00ED267B"/>
    <w:rsid w:val="00ED2717"/>
    <w:rsid w:val="00ED326F"/>
    <w:rsid w:val="00ED3A8B"/>
    <w:rsid w:val="00ED4514"/>
    <w:rsid w:val="00ED4A94"/>
    <w:rsid w:val="00ED4C9D"/>
    <w:rsid w:val="00ED58D4"/>
    <w:rsid w:val="00ED5A8A"/>
    <w:rsid w:val="00ED6626"/>
    <w:rsid w:val="00ED6C38"/>
    <w:rsid w:val="00ED6E71"/>
    <w:rsid w:val="00ED7FD3"/>
    <w:rsid w:val="00EE1A8A"/>
    <w:rsid w:val="00EE1DF8"/>
    <w:rsid w:val="00EE3111"/>
    <w:rsid w:val="00EE404C"/>
    <w:rsid w:val="00EE483E"/>
    <w:rsid w:val="00EE54AA"/>
    <w:rsid w:val="00EE6098"/>
    <w:rsid w:val="00EE6392"/>
    <w:rsid w:val="00EE63EC"/>
    <w:rsid w:val="00EE6BE1"/>
    <w:rsid w:val="00EE7AFC"/>
    <w:rsid w:val="00EE7FAB"/>
    <w:rsid w:val="00EF09D2"/>
    <w:rsid w:val="00EF107B"/>
    <w:rsid w:val="00EF16C3"/>
    <w:rsid w:val="00EF1ADD"/>
    <w:rsid w:val="00EF222B"/>
    <w:rsid w:val="00EF6BA4"/>
    <w:rsid w:val="00EF7190"/>
    <w:rsid w:val="00EF7D50"/>
    <w:rsid w:val="00F00780"/>
    <w:rsid w:val="00F00B23"/>
    <w:rsid w:val="00F018B7"/>
    <w:rsid w:val="00F01B14"/>
    <w:rsid w:val="00F03F3C"/>
    <w:rsid w:val="00F05498"/>
    <w:rsid w:val="00F05B32"/>
    <w:rsid w:val="00F05F32"/>
    <w:rsid w:val="00F06457"/>
    <w:rsid w:val="00F11F87"/>
    <w:rsid w:val="00F1338A"/>
    <w:rsid w:val="00F137E6"/>
    <w:rsid w:val="00F148BA"/>
    <w:rsid w:val="00F156F6"/>
    <w:rsid w:val="00F169E1"/>
    <w:rsid w:val="00F209CA"/>
    <w:rsid w:val="00F20E2B"/>
    <w:rsid w:val="00F22018"/>
    <w:rsid w:val="00F2201D"/>
    <w:rsid w:val="00F22703"/>
    <w:rsid w:val="00F24509"/>
    <w:rsid w:val="00F24B73"/>
    <w:rsid w:val="00F2514F"/>
    <w:rsid w:val="00F2607D"/>
    <w:rsid w:val="00F26469"/>
    <w:rsid w:val="00F277E0"/>
    <w:rsid w:val="00F27F0E"/>
    <w:rsid w:val="00F3006B"/>
    <w:rsid w:val="00F313C1"/>
    <w:rsid w:val="00F31419"/>
    <w:rsid w:val="00F3247D"/>
    <w:rsid w:val="00F346B6"/>
    <w:rsid w:val="00F34967"/>
    <w:rsid w:val="00F366D1"/>
    <w:rsid w:val="00F37DD5"/>
    <w:rsid w:val="00F40DB9"/>
    <w:rsid w:val="00F41C3A"/>
    <w:rsid w:val="00F42BEB"/>
    <w:rsid w:val="00F42F42"/>
    <w:rsid w:val="00F43848"/>
    <w:rsid w:val="00F44549"/>
    <w:rsid w:val="00F445B5"/>
    <w:rsid w:val="00F448F7"/>
    <w:rsid w:val="00F44F28"/>
    <w:rsid w:val="00F450AD"/>
    <w:rsid w:val="00F45E9A"/>
    <w:rsid w:val="00F460EA"/>
    <w:rsid w:val="00F47682"/>
    <w:rsid w:val="00F5116F"/>
    <w:rsid w:val="00F51484"/>
    <w:rsid w:val="00F5206A"/>
    <w:rsid w:val="00F526E2"/>
    <w:rsid w:val="00F53181"/>
    <w:rsid w:val="00F53727"/>
    <w:rsid w:val="00F54646"/>
    <w:rsid w:val="00F561FC"/>
    <w:rsid w:val="00F56581"/>
    <w:rsid w:val="00F565CA"/>
    <w:rsid w:val="00F5755E"/>
    <w:rsid w:val="00F60090"/>
    <w:rsid w:val="00F6069F"/>
    <w:rsid w:val="00F620D3"/>
    <w:rsid w:val="00F63075"/>
    <w:rsid w:val="00F63E44"/>
    <w:rsid w:val="00F654E1"/>
    <w:rsid w:val="00F65B46"/>
    <w:rsid w:val="00F65CA7"/>
    <w:rsid w:val="00F6632D"/>
    <w:rsid w:val="00F66448"/>
    <w:rsid w:val="00F66642"/>
    <w:rsid w:val="00F704BC"/>
    <w:rsid w:val="00F70D12"/>
    <w:rsid w:val="00F72726"/>
    <w:rsid w:val="00F7311F"/>
    <w:rsid w:val="00F76EB8"/>
    <w:rsid w:val="00F77E17"/>
    <w:rsid w:val="00F77F14"/>
    <w:rsid w:val="00F80EFE"/>
    <w:rsid w:val="00F80F3B"/>
    <w:rsid w:val="00F837A0"/>
    <w:rsid w:val="00F83DE8"/>
    <w:rsid w:val="00F84B69"/>
    <w:rsid w:val="00F86E71"/>
    <w:rsid w:val="00F87925"/>
    <w:rsid w:val="00F9164C"/>
    <w:rsid w:val="00F92F75"/>
    <w:rsid w:val="00F9471E"/>
    <w:rsid w:val="00F95F41"/>
    <w:rsid w:val="00F966B6"/>
    <w:rsid w:val="00F967A8"/>
    <w:rsid w:val="00F9686D"/>
    <w:rsid w:val="00F96E1F"/>
    <w:rsid w:val="00F96E7C"/>
    <w:rsid w:val="00F973AB"/>
    <w:rsid w:val="00FA06BB"/>
    <w:rsid w:val="00FA09E0"/>
    <w:rsid w:val="00FA1963"/>
    <w:rsid w:val="00FA22AE"/>
    <w:rsid w:val="00FA2715"/>
    <w:rsid w:val="00FA564B"/>
    <w:rsid w:val="00FA5B5F"/>
    <w:rsid w:val="00FA6633"/>
    <w:rsid w:val="00FA7530"/>
    <w:rsid w:val="00FA76FA"/>
    <w:rsid w:val="00FA7F05"/>
    <w:rsid w:val="00FA7F9C"/>
    <w:rsid w:val="00FB1F85"/>
    <w:rsid w:val="00FB2BC4"/>
    <w:rsid w:val="00FB3C24"/>
    <w:rsid w:val="00FB4C4A"/>
    <w:rsid w:val="00FB59E9"/>
    <w:rsid w:val="00FB5DD5"/>
    <w:rsid w:val="00FB659D"/>
    <w:rsid w:val="00FB6B79"/>
    <w:rsid w:val="00FB736D"/>
    <w:rsid w:val="00FB750A"/>
    <w:rsid w:val="00FB75A3"/>
    <w:rsid w:val="00FC092B"/>
    <w:rsid w:val="00FC178C"/>
    <w:rsid w:val="00FC1EA8"/>
    <w:rsid w:val="00FC2900"/>
    <w:rsid w:val="00FC2E5C"/>
    <w:rsid w:val="00FC44FE"/>
    <w:rsid w:val="00FC49A6"/>
    <w:rsid w:val="00FC4CFB"/>
    <w:rsid w:val="00FC54CA"/>
    <w:rsid w:val="00FC5BE7"/>
    <w:rsid w:val="00FC6298"/>
    <w:rsid w:val="00FC63AE"/>
    <w:rsid w:val="00FC68AD"/>
    <w:rsid w:val="00FD06A6"/>
    <w:rsid w:val="00FD076B"/>
    <w:rsid w:val="00FD1530"/>
    <w:rsid w:val="00FD43DA"/>
    <w:rsid w:val="00FD4612"/>
    <w:rsid w:val="00FD4D2A"/>
    <w:rsid w:val="00FD4FA0"/>
    <w:rsid w:val="00FD5514"/>
    <w:rsid w:val="00FD5825"/>
    <w:rsid w:val="00FD5883"/>
    <w:rsid w:val="00FD5DEC"/>
    <w:rsid w:val="00FD7E9F"/>
    <w:rsid w:val="00FE1829"/>
    <w:rsid w:val="00FE1DA2"/>
    <w:rsid w:val="00FE1F41"/>
    <w:rsid w:val="00FE2ACC"/>
    <w:rsid w:val="00FE4289"/>
    <w:rsid w:val="00FE48CD"/>
    <w:rsid w:val="00FE504F"/>
    <w:rsid w:val="00FE526D"/>
    <w:rsid w:val="00FE618F"/>
    <w:rsid w:val="00FE6399"/>
    <w:rsid w:val="00FE6650"/>
    <w:rsid w:val="00FE6B28"/>
    <w:rsid w:val="00FE77E9"/>
    <w:rsid w:val="00FE7BD7"/>
    <w:rsid w:val="00FF0584"/>
    <w:rsid w:val="00FF0820"/>
    <w:rsid w:val="00FF1E30"/>
    <w:rsid w:val="00FF23F7"/>
    <w:rsid w:val="00FF3318"/>
    <w:rsid w:val="00FF3D47"/>
    <w:rsid w:val="00FF3F9B"/>
    <w:rsid w:val="00FF4575"/>
    <w:rsid w:val="00FF48CF"/>
    <w:rsid w:val="00FF4EEE"/>
    <w:rsid w:val="00FF519F"/>
    <w:rsid w:val="00FF5A31"/>
    <w:rsid w:val="00FF62E9"/>
    <w:rsid w:val="00FF762B"/>
    <w:rsid w:val="00FF7B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343F7F"/>
  <w15:chartTrackingRefBased/>
  <w15:docId w15:val="{3852B851-AB04-4E97-80FE-4933EC91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numPr>
        <w:numId w:val="2"/>
      </w:numPr>
      <w:outlineLvl w:val="0"/>
    </w:pPr>
    <w:rPr>
      <w:rFonts w:ascii="Times New Roman" w:hAnsi="Times New Roman"/>
      <w:b/>
      <w:bCs/>
    </w:rPr>
  </w:style>
  <w:style w:type="paragraph" w:styleId="Heading2">
    <w:name w:val="heading 2"/>
    <w:basedOn w:val="Normal"/>
    <w:next w:val="Normal"/>
    <w:link w:val="Heading2Char"/>
    <w:unhideWhenUsed/>
    <w:qFormat/>
    <w:rsid w:val="006E14BC"/>
    <w:pPr>
      <w:keepNext/>
      <w:numPr>
        <w:ilvl w:val="1"/>
        <w:numId w:val="2"/>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E14BC"/>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F86E71"/>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E14B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E14B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14BC"/>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E14BC"/>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E14BC"/>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uiPriority w:val="59"/>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paragraph" w:styleId="Footer">
    <w:name w:val="footer"/>
    <w:basedOn w:val="Normal"/>
    <w:link w:val="FooterChar"/>
    <w:uiPriority w:val="99"/>
    <w:rsid w:val="001E7110"/>
    <w:pPr>
      <w:tabs>
        <w:tab w:val="center" w:pos="4320"/>
        <w:tab w:val="right" w:pos="8640"/>
      </w:tabs>
    </w:pPr>
  </w:style>
  <w:style w:type="character" w:styleId="CommentReference">
    <w:name w:val="annotation reference"/>
    <w:uiPriority w:val="99"/>
    <w:rsid w:val="00F346B6"/>
    <w:rPr>
      <w:sz w:val="16"/>
      <w:szCs w:val="16"/>
    </w:rPr>
  </w:style>
  <w:style w:type="paragraph" w:styleId="CommentText">
    <w:name w:val="annotation text"/>
    <w:basedOn w:val="Normal"/>
    <w:link w:val="CommentTextChar"/>
    <w:uiPriority w:val="99"/>
    <w:rsid w:val="00F346B6"/>
    <w:rPr>
      <w:sz w:val="20"/>
      <w:szCs w:val="20"/>
    </w:rPr>
  </w:style>
  <w:style w:type="character" w:customStyle="1" w:styleId="CommentTextChar">
    <w:name w:val="Comment Text Char"/>
    <w:link w:val="CommentText"/>
    <w:uiPriority w:val="99"/>
    <w:rsid w:val="00F346B6"/>
    <w:rPr>
      <w:rFonts w:ascii="Courier" w:hAnsi="Courier"/>
    </w:rPr>
  </w:style>
  <w:style w:type="paragraph" w:styleId="CommentSubject">
    <w:name w:val="annotation subject"/>
    <w:basedOn w:val="CommentText"/>
    <w:next w:val="CommentText"/>
    <w:link w:val="CommentSubjectChar"/>
    <w:rsid w:val="00F346B6"/>
    <w:rPr>
      <w:b/>
      <w:bCs/>
    </w:rPr>
  </w:style>
  <w:style w:type="character" w:customStyle="1" w:styleId="CommentSubjectChar">
    <w:name w:val="Comment Subject Char"/>
    <w:link w:val="CommentSubject"/>
    <w:rsid w:val="00F346B6"/>
    <w:rPr>
      <w:rFonts w:ascii="Courier" w:hAnsi="Courier"/>
      <w:b/>
      <w:bCs/>
    </w:rPr>
  </w:style>
  <w:style w:type="paragraph" w:styleId="BalloonText">
    <w:name w:val="Balloon Text"/>
    <w:basedOn w:val="Normal"/>
    <w:link w:val="BalloonTextChar"/>
    <w:rsid w:val="00F346B6"/>
    <w:rPr>
      <w:rFonts w:ascii="Tahoma" w:hAnsi="Tahoma" w:cs="Tahoma"/>
      <w:sz w:val="16"/>
      <w:szCs w:val="16"/>
    </w:rPr>
  </w:style>
  <w:style w:type="character" w:customStyle="1" w:styleId="BalloonTextChar">
    <w:name w:val="Balloon Text Char"/>
    <w:link w:val="BalloonText"/>
    <w:rsid w:val="00F346B6"/>
    <w:rPr>
      <w:rFonts w:ascii="Tahoma" w:hAnsi="Tahoma" w:cs="Tahoma"/>
      <w:sz w:val="16"/>
      <w:szCs w:val="16"/>
    </w:rPr>
  </w:style>
  <w:style w:type="paragraph" w:customStyle="1" w:styleId="Default">
    <w:name w:val="Default"/>
    <w:rsid w:val="00EB32BD"/>
    <w:pPr>
      <w:autoSpaceDE w:val="0"/>
      <w:autoSpaceDN w:val="0"/>
      <w:adjustRightInd w:val="0"/>
    </w:pPr>
    <w:rPr>
      <w:rFonts w:ascii="MMNNPH+TimesNewRoman,Bold" w:hAnsi="MMNNPH+TimesNewRoman,Bold" w:cs="MMNNPH+TimesNewRoman,Bold"/>
      <w:color w:val="000000"/>
      <w:sz w:val="24"/>
      <w:szCs w:val="24"/>
    </w:rPr>
  </w:style>
  <w:style w:type="character" w:styleId="FollowedHyperlink">
    <w:name w:val="FollowedHyperlink"/>
    <w:rsid w:val="00160A98"/>
    <w:rPr>
      <w:color w:val="800080"/>
      <w:u w:val="single"/>
    </w:rPr>
  </w:style>
  <w:style w:type="paragraph" w:styleId="FootnoteText">
    <w:name w:val="footnote text"/>
    <w:aliases w:val="ALTS FOOTNOTE,Char,Char11,Char2,Char21,Char3,Char4,Footnote Text - Preamble,Footnote Text - Preamble1,Footnote Text Char Char,Footnote Text Char Char Char Char,Footnote Text Char Char1,Footnote Text Char1,Footnote Text Char1 Char Char,f,fn"/>
    <w:basedOn w:val="Normal"/>
    <w:link w:val="FootnoteTextChar"/>
    <w:uiPriority w:val="99"/>
    <w:qFormat/>
    <w:rsid w:val="007805F7"/>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aliases w:val="ALTS FOOTNOTE Char,Char Char,Char11 Char,Char2 Char,Char21 Char,Char3 Char,Char4 Char,Footnote Text - Preamble Char,Footnote Text - Preamble1 Char,Footnote Text Char Char Char,Footnote Text Char Char Char Char Char,f Char,fn Char"/>
    <w:link w:val="FootnoteText"/>
    <w:uiPriority w:val="99"/>
    <w:rsid w:val="007805F7"/>
    <w:rPr>
      <w:rFonts w:ascii="Calibri" w:eastAsia="Calibri" w:hAnsi="Calibri"/>
      <w:lang w:bidi="en-US"/>
    </w:rPr>
  </w:style>
  <w:style w:type="paragraph" w:styleId="NormalWeb">
    <w:name w:val="Normal (Web)"/>
    <w:basedOn w:val="Normal"/>
    <w:uiPriority w:val="99"/>
    <w:unhideWhenUsed/>
    <w:rsid w:val="00DE2A79"/>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uiPriority w:val="99"/>
    <w:rsid w:val="00C9190C"/>
    <w:rPr>
      <w:vertAlign w:val="superscript"/>
    </w:rPr>
  </w:style>
  <w:style w:type="paragraph" w:customStyle="1" w:styleId="CM1">
    <w:name w:val="CM1"/>
    <w:basedOn w:val="Default"/>
    <w:next w:val="Default"/>
    <w:uiPriority w:val="99"/>
    <w:rsid w:val="009E0D28"/>
    <w:pPr>
      <w:spacing w:line="276" w:lineRule="atLeast"/>
    </w:pPr>
    <w:rPr>
      <w:rFonts w:ascii="Times New Roman" w:hAnsi="Times New Roman" w:cs="Times New Roman"/>
      <w:color w:val="auto"/>
    </w:rPr>
  </w:style>
  <w:style w:type="paragraph" w:customStyle="1" w:styleId="CM3">
    <w:name w:val="CM3"/>
    <w:basedOn w:val="Default"/>
    <w:next w:val="Default"/>
    <w:uiPriority w:val="99"/>
    <w:rsid w:val="007921A8"/>
    <w:pPr>
      <w:spacing w:line="276" w:lineRule="atLeast"/>
    </w:pPr>
    <w:rPr>
      <w:rFonts w:ascii="Times New Roman" w:hAnsi="Times New Roman" w:cs="Times New Roman"/>
      <w:color w:val="auto"/>
    </w:rPr>
  </w:style>
  <w:style w:type="character" w:styleId="Strong">
    <w:name w:val="Strong"/>
    <w:uiPriority w:val="22"/>
    <w:qFormat/>
    <w:rsid w:val="006F4C4A"/>
    <w:rPr>
      <w:b/>
      <w:bCs/>
    </w:rPr>
  </w:style>
  <w:style w:type="paragraph" w:styleId="ListParagraph">
    <w:name w:val="List Paragraph"/>
    <w:aliases w:val="3,Bullet,Bullet 1,Bullet Points,Bullets,Dot pt,F5 List Paragraph,Indicator Text,Issue Action POC,List Paragraph Char Char Char,List Paragraph1,List Paragraph2,MAIN CONTENT,Normal numbered,Numbered Para 1,POCG Table Text"/>
    <w:basedOn w:val="Normal"/>
    <w:link w:val="ListParagraphChar"/>
    <w:uiPriority w:val="34"/>
    <w:qFormat/>
    <w:rsid w:val="00E43FF2"/>
    <w:pPr>
      <w:ind w:left="720"/>
      <w:contextualSpacing/>
    </w:pPr>
  </w:style>
  <w:style w:type="paragraph" w:styleId="PlainText">
    <w:name w:val="Plain Text"/>
    <w:basedOn w:val="Normal"/>
    <w:link w:val="PlainTextChar"/>
    <w:uiPriority w:val="99"/>
    <w:unhideWhenUsed/>
    <w:rsid w:val="00F445B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F445B5"/>
    <w:rPr>
      <w:rFonts w:ascii="Calibri" w:eastAsia="Calibri" w:hAnsi="Calibri"/>
      <w:sz w:val="22"/>
      <w:szCs w:val="21"/>
    </w:rPr>
  </w:style>
  <w:style w:type="character" w:customStyle="1" w:styleId="Heading2Char">
    <w:name w:val="Heading 2 Char"/>
    <w:link w:val="Heading2"/>
    <w:rsid w:val="006E14BC"/>
    <w:rPr>
      <w:rFonts w:ascii="Calibri Light" w:hAnsi="Calibri Light"/>
      <w:b/>
      <w:bCs/>
      <w:i/>
      <w:iCs/>
      <w:sz w:val="28"/>
      <w:szCs w:val="28"/>
    </w:rPr>
  </w:style>
  <w:style w:type="character" w:customStyle="1" w:styleId="Heading3Char">
    <w:name w:val="Heading 3 Char"/>
    <w:link w:val="Heading3"/>
    <w:rsid w:val="006E14BC"/>
    <w:rPr>
      <w:rFonts w:ascii="Calibri Light" w:hAnsi="Calibri Light"/>
      <w:b/>
      <w:bCs/>
      <w:sz w:val="26"/>
      <w:szCs w:val="26"/>
    </w:rPr>
  </w:style>
  <w:style w:type="character" w:customStyle="1" w:styleId="Heading5Char">
    <w:name w:val="Heading 5 Char"/>
    <w:link w:val="Heading5"/>
    <w:semiHidden/>
    <w:rsid w:val="006E14BC"/>
    <w:rPr>
      <w:rFonts w:ascii="Calibri" w:hAnsi="Calibri"/>
      <w:b/>
      <w:bCs/>
      <w:i/>
      <w:iCs/>
      <w:sz w:val="26"/>
      <w:szCs w:val="26"/>
    </w:rPr>
  </w:style>
  <w:style w:type="character" w:customStyle="1" w:styleId="Heading6Char">
    <w:name w:val="Heading 6 Char"/>
    <w:link w:val="Heading6"/>
    <w:rsid w:val="006E14BC"/>
    <w:rPr>
      <w:rFonts w:ascii="Calibri" w:hAnsi="Calibri"/>
      <w:b/>
      <w:bCs/>
      <w:sz w:val="22"/>
      <w:szCs w:val="22"/>
    </w:rPr>
  </w:style>
  <w:style w:type="character" w:customStyle="1" w:styleId="Heading7Char">
    <w:name w:val="Heading 7 Char"/>
    <w:link w:val="Heading7"/>
    <w:uiPriority w:val="9"/>
    <w:semiHidden/>
    <w:rsid w:val="006E14BC"/>
    <w:rPr>
      <w:rFonts w:ascii="Calibri" w:hAnsi="Calibri"/>
      <w:sz w:val="24"/>
      <w:szCs w:val="24"/>
    </w:rPr>
  </w:style>
  <w:style w:type="character" w:customStyle="1" w:styleId="Heading8Char">
    <w:name w:val="Heading 8 Char"/>
    <w:link w:val="Heading8"/>
    <w:uiPriority w:val="9"/>
    <w:semiHidden/>
    <w:rsid w:val="006E14BC"/>
    <w:rPr>
      <w:rFonts w:ascii="Calibri" w:hAnsi="Calibri"/>
      <w:i/>
      <w:iCs/>
      <w:sz w:val="24"/>
      <w:szCs w:val="24"/>
    </w:rPr>
  </w:style>
  <w:style w:type="character" w:customStyle="1" w:styleId="Heading9Char">
    <w:name w:val="Heading 9 Char"/>
    <w:link w:val="Heading9"/>
    <w:uiPriority w:val="9"/>
    <w:semiHidden/>
    <w:rsid w:val="006E14BC"/>
    <w:rPr>
      <w:rFonts w:ascii="Calibri Light" w:hAnsi="Calibri Light"/>
      <w:sz w:val="22"/>
      <w:szCs w:val="22"/>
    </w:rPr>
  </w:style>
  <w:style w:type="character" w:customStyle="1" w:styleId="ListParagraphChar">
    <w:name w:val="List Paragraph Char"/>
    <w:aliases w:val="3 Char,Bullet 1 Char,Bullet Char,Bullet Points Char,Bullets Char,Dot pt Char,F5 List Paragraph Char,Indicator Text Char,Issue Action POC Char,List Paragraph Char Char Char Char,List Paragraph1 Char,List Paragraph2 Char"/>
    <w:link w:val="ListParagraph"/>
    <w:uiPriority w:val="34"/>
    <w:rsid w:val="00701E3B"/>
    <w:rPr>
      <w:rFonts w:ascii="Courier" w:hAnsi="Courier"/>
      <w:sz w:val="24"/>
      <w:szCs w:val="24"/>
    </w:rPr>
  </w:style>
  <w:style w:type="paragraph" w:customStyle="1" w:styleId="footnotedescription">
    <w:name w:val="footnote description"/>
    <w:next w:val="Normal"/>
    <w:link w:val="footnotedescriptionChar"/>
    <w:hidden/>
    <w:rsid w:val="00FE618F"/>
    <w:pPr>
      <w:spacing w:line="242" w:lineRule="auto"/>
      <w:ind w:firstLine="140"/>
    </w:pPr>
    <w:rPr>
      <w:color w:val="000000"/>
      <w:sz w:val="14"/>
      <w:szCs w:val="22"/>
    </w:rPr>
  </w:style>
  <w:style w:type="character" w:customStyle="1" w:styleId="footnotedescriptionChar">
    <w:name w:val="footnote description Char"/>
    <w:link w:val="footnotedescription"/>
    <w:rsid w:val="00FE618F"/>
    <w:rPr>
      <w:color w:val="000000"/>
      <w:sz w:val="14"/>
      <w:szCs w:val="22"/>
    </w:rPr>
  </w:style>
  <w:style w:type="character" w:customStyle="1" w:styleId="footnotemark">
    <w:name w:val="footnote mark"/>
    <w:hidden/>
    <w:rsid w:val="00FE618F"/>
    <w:rPr>
      <w:rFonts w:ascii="Times New Roman" w:eastAsia="Times New Roman" w:hAnsi="Times New Roman" w:cs="Times New Roman"/>
      <w:color w:val="000000"/>
      <w:sz w:val="14"/>
      <w:vertAlign w:val="superscript"/>
    </w:rPr>
  </w:style>
  <w:style w:type="character" w:customStyle="1" w:styleId="apple-converted-space">
    <w:name w:val="apple-converted-space"/>
    <w:rsid w:val="00BE4CE6"/>
  </w:style>
  <w:style w:type="paragraph" w:styleId="EndnoteText">
    <w:name w:val="endnote text"/>
    <w:basedOn w:val="Normal"/>
    <w:link w:val="EndnoteTextChar"/>
    <w:rsid w:val="00AE2497"/>
    <w:rPr>
      <w:sz w:val="20"/>
      <w:szCs w:val="20"/>
    </w:rPr>
  </w:style>
  <w:style w:type="character" w:customStyle="1" w:styleId="EndnoteTextChar">
    <w:name w:val="Endnote Text Char"/>
    <w:link w:val="EndnoteText"/>
    <w:rsid w:val="00AE2497"/>
    <w:rPr>
      <w:rFonts w:ascii="Courier" w:hAnsi="Courier"/>
    </w:rPr>
  </w:style>
  <w:style w:type="character" w:styleId="EndnoteReference">
    <w:name w:val="endnote reference"/>
    <w:rsid w:val="00AE2497"/>
    <w:rPr>
      <w:vertAlign w:val="superscript"/>
    </w:rPr>
  </w:style>
  <w:style w:type="character" w:customStyle="1" w:styleId="Heading4Char">
    <w:name w:val="Heading 4 Char"/>
    <w:link w:val="Heading4"/>
    <w:rsid w:val="001C54B2"/>
    <w:rPr>
      <w:b/>
      <w:bCs/>
      <w:sz w:val="28"/>
      <w:szCs w:val="28"/>
    </w:rPr>
  </w:style>
  <w:style w:type="character" w:customStyle="1" w:styleId="HeaderChar">
    <w:name w:val="Header Char"/>
    <w:link w:val="Header"/>
    <w:uiPriority w:val="99"/>
    <w:rsid w:val="00972FD2"/>
    <w:rPr>
      <w:rFonts w:ascii="Courier" w:hAnsi="Courier"/>
      <w:sz w:val="24"/>
      <w:szCs w:val="24"/>
    </w:rPr>
  </w:style>
  <w:style w:type="character" w:customStyle="1" w:styleId="FooterChar">
    <w:name w:val="Footer Char"/>
    <w:link w:val="Footer"/>
    <w:uiPriority w:val="99"/>
    <w:rsid w:val="00972FD2"/>
    <w:rPr>
      <w:rFonts w:ascii="Courier" w:hAnsi="Courier"/>
      <w:sz w:val="24"/>
      <w:szCs w:val="24"/>
    </w:rPr>
  </w:style>
  <w:style w:type="character" w:styleId="UnresolvedMention">
    <w:name w:val="Unresolved Mention"/>
    <w:uiPriority w:val="99"/>
    <w:semiHidden/>
    <w:unhideWhenUsed/>
    <w:rsid w:val="00262F84"/>
    <w:rPr>
      <w:color w:val="605E5C"/>
      <w:shd w:val="clear" w:color="auto" w:fill="E1DFDD"/>
    </w:rPr>
  </w:style>
  <w:style w:type="character" w:customStyle="1" w:styleId="normaltextrun">
    <w:name w:val="normaltextrun"/>
    <w:basedOn w:val="DefaultParagraphFont"/>
    <w:rsid w:val="00937A60"/>
  </w:style>
  <w:style w:type="character" w:customStyle="1" w:styleId="eop">
    <w:name w:val="eop"/>
    <w:basedOn w:val="DefaultParagraphFont"/>
    <w:rsid w:val="00937A60"/>
  </w:style>
  <w:style w:type="paragraph" w:styleId="Revision">
    <w:name w:val="Revision"/>
    <w:hidden/>
    <w:uiPriority w:val="99"/>
    <w:semiHidden/>
    <w:rsid w:val="003F76E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afmss.blm.gov/afmss-gateway-ui/" TargetMode="External" /><Relationship Id="rId7" Type="http://schemas.openxmlformats.org/officeDocument/2006/relationships/hyperlink" Target="http://www.bls.gov/oes/current/oes_nat.htm" TargetMode="External" /><Relationship Id="rId8" Type="http://schemas.openxmlformats.org/officeDocument/2006/relationships/hyperlink" Target="http://www.bls.gov/news.release/ecec.nr0.htm" TargetMode="External" /><Relationship Id="rId9" Type="http://schemas.openxmlformats.org/officeDocument/2006/relationships/hyperlink" Target="https://www.opm.gov/policy-data-oversight/pay-leave/salaries-wages/salary-tables/pdf/2024/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D540-FA22-46B5-837B-0E2C861E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10956</Words>
  <Characters>62453</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73263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creator>bgamble</dc:creator>
  <cp:lastModifiedBy>King, Darrin A</cp:lastModifiedBy>
  <cp:revision>2</cp:revision>
  <cp:lastPrinted>2018-10-15T23:24:00Z</cp:lastPrinted>
  <dcterms:created xsi:type="dcterms:W3CDTF">2024-11-21T15:04:00Z</dcterms:created>
  <dcterms:modified xsi:type="dcterms:W3CDTF">2024-11-21T15:04:00Z</dcterms:modified>
</cp:coreProperties>
</file>