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Heading1"/>
        <w:spacing w:before="78"/>
      </w:pPr>
      <w:r>
        <w:rPr>
          <w:spacing w:val="-2"/>
        </w:rPr>
        <w:t>Instructions</w:t>
      </w:r>
    </w:p>
    <w:p>
      <w:pPr>
        <w:pStyle w:val="BodyText"/>
        <w:rPr>
          <w:b/>
        </w:rPr>
      </w:pPr>
    </w:p>
    <w:p>
      <w:pPr>
        <w:spacing w:before="0"/>
        <w:ind w:left="42" w:right="3" w:firstLine="0"/>
        <w:jc w:val="center"/>
        <w:rPr>
          <w:b/>
          <w:sz w:val="22"/>
        </w:rPr>
      </w:pPr>
      <w:r>
        <w:rPr>
          <w:b/>
          <w:sz w:val="22"/>
        </w:rPr>
        <w:t>Medicare</w:t>
      </w:r>
      <w:r>
        <w:rPr>
          <w:b/>
          <w:spacing w:val="-9"/>
          <w:sz w:val="22"/>
        </w:rPr>
        <w:t xml:space="preserve"> </w:t>
      </w:r>
      <w:r>
        <w:rPr>
          <w:b/>
          <w:sz w:val="22"/>
        </w:rPr>
        <w:t>Prescription</w:t>
      </w:r>
      <w:r>
        <w:rPr>
          <w:b/>
          <w:spacing w:val="-6"/>
          <w:sz w:val="22"/>
        </w:rPr>
        <w:t xml:space="preserve"> </w:t>
      </w:r>
      <w:r>
        <w:rPr>
          <w:b/>
          <w:sz w:val="22"/>
        </w:rPr>
        <w:t>Payment</w:t>
      </w:r>
      <w:r>
        <w:rPr>
          <w:b/>
          <w:spacing w:val="-4"/>
          <w:sz w:val="22"/>
        </w:rPr>
        <w:t xml:space="preserve"> </w:t>
      </w:r>
      <w:r>
        <w:rPr>
          <w:b/>
          <w:sz w:val="22"/>
        </w:rPr>
        <w:t>Plan</w:t>
      </w:r>
      <w:r>
        <w:rPr>
          <w:b/>
          <w:spacing w:val="-5"/>
          <w:sz w:val="22"/>
        </w:rPr>
        <w:t xml:space="preserve"> </w:t>
      </w:r>
      <w:r>
        <w:rPr>
          <w:b/>
          <w:sz w:val="22"/>
        </w:rPr>
        <w:t>Likely</w:t>
      </w:r>
      <w:r>
        <w:rPr>
          <w:b/>
          <w:spacing w:val="-5"/>
          <w:sz w:val="22"/>
        </w:rPr>
        <w:t xml:space="preserve"> </w:t>
      </w:r>
      <w:r>
        <w:rPr>
          <w:b/>
          <w:sz w:val="22"/>
        </w:rPr>
        <w:t>to</w:t>
      </w:r>
      <w:r>
        <w:rPr>
          <w:b/>
          <w:spacing w:val="-5"/>
          <w:sz w:val="22"/>
        </w:rPr>
        <w:t xml:space="preserve"> </w:t>
      </w:r>
      <w:r>
        <w:rPr>
          <w:b/>
          <w:sz w:val="22"/>
        </w:rPr>
        <w:t>Benefit</w:t>
      </w:r>
      <w:r>
        <w:rPr>
          <w:b/>
          <w:spacing w:val="-4"/>
          <w:sz w:val="22"/>
        </w:rPr>
        <w:t xml:space="preserve"> </w:t>
      </w:r>
      <w:r>
        <w:rPr>
          <w:b/>
          <w:sz w:val="22"/>
        </w:rPr>
        <w:t>Notice</w:t>
      </w:r>
      <w:r>
        <w:rPr>
          <w:b/>
          <w:spacing w:val="-6"/>
          <w:sz w:val="22"/>
        </w:rPr>
        <w:t xml:space="preserve"> </w:t>
      </w:r>
      <w:r>
        <w:rPr>
          <w:b/>
          <w:sz w:val="22"/>
        </w:rPr>
        <w:t>(CMS-</w:t>
      </w:r>
      <w:r>
        <w:rPr>
          <w:b/>
          <w:spacing w:val="-2"/>
          <w:sz w:val="22"/>
        </w:rPr>
        <w:t>10882)</w:t>
      </w:r>
    </w:p>
    <w:p>
      <w:pPr>
        <w:pStyle w:val="BodyText"/>
        <w:rPr>
          <w:b/>
        </w:rPr>
      </w:pPr>
    </w:p>
    <w:p>
      <w:pPr>
        <w:pStyle w:val="BodyText"/>
        <w:ind w:left="120" w:hanging="1"/>
      </w:pPr>
      <w:r>
        <w:t>Under sections 1860D–2(b)(2)(E)(v)(III)(dd) and 1860D–2(b)(2)(E)(v)(III)(ee) of the Act, Part D sponsors must have a mechanism to notify a pharmacy when a Part D enrollee incurs OOP costs with respect to covered</w:t>
      </w:r>
      <w:r>
        <w:rPr>
          <w:spacing w:val="-2"/>
        </w:rPr>
        <w:t xml:space="preserve"> </w:t>
      </w:r>
      <w:r>
        <w:t>Part</w:t>
      </w:r>
      <w:r>
        <w:rPr>
          <w:spacing w:val="-1"/>
        </w:rPr>
        <w:t xml:space="preserve"> </w:t>
      </w:r>
      <w:r>
        <w:t>D</w:t>
      </w:r>
      <w:r>
        <w:rPr>
          <w:spacing w:val="-3"/>
        </w:rPr>
        <w:t xml:space="preserve"> </w:t>
      </w:r>
      <w:r>
        <w:t>drugs</w:t>
      </w:r>
      <w:r>
        <w:rPr>
          <w:spacing w:val="-2"/>
        </w:rPr>
        <w:t xml:space="preserve"> </w:t>
      </w:r>
      <w:r>
        <w:t>that</w:t>
      </w:r>
      <w:r>
        <w:rPr>
          <w:spacing w:val="-4"/>
        </w:rPr>
        <w:t xml:space="preserve"> </w:t>
      </w:r>
      <w:r>
        <w:t>make</w:t>
      </w:r>
      <w:r>
        <w:rPr>
          <w:spacing w:val="-4"/>
        </w:rPr>
        <w:t xml:space="preserve"> </w:t>
      </w:r>
      <w:r>
        <w:t>it</w:t>
      </w:r>
      <w:r>
        <w:rPr>
          <w:spacing w:val="-1"/>
        </w:rPr>
        <w:t xml:space="preserve"> </w:t>
      </w:r>
      <w:r>
        <w:t>likely</w:t>
      </w:r>
      <w:r>
        <w:rPr>
          <w:spacing w:val="-5"/>
        </w:rPr>
        <w:t xml:space="preserve"> </w:t>
      </w:r>
      <w:r>
        <w:t>the</w:t>
      </w:r>
      <w:r>
        <w:rPr>
          <w:spacing w:val="-2"/>
        </w:rPr>
        <w:t xml:space="preserve"> </w:t>
      </w:r>
      <w:r>
        <w:t>enrollee</w:t>
      </w:r>
      <w:r>
        <w:rPr>
          <w:spacing w:val="-4"/>
        </w:rPr>
        <w:t xml:space="preserve"> </w:t>
      </w:r>
      <w:r>
        <w:t>may</w:t>
      </w:r>
      <w:r>
        <w:rPr>
          <w:spacing w:val="-2"/>
        </w:rPr>
        <w:t xml:space="preserve"> </w:t>
      </w:r>
      <w:r>
        <w:t>benefit</w:t>
      </w:r>
      <w:r>
        <w:rPr>
          <w:spacing w:val="-1"/>
        </w:rPr>
        <w:t xml:space="preserve"> </w:t>
      </w:r>
      <w:r>
        <w:t>from</w:t>
      </w:r>
      <w:r>
        <w:rPr>
          <w:spacing w:val="-1"/>
        </w:rPr>
        <w:t xml:space="preserve"> </w:t>
      </w:r>
      <w:r>
        <w:t>participating</w:t>
      </w:r>
      <w:r>
        <w:rPr>
          <w:spacing w:val="-2"/>
        </w:rPr>
        <w:t xml:space="preserve"> </w:t>
      </w:r>
      <w:r>
        <w:t>in</w:t>
      </w:r>
      <w:r>
        <w:rPr>
          <w:spacing w:val="-2"/>
        </w:rPr>
        <w:t xml:space="preserve"> </w:t>
      </w:r>
      <w:r>
        <w:t>the</w:t>
      </w:r>
      <w:r>
        <w:rPr>
          <w:spacing w:val="-2"/>
        </w:rPr>
        <w:t xml:space="preserve"> </w:t>
      </w:r>
      <w:r>
        <w:t>program</w:t>
      </w:r>
      <w:r>
        <w:rPr>
          <w:spacing w:val="-4"/>
        </w:rPr>
        <w:t xml:space="preserve"> </w:t>
      </w:r>
      <w:r>
        <w:t>and</w:t>
      </w:r>
      <w:r>
        <w:rPr>
          <w:spacing w:val="-5"/>
        </w:rPr>
        <w:t xml:space="preserve"> </w:t>
      </w:r>
      <w:r>
        <w:t>must provide that the pharmacy, after receiving such a notification, informs the enrollee about the program.</w:t>
      </w:r>
    </w:p>
    <w:p>
      <w:pPr>
        <w:pStyle w:val="BodyText"/>
        <w:spacing w:before="1"/>
        <w:ind w:left="120"/>
      </w:pPr>
      <w:r>
        <w:t>Additionally, as outlined in the part two guidance for the Medicare Prescription Payment Plan, CMS is requiring</w:t>
      </w:r>
      <w:r>
        <w:rPr>
          <w:spacing w:val="-2"/>
        </w:rPr>
        <w:t xml:space="preserve"> </w:t>
      </w:r>
      <w:r>
        <w:t>Part</w:t>
      </w:r>
      <w:r>
        <w:rPr>
          <w:spacing w:val="-1"/>
        </w:rPr>
        <w:t xml:space="preserve"> </w:t>
      </w:r>
      <w:r>
        <w:t>D</w:t>
      </w:r>
      <w:r>
        <w:rPr>
          <w:spacing w:val="-6"/>
        </w:rPr>
        <w:t xml:space="preserve"> </w:t>
      </w:r>
      <w:r>
        <w:t>sponsors</w:t>
      </w:r>
      <w:r>
        <w:rPr>
          <w:spacing w:val="-4"/>
        </w:rPr>
        <w:t xml:space="preserve"> </w:t>
      </w:r>
      <w:r>
        <w:t>to</w:t>
      </w:r>
      <w:r>
        <w:rPr>
          <w:spacing w:val="-2"/>
        </w:rPr>
        <w:t xml:space="preserve"> </w:t>
      </w:r>
      <w:r>
        <w:t>undertake</w:t>
      </w:r>
      <w:r>
        <w:rPr>
          <w:spacing w:val="-2"/>
        </w:rPr>
        <w:t xml:space="preserve"> </w:t>
      </w:r>
      <w:r>
        <w:t>targeted</w:t>
      </w:r>
      <w:r>
        <w:rPr>
          <w:spacing w:val="-2"/>
        </w:rPr>
        <w:t xml:space="preserve"> </w:t>
      </w:r>
      <w:r>
        <w:t>outreach,</w:t>
      </w:r>
      <w:r>
        <w:rPr>
          <w:spacing w:val="-2"/>
        </w:rPr>
        <w:t xml:space="preserve"> </w:t>
      </w:r>
      <w:r>
        <w:t>both</w:t>
      </w:r>
      <w:r>
        <w:rPr>
          <w:spacing w:val="-2"/>
        </w:rPr>
        <w:t xml:space="preserve"> </w:t>
      </w:r>
      <w:r>
        <w:t>prior</w:t>
      </w:r>
      <w:r>
        <w:rPr>
          <w:spacing w:val="-1"/>
        </w:rPr>
        <w:t xml:space="preserve"> </w:t>
      </w:r>
      <w:r>
        <w:t>to</w:t>
      </w:r>
      <w:r>
        <w:rPr>
          <w:spacing w:val="-5"/>
        </w:rPr>
        <w:t xml:space="preserve"> </w:t>
      </w:r>
      <w:r>
        <w:t>and</w:t>
      </w:r>
      <w:r>
        <w:rPr>
          <w:spacing w:val="-2"/>
        </w:rPr>
        <w:t xml:space="preserve"> </w:t>
      </w:r>
      <w:r>
        <w:t>during</w:t>
      </w:r>
      <w:r>
        <w:rPr>
          <w:spacing w:val="-5"/>
        </w:rPr>
        <w:t xml:space="preserve"> </w:t>
      </w:r>
      <w:r>
        <w:t>the</w:t>
      </w:r>
      <w:r>
        <w:rPr>
          <w:spacing w:val="-2"/>
        </w:rPr>
        <w:t xml:space="preserve"> </w:t>
      </w:r>
      <w:r>
        <w:t>plan</w:t>
      </w:r>
      <w:r>
        <w:rPr>
          <w:spacing w:val="-5"/>
        </w:rPr>
        <w:t xml:space="preserve"> </w:t>
      </w:r>
      <w:r>
        <w:t>year,</w:t>
      </w:r>
      <w:r>
        <w:rPr>
          <w:spacing w:val="-2"/>
        </w:rPr>
        <w:t xml:space="preserve"> </w:t>
      </w:r>
      <w:r>
        <w:t>directly</w:t>
      </w:r>
      <w:r>
        <w:rPr>
          <w:spacing w:val="-2"/>
        </w:rPr>
        <w:t xml:space="preserve"> </w:t>
      </w:r>
      <w:r>
        <w:t>to Part D enrollees likely to benefit from the program.</w:t>
      </w:r>
    </w:p>
    <w:p>
      <w:pPr>
        <w:pStyle w:val="BodyText"/>
        <w:spacing w:before="251"/>
        <w:ind w:left="120" w:right="129"/>
      </w:pPr>
      <w:r>
        <w:t>To support Part D sponsors in meeting these requirements, CMS has developed a standardized notice for Part D</w:t>
      </w:r>
      <w:r>
        <w:rPr>
          <w:spacing w:val="-1"/>
        </w:rPr>
        <w:t xml:space="preserve"> </w:t>
      </w:r>
      <w:r>
        <w:t>enrollees identified as likely to benefit from the Medicare Prescription Payment Plan, the “Medicare Prescription Payment Plan Likely to Benefit Notice.” Part D sponsors are required to use this standardized notice</w:t>
      </w:r>
      <w:r>
        <w:rPr>
          <w:spacing w:val="-4"/>
        </w:rPr>
        <w:t xml:space="preserve"> </w:t>
      </w:r>
      <w:r>
        <w:t>to</w:t>
      </w:r>
      <w:r>
        <w:rPr>
          <w:spacing w:val="-2"/>
        </w:rPr>
        <w:t xml:space="preserve"> </w:t>
      </w:r>
      <w:r>
        <w:t>satisfy</w:t>
      </w:r>
      <w:r>
        <w:rPr>
          <w:spacing w:val="-2"/>
        </w:rPr>
        <w:t xml:space="preserve"> </w:t>
      </w:r>
      <w:r>
        <w:t>their</w:t>
      </w:r>
      <w:r>
        <w:rPr>
          <w:spacing w:val="-1"/>
        </w:rPr>
        <w:t xml:space="preserve"> </w:t>
      </w:r>
      <w:r>
        <w:t>obligation</w:t>
      </w:r>
      <w:r>
        <w:rPr>
          <w:spacing w:val="-5"/>
        </w:rPr>
        <w:t xml:space="preserve"> </w:t>
      </w:r>
      <w:r>
        <w:t>to</w:t>
      </w:r>
      <w:r>
        <w:rPr>
          <w:spacing w:val="-2"/>
        </w:rPr>
        <w:t xml:space="preserve"> </w:t>
      </w:r>
      <w:r>
        <w:t>perform</w:t>
      </w:r>
      <w:r>
        <w:rPr>
          <w:spacing w:val="-4"/>
        </w:rPr>
        <w:t xml:space="preserve"> </w:t>
      </w:r>
      <w:r>
        <w:t>targeted</w:t>
      </w:r>
      <w:r>
        <w:rPr>
          <w:spacing w:val="-2"/>
        </w:rPr>
        <w:t xml:space="preserve"> </w:t>
      </w:r>
      <w:r>
        <w:t>outreach</w:t>
      </w:r>
      <w:r>
        <w:rPr>
          <w:spacing w:val="-2"/>
        </w:rPr>
        <w:t xml:space="preserve"> </w:t>
      </w:r>
      <w:r>
        <w:t>to</w:t>
      </w:r>
      <w:r>
        <w:rPr>
          <w:spacing w:val="-2"/>
        </w:rPr>
        <w:t xml:space="preserve"> </w:t>
      </w:r>
      <w:r>
        <w:t>Part</w:t>
      </w:r>
      <w:r>
        <w:rPr>
          <w:spacing w:val="-1"/>
        </w:rPr>
        <w:t xml:space="preserve"> </w:t>
      </w:r>
      <w:r>
        <w:t>D</w:t>
      </w:r>
      <w:r>
        <w:rPr>
          <w:spacing w:val="-3"/>
        </w:rPr>
        <w:t xml:space="preserve"> </w:t>
      </w:r>
      <w:r>
        <w:t>enrollees</w:t>
      </w:r>
      <w:r>
        <w:rPr>
          <w:spacing w:val="-2"/>
        </w:rPr>
        <w:t xml:space="preserve"> </w:t>
      </w:r>
      <w:r>
        <w:t>who</w:t>
      </w:r>
      <w:r>
        <w:rPr>
          <w:spacing w:val="-2"/>
        </w:rPr>
        <w:t xml:space="preserve"> </w:t>
      </w:r>
      <w:r>
        <w:t>are</w:t>
      </w:r>
      <w:r>
        <w:rPr>
          <w:spacing w:val="-2"/>
        </w:rPr>
        <w:t xml:space="preserve"> </w:t>
      </w:r>
      <w:r>
        <w:t>identified</w:t>
      </w:r>
      <w:r>
        <w:rPr>
          <w:spacing w:val="-5"/>
        </w:rPr>
        <w:t xml:space="preserve"> </w:t>
      </w:r>
      <w:r>
        <w:t>as</w:t>
      </w:r>
      <w:r>
        <w:rPr>
          <w:spacing w:val="-4"/>
        </w:rPr>
        <w:t xml:space="preserve"> </w:t>
      </w:r>
      <w:r>
        <w:t>likely to benefit prior to and during the plan year, including those identified through the pharmacy notification process. This outreach, when performed outside of the pharmacy point of sale (POS) notification process, may be done via mail or electronically (based on the Part D enrollee’s preferred and authorized communication methods). If the enrollee is identified through the pharmacy notification process, this outreach must be completed at the pharmacy POS. Specific parameters around how and when Part D sponsors must use the “Medicare Prescription Payment Plan Likely to Benefit Notice” to meet the targeted outreach requirements are outlined in the Medicare Prescription Payment Plan part two guidance.</w:t>
      </w:r>
    </w:p>
    <w:p>
      <w:pPr>
        <w:pStyle w:val="BodyText"/>
        <w:spacing w:before="1"/>
      </w:pPr>
    </w:p>
    <w:p>
      <w:pPr>
        <w:pStyle w:val="BodyText"/>
        <w:ind w:left="120"/>
      </w:pPr>
      <w:r>
        <w:t>This</w:t>
      </w:r>
      <w:r>
        <w:rPr>
          <w:spacing w:val="-3"/>
        </w:rPr>
        <w:t xml:space="preserve"> </w:t>
      </w:r>
      <w:r>
        <w:t>is</w:t>
      </w:r>
      <w:r>
        <w:rPr>
          <w:spacing w:val="-2"/>
        </w:rPr>
        <w:t xml:space="preserve"> </w:t>
      </w:r>
      <w:r>
        <w:t>a</w:t>
      </w:r>
      <w:r>
        <w:rPr>
          <w:spacing w:val="-3"/>
        </w:rPr>
        <w:t xml:space="preserve"> </w:t>
      </w:r>
      <w:r>
        <w:t>standardized</w:t>
      </w:r>
      <w:r>
        <w:rPr>
          <w:spacing w:val="-2"/>
        </w:rPr>
        <w:t xml:space="preserve"> </w:t>
      </w:r>
      <w:r>
        <w:t>notice,</w:t>
      </w:r>
      <w:r>
        <w:rPr>
          <w:spacing w:val="-2"/>
        </w:rPr>
        <w:t xml:space="preserve"> </w:t>
      </w:r>
      <w:r>
        <w:t>the</w:t>
      </w:r>
      <w:r>
        <w:rPr>
          <w:spacing w:val="-3"/>
        </w:rPr>
        <w:t xml:space="preserve"> </w:t>
      </w:r>
      <w:r>
        <w:t>content</w:t>
      </w:r>
      <w:r>
        <w:rPr>
          <w:spacing w:val="-1"/>
        </w:rPr>
        <w:t xml:space="preserve"> </w:t>
      </w:r>
      <w:r>
        <w:t>of</w:t>
      </w:r>
      <w:r>
        <w:rPr>
          <w:spacing w:val="-3"/>
        </w:rPr>
        <w:t xml:space="preserve"> </w:t>
      </w:r>
      <w:r>
        <w:t>which</w:t>
      </w:r>
      <w:r>
        <w:rPr>
          <w:spacing w:val="-4"/>
        </w:rPr>
        <w:t xml:space="preserve"> </w:t>
      </w:r>
      <w:r>
        <w:t>may</w:t>
      </w:r>
      <w:r>
        <w:rPr>
          <w:spacing w:val="-4"/>
        </w:rPr>
        <w:t xml:space="preserve"> </w:t>
      </w:r>
      <w:r>
        <w:t>not</w:t>
      </w:r>
      <w:r>
        <w:rPr>
          <w:spacing w:val="-1"/>
        </w:rPr>
        <w:t xml:space="preserve"> </w:t>
      </w:r>
      <w:r>
        <w:t>be</w:t>
      </w:r>
      <w:r>
        <w:rPr>
          <w:spacing w:val="-3"/>
        </w:rPr>
        <w:t xml:space="preserve"> </w:t>
      </w:r>
      <w:r>
        <w:t>altered.</w:t>
      </w:r>
      <w:r>
        <w:rPr>
          <w:spacing w:val="-2"/>
        </w:rPr>
        <w:t xml:space="preserve"> </w:t>
      </w:r>
      <w:r>
        <w:t>The</w:t>
      </w:r>
      <w:r>
        <w:rPr>
          <w:spacing w:val="-2"/>
        </w:rPr>
        <w:t xml:space="preserve"> </w:t>
      </w:r>
      <w:r>
        <w:t>OMB</w:t>
      </w:r>
      <w:r>
        <w:rPr>
          <w:spacing w:val="-2"/>
        </w:rPr>
        <w:t xml:space="preserve"> </w:t>
      </w:r>
      <w:r>
        <w:t>control</w:t>
      </w:r>
      <w:r>
        <w:rPr>
          <w:spacing w:val="-1"/>
        </w:rPr>
        <w:t xml:space="preserve"> </w:t>
      </w:r>
      <w:r>
        <w:t>number</w:t>
      </w:r>
      <w:r>
        <w:rPr>
          <w:spacing w:val="-3"/>
        </w:rPr>
        <w:t xml:space="preserve"> </w:t>
      </w:r>
      <w:r>
        <w:t>must</w:t>
      </w:r>
      <w:r>
        <w:rPr>
          <w:spacing w:val="-1"/>
        </w:rPr>
        <w:t xml:space="preserve"> </w:t>
      </w:r>
      <w:r>
        <w:t>be displayed in the lower right corner of the notice.</w:t>
      </w:r>
    </w:p>
    <w:p>
      <w:pPr>
        <w:pStyle w:val="Heading1"/>
        <w:spacing w:before="252"/>
        <w:ind w:left="119"/>
        <w:jc w:val="left"/>
      </w:pPr>
      <w:r>
        <w:rPr>
          <w:spacing w:val="-2"/>
        </w:rPr>
        <w:t>Heading</w:t>
      </w:r>
    </w:p>
    <w:p>
      <w:pPr>
        <w:pStyle w:val="BodyText"/>
        <w:spacing w:before="2"/>
        <w:ind w:left="119" w:right="129"/>
      </w:pPr>
      <w:r>
        <w:t>Logo</w:t>
      </w:r>
      <w:r>
        <w:rPr>
          <w:spacing w:val="-2"/>
        </w:rPr>
        <w:t xml:space="preserve"> </w:t>
      </w:r>
      <w:r>
        <w:t>not</w:t>
      </w:r>
      <w:r>
        <w:rPr>
          <w:spacing w:val="-4"/>
        </w:rPr>
        <w:t xml:space="preserve"> </w:t>
      </w:r>
      <w:r>
        <w:t>required</w:t>
      </w:r>
      <w:r>
        <w:rPr>
          <w:spacing w:val="-2"/>
        </w:rPr>
        <w:t xml:space="preserve"> </w:t>
      </w:r>
      <w:r>
        <w:t>when</w:t>
      </w:r>
      <w:r>
        <w:rPr>
          <w:spacing w:val="-2"/>
        </w:rPr>
        <w:t xml:space="preserve"> </w:t>
      </w:r>
      <w:r>
        <w:t>distributed</w:t>
      </w:r>
      <w:r>
        <w:rPr>
          <w:spacing w:val="-2"/>
        </w:rPr>
        <w:t xml:space="preserve"> </w:t>
      </w:r>
      <w:r>
        <w:t>by</w:t>
      </w:r>
      <w:r>
        <w:rPr>
          <w:spacing w:val="-5"/>
        </w:rPr>
        <w:t xml:space="preserve"> </w:t>
      </w:r>
      <w:r>
        <w:t>the</w:t>
      </w:r>
      <w:r>
        <w:rPr>
          <w:spacing w:val="-4"/>
        </w:rPr>
        <w:t xml:space="preserve"> </w:t>
      </w:r>
      <w:r>
        <w:t>pharmacy.</w:t>
      </w:r>
      <w:r>
        <w:rPr>
          <w:spacing w:val="-5"/>
        </w:rPr>
        <w:t xml:space="preserve"> </w:t>
      </w:r>
      <w:r>
        <w:t>When</w:t>
      </w:r>
      <w:r>
        <w:rPr>
          <w:spacing w:val="-2"/>
        </w:rPr>
        <w:t xml:space="preserve"> </w:t>
      </w:r>
      <w:r>
        <w:t>distributed</w:t>
      </w:r>
      <w:r>
        <w:rPr>
          <w:spacing w:val="-2"/>
        </w:rPr>
        <w:t xml:space="preserve"> </w:t>
      </w:r>
      <w:r>
        <w:t>by</w:t>
      </w:r>
      <w:r>
        <w:rPr>
          <w:spacing w:val="-5"/>
        </w:rPr>
        <w:t xml:space="preserve"> </w:t>
      </w:r>
      <w:r>
        <w:t>the</w:t>
      </w:r>
      <w:r>
        <w:rPr>
          <w:spacing w:val="-2"/>
        </w:rPr>
        <w:t xml:space="preserve"> </w:t>
      </w:r>
      <w:r>
        <w:t>Part</w:t>
      </w:r>
      <w:r>
        <w:rPr>
          <w:spacing w:val="-1"/>
        </w:rPr>
        <w:t xml:space="preserve"> </w:t>
      </w:r>
      <w:r>
        <w:t>D</w:t>
      </w:r>
      <w:r>
        <w:rPr>
          <w:spacing w:val="-3"/>
        </w:rPr>
        <w:t xml:space="preserve"> </w:t>
      </w:r>
      <w:r>
        <w:t>sponsor</w:t>
      </w:r>
      <w:r>
        <w:rPr>
          <w:spacing w:val="-1"/>
        </w:rPr>
        <w:t xml:space="preserve"> </w:t>
      </w:r>
      <w:r>
        <w:t>outside</w:t>
      </w:r>
      <w:r>
        <w:rPr>
          <w:spacing w:val="-2"/>
        </w:rPr>
        <w:t xml:space="preserve"> </w:t>
      </w:r>
      <w:r>
        <w:t>of</w:t>
      </w:r>
      <w:r>
        <w:rPr>
          <w:spacing w:val="-1"/>
        </w:rPr>
        <w:t xml:space="preserve"> </w:t>
      </w:r>
      <w:r>
        <w:t xml:space="preserve">the pharmacy POS process, Part D plans may elect to place their logo in the header. The name, address, and telephone number of the Part D plan must be immediately under the logo, if not incorporated within the </w:t>
      </w:r>
      <w:r>
        <w:rPr>
          <w:spacing w:val="-2"/>
        </w:rPr>
        <w:t>logo.</w:t>
      </w:r>
    </w:p>
    <w:p>
      <w:pPr>
        <w:pStyle w:val="BodyText"/>
        <w:spacing w:before="251"/>
      </w:pPr>
    </w:p>
    <w:p>
      <w:pPr>
        <w:pStyle w:val="BodyText"/>
        <w:tabs>
          <w:tab w:val="left" w:pos="4207"/>
        </w:tabs>
        <w:ind w:left="119"/>
      </w:pPr>
      <w:r>
        <w:t>Form</w:t>
      </w:r>
      <w:r>
        <w:rPr>
          <w:spacing w:val="-7"/>
        </w:rPr>
        <w:t xml:space="preserve"> </w:t>
      </w:r>
      <w:r>
        <w:t>CMS-</w:t>
      </w:r>
      <w:r>
        <w:rPr>
          <w:spacing w:val="-4"/>
        </w:rPr>
        <w:t>10882</w:t>
      </w:r>
      <w:r>
        <w:tab/>
        <w:t>OMB</w:t>
      </w:r>
      <w:r>
        <w:rPr>
          <w:spacing w:val="-10"/>
        </w:rPr>
        <w:t xml:space="preserve"> </w:t>
      </w:r>
      <w:r>
        <w:t>Approval</w:t>
      </w:r>
      <w:r>
        <w:rPr>
          <w:spacing w:val="-2"/>
        </w:rPr>
        <w:t xml:space="preserve"> </w:t>
      </w:r>
      <w:r>
        <w:t>No.</w:t>
      </w:r>
      <w:r>
        <w:rPr>
          <w:spacing w:val="-4"/>
        </w:rPr>
        <w:t xml:space="preserve"> </w:t>
      </w:r>
      <w:r>
        <w:t>0938-1475</w:t>
      </w:r>
      <w:r>
        <w:rPr>
          <w:spacing w:val="-3"/>
        </w:rPr>
        <w:t xml:space="preserve"> </w:t>
      </w:r>
      <w:r>
        <w:t>(Expires:</w:t>
      </w:r>
      <w:r>
        <w:rPr>
          <w:spacing w:val="-5"/>
        </w:rPr>
        <w:t xml:space="preserve"> </w:t>
      </w:r>
      <w:r>
        <w:rPr>
          <w:spacing w:val="-2"/>
        </w:rPr>
        <w:t>07/31/2025)</w:t>
      </w:r>
    </w:p>
    <w:sectPr>
      <w:type w:val="continuous"/>
      <w:pgSz w:w="12240" w:h="15840"/>
      <w:pgMar w:top="1740" w:right="1260" w:bottom="280" w:left="120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2"/>
      <w:szCs w:val="22"/>
      <w:lang w:val="en-US" w:eastAsia="en-US" w:bidi="ar-SA"/>
    </w:rPr>
  </w:style>
  <w:style w:type="paragraph" w:customStyle="1" w:styleId="Heading1">
    <w:name w:val="Heading 1"/>
    <w:basedOn w:val="Normal"/>
    <w:uiPriority w:val="1"/>
    <w:qFormat/>
    <w:pPr>
      <w:ind w:left="42"/>
      <w:jc w:val="center"/>
      <w:outlineLvl w:val="1"/>
    </w:pPr>
    <w:rPr>
      <w:rFonts w:ascii="Times New Roman" w:eastAsia="Times New Roman" w:hAnsi="Times New Roman" w:cs="Times New Roman"/>
      <w:b/>
      <w:bCs/>
      <w:sz w:val="22"/>
      <w:szCs w:val="22"/>
      <w:lang w:val="en-US" w:eastAsia="en-US" w:bidi="ar-SA"/>
    </w:rPr>
  </w:style>
  <w:style w:type="paragraph" w:styleId="ListParagraph">
    <w:name w:val="List Paragraph"/>
    <w:basedOn w:val="Normal"/>
    <w:uiPriority w:val="1"/>
    <w:qFormat/>
    <w:rPr>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 Your Prescription Cannot be Filled</dc:title>
  <dc:subject>Medicare Part D prescriptions</dc:subject>
  <dc:creator>CMS/CM/MEAG/DAP</dc:creator>
  <cp:keywords>prescriptions, Medicare Part D, Notice instructions</cp:keywords>
  <cp:revision>0</cp:revision>
  <dcterms:created xsi:type="dcterms:W3CDTF">2024-08-20T12:27:59Z</dcterms:created>
  <dcterms:modified xsi:type="dcterms:W3CDTF">2024-08-20T12:27:59Z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y fmtid="{D5CDD505-2E9C-101B-9397-08002B2CF9AE}" pid="3" name="Created">
    <vt:filetime>2024-07-12T00:00:00Z</vt:filetime>
  </property>
  <property fmtid="{D5CDD505-2E9C-101B-9397-08002B2CF9AE}" pid="4" name="Creator">
    <vt:lpwstr>Acrobat PDFMaker 24 for Word</vt:lpwstr>
  </property>
  <property fmtid="{D5CDD505-2E9C-101B-9397-08002B2CF9AE}" pid="5" name="LastSaved">
    <vt:filetime>2024-08-20T00:00:00Z</vt:filetime>
  </property>
  <property fmtid="{D5CDD505-2E9C-101B-9397-08002B2CF9AE}" pid="6" name="Producer">
    <vt:lpwstr>Adobe PDF Library 24.2.23</vt:lpwstr>
  </property>
  <property fmtid="{D5CDD505-2E9C-101B-9397-08002B2CF9AE}" pid="7" name="SourceModified">
    <vt:lpwstr>D:20170706123120</vt:lpwstr>
  </property>
  <property fmtid="{D5CDD505-2E9C-101B-9397-08002B2CF9AE}" pid="8" name="_AdHocReviewCycleID">
    <vt:lpwstr>-1630792475</vt:lpwstr>
  </property>
  <property fmtid="{D5CDD505-2E9C-101B-9397-08002B2CF9AE}" pid="9" name="_AuthorEmail">
    <vt:lpwstr>Kathryn.McCannSmith@cms.hhs.gov</vt:lpwstr>
  </property>
  <property fmtid="{D5CDD505-2E9C-101B-9397-08002B2CF9AE}" pid="10" name="_AuthorEmailDisplayName">
    <vt:lpwstr>McCann Smith, Kathryn D. (CMS/CPC)</vt:lpwstr>
  </property>
  <property fmtid="{D5CDD505-2E9C-101B-9397-08002B2CF9AE}" pid="11" name="_EmailSubject">
    <vt:lpwstr>CORRECTION:  Use these instructions</vt:lpwstr>
  </property>
  <property fmtid="{D5CDD505-2E9C-101B-9397-08002B2CF9AE}" pid="12" name="_NewReviewCycle">
    <vt:lpwstr/>
  </property>
  <property fmtid="{D5CDD505-2E9C-101B-9397-08002B2CF9AE}" pid="13" name="_ReviewingToolsShownOnce">
    <vt:lpwstr/>
  </property>
</Properties>
</file>