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74056" w:rsidRPr="00362075" w:rsidP="0036551A" w14:paraId="5B6AF75E" w14:textId="77777777">
      <w:pPr>
        <w:widowControl/>
        <w:autoSpaceDE/>
        <w:autoSpaceDN/>
        <w:adjustRightInd/>
        <w:jc w:val="center"/>
        <w:rPr>
          <w:b/>
          <w:bCs/>
        </w:rPr>
      </w:pPr>
      <w:r w:rsidRPr="00362075">
        <w:rPr>
          <w:b/>
          <w:bCs/>
        </w:rPr>
        <w:t>APPENDIX E</w:t>
      </w:r>
    </w:p>
    <w:p w:rsidR="00A74056" w:rsidRPr="00362075" w:rsidP="00A74056" w14:paraId="31A0BF4B" w14:textId="5B4A060B">
      <w:pPr>
        <w:widowControl/>
        <w:autoSpaceDE/>
        <w:autoSpaceDN/>
        <w:adjustRightInd/>
        <w:jc w:val="center"/>
        <w:rPr>
          <w:b/>
          <w:bCs/>
        </w:rPr>
      </w:pPr>
      <w:r w:rsidRPr="00362075">
        <w:rPr>
          <w:b/>
          <w:bCs/>
        </w:rPr>
        <w:t>Survey</w:t>
      </w:r>
      <w:r w:rsidR="00266EDA">
        <w:rPr>
          <w:b/>
          <w:bCs/>
        </w:rPr>
        <w:t xml:space="preserve"> Introduction</w:t>
      </w:r>
    </w:p>
    <w:p w:rsidR="00A74056" w:rsidRPr="009C27AE" w:rsidP="00A74056" w14:paraId="7ED77A88" w14:textId="77777777">
      <w:pPr>
        <w:pStyle w:val="BodyText2"/>
        <w:spacing w:line="360" w:lineRule="auto"/>
        <w:rPr>
          <w:color w:val="FF0000"/>
          <w:sz w:val="28"/>
        </w:rPr>
      </w:pPr>
      <w:r w:rsidRPr="009C27AE">
        <w:rPr>
          <w:color w:val="FF0000"/>
          <w:sz w:val="28"/>
        </w:rPr>
        <w:t>ONE TIME SURVEYS</w:t>
      </w:r>
    </w:p>
    <w:p w:rsidR="00A74056" w:rsidP="00A74056" w14:paraId="2B84AEE4" w14:textId="77777777">
      <w:pPr>
        <w:pStyle w:val="BodyText2"/>
        <w:spacing w:line="360" w:lineRule="auto"/>
        <w:rPr>
          <w:color w:val="FF0000"/>
          <w:sz w:val="28"/>
        </w:rPr>
      </w:pPr>
      <w:r w:rsidRPr="009C27AE">
        <w:rPr>
          <w:color w:val="FF0000"/>
          <w:sz w:val="28"/>
        </w:rPr>
        <w:t xml:space="preserve">Questionnaire to be divided into </w:t>
      </w:r>
      <w:r>
        <w:rPr>
          <w:color w:val="FF0000"/>
          <w:sz w:val="28"/>
        </w:rPr>
        <w:t>following sections:</w:t>
      </w:r>
    </w:p>
    <w:tbl>
      <w:tblPr>
        <w:tblpPr w:leftFromText="180" w:rightFromText="180" w:vertAnchor="page" w:horzAnchor="margin" w:tblpY="3762"/>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178"/>
        <w:gridCol w:w="7398"/>
      </w:tblGrid>
      <w:tr w14:paraId="65E2E0DF" w14:textId="77777777" w:rsidTr="00074C18">
        <w:tblPrEx>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rPr>
          <w:trHeight w:val="20"/>
        </w:trPr>
        <w:tc>
          <w:tcPr>
            <w:tcW w:w="2178" w:type="dxa"/>
            <w:tcMar>
              <w:top w:w="0" w:type="dxa"/>
              <w:left w:w="108" w:type="dxa"/>
              <w:bottom w:w="0" w:type="dxa"/>
              <w:right w:w="108" w:type="dxa"/>
            </w:tcMar>
            <w:hideMark/>
          </w:tcPr>
          <w:p w:rsidR="00A74056" w:rsidP="00074C18" w14:paraId="1C36217E" w14:textId="77777777">
            <w:pPr>
              <w:rPr>
                <w:rFonts w:ascii="Courier New" w:hAnsi="Courier New" w:cs="Courier New"/>
              </w:rPr>
            </w:pPr>
            <w:r>
              <w:rPr>
                <w:rFonts w:ascii="Courier New" w:hAnsi="Courier New" w:cs="Courier New"/>
              </w:rPr>
              <w:t>Appendix E1</w:t>
            </w:r>
          </w:p>
        </w:tc>
        <w:tc>
          <w:tcPr>
            <w:tcW w:w="7398" w:type="dxa"/>
            <w:tcMar>
              <w:top w:w="0" w:type="dxa"/>
              <w:left w:w="108" w:type="dxa"/>
              <w:bottom w:w="0" w:type="dxa"/>
              <w:right w:w="108" w:type="dxa"/>
            </w:tcMar>
            <w:hideMark/>
          </w:tcPr>
          <w:p w:rsidR="00A74056" w:rsidP="00074C18" w14:paraId="63AFAF3F" w14:textId="77777777">
            <w:pPr>
              <w:rPr>
                <w:rFonts w:ascii="Courier New" w:hAnsi="Courier New" w:cs="Courier New"/>
              </w:rPr>
            </w:pPr>
            <w:r>
              <w:rPr>
                <w:rFonts w:ascii="Courier New" w:hAnsi="Courier New" w:cs="Courier New"/>
              </w:rPr>
              <w:t>Essential Questionnaire</w:t>
            </w:r>
          </w:p>
        </w:tc>
      </w:tr>
      <w:tr w14:paraId="13A808C1" w14:textId="77777777" w:rsidTr="00074C18">
        <w:tblPrEx>
          <w:tblW w:w="0" w:type="auto"/>
          <w:tblLayout w:type="fixed"/>
          <w:tblCellMar>
            <w:left w:w="0" w:type="dxa"/>
            <w:right w:w="0" w:type="dxa"/>
          </w:tblCellMar>
          <w:tblLook w:val="04A0"/>
        </w:tblPrEx>
        <w:trPr>
          <w:trHeight w:val="20"/>
        </w:trPr>
        <w:tc>
          <w:tcPr>
            <w:tcW w:w="2178" w:type="dxa"/>
            <w:tcMar>
              <w:top w:w="0" w:type="dxa"/>
              <w:left w:w="108" w:type="dxa"/>
              <w:bottom w:w="0" w:type="dxa"/>
              <w:right w:w="108" w:type="dxa"/>
            </w:tcMar>
            <w:hideMark/>
          </w:tcPr>
          <w:p w:rsidR="00A74056" w:rsidP="00074C18" w14:paraId="4BD9B4CF" w14:textId="77777777">
            <w:pPr>
              <w:rPr>
                <w:rFonts w:ascii="Courier New" w:hAnsi="Courier New" w:cs="Courier New"/>
              </w:rPr>
            </w:pPr>
            <w:r>
              <w:rPr>
                <w:rFonts w:ascii="Courier New" w:hAnsi="Courier New" w:cs="Courier New"/>
              </w:rPr>
              <w:t>Appendix E2</w:t>
            </w:r>
          </w:p>
        </w:tc>
        <w:tc>
          <w:tcPr>
            <w:tcW w:w="7398" w:type="dxa"/>
            <w:tcMar>
              <w:top w:w="0" w:type="dxa"/>
              <w:left w:w="108" w:type="dxa"/>
              <w:bottom w:w="0" w:type="dxa"/>
              <w:right w:w="108" w:type="dxa"/>
            </w:tcMar>
            <w:hideMark/>
          </w:tcPr>
          <w:p w:rsidR="00A74056" w:rsidP="00074C18" w14:paraId="79FA5551" w14:textId="77777777">
            <w:pPr>
              <w:rPr>
                <w:rFonts w:ascii="Courier New" w:hAnsi="Courier New" w:cs="Courier New"/>
              </w:rPr>
            </w:pPr>
            <w:r>
              <w:rPr>
                <w:rFonts w:ascii="Courier New" w:hAnsi="Courier New" w:cs="Courier New"/>
              </w:rPr>
              <w:t>Disease Progression Survey (ALSFRS)</w:t>
            </w:r>
          </w:p>
        </w:tc>
      </w:tr>
      <w:tr w14:paraId="6AB829AD" w14:textId="77777777" w:rsidTr="00074C18">
        <w:tblPrEx>
          <w:tblW w:w="0" w:type="auto"/>
          <w:tblLayout w:type="fixed"/>
          <w:tblCellMar>
            <w:left w:w="0" w:type="dxa"/>
            <w:right w:w="0" w:type="dxa"/>
          </w:tblCellMar>
          <w:tblLook w:val="04A0"/>
        </w:tblPrEx>
        <w:trPr>
          <w:trHeight w:val="20"/>
        </w:trPr>
        <w:tc>
          <w:tcPr>
            <w:tcW w:w="2178" w:type="dxa"/>
            <w:tcMar>
              <w:top w:w="0" w:type="dxa"/>
              <w:left w:w="108" w:type="dxa"/>
              <w:bottom w:w="0" w:type="dxa"/>
              <w:right w:w="108" w:type="dxa"/>
            </w:tcMar>
            <w:hideMark/>
          </w:tcPr>
          <w:p w:rsidR="00A74056" w:rsidP="00074C18" w14:paraId="30647F33" w14:textId="77777777">
            <w:pPr>
              <w:rPr>
                <w:rFonts w:ascii="Courier New" w:hAnsi="Courier New" w:cs="Courier New"/>
              </w:rPr>
            </w:pPr>
            <w:r>
              <w:rPr>
                <w:rFonts w:ascii="Courier New" w:hAnsi="Courier New" w:cs="Courier New"/>
              </w:rPr>
              <w:t>Appendix E3</w:t>
            </w:r>
          </w:p>
        </w:tc>
        <w:tc>
          <w:tcPr>
            <w:tcW w:w="7398" w:type="dxa"/>
            <w:tcMar>
              <w:top w:w="0" w:type="dxa"/>
              <w:left w:w="108" w:type="dxa"/>
              <w:bottom w:w="0" w:type="dxa"/>
              <w:right w:w="108" w:type="dxa"/>
            </w:tcMar>
            <w:hideMark/>
          </w:tcPr>
          <w:p w:rsidR="00A74056" w:rsidP="00074C18" w14:paraId="1A708C04" w14:textId="77777777">
            <w:pPr>
              <w:rPr>
                <w:rFonts w:ascii="Courier New" w:hAnsi="Courier New" w:cs="Courier New"/>
              </w:rPr>
            </w:pPr>
            <w:r>
              <w:rPr>
                <w:rFonts w:ascii="Courier New" w:hAnsi="Courier New" w:cs="Courier New"/>
              </w:rPr>
              <w:t>Follow-up Questionnaire - Demography</w:t>
            </w:r>
          </w:p>
        </w:tc>
      </w:tr>
      <w:tr w14:paraId="50E51A47" w14:textId="77777777" w:rsidTr="00074C18">
        <w:tblPrEx>
          <w:tblW w:w="0" w:type="auto"/>
          <w:tblLayout w:type="fixed"/>
          <w:tblCellMar>
            <w:left w:w="0" w:type="dxa"/>
            <w:right w:w="0" w:type="dxa"/>
          </w:tblCellMar>
          <w:tblLook w:val="04A0"/>
        </w:tblPrEx>
        <w:trPr>
          <w:trHeight w:val="20"/>
        </w:trPr>
        <w:tc>
          <w:tcPr>
            <w:tcW w:w="2178" w:type="dxa"/>
            <w:tcMar>
              <w:top w:w="0" w:type="dxa"/>
              <w:left w:w="108" w:type="dxa"/>
              <w:bottom w:w="0" w:type="dxa"/>
              <w:right w:w="108" w:type="dxa"/>
            </w:tcMar>
            <w:hideMark/>
          </w:tcPr>
          <w:p w:rsidR="00A74056" w:rsidP="00074C18" w14:paraId="3623C2D7" w14:textId="77777777">
            <w:pPr>
              <w:rPr>
                <w:rFonts w:ascii="Courier New" w:hAnsi="Courier New" w:cs="Courier New"/>
              </w:rPr>
            </w:pPr>
            <w:r>
              <w:rPr>
                <w:rFonts w:ascii="Courier New" w:hAnsi="Courier New" w:cs="Courier New"/>
              </w:rPr>
              <w:t>Appendix E4</w:t>
            </w:r>
          </w:p>
        </w:tc>
        <w:tc>
          <w:tcPr>
            <w:tcW w:w="7398" w:type="dxa"/>
            <w:tcMar>
              <w:top w:w="0" w:type="dxa"/>
              <w:left w:w="108" w:type="dxa"/>
              <w:bottom w:w="0" w:type="dxa"/>
              <w:right w:w="108" w:type="dxa"/>
            </w:tcMar>
            <w:hideMark/>
          </w:tcPr>
          <w:p w:rsidR="00A74056" w:rsidP="00074C18" w14:paraId="14F688A7" w14:textId="77777777">
            <w:pPr>
              <w:rPr>
                <w:rFonts w:ascii="Courier New" w:hAnsi="Courier New" w:cs="Courier New"/>
              </w:rPr>
            </w:pPr>
            <w:r>
              <w:rPr>
                <w:rFonts w:ascii="Courier New" w:hAnsi="Courier New" w:cs="Courier New"/>
              </w:rPr>
              <w:t>Follow-up Questionnaire - Lifestyle Factors</w:t>
            </w:r>
          </w:p>
        </w:tc>
      </w:tr>
      <w:tr w14:paraId="7385E908" w14:textId="77777777" w:rsidTr="00074C18">
        <w:tblPrEx>
          <w:tblW w:w="0" w:type="auto"/>
          <w:tblLayout w:type="fixed"/>
          <w:tblCellMar>
            <w:left w:w="0" w:type="dxa"/>
            <w:right w:w="0" w:type="dxa"/>
          </w:tblCellMar>
          <w:tblLook w:val="04A0"/>
        </w:tblPrEx>
        <w:trPr>
          <w:trHeight w:val="20"/>
        </w:trPr>
        <w:tc>
          <w:tcPr>
            <w:tcW w:w="2178" w:type="dxa"/>
            <w:tcMar>
              <w:top w:w="0" w:type="dxa"/>
              <w:left w:w="108" w:type="dxa"/>
              <w:bottom w:w="0" w:type="dxa"/>
              <w:right w:w="108" w:type="dxa"/>
            </w:tcMar>
            <w:hideMark/>
          </w:tcPr>
          <w:p w:rsidR="00A74056" w:rsidP="00074C18" w14:paraId="002DE4B2" w14:textId="77777777">
            <w:pPr>
              <w:rPr>
                <w:rFonts w:ascii="Courier New" w:hAnsi="Courier New" w:cs="Courier New"/>
              </w:rPr>
            </w:pPr>
            <w:r>
              <w:rPr>
                <w:rFonts w:ascii="Courier New" w:hAnsi="Courier New" w:cs="Courier New"/>
              </w:rPr>
              <w:t>Appendix E5</w:t>
            </w:r>
          </w:p>
        </w:tc>
        <w:tc>
          <w:tcPr>
            <w:tcW w:w="7398" w:type="dxa"/>
            <w:tcMar>
              <w:top w:w="0" w:type="dxa"/>
              <w:left w:w="108" w:type="dxa"/>
              <w:bottom w:w="0" w:type="dxa"/>
              <w:right w:w="108" w:type="dxa"/>
            </w:tcMar>
            <w:hideMark/>
          </w:tcPr>
          <w:p w:rsidR="00A74056" w:rsidP="00074C18" w14:paraId="7BAB3E67" w14:textId="77777777">
            <w:pPr>
              <w:rPr>
                <w:rFonts w:ascii="Courier New" w:hAnsi="Courier New" w:cs="Courier New"/>
              </w:rPr>
            </w:pPr>
            <w:r>
              <w:rPr>
                <w:rFonts w:ascii="Courier New" w:hAnsi="Courier New" w:cs="Courier New"/>
              </w:rPr>
              <w:t>Follow-up Questionnaire – Environmental Factors</w:t>
            </w:r>
          </w:p>
        </w:tc>
      </w:tr>
      <w:tr w14:paraId="1EC0527D" w14:textId="77777777" w:rsidTr="00074C18">
        <w:tblPrEx>
          <w:tblW w:w="0" w:type="auto"/>
          <w:tblLayout w:type="fixed"/>
          <w:tblCellMar>
            <w:left w:w="0" w:type="dxa"/>
            <w:right w:w="0" w:type="dxa"/>
          </w:tblCellMar>
          <w:tblLook w:val="04A0"/>
        </w:tblPrEx>
        <w:trPr>
          <w:trHeight w:val="20"/>
        </w:trPr>
        <w:tc>
          <w:tcPr>
            <w:tcW w:w="2178" w:type="dxa"/>
            <w:tcMar>
              <w:top w:w="0" w:type="dxa"/>
              <w:left w:w="108" w:type="dxa"/>
              <w:bottom w:w="0" w:type="dxa"/>
              <w:right w:w="108" w:type="dxa"/>
            </w:tcMar>
            <w:hideMark/>
          </w:tcPr>
          <w:p w:rsidR="00A74056" w:rsidP="00074C18" w14:paraId="7349CA9E" w14:textId="77777777">
            <w:pPr>
              <w:rPr>
                <w:rFonts w:ascii="Courier New" w:hAnsi="Courier New" w:cs="Courier New"/>
              </w:rPr>
            </w:pPr>
            <w:r>
              <w:rPr>
                <w:rFonts w:ascii="Courier New" w:hAnsi="Courier New" w:cs="Courier New"/>
              </w:rPr>
              <w:t>Appendix E6</w:t>
            </w:r>
          </w:p>
        </w:tc>
        <w:tc>
          <w:tcPr>
            <w:tcW w:w="7398" w:type="dxa"/>
            <w:tcMar>
              <w:top w:w="0" w:type="dxa"/>
              <w:left w:w="108" w:type="dxa"/>
              <w:bottom w:w="0" w:type="dxa"/>
              <w:right w:w="108" w:type="dxa"/>
            </w:tcMar>
          </w:tcPr>
          <w:p w:rsidR="00A74056" w:rsidP="00074C18" w14:paraId="70EF1332" w14:textId="77777777">
            <w:pPr>
              <w:rPr>
                <w:rFonts w:ascii="Courier New" w:hAnsi="Courier New" w:cs="Courier New"/>
              </w:rPr>
            </w:pPr>
            <w:r>
              <w:rPr>
                <w:rFonts w:ascii="Courier New" w:hAnsi="Courier New" w:cs="Courier New"/>
              </w:rPr>
              <w:t>Follow-up Questionnaire – ALS-associated and Clinical Factors</w:t>
            </w:r>
          </w:p>
        </w:tc>
      </w:tr>
    </w:tbl>
    <w:p w:rsidR="00A74056" w:rsidP="00A74056" w14:paraId="5329397C" w14:textId="77777777">
      <w:pPr>
        <w:pStyle w:val="BodyText2"/>
        <w:spacing w:line="360" w:lineRule="auto"/>
        <w:rPr>
          <w:sz w:val="32"/>
        </w:rPr>
      </w:pPr>
    </w:p>
    <w:p w:rsidR="00EC430B" w:rsidP="00A74056" w14:paraId="324013EB" w14:textId="77777777">
      <w:pPr>
        <w:pStyle w:val="BodyText2"/>
        <w:spacing w:line="360" w:lineRule="auto"/>
        <w:rPr>
          <w:sz w:val="32"/>
        </w:rPr>
      </w:pPr>
    </w:p>
    <w:p w:rsidR="00A74056" w:rsidRPr="009C27AE" w:rsidP="00A74056" w14:paraId="6F8F2D19" w14:textId="387316D7">
      <w:pPr>
        <w:pStyle w:val="BodyText2"/>
        <w:spacing w:line="360" w:lineRule="auto"/>
        <w:rPr>
          <w:sz w:val="32"/>
        </w:rPr>
      </w:pPr>
      <w:r w:rsidRPr="009C27AE">
        <w:rPr>
          <w:sz w:val="32"/>
        </w:rPr>
        <w:t>General Instructions (on a separate screen before starting the survey)</w:t>
      </w:r>
    </w:p>
    <w:p w:rsidR="00A74056" w:rsidRPr="009C27AE" w:rsidP="00A74056" w14:paraId="62C21D3A" w14:textId="77777777">
      <w:pPr>
        <w:rPr>
          <w:b/>
        </w:rPr>
      </w:pPr>
      <w:r w:rsidRPr="009C27AE">
        <w:rPr>
          <w:b/>
        </w:rPr>
        <w:t>How to fill in answers:</w:t>
      </w:r>
    </w:p>
    <w:p w:rsidR="00A74056" w:rsidRPr="009C27AE" w:rsidP="00A74056" w14:paraId="4BE831BB" w14:textId="77777777">
      <w:pPr>
        <w:pStyle w:val="ListParagraph"/>
        <w:numPr>
          <w:ilvl w:val="0"/>
          <w:numId w:val="1"/>
        </w:numPr>
        <w:rPr>
          <w:rFonts w:ascii="Times New Roman" w:hAnsi="Times New Roman"/>
        </w:rPr>
      </w:pPr>
      <w:r w:rsidRPr="009C27AE">
        <w:rPr>
          <w:rFonts w:ascii="Times New Roman" w:hAnsi="Times New Roman"/>
        </w:rPr>
        <w:t>Please read each survey question carefully and answer to the best of your knowledge.</w:t>
      </w:r>
    </w:p>
    <w:p w:rsidR="00A74056" w:rsidRPr="009C27AE" w:rsidP="00A74056" w14:paraId="25C8AFD9" w14:textId="77777777">
      <w:pPr>
        <w:pStyle w:val="ListParagraph"/>
        <w:numPr>
          <w:ilvl w:val="0"/>
          <w:numId w:val="1"/>
        </w:numPr>
        <w:rPr>
          <w:rFonts w:ascii="Times New Roman" w:hAnsi="Times New Roman"/>
        </w:rPr>
      </w:pPr>
      <w:r w:rsidRPr="009C27AE">
        <w:rPr>
          <w:rFonts w:ascii="Times New Roman" w:hAnsi="Times New Roman"/>
        </w:rPr>
        <w:t>Answers to questions come in several formats:</w:t>
      </w:r>
    </w:p>
    <w:p w:rsidR="00A74056" w:rsidRPr="009C27AE" w:rsidP="00A74056" w14:paraId="1F0ED44D" w14:textId="77777777">
      <w:pPr>
        <w:pStyle w:val="ListParagraph"/>
        <w:numPr>
          <w:ilvl w:val="0"/>
          <w:numId w:val="3"/>
        </w:numPr>
        <w:rPr>
          <w:rFonts w:ascii="Times New Roman" w:hAnsi="Times New Roman"/>
        </w:rPr>
      </w:pPr>
      <w:r w:rsidRPr="009C27AE">
        <w:rPr>
          <w:rFonts w:ascii="Times New Roman" w:hAnsi="Times New Roman"/>
        </w:rPr>
        <w:t>Radio button and drop-down selections allow only one input per question.</w:t>
      </w:r>
    </w:p>
    <w:p w:rsidR="00A74056" w:rsidRPr="009C27AE" w:rsidP="00A74056" w14:paraId="16F357DB" w14:textId="77777777">
      <w:pPr>
        <w:pStyle w:val="ListParagraph"/>
        <w:numPr>
          <w:ilvl w:val="0"/>
          <w:numId w:val="3"/>
        </w:numPr>
        <w:rPr>
          <w:rFonts w:ascii="Times New Roman" w:hAnsi="Times New Roman"/>
        </w:rPr>
      </w:pPr>
      <w:r w:rsidRPr="009C27AE">
        <w:rPr>
          <w:rFonts w:ascii="Times New Roman" w:hAnsi="Times New Roman"/>
        </w:rPr>
        <w:t>Check box selections allow multiple answers per question.</w:t>
      </w:r>
    </w:p>
    <w:p w:rsidR="00A74056" w:rsidRPr="009C27AE" w:rsidP="00A74056" w14:paraId="107E23C9" w14:textId="77777777">
      <w:pPr>
        <w:pStyle w:val="ListParagraph"/>
        <w:numPr>
          <w:ilvl w:val="0"/>
          <w:numId w:val="3"/>
        </w:numPr>
        <w:rPr>
          <w:rFonts w:ascii="Times New Roman" w:hAnsi="Times New Roman"/>
        </w:rPr>
      </w:pPr>
      <w:r w:rsidRPr="009C27AE">
        <w:rPr>
          <w:rFonts w:ascii="Times New Roman" w:hAnsi="Times New Roman"/>
        </w:rPr>
        <w:t xml:space="preserve">Text boxes allow you to type in an answer.  Text box entries are identified as an empty box or selection labeled “Other (specify)”. </w:t>
      </w:r>
    </w:p>
    <w:p w:rsidR="00A74056" w:rsidRPr="009C27AE" w:rsidP="00A74056" w14:paraId="522F8479" w14:textId="77777777">
      <w:pPr>
        <w:pStyle w:val="ListParagraph"/>
        <w:numPr>
          <w:ilvl w:val="0"/>
          <w:numId w:val="2"/>
        </w:numPr>
        <w:rPr>
          <w:rFonts w:ascii="Times New Roman" w:hAnsi="Times New Roman"/>
        </w:rPr>
      </w:pPr>
      <w:r w:rsidRPr="009C27AE">
        <w:rPr>
          <w:rFonts w:ascii="Times New Roman" w:hAnsi="Times New Roman"/>
        </w:rPr>
        <w:t xml:space="preserve">Some questions within each survey will appear “grayed-out” because of your answer to an earlier question.   These questions do not apply to </w:t>
      </w:r>
      <w:r w:rsidRPr="009C27AE">
        <w:rPr>
          <w:rFonts w:ascii="Times New Roman" w:hAnsi="Times New Roman"/>
        </w:rPr>
        <w:t>you</w:t>
      </w:r>
      <w:r w:rsidRPr="009C27AE">
        <w:rPr>
          <w:rFonts w:ascii="Times New Roman" w:hAnsi="Times New Roman"/>
        </w:rPr>
        <w:t xml:space="preserve"> and you can continue onto the next survey question or page.</w:t>
      </w:r>
    </w:p>
    <w:p w:rsidR="00A74056" w:rsidRPr="009C27AE" w:rsidP="00A74056" w14:paraId="03FA077A" w14:textId="77777777"/>
    <w:p w:rsidR="00A74056" w:rsidRPr="009C27AE" w:rsidP="00A74056" w14:paraId="29FD8DEA" w14:textId="77777777">
      <w:pPr>
        <w:rPr>
          <w:b/>
        </w:rPr>
      </w:pPr>
      <w:r w:rsidRPr="009C27AE">
        <w:rPr>
          <w:b/>
        </w:rPr>
        <w:t>How the system works:</w:t>
      </w:r>
    </w:p>
    <w:p w:rsidR="00A74056" w:rsidP="00A74056" w14:paraId="7F3A257E" w14:textId="77777777">
      <w:pPr>
        <w:pStyle w:val="ListParagraph"/>
        <w:numPr>
          <w:ilvl w:val="0"/>
          <w:numId w:val="4"/>
        </w:numPr>
        <w:rPr>
          <w:rFonts w:ascii="Times New Roman" w:hAnsi="Times New Roman"/>
        </w:rPr>
      </w:pPr>
      <w:r w:rsidRPr="009C27AE">
        <w:rPr>
          <w:rFonts w:ascii="Times New Roman" w:hAnsi="Times New Roman"/>
        </w:rPr>
        <w:t>When Essential Questionnaire (</w:t>
      </w:r>
      <w:r>
        <w:rPr>
          <w:rFonts w:ascii="Times New Roman" w:hAnsi="Times New Roman"/>
        </w:rPr>
        <w:t>Appendix E1</w:t>
      </w:r>
      <w:r w:rsidRPr="009C27AE">
        <w:rPr>
          <w:rFonts w:ascii="Times New Roman" w:hAnsi="Times New Roman"/>
        </w:rPr>
        <w:t xml:space="preserve">) </w:t>
      </w:r>
      <w:r>
        <w:rPr>
          <w:rFonts w:ascii="Times New Roman" w:hAnsi="Times New Roman"/>
        </w:rPr>
        <w:t xml:space="preserve">and the first assessment of ALS-related functional status (Appendix E2, Disease Progression survey) </w:t>
      </w:r>
      <w:r w:rsidRPr="009C27AE">
        <w:rPr>
          <w:rFonts w:ascii="Times New Roman" w:hAnsi="Times New Roman"/>
        </w:rPr>
        <w:t xml:space="preserve">is completed and submitted, it’ll be followed by set of additional questions </w:t>
      </w:r>
      <w:r>
        <w:rPr>
          <w:rFonts w:ascii="Times New Roman" w:hAnsi="Times New Roman"/>
        </w:rPr>
        <w:t>(Appendix E3 – E6)</w:t>
      </w:r>
      <w:r w:rsidRPr="009C27AE">
        <w:rPr>
          <w:rFonts w:ascii="Times New Roman" w:hAnsi="Times New Roman"/>
        </w:rPr>
        <w:t xml:space="preserve"> asking for more detailed information regarding your demography, lifestyle, environmental, and ALS-associated factors. Follow-up questions are based on the responses from </w:t>
      </w:r>
      <w:r>
        <w:rPr>
          <w:rFonts w:ascii="Times New Roman" w:hAnsi="Times New Roman"/>
        </w:rPr>
        <w:t>the Essential Questionnaire</w:t>
      </w:r>
      <w:r w:rsidRPr="009C27AE">
        <w:rPr>
          <w:rFonts w:ascii="Times New Roman" w:hAnsi="Times New Roman"/>
        </w:rPr>
        <w:t xml:space="preserve">. </w:t>
      </w:r>
    </w:p>
    <w:p w:rsidR="00A74056" w:rsidRPr="009C27AE" w:rsidP="00A74056" w14:paraId="74BD4AA8" w14:textId="77777777">
      <w:pPr>
        <w:pStyle w:val="ListParagraph"/>
        <w:numPr>
          <w:ilvl w:val="0"/>
          <w:numId w:val="4"/>
        </w:numPr>
        <w:rPr>
          <w:rFonts w:ascii="Times New Roman" w:hAnsi="Times New Roman"/>
        </w:rPr>
      </w:pPr>
      <w:r>
        <w:rPr>
          <w:rFonts w:ascii="Times New Roman" w:hAnsi="Times New Roman"/>
        </w:rPr>
        <w:t>Based on the selection of response either in the Essential Questionnaire or the Follow-up Questionnaires, there may be subsequent questions to complete.</w:t>
      </w:r>
    </w:p>
    <w:p w:rsidR="00A74056" w:rsidRPr="009C27AE" w:rsidP="00A74056" w14:paraId="1CE600DA" w14:textId="77777777">
      <w:pPr>
        <w:pStyle w:val="ListParagraph"/>
        <w:numPr>
          <w:ilvl w:val="0"/>
          <w:numId w:val="4"/>
        </w:numPr>
        <w:rPr>
          <w:rFonts w:ascii="Times New Roman" w:hAnsi="Times New Roman"/>
        </w:rPr>
      </w:pPr>
      <w:r w:rsidRPr="009C27AE">
        <w:rPr>
          <w:rFonts w:ascii="Times New Roman" w:hAnsi="Times New Roman"/>
        </w:rPr>
        <w:t>Each time you go to the next page of a survey your answers to the previous page are saved.</w:t>
      </w:r>
    </w:p>
    <w:p w:rsidR="00A74056" w:rsidRPr="009C27AE" w:rsidP="00A74056" w14:paraId="3EBB5B60" w14:textId="77777777">
      <w:pPr>
        <w:pStyle w:val="ListParagraph"/>
        <w:numPr>
          <w:ilvl w:val="0"/>
          <w:numId w:val="4"/>
        </w:numPr>
        <w:rPr>
          <w:rFonts w:ascii="Times New Roman" w:hAnsi="Times New Roman"/>
        </w:rPr>
      </w:pPr>
      <w:r w:rsidRPr="009C27AE">
        <w:rPr>
          <w:rFonts w:ascii="Times New Roman" w:hAnsi="Times New Roman"/>
        </w:rPr>
        <w:t xml:space="preserve">You are given the option to save and quit a survey at </w:t>
      </w:r>
      <w:r w:rsidRPr="009C27AE">
        <w:rPr>
          <w:rFonts w:ascii="Times New Roman" w:hAnsi="Times New Roman"/>
        </w:rPr>
        <w:t>anytime</w:t>
      </w:r>
      <w:r w:rsidRPr="009C27AE">
        <w:rPr>
          <w:rFonts w:ascii="Times New Roman" w:hAnsi="Times New Roman"/>
        </w:rPr>
        <w:t>.  Once you decide to save and quit the survey responses are saved and you can finish the survey later.</w:t>
      </w:r>
    </w:p>
    <w:p w:rsidR="00A74056" w:rsidRPr="009C27AE" w:rsidP="00A74056" w14:paraId="34AD43D9" w14:textId="77777777">
      <w:pPr>
        <w:pStyle w:val="ListParagraph"/>
        <w:numPr>
          <w:ilvl w:val="0"/>
          <w:numId w:val="4"/>
        </w:numPr>
        <w:rPr>
          <w:rFonts w:ascii="Times New Roman" w:hAnsi="Times New Roman"/>
        </w:rPr>
      </w:pPr>
      <w:r w:rsidRPr="009C27AE">
        <w:rPr>
          <w:rFonts w:ascii="Times New Roman" w:hAnsi="Times New Roman"/>
        </w:rPr>
        <w:t>At the end of each survey, you are given the option to review and change your answers.  You can also print a copy of your answers.  Once you submit your answers, you will not be able to change or print them later.</w:t>
      </w:r>
    </w:p>
    <w:p w:rsidR="00A74056" w:rsidRPr="009C27AE" w:rsidP="00A74056" w14:paraId="7610AABB" w14:textId="77777777">
      <w:pPr>
        <w:pStyle w:val="ListParagraph"/>
        <w:numPr>
          <w:ilvl w:val="0"/>
          <w:numId w:val="4"/>
        </w:numPr>
        <w:rPr>
          <w:rFonts w:ascii="Times New Roman" w:hAnsi="Times New Roman"/>
        </w:rPr>
      </w:pPr>
      <w:r w:rsidRPr="009C27AE">
        <w:rPr>
          <w:rFonts w:ascii="Times New Roman" w:hAnsi="Times New Roman"/>
        </w:rPr>
        <w:t xml:space="preserve">There is no time limit to take surveys.  However, if you stay logged in and do not work on the survey an alert will display. You will be informed that your session will time out if no further activity takes place.  </w:t>
      </w:r>
    </w:p>
    <w:p w:rsidR="00A74056" w:rsidRPr="009C27AE" w:rsidP="00A74056" w14:paraId="7872AC09" w14:textId="77777777"/>
    <w:p w:rsidR="001A79EA" w:rsidP="00EC430B" w14:paraId="3B1AB6CA" w14:textId="5438D9C7">
      <w:pPr>
        <w:pStyle w:val="BodyText2"/>
        <w:spacing w:line="360" w:lineRule="auto"/>
      </w:pPr>
      <w:r w:rsidRPr="009C27AE">
        <w:rPr>
          <w:b/>
          <w:i/>
          <w:sz w:val="28"/>
        </w:rPr>
        <w:t>The purpose of this questionnaire is to obtain some general information about your demography, as well as information on lifestyle, environmental, and ALS-associated factors</w:t>
      </w:r>
      <w:r w:rsidR="00EC430B">
        <w:rPr>
          <w:b/>
          <w:i/>
          <w:sz w:val="28"/>
        </w:rPr>
        <w:t>.</w:t>
      </w:r>
      <w:r w:rsidR="00EC430B">
        <w:t xml:space="preserve"> </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51A" w14:paraId="37ADE3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15AB" w:rsidP="008A4F31" w14:paraId="75C0A9D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- 241 -</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51A" w14:paraId="151DF4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51A" w14:paraId="73C76C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51A" w14:paraId="459A70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551A" w14:paraId="377C8F2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84702E"/>
    <w:multiLevelType w:val="hybridMultilevel"/>
    <w:tmpl w:val="EE806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FE6AFA"/>
    <w:multiLevelType w:val="hybridMultilevel"/>
    <w:tmpl w:val="B3A43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1F7865"/>
    <w:multiLevelType w:val="hybridMultilevel"/>
    <w:tmpl w:val="0010CC98"/>
    <w:lvl w:ilvl="0">
      <w:start w:val="3"/>
      <w:numFmt w:val="bullet"/>
      <w:lvlText w:val="-"/>
      <w:lvlJc w:val="left"/>
      <w:pPr>
        <w:ind w:left="2160" w:hanging="360"/>
      </w:pPr>
      <w:rPr>
        <w:rFonts w:ascii="Arial" w:eastAsia="Times New Roman" w:hAnsi="Arial" w:cs="Aria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77152F97"/>
    <w:multiLevelType w:val="hybridMultilevel"/>
    <w:tmpl w:val="FE5CA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56"/>
    <w:rsid w:val="00033643"/>
    <w:rsid w:val="00074C18"/>
    <w:rsid w:val="001A79EA"/>
    <w:rsid w:val="00266EDA"/>
    <w:rsid w:val="003510D8"/>
    <w:rsid w:val="00362075"/>
    <w:rsid w:val="0036551A"/>
    <w:rsid w:val="007D15AB"/>
    <w:rsid w:val="008A4F31"/>
    <w:rsid w:val="009C27AE"/>
    <w:rsid w:val="00A74056"/>
    <w:rsid w:val="00AD5FCB"/>
    <w:rsid w:val="00BD2B18"/>
    <w:rsid w:val="00DD158C"/>
    <w:rsid w:val="00EC43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7D009D"/>
  <w15:chartTrackingRefBased/>
  <w15:docId w15:val="{D0C9B3FC-0B5F-4365-BC8F-2B1A4B28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0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74056"/>
    <w:pPr>
      <w:tabs>
        <w:tab w:val="center" w:pos="4320"/>
        <w:tab w:val="right" w:pos="8640"/>
      </w:tabs>
    </w:pPr>
  </w:style>
  <w:style w:type="character" w:customStyle="1" w:styleId="HeaderChar">
    <w:name w:val="Header Char"/>
    <w:basedOn w:val="DefaultParagraphFont"/>
    <w:link w:val="Header"/>
    <w:uiPriority w:val="99"/>
    <w:rsid w:val="00A74056"/>
    <w:rPr>
      <w:rFonts w:ascii="Times New Roman" w:eastAsia="Times New Roman" w:hAnsi="Times New Roman" w:cs="Times New Roman"/>
      <w:sz w:val="24"/>
      <w:szCs w:val="24"/>
    </w:rPr>
  </w:style>
  <w:style w:type="paragraph" w:styleId="Footer">
    <w:name w:val="footer"/>
    <w:basedOn w:val="Normal"/>
    <w:link w:val="FooterChar"/>
    <w:uiPriority w:val="99"/>
    <w:rsid w:val="00A74056"/>
    <w:pPr>
      <w:tabs>
        <w:tab w:val="center" w:pos="4320"/>
        <w:tab w:val="right" w:pos="8640"/>
      </w:tabs>
    </w:pPr>
  </w:style>
  <w:style w:type="character" w:customStyle="1" w:styleId="FooterChar">
    <w:name w:val="Footer Char"/>
    <w:basedOn w:val="DefaultParagraphFont"/>
    <w:link w:val="Footer"/>
    <w:uiPriority w:val="99"/>
    <w:rsid w:val="00A74056"/>
    <w:rPr>
      <w:rFonts w:ascii="Times New Roman" w:eastAsia="Times New Roman" w:hAnsi="Times New Roman" w:cs="Times New Roman"/>
      <w:sz w:val="24"/>
      <w:szCs w:val="24"/>
    </w:rPr>
  </w:style>
  <w:style w:type="character" w:styleId="PageNumber">
    <w:name w:val="page number"/>
    <w:basedOn w:val="DefaultParagraphFont"/>
    <w:rsid w:val="00A74056"/>
  </w:style>
  <w:style w:type="paragraph" w:styleId="BodyText2">
    <w:name w:val="Body Text 2"/>
    <w:basedOn w:val="Normal"/>
    <w:link w:val="BodyText2Char"/>
    <w:rsid w:val="00A74056"/>
    <w:pPr>
      <w:widowControl/>
      <w:tabs>
        <w:tab w:val="left" w:pos="540"/>
        <w:tab w:val="center" w:pos="3240"/>
        <w:tab w:val="center" w:pos="4500"/>
        <w:tab w:val="center" w:pos="6030"/>
        <w:tab w:val="center" w:pos="7650"/>
      </w:tabs>
      <w:autoSpaceDE/>
      <w:autoSpaceDN/>
      <w:adjustRightInd/>
      <w:spacing w:before="60" w:after="60"/>
    </w:pPr>
    <w:rPr>
      <w:sz w:val="23"/>
    </w:rPr>
  </w:style>
  <w:style w:type="character" w:customStyle="1" w:styleId="BodyText2Char">
    <w:name w:val="Body Text 2 Char"/>
    <w:basedOn w:val="DefaultParagraphFont"/>
    <w:link w:val="BodyText2"/>
    <w:rsid w:val="00A74056"/>
    <w:rPr>
      <w:rFonts w:ascii="Times New Roman" w:eastAsia="Times New Roman" w:hAnsi="Times New Roman" w:cs="Times New Roman"/>
      <w:sz w:val="23"/>
      <w:szCs w:val="24"/>
    </w:rPr>
  </w:style>
  <w:style w:type="paragraph" w:styleId="ListParagraph">
    <w:name w:val="List Paragraph"/>
    <w:basedOn w:val="Normal"/>
    <w:uiPriority w:val="34"/>
    <w:qFormat/>
    <w:rsid w:val="00A74056"/>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Joyce, Kevin J. (CDC/DDPHSS/OS/OSI)</cp:lastModifiedBy>
  <cp:revision>3</cp:revision>
  <dcterms:created xsi:type="dcterms:W3CDTF">2023-01-09T16:20:00Z</dcterms:created>
  <dcterms:modified xsi:type="dcterms:W3CDTF">2023-01-09T16:50:00Z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8b0be132-8e1c-4f80-9c2a-8e48d9879bad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2022-09-19T18:37:37Z</vt:lpwstr>
  </property>
  <property fmtid="{D5CDD505-2E9C-101B-9397-08002B2CF9AE}" pid="8" name="MSIP_Label_8af03ff0-41c5-4c41-b55e-fabb8fae94be_SiteId">
    <vt:lpwstr>9ce70869-60db-44fd-abe8-d2767077fc8f</vt:lpwstr>
  </property>
</Properties>
</file>