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267CD" w:rsidRPr="000267CD" w:rsidP="000267CD" w14:paraId="2420DBA9" w14:textId="77777777">
      <w:pPr>
        <w:spacing w:after="0" w:line="240" w:lineRule="auto"/>
        <w:jc w:val="center"/>
        <w:textAlignment w:val="baseline"/>
        <w:rPr>
          <w:rFonts w:ascii="Segoe UI" w:eastAsia="Times New Roman" w:hAnsi="Segoe UI" w:cs="Segoe UI"/>
          <w:sz w:val="18"/>
          <w:szCs w:val="18"/>
        </w:rPr>
      </w:pPr>
      <w:r w:rsidRPr="000267CD">
        <w:rPr>
          <w:rFonts w:ascii="Calibri" w:eastAsia="Times New Roman" w:hAnsi="Calibri" w:cs="Calibri"/>
        </w:rPr>
        <w:t>Attachment 3 </w:t>
      </w:r>
    </w:p>
    <w:p w:rsidR="000267CD" w:rsidRPr="000267CD" w:rsidP="000267CD" w14:paraId="1B97ACF3" w14:textId="77777777">
      <w:pPr>
        <w:spacing w:after="0" w:line="240" w:lineRule="auto"/>
        <w:jc w:val="center"/>
        <w:textAlignment w:val="baseline"/>
        <w:rPr>
          <w:rFonts w:ascii="Segoe UI" w:eastAsia="Times New Roman" w:hAnsi="Segoe UI" w:cs="Segoe UI"/>
          <w:sz w:val="18"/>
          <w:szCs w:val="18"/>
        </w:rPr>
      </w:pPr>
      <w:r w:rsidRPr="000267CD">
        <w:rPr>
          <w:rFonts w:ascii="Calibri" w:eastAsia="Times New Roman" w:hAnsi="Calibri" w:cs="Calibri"/>
        </w:rPr>
        <w:t>Revisions to Data Collection </w:t>
      </w:r>
    </w:p>
    <w:p w:rsidR="000267CD" w:rsidRPr="000267CD" w:rsidP="000267CD" w14:paraId="24D2B5DA" w14:textId="77777777">
      <w:pPr>
        <w:spacing w:after="0" w:line="240" w:lineRule="auto"/>
        <w:jc w:val="center"/>
        <w:textAlignment w:val="baseline"/>
        <w:rPr>
          <w:rFonts w:ascii="Segoe UI" w:eastAsia="Times New Roman" w:hAnsi="Segoe UI" w:cs="Segoe UI"/>
          <w:sz w:val="18"/>
          <w:szCs w:val="18"/>
        </w:rPr>
      </w:pPr>
      <w:r w:rsidRPr="000267CD">
        <w:rPr>
          <w:rFonts w:ascii="Calibri" w:eastAsia="Times New Roman" w:hAnsi="Calibri" w:cs="Calibri"/>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20"/>
        <w:gridCol w:w="2595"/>
        <w:gridCol w:w="5115"/>
      </w:tblGrid>
      <w:tr w14:paraId="525BF7A3" w14:textId="77777777" w:rsidTr="00E908BE">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0267CD" w:rsidRPr="006C41A2" w:rsidP="000267CD" w14:paraId="4297424A" w14:textId="77777777">
            <w:pPr>
              <w:spacing w:after="0" w:line="240" w:lineRule="auto"/>
              <w:jc w:val="center"/>
              <w:textAlignment w:val="baseline"/>
              <w:rPr>
                <w:rFonts w:ascii="Times New Roman" w:eastAsia="Times New Roman" w:hAnsi="Times New Roman" w:cs="Times New Roman"/>
              </w:rPr>
            </w:pPr>
            <w:r w:rsidRPr="006C41A2">
              <w:rPr>
                <w:rFonts w:ascii="Calibri" w:eastAsia="Times New Roman" w:hAnsi="Calibri" w:cs="Calibri"/>
              </w:rPr>
              <w:t>Revision or New </w:t>
            </w:r>
          </w:p>
        </w:tc>
        <w:tc>
          <w:tcPr>
            <w:tcW w:w="2595" w:type="dxa"/>
            <w:tcBorders>
              <w:top w:val="single" w:sz="6" w:space="0" w:color="auto"/>
              <w:left w:val="nil"/>
              <w:bottom w:val="single" w:sz="6" w:space="0" w:color="auto"/>
              <w:right w:val="single" w:sz="6" w:space="0" w:color="auto"/>
            </w:tcBorders>
            <w:shd w:val="clear" w:color="auto" w:fill="auto"/>
            <w:hideMark/>
          </w:tcPr>
          <w:p w:rsidR="000267CD" w:rsidRPr="006C41A2" w:rsidP="000267CD" w14:paraId="3FD6DF68" w14:textId="77777777">
            <w:pPr>
              <w:spacing w:after="0" w:line="240" w:lineRule="auto"/>
              <w:jc w:val="center"/>
              <w:textAlignment w:val="baseline"/>
              <w:rPr>
                <w:rFonts w:ascii="Times New Roman" w:eastAsia="Times New Roman" w:hAnsi="Times New Roman" w:cs="Times New Roman"/>
              </w:rPr>
            </w:pPr>
            <w:r w:rsidRPr="006C41A2">
              <w:rPr>
                <w:rFonts w:ascii="Calibri" w:eastAsia="Times New Roman" w:hAnsi="Calibri" w:cs="Calibri"/>
              </w:rPr>
              <w:t>Change </w:t>
            </w:r>
          </w:p>
        </w:tc>
        <w:tc>
          <w:tcPr>
            <w:tcW w:w="5115" w:type="dxa"/>
            <w:tcBorders>
              <w:top w:val="single" w:sz="6" w:space="0" w:color="auto"/>
              <w:left w:val="nil"/>
              <w:bottom w:val="single" w:sz="6" w:space="0" w:color="auto"/>
              <w:right w:val="single" w:sz="6" w:space="0" w:color="auto"/>
            </w:tcBorders>
            <w:shd w:val="clear" w:color="auto" w:fill="auto"/>
            <w:hideMark/>
          </w:tcPr>
          <w:p w:rsidR="000267CD" w:rsidRPr="006C41A2" w:rsidP="000267CD" w14:paraId="31458069" w14:textId="77777777">
            <w:pPr>
              <w:spacing w:after="0" w:line="240" w:lineRule="auto"/>
              <w:jc w:val="center"/>
              <w:textAlignment w:val="baseline"/>
              <w:rPr>
                <w:rFonts w:ascii="Times New Roman" w:eastAsia="Times New Roman" w:hAnsi="Times New Roman" w:cs="Times New Roman"/>
              </w:rPr>
            </w:pPr>
            <w:r w:rsidRPr="006C41A2">
              <w:rPr>
                <w:rFonts w:ascii="Calibri" w:eastAsia="Times New Roman" w:hAnsi="Calibri" w:cs="Calibri"/>
              </w:rPr>
              <w:t>Rationale </w:t>
            </w:r>
          </w:p>
        </w:tc>
      </w:tr>
      <w:tr w14:paraId="20418632" w14:textId="77777777" w:rsidTr="00015A09">
        <w:tblPrEx>
          <w:tblW w:w="9330" w:type="dxa"/>
          <w:tblCellMar>
            <w:left w:w="0" w:type="dxa"/>
            <w:right w:w="0" w:type="dxa"/>
          </w:tblCellMar>
          <w:tblLook w:val="04A0"/>
        </w:tblPrEx>
        <w:trPr>
          <w:trHeight w:val="2046"/>
        </w:trPr>
        <w:tc>
          <w:tcPr>
            <w:tcW w:w="1620" w:type="dxa"/>
            <w:tcBorders>
              <w:top w:val="nil"/>
              <w:left w:val="single" w:sz="6" w:space="0" w:color="auto"/>
              <w:bottom w:val="single" w:sz="6" w:space="0" w:color="auto"/>
              <w:right w:val="single" w:sz="6" w:space="0" w:color="auto"/>
            </w:tcBorders>
            <w:shd w:val="clear" w:color="auto" w:fill="auto"/>
            <w:hideMark/>
          </w:tcPr>
          <w:p w:rsidR="000267CD" w:rsidRPr="006C41A2" w:rsidP="000267CD" w14:paraId="2D380A99" w14:textId="77777777">
            <w:pPr>
              <w:spacing w:after="0" w:line="240" w:lineRule="auto"/>
              <w:jc w:val="center"/>
              <w:textAlignment w:val="baseline"/>
              <w:rPr>
                <w:rFonts w:ascii="Times New Roman" w:eastAsia="Times New Roman" w:hAnsi="Times New Roman" w:cs="Times New Roman"/>
              </w:rPr>
            </w:pPr>
            <w:r w:rsidRPr="006C41A2">
              <w:rPr>
                <w:rFonts w:ascii="Calibri" w:eastAsia="Times New Roman" w:hAnsi="Calibri" w:cs="Calibri"/>
              </w:rPr>
              <w:t>Revision </w:t>
            </w:r>
          </w:p>
        </w:tc>
        <w:tc>
          <w:tcPr>
            <w:tcW w:w="2595" w:type="dxa"/>
            <w:tcBorders>
              <w:top w:val="nil"/>
              <w:left w:val="nil"/>
              <w:bottom w:val="single" w:sz="6" w:space="0" w:color="auto"/>
              <w:right w:val="single" w:sz="6" w:space="0" w:color="auto"/>
            </w:tcBorders>
            <w:shd w:val="clear" w:color="auto" w:fill="auto"/>
            <w:hideMark/>
          </w:tcPr>
          <w:p w:rsidR="000267CD" w:rsidRPr="006C41A2" w:rsidP="000267CD" w14:paraId="59FB5603" w14:textId="77777777">
            <w:pPr>
              <w:spacing w:after="0" w:line="240" w:lineRule="auto"/>
              <w:jc w:val="center"/>
              <w:textAlignment w:val="baseline"/>
              <w:rPr>
                <w:rFonts w:ascii="Times New Roman" w:eastAsia="Times New Roman" w:hAnsi="Times New Roman" w:cs="Times New Roman"/>
              </w:rPr>
            </w:pPr>
            <w:r w:rsidRPr="006C41A2">
              <w:rPr>
                <w:rFonts w:ascii="Calibri" w:eastAsia="Times New Roman" w:hAnsi="Calibri" w:cs="Calibri"/>
              </w:rPr>
              <w:t>Attachment 6A or </w:t>
            </w:r>
          </w:p>
          <w:p w:rsidR="000267CD" w:rsidRPr="006C41A2" w:rsidP="000267CD" w14:paraId="1A1FA767" w14:textId="77777777">
            <w:pPr>
              <w:spacing w:after="0" w:line="240" w:lineRule="auto"/>
              <w:jc w:val="center"/>
              <w:textAlignment w:val="baseline"/>
              <w:rPr>
                <w:rFonts w:ascii="Times New Roman" w:eastAsia="Times New Roman" w:hAnsi="Times New Roman" w:cs="Times New Roman"/>
              </w:rPr>
            </w:pPr>
            <w:r w:rsidRPr="006C41A2">
              <w:rPr>
                <w:rFonts w:ascii="Calibri" w:eastAsia="Times New Roman" w:hAnsi="Calibri" w:cs="Calibri"/>
              </w:rPr>
              <w:t>Appendix E – Existing set of questions, reorganized into Essential Questionnaire and 4 Follow-Up Modules </w:t>
            </w:r>
          </w:p>
        </w:tc>
        <w:tc>
          <w:tcPr>
            <w:tcW w:w="5115" w:type="dxa"/>
            <w:tcBorders>
              <w:top w:val="nil"/>
              <w:left w:val="nil"/>
              <w:bottom w:val="single" w:sz="6" w:space="0" w:color="auto"/>
              <w:right w:val="single" w:sz="6" w:space="0" w:color="auto"/>
            </w:tcBorders>
            <w:shd w:val="clear" w:color="auto" w:fill="auto"/>
            <w:hideMark/>
          </w:tcPr>
          <w:p w:rsidR="000267CD" w:rsidRPr="006C41A2" w:rsidP="000267CD" w14:paraId="4B65ECFD" w14:textId="77777777">
            <w:pPr>
              <w:spacing w:after="0" w:line="240" w:lineRule="auto"/>
              <w:jc w:val="center"/>
              <w:textAlignment w:val="baseline"/>
              <w:rPr>
                <w:rFonts w:ascii="Times New Roman" w:eastAsia="Times New Roman" w:hAnsi="Times New Roman" w:cs="Times New Roman"/>
              </w:rPr>
            </w:pPr>
            <w:r w:rsidRPr="006C41A2">
              <w:rPr>
                <w:rFonts w:ascii="Calibri" w:eastAsia="Times New Roman" w:hAnsi="Calibri" w:cs="Calibri"/>
              </w:rPr>
              <w:t>The existing set of questions are being reorganized and streamlined to make the surveys more user friendly for patients. This new design is created to increase completion rates for the surveys. The new design will also decrease the time burden on the patients.  </w:t>
            </w:r>
          </w:p>
        </w:tc>
      </w:tr>
      <w:tr w14:paraId="623C342E" w14:textId="77777777" w:rsidTr="00015A09">
        <w:tblPrEx>
          <w:tblW w:w="9330" w:type="dxa"/>
          <w:tblCellMar>
            <w:left w:w="0" w:type="dxa"/>
            <w:right w:w="0" w:type="dxa"/>
          </w:tblCellMar>
          <w:tblLook w:val="04A0"/>
        </w:tblPrEx>
        <w:trPr>
          <w:trHeight w:val="2595"/>
        </w:trPr>
        <w:tc>
          <w:tcPr>
            <w:tcW w:w="1620" w:type="dxa"/>
            <w:tcBorders>
              <w:top w:val="nil"/>
              <w:left w:val="single" w:sz="6" w:space="0" w:color="auto"/>
              <w:bottom w:val="single" w:sz="6" w:space="0" w:color="auto"/>
              <w:right w:val="single" w:sz="6" w:space="0" w:color="auto"/>
            </w:tcBorders>
            <w:shd w:val="clear" w:color="auto" w:fill="auto"/>
            <w:hideMark/>
          </w:tcPr>
          <w:p w:rsidR="000267CD" w:rsidRPr="006C41A2" w:rsidP="000267CD" w14:paraId="0CC5EF4E" w14:textId="77777777">
            <w:pPr>
              <w:spacing w:after="0" w:line="240" w:lineRule="auto"/>
              <w:jc w:val="center"/>
              <w:textAlignment w:val="baseline"/>
              <w:rPr>
                <w:rFonts w:ascii="Times New Roman" w:eastAsia="Times New Roman" w:hAnsi="Times New Roman" w:cs="Times New Roman"/>
              </w:rPr>
            </w:pPr>
            <w:r w:rsidRPr="006C41A2">
              <w:rPr>
                <w:rFonts w:ascii="Calibri" w:eastAsia="Times New Roman" w:hAnsi="Calibri" w:cs="Calibri"/>
              </w:rPr>
              <w:t>New </w:t>
            </w:r>
          </w:p>
        </w:tc>
        <w:tc>
          <w:tcPr>
            <w:tcW w:w="2595" w:type="dxa"/>
            <w:tcBorders>
              <w:top w:val="nil"/>
              <w:left w:val="nil"/>
              <w:bottom w:val="single" w:sz="6" w:space="0" w:color="auto"/>
              <w:right w:val="single" w:sz="6" w:space="0" w:color="auto"/>
            </w:tcBorders>
            <w:shd w:val="clear" w:color="auto" w:fill="auto"/>
            <w:hideMark/>
          </w:tcPr>
          <w:p w:rsidR="000267CD" w:rsidRPr="006C41A2" w:rsidP="000267CD" w14:paraId="207A2D39" w14:textId="77777777">
            <w:pPr>
              <w:spacing w:after="0" w:line="240" w:lineRule="auto"/>
              <w:jc w:val="center"/>
              <w:textAlignment w:val="baseline"/>
              <w:rPr>
                <w:rFonts w:ascii="Times New Roman" w:eastAsia="Times New Roman" w:hAnsi="Times New Roman" w:cs="Times New Roman"/>
              </w:rPr>
            </w:pPr>
            <w:r w:rsidRPr="006C41A2">
              <w:rPr>
                <w:rFonts w:ascii="Calibri" w:eastAsia="Times New Roman" w:hAnsi="Calibri" w:cs="Calibri"/>
              </w:rPr>
              <w:t>Attachment 17 – Releasing state level data on a 4-year rolling average.   </w:t>
            </w:r>
          </w:p>
        </w:tc>
        <w:tc>
          <w:tcPr>
            <w:tcW w:w="5115" w:type="dxa"/>
            <w:tcBorders>
              <w:top w:val="nil"/>
              <w:left w:val="nil"/>
              <w:bottom w:val="single" w:sz="6" w:space="0" w:color="auto"/>
              <w:right w:val="single" w:sz="6" w:space="0" w:color="auto"/>
            </w:tcBorders>
            <w:shd w:val="clear" w:color="auto" w:fill="auto"/>
            <w:hideMark/>
          </w:tcPr>
          <w:p w:rsidR="000267CD" w:rsidRPr="006C41A2" w:rsidP="000267CD" w14:paraId="0A25ABCB" w14:textId="77777777">
            <w:pPr>
              <w:spacing w:after="0" w:line="240" w:lineRule="auto"/>
              <w:jc w:val="center"/>
              <w:textAlignment w:val="baseline"/>
              <w:rPr>
                <w:rFonts w:ascii="Times New Roman" w:eastAsia="Times New Roman" w:hAnsi="Times New Roman" w:cs="Times New Roman"/>
              </w:rPr>
            </w:pPr>
            <w:r w:rsidRPr="006C41A2">
              <w:rPr>
                <w:rFonts w:ascii="Calibri" w:eastAsia="Times New Roman" w:hAnsi="Calibri" w:cs="Calibri"/>
              </w:rPr>
              <w:t>ATSDR proposes to release state level data as four-year rolling averages for ALS incidence, prevalence, and mortality. Case counts for the four-year moving average will only be released for states with more than 16 ALS cases and is consistent with United States Cancer Statistics practices where cases or deaths are small and tend to have poor reliability. </w:t>
            </w:r>
          </w:p>
        </w:tc>
      </w:tr>
      <w:tr w14:paraId="70076490" w14:textId="77777777" w:rsidTr="008102A0">
        <w:tblPrEx>
          <w:tblW w:w="9330" w:type="dxa"/>
          <w:tblCellMar>
            <w:left w:w="0" w:type="dxa"/>
            <w:right w:w="0" w:type="dxa"/>
          </w:tblCellMar>
          <w:tblLook w:val="04A0"/>
        </w:tblPrEx>
        <w:trPr>
          <w:trHeight w:val="2685"/>
        </w:trPr>
        <w:tc>
          <w:tcPr>
            <w:tcW w:w="1620" w:type="dxa"/>
            <w:tcBorders>
              <w:top w:val="nil"/>
              <w:left w:val="single" w:sz="6" w:space="0" w:color="auto"/>
              <w:bottom w:val="single" w:sz="6" w:space="0" w:color="auto"/>
              <w:right w:val="single" w:sz="6" w:space="0" w:color="auto"/>
            </w:tcBorders>
            <w:shd w:val="clear" w:color="auto" w:fill="auto"/>
          </w:tcPr>
          <w:p w:rsidR="00E908BE" w:rsidRPr="006C41A2" w:rsidP="00E908BE" w14:paraId="33584494" w14:textId="65A731E2">
            <w:pPr>
              <w:spacing w:after="0" w:line="240" w:lineRule="auto"/>
              <w:jc w:val="center"/>
              <w:textAlignment w:val="baseline"/>
              <w:rPr>
                <w:rFonts w:ascii="Calibri" w:eastAsia="Times New Roman" w:hAnsi="Calibri" w:cs="Calibri"/>
              </w:rPr>
            </w:pPr>
            <w:r w:rsidRPr="006C41A2">
              <w:rPr>
                <w:rFonts w:ascii="Calibri" w:eastAsia="Times New Roman" w:hAnsi="Calibri" w:cs="Calibri"/>
              </w:rPr>
              <w:t xml:space="preserve">New </w:t>
            </w:r>
          </w:p>
        </w:tc>
        <w:tc>
          <w:tcPr>
            <w:tcW w:w="2595" w:type="dxa"/>
            <w:tcBorders>
              <w:top w:val="nil"/>
              <w:left w:val="nil"/>
              <w:bottom w:val="single" w:sz="6" w:space="0" w:color="auto"/>
              <w:right w:val="single" w:sz="6" w:space="0" w:color="auto"/>
            </w:tcBorders>
            <w:shd w:val="clear" w:color="auto" w:fill="auto"/>
          </w:tcPr>
          <w:p w:rsidR="00E908BE" w:rsidRPr="006C41A2" w:rsidP="00E908BE" w14:paraId="5C4BA86C" w14:textId="06E274FB">
            <w:pPr>
              <w:spacing w:after="0" w:line="240" w:lineRule="auto"/>
              <w:jc w:val="center"/>
              <w:textAlignment w:val="baseline"/>
              <w:rPr>
                <w:rFonts w:ascii="Calibri" w:eastAsia="Times New Roman" w:hAnsi="Calibri" w:cs="Calibri"/>
              </w:rPr>
            </w:pPr>
            <w:r w:rsidRPr="006C41A2">
              <w:rPr>
                <w:rFonts w:ascii="Calibri" w:eastAsia="Times New Roman" w:hAnsi="Calibri" w:cs="Calibri"/>
              </w:rPr>
              <w:t>Addition of new data sources to existing ALS cases. </w:t>
            </w:r>
          </w:p>
        </w:tc>
        <w:tc>
          <w:tcPr>
            <w:tcW w:w="5115" w:type="dxa"/>
            <w:tcBorders>
              <w:top w:val="nil"/>
              <w:left w:val="nil"/>
              <w:bottom w:val="single" w:sz="6" w:space="0" w:color="auto"/>
              <w:right w:val="single" w:sz="6" w:space="0" w:color="auto"/>
            </w:tcBorders>
            <w:shd w:val="clear" w:color="auto" w:fill="auto"/>
          </w:tcPr>
          <w:p w:rsidR="00E908BE" w:rsidRPr="006C41A2" w:rsidP="00E908BE" w14:paraId="5D891C16" w14:textId="19A57283">
            <w:pPr>
              <w:spacing w:after="0" w:line="240" w:lineRule="auto"/>
              <w:jc w:val="center"/>
              <w:textAlignment w:val="baseline"/>
              <w:rPr>
                <w:rFonts w:ascii="Calibri" w:eastAsia="Times New Roman" w:hAnsi="Calibri" w:cs="Calibri"/>
              </w:rPr>
            </w:pPr>
            <w:r w:rsidRPr="00015A09">
              <w:rPr>
                <w:rFonts w:ascii="Calibri" w:eastAsia="Times New Roman" w:hAnsi="Calibri" w:cs="Calibri"/>
              </w:rPr>
              <w:t>Achieving more complete ALS case ascertainment by adding new data sources (totaling less than 9), including state ALS registries and non-profit ALS organizations</w:t>
            </w:r>
            <w:r>
              <w:rPr>
                <w:rFonts w:ascii="Calibri" w:eastAsia="Times New Roman" w:hAnsi="Calibri" w:cs="Calibri"/>
              </w:rPr>
              <w:t>.</w:t>
            </w:r>
            <w:r w:rsidRPr="006C41A2">
              <w:rPr>
                <w:rFonts w:ascii="Calibri" w:eastAsia="Times New Roman" w:hAnsi="Calibri" w:cs="Calibri"/>
              </w:rPr>
              <w:t xml:space="preserve"> These new data sources will be added to cases already identified through Registry enrollment and three large national administrative databases (Medicare, Veterans Health Administration, and Veterans Benefits Administration). </w:t>
            </w:r>
          </w:p>
        </w:tc>
      </w:tr>
      <w:tr w14:paraId="53FB4EC9" w14:textId="77777777" w:rsidTr="00E908BE">
        <w:tblPrEx>
          <w:tblW w:w="9330" w:type="dxa"/>
          <w:tblCellMar>
            <w:left w:w="0" w:type="dxa"/>
            <w:right w:w="0" w:type="dxa"/>
          </w:tblCellMar>
          <w:tblLook w:val="04A0"/>
        </w:tblPrEx>
        <w:trPr>
          <w:trHeight w:val="1920"/>
        </w:trPr>
        <w:tc>
          <w:tcPr>
            <w:tcW w:w="1620" w:type="dxa"/>
            <w:tcBorders>
              <w:top w:val="nil"/>
              <w:left w:val="single" w:sz="6" w:space="0" w:color="auto"/>
              <w:bottom w:val="nil"/>
              <w:right w:val="single" w:sz="6" w:space="0" w:color="auto"/>
            </w:tcBorders>
            <w:shd w:val="clear" w:color="auto" w:fill="auto"/>
            <w:hideMark/>
          </w:tcPr>
          <w:p w:rsidR="006C41A2" w:rsidP="00E908BE" w14:paraId="7CB8252D" w14:textId="77777777">
            <w:pPr>
              <w:spacing w:after="0" w:line="240" w:lineRule="auto"/>
              <w:jc w:val="center"/>
              <w:textAlignment w:val="baseline"/>
              <w:rPr>
                <w:rFonts w:ascii="Calibri" w:eastAsia="Times New Roman" w:hAnsi="Calibri" w:cs="Calibri"/>
              </w:rPr>
            </w:pPr>
          </w:p>
          <w:p w:rsidR="00E908BE" w:rsidRPr="006C41A2" w:rsidP="00E908BE" w14:paraId="3AAAB3B6" w14:textId="090E17EA">
            <w:pPr>
              <w:spacing w:after="0" w:line="240" w:lineRule="auto"/>
              <w:jc w:val="center"/>
              <w:textAlignment w:val="baseline"/>
              <w:rPr>
                <w:rFonts w:ascii="Times New Roman" w:eastAsia="Times New Roman" w:hAnsi="Times New Roman" w:cs="Times New Roman"/>
              </w:rPr>
            </w:pPr>
            <w:r w:rsidRPr="006C41A2">
              <w:rPr>
                <w:rFonts w:ascii="Calibri" w:eastAsia="Times New Roman" w:hAnsi="Calibri" w:cs="Calibri"/>
              </w:rPr>
              <w:t>New </w:t>
            </w:r>
          </w:p>
        </w:tc>
        <w:tc>
          <w:tcPr>
            <w:tcW w:w="2595" w:type="dxa"/>
            <w:tcBorders>
              <w:top w:val="nil"/>
              <w:left w:val="nil"/>
              <w:bottom w:val="nil"/>
              <w:right w:val="single" w:sz="6" w:space="0" w:color="auto"/>
            </w:tcBorders>
            <w:shd w:val="clear" w:color="auto" w:fill="auto"/>
          </w:tcPr>
          <w:p w:rsidR="006C41A2" w:rsidP="00E908BE" w14:paraId="580F4113" w14:textId="77777777">
            <w:pPr>
              <w:spacing w:after="0" w:line="240" w:lineRule="auto"/>
              <w:jc w:val="center"/>
              <w:textAlignment w:val="baseline"/>
              <w:rPr>
                <w:rFonts w:eastAsia="Times New Roman" w:cstheme="minorHAnsi"/>
              </w:rPr>
            </w:pPr>
          </w:p>
          <w:p w:rsidR="00CD0DC8" w:rsidRPr="006C41A2" w:rsidP="00E908BE" w14:paraId="01C28723" w14:textId="3F771FE4">
            <w:pPr>
              <w:spacing w:after="0" w:line="240" w:lineRule="auto"/>
              <w:jc w:val="center"/>
              <w:textAlignment w:val="baseline"/>
              <w:rPr>
                <w:rFonts w:eastAsia="Times New Roman" w:cstheme="minorHAnsi"/>
              </w:rPr>
            </w:pPr>
            <w:r w:rsidRPr="006C41A2">
              <w:rPr>
                <w:rFonts w:eastAsia="Times New Roman" w:cstheme="minorHAnsi"/>
              </w:rPr>
              <w:t xml:space="preserve">Restructuring list of attachments into attachments and </w:t>
            </w:r>
          </w:p>
          <w:p w:rsidR="00E908BE" w:rsidRPr="006C41A2" w:rsidP="00E908BE" w14:paraId="41BD0F47" w14:textId="31360DF7">
            <w:pPr>
              <w:spacing w:after="0" w:line="240" w:lineRule="auto"/>
              <w:jc w:val="center"/>
              <w:textAlignment w:val="baseline"/>
              <w:rPr>
                <w:rFonts w:eastAsia="Times New Roman" w:cstheme="minorHAnsi"/>
              </w:rPr>
            </w:pPr>
            <w:r w:rsidRPr="006C41A2">
              <w:rPr>
                <w:rFonts w:eastAsia="Times New Roman" w:cstheme="minorHAnsi"/>
              </w:rPr>
              <w:t>appendices</w:t>
            </w:r>
          </w:p>
        </w:tc>
        <w:tc>
          <w:tcPr>
            <w:tcW w:w="5115" w:type="dxa"/>
            <w:tcBorders>
              <w:top w:val="nil"/>
              <w:left w:val="nil"/>
              <w:bottom w:val="nil"/>
              <w:right w:val="single" w:sz="6" w:space="0" w:color="auto"/>
            </w:tcBorders>
            <w:shd w:val="clear" w:color="auto" w:fill="auto"/>
          </w:tcPr>
          <w:p w:rsidR="006C41A2" w:rsidP="006C41A2" w14:paraId="291DAAC2" w14:textId="77777777">
            <w:pPr>
              <w:spacing w:after="0" w:line="240" w:lineRule="auto"/>
              <w:jc w:val="center"/>
              <w:textAlignment w:val="baseline"/>
              <w:rPr>
                <w:rFonts w:eastAsia="Times New Roman" w:cstheme="minorHAnsi"/>
              </w:rPr>
            </w:pPr>
          </w:p>
          <w:p w:rsidR="00E908BE" w:rsidRPr="006C41A2" w:rsidP="006C41A2" w14:paraId="0CFFFF8C" w14:textId="5C40482C">
            <w:pPr>
              <w:spacing w:after="0" w:line="240" w:lineRule="auto"/>
              <w:jc w:val="center"/>
              <w:textAlignment w:val="baseline"/>
              <w:rPr>
                <w:rFonts w:eastAsia="Times New Roman" w:cstheme="minorHAnsi"/>
              </w:rPr>
            </w:pPr>
            <w:r w:rsidRPr="006C41A2">
              <w:rPr>
                <w:rFonts w:eastAsia="Times New Roman" w:cstheme="minorHAnsi"/>
              </w:rPr>
              <w:t>The list of attachments has been restructured into attachments and appendices to allow for ease of documentation between OMB approved documents and IRB approved documents.</w:t>
            </w:r>
          </w:p>
        </w:tc>
      </w:tr>
      <w:tr w14:paraId="1371EC6D" w14:textId="77777777" w:rsidTr="00E908BE">
        <w:tblPrEx>
          <w:tblW w:w="9330" w:type="dxa"/>
          <w:tblCellMar>
            <w:left w:w="0" w:type="dxa"/>
            <w:right w:w="0" w:type="dxa"/>
          </w:tblCellMar>
          <w:tblLook w:val="04A0"/>
        </w:tblPrEx>
        <w:trPr>
          <w:trHeight w:val="1920"/>
        </w:trPr>
        <w:tc>
          <w:tcPr>
            <w:tcW w:w="1620" w:type="dxa"/>
            <w:tcBorders>
              <w:top w:val="nil"/>
              <w:left w:val="single" w:sz="6" w:space="0" w:color="auto"/>
              <w:bottom w:val="nil"/>
              <w:right w:val="single" w:sz="6" w:space="0" w:color="auto"/>
            </w:tcBorders>
            <w:shd w:val="clear" w:color="auto" w:fill="auto"/>
          </w:tcPr>
          <w:p w:rsidR="00E908BE" w:rsidRPr="000267CD" w:rsidP="00E908BE" w14:paraId="46483187" w14:textId="77777777">
            <w:pPr>
              <w:spacing w:after="0" w:line="240" w:lineRule="auto"/>
              <w:jc w:val="center"/>
              <w:textAlignment w:val="baseline"/>
              <w:rPr>
                <w:rFonts w:ascii="Calibri" w:eastAsia="Times New Roman" w:hAnsi="Calibri" w:cs="Calibri"/>
                <w:sz w:val="21"/>
                <w:szCs w:val="21"/>
              </w:rPr>
            </w:pPr>
          </w:p>
        </w:tc>
        <w:tc>
          <w:tcPr>
            <w:tcW w:w="2595" w:type="dxa"/>
            <w:tcBorders>
              <w:top w:val="nil"/>
              <w:left w:val="nil"/>
              <w:bottom w:val="nil"/>
              <w:right w:val="single" w:sz="6" w:space="0" w:color="auto"/>
            </w:tcBorders>
            <w:shd w:val="clear" w:color="auto" w:fill="auto"/>
          </w:tcPr>
          <w:p w:rsidR="00E908BE" w:rsidP="00E908BE" w14:paraId="368C47FE" w14:textId="77777777">
            <w:pPr>
              <w:spacing w:after="0" w:line="240" w:lineRule="auto"/>
              <w:jc w:val="center"/>
              <w:textAlignment w:val="baseline"/>
              <w:rPr>
                <w:rFonts w:ascii="Calibri" w:eastAsia="Times New Roman" w:hAnsi="Calibri" w:cs="Calibri"/>
                <w:sz w:val="21"/>
                <w:szCs w:val="21"/>
              </w:rPr>
            </w:pPr>
          </w:p>
          <w:p w:rsidR="00E908BE" w:rsidRPr="00E908BE" w:rsidP="00E908BE" w14:paraId="5AA0D36B" w14:textId="1487BDE2">
            <w:pPr>
              <w:ind w:firstLine="720"/>
              <w:rPr>
                <w:rFonts w:ascii="Calibri" w:eastAsia="Times New Roman" w:hAnsi="Calibri" w:cs="Calibri"/>
                <w:sz w:val="21"/>
                <w:szCs w:val="21"/>
              </w:rPr>
            </w:pPr>
          </w:p>
        </w:tc>
        <w:tc>
          <w:tcPr>
            <w:tcW w:w="5115" w:type="dxa"/>
            <w:tcBorders>
              <w:top w:val="nil"/>
              <w:left w:val="nil"/>
              <w:bottom w:val="nil"/>
              <w:right w:val="single" w:sz="6" w:space="0" w:color="auto"/>
            </w:tcBorders>
            <w:shd w:val="clear" w:color="auto" w:fill="auto"/>
          </w:tcPr>
          <w:p w:rsidR="00E908BE" w:rsidRPr="000267CD" w:rsidP="00E908BE" w14:paraId="66DBA5BB" w14:textId="77777777">
            <w:pPr>
              <w:spacing w:after="0" w:line="240" w:lineRule="auto"/>
              <w:jc w:val="center"/>
              <w:textAlignment w:val="baseline"/>
              <w:rPr>
                <w:rFonts w:ascii="Calibri" w:eastAsia="Times New Roman" w:hAnsi="Calibri" w:cs="Calibri"/>
                <w:sz w:val="21"/>
                <w:szCs w:val="21"/>
              </w:rPr>
            </w:pPr>
          </w:p>
        </w:tc>
      </w:tr>
      <w:tr w14:paraId="6077F010" w14:textId="77777777" w:rsidTr="008102A0">
        <w:tblPrEx>
          <w:tblW w:w="9330" w:type="dxa"/>
          <w:tblCellMar>
            <w:left w:w="0" w:type="dxa"/>
            <w:right w:w="0" w:type="dxa"/>
          </w:tblCellMar>
          <w:tblLook w:val="04A0"/>
        </w:tblPrEx>
        <w:trPr>
          <w:trHeight w:val="99"/>
        </w:trPr>
        <w:tc>
          <w:tcPr>
            <w:tcW w:w="1620" w:type="dxa"/>
            <w:tcBorders>
              <w:top w:val="nil"/>
              <w:left w:val="single" w:sz="6" w:space="0" w:color="auto"/>
              <w:bottom w:val="single" w:sz="6" w:space="0" w:color="auto"/>
              <w:right w:val="single" w:sz="6" w:space="0" w:color="auto"/>
            </w:tcBorders>
            <w:shd w:val="clear" w:color="auto" w:fill="auto"/>
          </w:tcPr>
          <w:p w:rsidR="00E908BE" w:rsidRPr="000267CD" w:rsidP="00E908BE" w14:paraId="7C06A28D" w14:textId="77777777">
            <w:pPr>
              <w:spacing w:after="0" w:line="240" w:lineRule="auto"/>
              <w:jc w:val="center"/>
              <w:textAlignment w:val="baseline"/>
              <w:rPr>
                <w:rFonts w:ascii="Calibri" w:eastAsia="Times New Roman" w:hAnsi="Calibri" w:cs="Calibri"/>
                <w:sz w:val="21"/>
                <w:szCs w:val="21"/>
              </w:rPr>
            </w:pPr>
          </w:p>
        </w:tc>
        <w:tc>
          <w:tcPr>
            <w:tcW w:w="2595" w:type="dxa"/>
            <w:tcBorders>
              <w:top w:val="nil"/>
              <w:left w:val="nil"/>
              <w:bottom w:val="single" w:sz="6" w:space="0" w:color="auto"/>
              <w:right w:val="single" w:sz="6" w:space="0" w:color="auto"/>
            </w:tcBorders>
            <w:shd w:val="clear" w:color="auto" w:fill="auto"/>
          </w:tcPr>
          <w:p w:rsidR="00E908BE" w:rsidRPr="000267CD" w:rsidP="00E908BE" w14:paraId="2596FA88" w14:textId="77777777">
            <w:pPr>
              <w:spacing w:after="0" w:line="240" w:lineRule="auto"/>
              <w:jc w:val="center"/>
              <w:textAlignment w:val="baseline"/>
              <w:rPr>
                <w:rFonts w:ascii="Calibri" w:eastAsia="Times New Roman" w:hAnsi="Calibri" w:cs="Calibri"/>
                <w:sz w:val="21"/>
                <w:szCs w:val="21"/>
              </w:rPr>
            </w:pPr>
          </w:p>
        </w:tc>
        <w:tc>
          <w:tcPr>
            <w:tcW w:w="5115" w:type="dxa"/>
            <w:tcBorders>
              <w:top w:val="nil"/>
              <w:left w:val="nil"/>
              <w:bottom w:val="single" w:sz="6" w:space="0" w:color="auto"/>
              <w:right w:val="single" w:sz="6" w:space="0" w:color="auto"/>
            </w:tcBorders>
            <w:shd w:val="clear" w:color="auto" w:fill="auto"/>
          </w:tcPr>
          <w:p w:rsidR="00E908BE" w:rsidRPr="000267CD" w:rsidP="00E908BE" w14:paraId="2C15EED3" w14:textId="77777777">
            <w:pPr>
              <w:spacing w:after="0" w:line="240" w:lineRule="auto"/>
              <w:jc w:val="center"/>
              <w:textAlignment w:val="baseline"/>
              <w:rPr>
                <w:rFonts w:ascii="Calibri" w:eastAsia="Times New Roman" w:hAnsi="Calibri" w:cs="Calibri"/>
                <w:sz w:val="21"/>
                <w:szCs w:val="21"/>
              </w:rPr>
            </w:pPr>
          </w:p>
        </w:tc>
      </w:tr>
    </w:tbl>
    <w:p w:rsidR="00EA30F8" w:rsidRPr="000267CD" w:rsidP="008102A0" w14:paraId="7F8F4AA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CD"/>
    <w:rsid w:val="00015A09"/>
    <w:rsid w:val="000267CD"/>
    <w:rsid w:val="000F2C86"/>
    <w:rsid w:val="002D381F"/>
    <w:rsid w:val="006C41A2"/>
    <w:rsid w:val="008102A0"/>
    <w:rsid w:val="00CD0DC8"/>
    <w:rsid w:val="00D027AD"/>
    <w:rsid w:val="00E908BE"/>
    <w:rsid w:val="00E91448"/>
    <w:rsid w:val="00EA30F8"/>
    <w:rsid w:val="00F26B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64312E"/>
  <w15:chartTrackingRefBased/>
  <w15:docId w15:val="{1D58338E-D806-4AEA-8220-75291465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267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67CD"/>
  </w:style>
  <w:style w:type="character" w:customStyle="1" w:styleId="eop">
    <w:name w:val="eop"/>
    <w:basedOn w:val="DefaultParagraphFont"/>
    <w:rsid w:val="000267CD"/>
  </w:style>
  <w:style w:type="character" w:customStyle="1" w:styleId="spellingerror">
    <w:name w:val="spellingerror"/>
    <w:basedOn w:val="DefaultParagraphFont"/>
    <w:rsid w:val="00026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242</Words>
  <Characters>1384</Characters>
  <Application>Microsoft Office Word</Application>
  <DocSecurity>0</DocSecurity>
  <Lines>11</Lines>
  <Paragraphs>3</Paragraphs>
  <ScaleCrop>false</ScaleCrop>
  <Company>Centers for Disease Control and Prevention</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Punjani, Reshma (ATSDR/OAD/OIA)</dc:creator>
  <cp:lastModifiedBy>Punjani, Reshma (ATSDR/OAD/OIA)</cp:lastModifiedBy>
  <cp:revision>8</cp:revision>
  <dcterms:created xsi:type="dcterms:W3CDTF">2022-07-27T16:46:00Z</dcterms:created>
  <dcterms:modified xsi:type="dcterms:W3CDTF">2022-12-09T19:33:00Z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c37fd33a-2cd7-4273-8daa-546ee4d833bb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2022-07-27T16:47:09Z</vt:lpwstr>
  </property>
  <property fmtid="{D5CDD505-2E9C-101B-9397-08002B2CF9AE}" pid="8" name="MSIP_Label_7b94a7b8-f06c-4dfe-bdcc-9b548fd58c31_SiteId">
    <vt:lpwstr>9ce70869-60db-44fd-abe8-d2767077fc8f</vt:lpwstr>
  </property>
</Properties>
</file>