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2CEE" w:rsidP="00A12917" w14:paraId="214C4331" w14:textId="77777777">
      <w:bookmarkStart w:id="0" w:name="_Toc473880015"/>
    </w:p>
    <w:p w:rsidR="00352CEE" w:rsidP="00A12917" w14:paraId="214C4332" w14:textId="77777777"/>
    <w:bookmarkEnd w:id="0"/>
    <w:p w:rsidR="00B6337F" w:rsidRPr="006C1D7A" w:rsidP="00B6337F" w14:paraId="0014F09C" w14:textId="67E8A3B9">
      <w:pPr>
        <w:spacing w:after="0" w:line="240" w:lineRule="auto"/>
        <w:jc w:val="center"/>
        <w:rPr>
          <w:rFonts w:cs="Times New Roman"/>
          <w:b/>
          <w:bCs/>
          <w:sz w:val="40"/>
          <w:szCs w:val="40"/>
        </w:rPr>
      </w:pPr>
      <w:r w:rsidRPr="006C1D7A">
        <w:rPr>
          <w:rFonts w:cs="Times New Roman"/>
          <w:b/>
          <w:bCs/>
          <w:sz w:val="40"/>
          <w:szCs w:val="40"/>
        </w:rPr>
        <w:t>National Healthcare Safety Network (NHSN) Coronavirus (COVID-19) Surveillance in Healthcare Facilities</w:t>
      </w:r>
    </w:p>
    <w:p w:rsidR="00B6337F" w:rsidRPr="004A13E8" w:rsidP="00B6337F" w14:paraId="3E5F36F6" w14:textId="288527F3">
      <w:pPr>
        <w:pStyle w:val="Heading3"/>
      </w:pPr>
      <w:bookmarkStart w:id="1" w:name="_Toc473880016"/>
      <w:r w:rsidRPr="004A13E8">
        <w:t>Request for OMB approval of a</w:t>
      </w:r>
      <w:r>
        <w:t xml:space="preserve"> New Information Collection</w:t>
      </w:r>
      <w:bookmarkEnd w:id="1"/>
      <w:r>
        <w:t xml:space="preserve"> </w:t>
      </w:r>
    </w:p>
    <w:p w:rsidR="00352CEE" w:rsidP="00352CEE" w14:paraId="214C4336" w14:textId="77777777">
      <w:pPr>
        <w:spacing w:after="0" w:line="240" w:lineRule="auto"/>
        <w:jc w:val="center"/>
        <w:rPr>
          <w:b/>
        </w:rPr>
      </w:pPr>
    </w:p>
    <w:p w:rsidR="00352CEE" w:rsidRPr="004A13E8" w:rsidP="00352CEE" w14:paraId="214C4337" w14:textId="152E0338">
      <w:pPr>
        <w:pStyle w:val="Heading4"/>
      </w:pPr>
      <w:r>
        <w:t xml:space="preserve">November </w:t>
      </w:r>
      <w:r w:rsidR="00076692">
        <w:t>21</w:t>
      </w:r>
      <w:r>
        <w:t>, 2022</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RPr="004A6DE8" w:rsidP="00352CEE" w14:paraId="214C4354" w14:textId="77777777">
      <w:pPr>
        <w:pStyle w:val="Heading4"/>
        <w:jc w:val="left"/>
      </w:pPr>
      <w:r w:rsidRPr="004A6DE8">
        <w:t xml:space="preserve">Contact: </w:t>
      </w:r>
    </w:p>
    <w:p w:rsidR="00352CEE" w:rsidRPr="004A13E8" w:rsidP="00352CEE" w14:paraId="214C4355" w14:textId="534A1E6E">
      <w:pPr>
        <w:pStyle w:val="Subtitle"/>
      </w:pPr>
      <w:r>
        <w:t>Lauren Wattenmaker</w:t>
      </w:r>
    </w:p>
    <w:p w:rsidR="00352CEE" w:rsidRPr="004A13E8" w:rsidP="00352CEE" w14:paraId="214C4356" w14:textId="77777777">
      <w:pPr>
        <w:pStyle w:val="Subtitle"/>
      </w:pPr>
      <w:r w:rsidRPr="004A13E8">
        <w:t xml:space="preserve">National Center for Emerging and Zoonotic Infectious Diseases </w:t>
      </w:r>
    </w:p>
    <w:p w:rsidR="00352CEE" w:rsidRPr="004A13E8" w:rsidP="00352CEE" w14:paraId="214C4357" w14:textId="77777777">
      <w:pPr>
        <w:pStyle w:val="Subtitle"/>
      </w:pPr>
      <w:r w:rsidRPr="004A13E8">
        <w:t xml:space="preserve">Centers for Disease Control and Prevention </w:t>
      </w:r>
    </w:p>
    <w:p w:rsidR="00352CEE" w:rsidRPr="004A13E8" w:rsidP="00352CEE" w14:paraId="214C4358" w14:textId="77777777">
      <w:pPr>
        <w:pStyle w:val="Subtitle"/>
      </w:pPr>
      <w:r w:rsidRPr="004A13E8">
        <w:t xml:space="preserve">1600 Clifton Road, NE </w:t>
      </w:r>
    </w:p>
    <w:p w:rsidR="00352CEE" w:rsidRPr="004A13E8" w:rsidP="00352CEE" w14:paraId="214C4359" w14:textId="77777777">
      <w:pPr>
        <w:pStyle w:val="Subtitle"/>
      </w:pPr>
      <w:r w:rsidRPr="004A13E8">
        <w:t xml:space="preserve">Atlanta, Georgia 30333 </w:t>
      </w:r>
    </w:p>
    <w:p w:rsidR="00352CEE" w:rsidRPr="004A13E8" w:rsidP="00352CEE" w14:paraId="214C435A" w14:textId="5D7E3189">
      <w:pPr>
        <w:pStyle w:val="Subtitle"/>
      </w:pPr>
      <w:r w:rsidRPr="004A13E8">
        <w:t xml:space="preserve">Phone: (404) </w:t>
      </w:r>
      <w:r w:rsidR="0094021E">
        <w:t>718-5842</w:t>
      </w:r>
      <w:r w:rsidRPr="004A13E8">
        <w:t xml:space="preserve"> </w:t>
      </w:r>
    </w:p>
    <w:p w:rsidR="00352CEE" w:rsidP="00352CEE" w14:paraId="214C435B" w14:textId="4D3F2ADD">
      <w:pPr>
        <w:pStyle w:val="Subtitle"/>
      </w:pPr>
      <w:r w:rsidRPr="004A6DE8">
        <w:t xml:space="preserve">Email: </w:t>
      </w:r>
      <w:r w:rsidRPr="008F7926" w:rsidR="0094021E">
        <w:t>nlh3</w:t>
      </w:r>
      <w:r w:rsidR="0094021E">
        <w:t>@cdc.gov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352CEE" w:rsidP="00352CEE" w14:paraId="214C4364" w14:textId="77777777">
      <w:pPr>
        <w:pStyle w:val="Heading1"/>
      </w:pPr>
      <w:bookmarkStart w:id="2" w:name="_Toc473882440"/>
      <w:r>
        <w:t>Respondent Universe and Sampling Methods</w:t>
      </w:r>
      <w:bookmarkEnd w:id="2"/>
    </w:p>
    <w:p w:rsidR="009B3729" w:rsidP="009B3729" w14:paraId="00D70007" w14:textId="77777777">
      <w:pPr>
        <w:rPr>
          <w:rFonts w:cs="Times New Roman"/>
          <w:bCs/>
        </w:rPr>
      </w:pPr>
      <w:r>
        <w:rPr>
          <w:bCs/>
        </w:rPr>
        <w:t xml:space="preserve">The purpose of this inherently duplicative approach was to ensure hospitals began collecting this critical data expeditiously, consciously leveraging hospitals’ long-standing familiarity and use of NHSN. However, as our experience grew throughout the pandemic, it became clear that this duplication was not effective and was an additional burden on the respondents and on the Department to maintain and update as the response and the associated data needs changed. Thus, on July 10, </w:t>
      </w:r>
      <w:r>
        <w:rPr>
          <w:bCs/>
        </w:rPr>
        <w:t>2020</w:t>
      </w:r>
      <w:r>
        <w:rPr>
          <w:bCs/>
        </w:rPr>
        <w:t xml:space="preserve"> HHS discontinued collection using National Healthcare Safety Network, which was collecting similar information. This single collection (along with collections intermediated through state health departments) represent the source for hospitalization information related to COVID-19 feeding the HHS Protect platform. To reduce duplication of effort across the broader system, HHS makes available this data to state health departments through HHS Protect and to the broader public through HealthData.gov (in various forms of aggregation to protect individual persons/entities). This collection is transitioning back to CDC’s NHSN beginning mid-December 2022 because the Teletracking contract ends December 31, 2022.</w:t>
      </w:r>
    </w:p>
    <w:p w:rsidR="009B3729" w:rsidP="009B3729" w14:paraId="5328C0D8" w14:textId="77777777">
      <w:pPr>
        <w:pStyle w:val="NoSpacing"/>
        <w:spacing w:line="276" w:lineRule="auto"/>
      </w:pPr>
      <w:r>
        <w:t xml:space="preserve">NHSN’s COVID-19 reporting modules are currently approved under </w:t>
      </w:r>
      <w:sdt>
        <w:sdtPr>
          <w:rPr>
            <w:rFonts w:ascii="Arial Nova" w:hAnsi="Arial Nova"/>
            <w:color w:val="6E6E6E"/>
          </w:rPr>
          <w:alias w:val="delete if no number assigned yet"/>
          <w:id w:val="-301470373"/>
          <w:placeholder>
            <w:docPart w:val="260BDDCE59BF4725A088EB053506ECB0"/>
          </w:placeholder>
          <w:richText/>
        </w:sdtPr>
        <w:sdtContent>
          <w:r>
            <w:t xml:space="preserve">OMB Control No. 0920-1317, </w:t>
          </w:r>
        </w:sdtContent>
      </w:sdt>
      <w:r>
        <w:rPr>
          <w:rFonts w:ascii="Arial Nova" w:hAnsi="Arial Nova"/>
          <w:color w:val="6E6E6E"/>
        </w:rPr>
        <w:t xml:space="preserve"> </w:t>
      </w:r>
      <w:sdt>
        <w:sdtPr>
          <w:rPr>
            <w:rFonts w:ascii="Arial Nova" w:hAnsi="Arial Nova"/>
            <w:color w:val="6E6E6E"/>
          </w:rPr>
          <w:alias w:val="OMB epiration date if applicable"/>
          <w:tag w:val="Expire"/>
          <w:id w:val="967791058"/>
          <w:placeholder>
            <w:docPart w:val="FE23DFEDF94844CCA3EF1F12CB198602"/>
          </w:placeholder>
          <w:richText/>
        </w:sdtPr>
        <w:sdtContent>
          <w:r>
            <w:t xml:space="preserve">expiration 12/31/2023.  </w:t>
          </w:r>
        </w:sdtContent>
      </w:sdt>
      <w:r w:rsidRPr="00B36EB2">
        <w:t xml:space="preserve">Since 2005, NHSN </w:t>
      </w:r>
      <w:r>
        <w:t>has provided</w:t>
      </w:r>
      <w:r w:rsidRPr="00B36EB2">
        <w:t xml:space="preserve"> </w:t>
      </w:r>
      <w:r>
        <w:t xml:space="preserve">healthcare </w:t>
      </w:r>
      <w:r w:rsidRPr="00B36EB2">
        <w:t xml:space="preserve">facilities, states, regions, and the nation with the data desired to identify </w:t>
      </w:r>
      <w:r>
        <w:t xml:space="preserve">healthcare-associated infection (HAI) and antimicrobial resistance </w:t>
      </w:r>
      <w:r w:rsidRPr="00B36EB2">
        <w:t>problem areas, measure the progress of prevention efforts, and ultimately eliminate HAIs</w:t>
      </w:r>
      <w:r>
        <w:t xml:space="preserve"> in conjunction with driving the achievement of the overall mission of the Department of Health and Human Services (DHHS)</w:t>
      </w:r>
      <w:r w:rsidRPr="00B36EB2">
        <w:t xml:space="preserve">. </w:t>
      </w:r>
      <w:r w:rsidRPr="00AF0D36">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t>800</w:t>
      </w:r>
      <w:r w:rsidRPr="00AF0D36">
        <w:t xml:space="preserve"> inpatient psychiatric facilities; over 3,800 long-term care facilities; and 5,580 ambulatory surgery facilities.</w:t>
      </w:r>
      <w:r w:rsidRPr="003071C4">
        <w:t xml:space="preserve"> </w:t>
      </w:r>
    </w:p>
    <w:p w:rsidR="009B3729" w:rsidP="009B3729" w14:paraId="5D7AF011" w14:textId="77777777">
      <w:pPr>
        <w:pStyle w:val="NoSpacing"/>
        <w:spacing w:line="276" w:lineRule="auto"/>
      </w:pPr>
    </w:p>
    <w:p w:rsidR="009B3729" w:rsidP="009B3729" w14:paraId="50589A0F" w14:textId="77777777">
      <w:pPr>
        <w:pStyle w:val="NoSpacing"/>
        <w:spacing w:line="276" w:lineRule="auto"/>
      </w:pPr>
      <w:r>
        <w:t>All</w:t>
      </w:r>
      <w:r w:rsidRPr="00B36EB2">
        <w:t xml:space="preserve"> data for NHSN </w:t>
      </w:r>
      <w:r w:rsidRPr="008B3028">
        <w:rPr>
          <w:noProof/>
        </w:rPr>
        <w:t>is collected</w:t>
      </w:r>
      <w:r w:rsidRPr="00B36EB2">
        <w:t xml:space="preserve"> via a secure internet application</w:t>
      </w:r>
      <w:r>
        <w:t xml:space="preserve">, and </w:t>
      </w:r>
      <w:r w:rsidRPr="00B36EB2">
        <w:t>NHSN participation is open to all U.S</w:t>
      </w:r>
      <w:r>
        <w:t>.</w:t>
      </w:r>
      <w:r w:rsidRPr="00B36EB2">
        <w:t xml:space="preserve"> healthcare facilities.</w:t>
      </w:r>
      <w:r>
        <w:t xml:space="preserve">  </w:t>
      </w:r>
      <w:r w:rsidRPr="00B36EB2">
        <w:t xml:space="preserve">Reporting institutions </w:t>
      </w:r>
      <w:r>
        <w:t>can</w:t>
      </w:r>
      <w:r w:rsidRPr="00B36EB2">
        <w:t xml:space="preserve"> access their </w:t>
      </w:r>
      <w:r w:rsidRPr="008B3028">
        <w:rPr>
          <w:noProof/>
        </w:rPr>
        <w:t>own</w:t>
      </w:r>
      <w:r w:rsidRPr="00B36EB2">
        <w:t xml:space="preserve"> data at any time and analyze it through the </w:t>
      </w:r>
      <w:r>
        <w:t xml:space="preserve">secure </w:t>
      </w:r>
      <w:r w:rsidRPr="00B36EB2">
        <w:t xml:space="preserve">internet interface. </w:t>
      </w:r>
      <w:r>
        <w:t xml:space="preserve">As with HAI data, NHSN plans to use COVID-19 data aggregated from multiple hospitals to establish and update statistical benchmarks of disease burden at various geographic levels, including state and national, that can be shared with individual hospitals within the NHSN application and in online reports without compromising NHSN’s commitment to preserving the confidentiality of each hospital’s data.               </w:t>
      </w:r>
    </w:p>
    <w:p w:rsidR="009B3729" w:rsidP="009B3729" w14:paraId="721B2223" w14:textId="77777777">
      <w:pPr>
        <w:pStyle w:val="NoSpacing"/>
        <w:spacing w:line="276" w:lineRule="auto"/>
      </w:pPr>
    </w:p>
    <w:p w:rsidR="009B3729" w:rsidP="009B3729" w14:paraId="15F9A01D" w14:textId="77777777">
      <w:pPr>
        <w:pStyle w:val="NoSpacing"/>
        <w:spacing w:line="276" w:lineRule="auto"/>
      </w:pPr>
      <w:r w:rsidRPr="00B36EB2">
        <w:t xml:space="preserve">In effect, NHSN serves as a multi-purpose platform that consolidates </w:t>
      </w:r>
      <w:r w:rsidRPr="00A555E4">
        <w:rPr>
          <w:noProof/>
        </w:rPr>
        <w:t>HAI</w:t>
      </w:r>
      <w:r>
        <w:rPr>
          <w:noProof/>
        </w:rPr>
        <w:t>-</w:t>
      </w:r>
      <w:r w:rsidRPr="00A555E4">
        <w:rPr>
          <w:noProof/>
        </w:rPr>
        <w:t>related</w:t>
      </w:r>
      <w:r w:rsidRPr="00B36EB2">
        <w:t xml:space="preserve"> reporting and analysis functions into one system, with a single set of data definitions, reporting specifications, and summary statistics.  NHSN </w:t>
      </w:r>
      <w:r>
        <w:t xml:space="preserve">is an </w:t>
      </w:r>
      <w:r w:rsidRPr="00B36EB2">
        <w:t xml:space="preserve">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p>
    <w:p w:rsidR="00352CEE" w:rsidRPr="007F46E9" w:rsidP="00B6337F" w14:paraId="214C4365" w14:textId="60F1309A"/>
    <w:p w:rsidR="00352CEE" w:rsidP="00352CEE" w14:paraId="214C4366" w14:textId="77777777">
      <w:pPr>
        <w:pStyle w:val="Heading1"/>
      </w:pPr>
      <w:bookmarkStart w:id="3" w:name="_Toc473882441"/>
      <w:r>
        <w:t>Procedures for the Collection of Information</w:t>
      </w:r>
      <w:bookmarkEnd w:id="3"/>
    </w:p>
    <w:p w:rsidR="0094021E" w:rsidP="008F7926" w14:paraId="6D1D3CA6" w14:textId="6BDF5EE0">
      <w:pPr>
        <w:pStyle w:val="NoSpacing"/>
        <w:spacing w:line="276" w:lineRule="auto"/>
      </w:pPr>
      <w:r>
        <w:t xml:space="preserve">A “suspected COVID-19” count is defined as </w:t>
      </w:r>
      <w:r>
        <w:rPr>
          <w:szCs w:val="24"/>
        </w:rPr>
        <w:t>a patient without a laboratory confirmed COVID-19 diagnosis who has signs and symptoms compatible with COVID-19 (most patients with confirmed COVID-19 have developed fever and/or symptoms of acute respiratory illness, such as cough, difficulty breathing).</w:t>
      </w:r>
      <w:r>
        <w:t xml:space="preserve"> </w:t>
      </w:r>
      <w:r>
        <w:rPr>
          <w:szCs w:val="24"/>
        </w:rPr>
        <w:t xml:space="preserve"> A “confirmed COVID-19” count is defined as a patient with a laboratory confirmed COVID-19 diagnosis.  </w:t>
      </w:r>
      <w:r w:rsidR="00373C38">
        <w:t>Suspected or confirmed</w:t>
      </w:r>
      <w:r>
        <w:t xml:space="preserve"> COVID-19 counts will be monitored daily across all </w:t>
      </w:r>
      <w:r w:rsidR="00C64B41">
        <w:t>long-term care facilities</w:t>
      </w:r>
      <w:r>
        <w:t xml:space="preserve"> and reported to NHSN by infection preventionists (IPs).  </w:t>
      </w:r>
      <w:r w:rsidR="00373C38">
        <w:t xml:space="preserve">This includes the </w:t>
      </w:r>
      <w:r w:rsidR="00C64B41">
        <w:t xml:space="preserve">residents </w:t>
      </w:r>
      <w:r w:rsidR="00373C38">
        <w:t>with laboratory-confirmed or clinically diagnosed COVID-19. Data entered must meet the case definitions provided in the associated tables of instructions</w:t>
      </w:r>
      <w:r w:rsidR="004C612A">
        <w:t xml:space="preserve"> (Attachment </w:t>
      </w:r>
      <w:r w:rsidR="004B3659">
        <w:t>4b)</w:t>
      </w:r>
      <w:r w:rsidR="00373C38">
        <w:t>.  Data will be entered into the NHSN web application either manually or via</w:t>
      </w:r>
      <w:r w:rsidR="00B221C0">
        <w:t xml:space="preserve"> comma-separated values</w:t>
      </w:r>
      <w:r w:rsidR="00373C38">
        <w:t xml:space="preserve"> </w:t>
      </w:r>
      <w:r w:rsidR="00B221C0">
        <w:t>(</w:t>
      </w:r>
      <w:r w:rsidR="00373C38">
        <w:t>CSV</w:t>
      </w:r>
      <w:r w:rsidR="00B221C0">
        <w:t>)</w:t>
      </w:r>
      <w:r w:rsidR="00373C38">
        <w:t xml:space="preserve">.  </w:t>
      </w:r>
    </w:p>
    <w:p w:rsidR="0094021E" w:rsidP="0094021E" w14:paraId="1A9F7D5B" w14:textId="77777777">
      <w:pPr>
        <w:pStyle w:val="NoSpacing"/>
      </w:pPr>
    </w:p>
    <w:p w:rsidR="00352CEE" w:rsidP="00352CEE" w14:paraId="214C4368" w14:textId="7E99C1DC">
      <w:pPr>
        <w:pStyle w:val="Heading1"/>
      </w:pPr>
      <w:bookmarkStart w:id="4" w:name="_Toc473882442"/>
      <w:r>
        <w:t xml:space="preserve">Methods to </w:t>
      </w:r>
      <w:r w:rsidR="008D1E43">
        <w:t>M</w:t>
      </w:r>
      <w:r>
        <w:t>aximize Response Rates and Deal with No Response</w:t>
      </w:r>
      <w:bookmarkEnd w:id="4"/>
    </w:p>
    <w:p w:rsidR="00AF0D36" w:rsidP="00AF0D36" w14:paraId="7D668A77" w14:textId="6792BBF9">
      <w:pPr>
        <w:pStyle w:val="NoSpacing"/>
      </w:pPr>
      <w:bookmarkStart w:id="5" w:name="_Toc473882443"/>
      <w:r w:rsidRPr="00C15922">
        <w:t>Participation in NHSN is open to all healthcare institutions with patient population groups that are addressed by the NHSN modules. Participating institutions have complete autonomy on</w:t>
      </w:r>
      <w:r>
        <w:t xml:space="preserve"> the</w:t>
      </w:r>
      <w:r w:rsidRPr="00C15922">
        <w:t xml:space="preserve"> </w:t>
      </w:r>
      <w:r w:rsidRPr="002752F3">
        <w:rPr>
          <w:noProof/>
        </w:rPr>
        <w:t>choice</w:t>
      </w:r>
      <w:r w:rsidRPr="00C15922">
        <w:t xml:space="preserve"> of modules to use</w:t>
      </w:r>
      <w:r>
        <w:t>,</w:t>
      </w:r>
      <w:r w:rsidRPr="00C15922">
        <w:t xml:space="preserve"> </w:t>
      </w:r>
      <w:r w:rsidRPr="0021098B">
        <w:rPr>
          <w:noProof/>
        </w:rPr>
        <w:t>and</w:t>
      </w:r>
      <w:r w:rsidRPr="00C15922">
        <w:t xml:space="preserve"> modules </w:t>
      </w:r>
      <w:r w:rsidRPr="0021098B">
        <w:rPr>
          <w:noProof/>
        </w:rPr>
        <w:t>are reported</w:t>
      </w:r>
      <w:r w:rsidRPr="00C15922">
        <w:t xml:space="preserve"> each year.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w:t>
      </w:r>
      <w:r w:rsidRPr="002752F3">
        <w:rPr>
          <w:noProof/>
        </w:rPr>
        <w:t>ha</w:t>
      </w:r>
      <w:r>
        <w:rPr>
          <w:noProof/>
        </w:rPr>
        <w:t>ve</w:t>
      </w:r>
      <w:r w:rsidRPr="00C15922">
        <w:t xml:space="preserve"> resulted in increasing numbers of participants. Three examples </w:t>
      </w:r>
      <w:r w:rsidRPr="0021098B">
        <w:rPr>
          <w:noProof/>
        </w:rPr>
        <w:t>are provided</w:t>
      </w:r>
      <w:r w:rsidRPr="00C15922">
        <w:t xml:space="preserve"> below.</w:t>
      </w:r>
    </w:p>
    <w:p w:rsidR="008D1E43" w:rsidP="00AF0D36" w14:paraId="520BC130" w14:textId="77777777">
      <w:pPr>
        <w:pStyle w:val="NoSpacing"/>
      </w:pPr>
    </w:p>
    <w:p w:rsidR="00AF0D36" w:rsidRPr="00AF0D36" w:rsidP="00AF0D36" w14:paraId="13ED3842" w14:textId="01621C7D">
      <w:pPr>
        <w:pStyle w:val="NoSpacing"/>
        <w:numPr>
          <w:ilvl w:val="0"/>
          <w:numId w:val="4"/>
        </w:numPr>
      </w:pPr>
      <w:r w:rsidRPr="00AF0D36">
        <w:t xml:space="preserve">As of March 2020, 36 states, the District of Columbia, and Philadelphia require facilities in their jurisdictions to join NHSN to comply with legal requirements – including but not limited to state or federal laws, regulations, or other requirements – for mandatory reporting of healthcare facility-specific adverse event, prevention practice adherence, and other public health purposes. </w:t>
      </w:r>
    </w:p>
    <w:p w:rsidR="00AF0D36" w:rsidRPr="00C15922" w:rsidP="00AF0D36" w14:paraId="0E93FC7E" w14:textId="77777777">
      <w:pPr>
        <w:pStyle w:val="NoSpacing"/>
        <w:ind w:left="720"/>
      </w:pPr>
    </w:p>
    <w:p w:rsidR="00AF0D36" w:rsidRPr="00C15922" w:rsidP="00AF0D36" w14:paraId="5E4A304F" w14:textId="77777777">
      <w:pPr>
        <w:pStyle w:val="NoSpacing"/>
        <w:numPr>
          <w:ilvl w:val="0"/>
          <w:numId w:val="4"/>
        </w:numPr>
      </w:pPr>
      <w:r w:rsidRPr="00C15922">
        <w:t xml:space="preserve">The U.S. Centers for Medicare and Medicaid Services (CMS) has identified NHSN as the surveillance mechanism to enable healthcare facilities to report HAI and prevention practice adherence data in fulfillment of CMS’s quality measurement reporting requirements for those data. </w:t>
      </w:r>
    </w:p>
    <w:p w:rsidR="00AF0D36" w:rsidRPr="00C15922" w:rsidP="00AF0D36" w14:paraId="5F2C2BED" w14:textId="77777777">
      <w:pPr>
        <w:pStyle w:val="NoSpacing"/>
        <w:ind w:left="720"/>
      </w:pPr>
    </w:p>
    <w:p w:rsidR="00AF0D36" w:rsidP="00AF0D36" w14:paraId="3C9E0C26" w14:textId="761134D9">
      <w:pPr>
        <w:pStyle w:val="NoSpacing"/>
        <w:numPr>
          <w:ilvl w:val="0"/>
          <w:numId w:val="4"/>
        </w:numPr>
      </w:pPr>
      <w:r>
        <w:t>As of</w:t>
      </w:r>
      <w:r w:rsidRPr="009F6BDA">
        <w:t xml:space="preserve"> May 8, 2020, CMS requires nursing homes to report cases of COVID-19 directly to CDC via NHSN.  CMS also requires nursing homes to fully cooperate with CDC surveillance efforts </w:t>
      </w:r>
      <w:r w:rsidRPr="009F6BDA">
        <w:t xml:space="preserve">around COVID-19 spread and makes the data publicly available on a CMS website.  Failure to report a case of COVID-19 or persons under investigation (PUI) may result in an enforcement action. </w:t>
      </w:r>
    </w:p>
    <w:p w:rsidR="00AF0D36" w:rsidRPr="00F95666" w:rsidP="00AF0D36" w14:paraId="61DADF9B" w14:textId="77777777">
      <w:pPr>
        <w:pStyle w:val="NoSpacing"/>
      </w:pPr>
    </w:p>
    <w:p w:rsidR="00352CEE" w:rsidP="00352CEE" w14:paraId="214C436A" w14:textId="22BFBA7E">
      <w:pPr>
        <w:pStyle w:val="Heading1"/>
      </w:pPr>
      <w:r>
        <w:t xml:space="preserve">Tests </w:t>
      </w:r>
      <w:r w:rsidR="00DE48C7">
        <w:t>of Procedures or Methods to be u</w:t>
      </w:r>
      <w:r>
        <w:t>ndertaken</w:t>
      </w:r>
      <w:bookmarkEnd w:id="5"/>
    </w:p>
    <w:p w:rsidR="005C56D3" w:rsidRPr="00C15922" w:rsidP="00840ADD" w14:paraId="16F5CF52" w14:textId="77777777">
      <w:pPr>
        <w:pStyle w:val="NoSpacing"/>
      </w:pPr>
      <w:r w:rsidRPr="00C15922">
        <w:t xml:space="preserve">NHSN is a surveillance system </w:t>
      </w:r>
      <w:r>
        <w:t xml:space="preserve">has </w:t>
      </w:r>
      <w:r w:rsidRPr="00C15922">
        <w:t>integrate</w:t>
      </w:r>
      <w:r>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t xml:space="preserve"> which has</w:t>
      </w:r>
      <w:r w:rsidRPr="00C15922">
        <w:t xml:space="preserve"> served as </w:t>
      </w:r>
      <w:r>
        <w:t xml:space="preserve">the </w:t>
      </w:r>
      <w:r w:rsidRPr="00C15922">
        <w:t>successful pilot tests of the NHSN surveillance methods. Those systems were the National Nosocomial Infection Surveillance (NNIS) system, the National Surveillance System for Healthcare Workers (</w:t>
      </w:r>
      <w:r w:rsidRPr="00C15922">
        <w:t>NaSH</w:t>
      </w:r>
      <w:r w:rsidRPr="00C15922">
        <w:t>), and the Dialysis Surveillance Network (DSN).</w:t>
      </w:r>
    </w:p>
    <w:p w:rsidR="00352CEE" w:rsidRPr="003B2FB4" w:rsidP="00985CCD" w14:paraId="214C436C" w14:textId="47AA9D80"/>
    <w:p w:rsidR="00352CEE" w:rsidP="00352CEE" w14:paraId="214C436D" w14:textId="0B3FDAA5">
      <w:pPr>
        <w:pStyle w:val="Heading1"/>
      </w:pPr>
      <w:bookmarkStart w:id="6" w:name="_Toc473882444"/>
      <w:r>
        <w:t>Individuals Consulted on Statistical Aspects and Individuals Collecting and/or Analyzing Data</w:t>
      </w:r>
      <w:bookmarkEnd w:id="6"/>
    </w:p>
    <w:p w:rsidR="00840ADD" w:rsidRPr="00673D8E" w:rsidP="00840ADD" w14:paraId="731389A3" w14:textId="77777777">
      <w:pPr>
        <w:pStyle w:val="NoSpacing"/>
      </w:pPr>
      <w:r w:rsidRPr="00C15922">
        <w:t xml:space="preserve">It is the responsibility of the CDC Division of Healthcare Quality Promotion, Surveillance Branch staff to manage and analyze data collected through NHSN. </w:t>
      </w:r>
      <w:r>
        <w:rPr>
          <w:noProof/>
        </w:rPr>
        <w:t>Also</w:t>
      </w:r>
      <w:r w:rsidRPr="00C15922">
        <w:t xml:space="preserve">, facilities and groups of facilities (quality improvement organizations, state health departments, prevention collaborative) </w:t>
      </w:r>
      <w:r>
        <w:rPr>
          <w:noProof/>
        </w:rPr>
        <w:t>can</w:t>
      </w:r>
      <w:r w:rsidRPr="00C15922">
        <w:t xml:space="preserve"> analyze their data for their purposes.</w:t>
      </w:r>
    </w:p>
    <w:p w:rsidR="004B3659" w:rsidRPr="00985CCD" w:rsidP="00840ADD" w14:paraId="382F027B" w14:textId="77777777"/>
    <w:sectPr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A426FBE"/>
    <w:multiLevelType w:val="hybridMultilevel"/>
    <w:tmpl w:val="4B86B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440C6"/>
    <w:rsid w:val="00076692"/>
    <w:rsid w:val="000926D6"/>
    <w:rsid w:val="000F06DC"/>
    <w:rsid w:val="00102486"/>
    <w:rsid w:val="001172C0"/>
    <w:rsid w:val="001472B2"/>
    <w:rsid w:val="001679E9"/>
    <w:rsid w:val="001C5CDB"/>
    <w:rsid w:val="0021098B"/>
    <w:rsid w:val="002752F3"/>
    <w:rsid w:val="002D7E48"/>
    <w:rsid w:val="003071C4"/>
    <w:rsid w:val="003151E9"/>
    <w:rsid w:val="00352CEE"/>
    <w:rsid w:val="00373C38"/>
    <w:rsid w:val="003B1380"/>
    <w:rsid w:val="003B2FB4"/>
    <w:rsid w:val="00495C5C"/>
    <w:rsid w:val="004A13E8"/>
    <w:rsid w:val="004A6DE8"/>
    <w:rsid w:val="004B3659"/>
    <w:rsid w:val="004C612A"/>
    <w:rsid w:val="004D0CD2"/>
    <w:rsid w:val="004D4648"/>
    <w:rsid w:val="00502EA9"/>
    <w:rsid w:val="00536CE3"/>
    <w:rsid w:val="005B4C84"/>
    <w:rsid w:val="005C4D59"/>
    <w:rsid w:val="005C56D3"/>
    <w:rsid w:val="00604123"/>
    <w:rsid w:val="00673D8E"/>
    <w:rsid w:val="006B6676"/>
    <w:rsid w:val="006C1D7A"/>
    <w:rsid w:val="006C6578"/>
    <w:rsid w:val="006F12C6"/>
    <w:rsid w:val="007C3CF9"/>
    <w:rsid w:val="007D3D6B"/>
    <w:rsid w:val="007E07CC"/>
    <w:rsid w:val="007E15FC"/>
    <w:rsid w:val="007E6753"/>
    <w:rsid w:val="007F46E9"/>
    <w:rsid w:val="00835311"/>
    <w:rsid w:val="00840ADD"/>
    <w:rsid w:val="00841E7E"/>
    <w:rsid w:val="00892B4D"/>
    <w:rsid w:val="008B3028"/>
    <w:rsid w:val="008B5D54"/>
    <w:rsid w:val="008D1E43"/>
    <w:rsid w:val="008D7AC9"/>
    <w:rsid w:val="008F7926"/>
    <w:rsid w:val="009050E9"/>
    <w:rsid w:val="00920869"/>
    <w:rsid w:val="0094021E"/>
    <w:rsid w:val="00985CCD"/>
    <w:rsid w:val="00997D0E"/>
    <w:rsid w:val="009B3729"/>
    <w:rsid w:val="009B60D2"/>
    <w:rsid w:val="009D0D7C"/>
    <w:rsid w:val="009E2723"/>
    <w:rsid w:val="009F6BDA"/>
    <w:rsid w:val="00A12917"/>
    <w:rsid w:val="00A555E4"/>
    <w:rsid w:val="00AD5474"/>
    <w:rsid w:val="00AF0D36"/>
    <w:rsid w:val="00B221C0"/>
    <w:rsid w:val="00B36EB2"/>
    <w:rsid w:val="00B55735"/>
    <w:rsid w:val="00B608AC"/>
    <w:rsid w:val="00B6337F"/>
    <w:rsid w:val="00B6670F"/>
    <w:rsid w:val="00BB66AC"/>
    <w:rsid w:val="00C12B69"/>
    <w:rsid w:val="00C15922"/>
    <w:rsid w:val="00C64B41"/>
    <w:rsid w:val="00C70B09"/>
    <w:rsid w:val="00CF4242"/>
    <w:rsid w:val="00DC57CC"/>
    <w:rsid w:val="00DE48C7"/>
    <w:rsid w:val="00E36FE3"/>
    <w:rsid w:val="00F95666"/>
    <w:rsid w:val="00F97F2F"/>
    <w:rsid w:val="00FA2C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B6337F"/>
    <w:rPr>
      <w:color w:val="800080" w:themeColor="followedHyperlink"/>
      <w:u w:val="single"/>
    </w:rPr>
  </w:style>
  <w:style w:type="character" w:styleId="CommentReference">
    <w:name w:val="annotation reference"/>
    <w:basedOn w:val="DefaultParagraphFont"/>
    <w:uiPriority w:val="99"/>
    <w:semiHidden/>
    <w:unhideWhenUsed/>
    <w:rsid w:val="000F06DC"/>
    <w:rPr>
      <w:sz w:val="16"/>
      <w:szCs w:val="16"/>
    </w:rPr>
  </w:style>
  <w:style w:type="paragraph" w:styleId="CommentText">
    <w:name w:val="annotation text"/>
    <w:basedOn w:val="Normal"/>
    <w:link w:val="CommentTextChar"/>
    <w:uiPriority w:val="99"/>
    <w:semiHidden/>
    <w:unhideWhenUsed/>
    <w:rsid w:val="000F06DC"/>
    <w:pPr>
      <w:spacing w:line="240" w:lineRule="auto"/>
    </w:pPr>
    <w:rPr>
      <w:sz w:val="20"/>
      <w:szCs w:val="20"/>
    </w:rPr>
  </w:style>
  <w:style w:type="character" w:customStyle="1" w:styleId="CommentTextChar">
    <w:name w:val="Comment Text Char"/>
    <w:basedOn w:val="DefaultParagraphFont"/>
    <w:link w:val="CommentText"/>
    <w:uiPriority w:val="99"/>
    <w:semiHidden/>
    <w:rsid w:val="000F06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06DC"/>
    <w:rPr>
      <w:b/>
      <w:bCs/>
    </w:rPr>
  </w:style>
  <w:style w:type="character" w:customStyle="1" w:styleId="CommentSubjectChar">
    <w:name w:val="Comment Subject Char"/>
    <w:basedOn w:val="CommentTextChar"/>
    <w:link w:val="CommentSubject"/>
    <w:uiPriority w:val="99"/>
    <w:semiHidden/>
    <w:rsid w:val="000F06DC"/>
    <w:rPr>
      <w:rFonts w:ascii="Times New Roman" w:hAnsi="Times New Roman"/>
      <w:b/>
      <w:bCs/>
      <w:sz w:val="20"/>
      <w:szCs w:val="20"/>
    </w:rPr>
  </w:style>
  <w:style w:type="paragraph" w:styleId="BalloonText">
    <w:name w:val="Balloon Text"/>
    <w:basedOn w:val="Normal"/>
    <w:link w:val="BalloonTextChar"/>
    <w:uiPriority w:val="99"/>
    <w:semiHidden/>
    <w:unhideWhenUsed/>
    <w:rsid w:val="000F0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DC"/>
    <w:rPr>
      <w:rFonts w:ascii="Segoe UI" w:hAnsi="Segoe UI" w:cs="Segoe UI"/>
      <w:sz w:val="18"/>
      <w:szCs w:val="18"/>
    </w:rPr>
  </w:style>
  <w:style w:type="character" w:customStyle="1" w:styleId="NoSpacingChar">
    <w:name w:val="No Spacing Char"/>
    <w:basedOn w:val="DefaultParagraphFont"/>
    <w:link w:val="NoSpacing"/>
    <w:uiPriority w:val="1"/>
    <w:rsid w:val="008F792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0BDDCE59BF4725A088EB053506ECB0"/>
        <w:category>
          <w:name w:val="General"/>
          <w:gallery w:val="placeholder"/>
        </w:category>
        <w:types>
          <w:type w:val="bbPlcHdr"/>
        </w:types>
        <w:behaviors>
          <w:behavior w:val="content"/>
        </w:behaviors>
        <w:guid w:val="{F31F5B3E-5388-415F-84C2-34E364CE02FF}"/>
      </w:docPartPr>
      <w:docPartBody>
        <w:p w:rsidR="005B4C84" w:rsidP="00B6670F">
          <w:pPr>
            <w:pStyle w:val="260BDDCE59BF4725A088EB053506ECB0"/>
          </w:pPr>
          <w:r>
            <w:rPr>
              <w:rStyle w:val="PlaceholderText"/>
              <w:rFonts w:ascii="Arial Nova" w:hAnsi="Arial Nova"/>
            </w:rPr>
            <w:t>[OMB No. 0920-xxxx]</w:t>
          </w:r>
        </w:p>
      </w:docPartBody>
    </w:docPart>
    <w:docPart>
      <w:docPartPr>
        <w:name w:val="FE23DFEDF94844CCA3EF1F12CB198602"/>
        <w:category>
          <w:name w:val="General"/>
          <w:gallery w:val="placeholder"/>
        </w:category>
        <w:types>
          <w:type w:val="bbPlcHdr"/>
        </w:types>
        <w:behaviors>
          <w:behavior w:val="content"/>
        </w:behaviors>
        <w:guid w:val="{89817E5B-E1FB-4123-B67E-E83BD3ECCFAC}"/>
      </w:docPartPr>
      <w:docPartBody>
        <w:p w:rsidR="005B4C84" w:rsidP="00B6670F">
          <w:pPr>
            <w:pStyle w:val="FE23DFEDF94844CCA3EF1F12CB198602"/>
          </w:pPr>
          <w:r>
            <w:rPr>
              <w:rStyle w:val="PlaceholderText"/>
              <w:rFonts w:ascii="Arial Nova" w:hAnsi="Arial Nova"/>
            </w:rPr>
            <w:t>[OMB expiration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0F"/>
    <w:rsid w:val="00054E1E"/>
    <w:rsid w:val="005B4C84"/>
    <w:rsid w:val="00B23881"/>
    <w:rsid w:val="00B6670F"/>
    <w:rsid w:val="00DF14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70F"/>
  </w:style>
  <w:style w:type="paragraph" w:customStyle="1" w:styleId="260BDDCE59BF4725A088EB053506ECB0">
    <w:name w:val="260BDDCE59BF4725A088EB053506ECB0"/>
    <w:rsid w:val="00B6670F"/>
  </w:style>
  <w:style w:type="paragraph" w:customStyle="1" w:styleId="FE23DFEDF94844CCA3EF1F12CB198602">
    <w:name w:val="FE23DFEDF94844CCA3EF1F12CB198602"/>
    <w:rsid w:val="00B66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2B7C76-F0D8-48E7-AF5E-B14FED57AA22}">
  <ds:schemaRefs>
    <ds:schemaRef ds:uri="http://schemas.openxmlformats.org/officeDocument/2006/bibliography"/>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61D3D472-BB62-4B6B-AF60-BEF520BF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(CDC/DDID/NCEZID/OD)</cp:lastModifiedBy>
  <cp:revision>6</cp:revision>
  <dcterms:created xsi:type="dcterms:W3CDTF">2022-11-16T16:04:00Z</dcterms:created>
  <dcterms:modified xsi:type="dcterms:W3CDTF">2022-11-22T16:57:00Z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991f55b8-9680-4158-972b-0adb53a504de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2022-11-16T16:04:19Z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