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0DE0" w:rsidRPr="00E60DE0" w:rsidP="00E60DE0" w14:paraId="51B87099" w14:textId="77777777">
      <w:pPr>
        <w:spacing w:after="120"/>
        <w:jc w:val="center"/>
        <w:rPr>
          <w:b/>
        </w:rPr>
      </w:pPr>
      <w:r w:rsidRPr="00E60DE0">
        <w:rPr>
          <w:b/>
        </w:rPr>
        <w:t>Supporting Statement A:</w:t>
      </w:r>
    </w:p>
    <w:p w:rsidR="00F104F4" w:rsidRPr="00E60DE0" w:rsidP="2FF584B5" w14:paraId="2BC4806A" w14:textId="757F207D">
      <w:pPr>
        <w:spacing w:after="120"/>
        <w:jc w:val="center"/>
        <w:rPr>
          <w:b/>
          <w:bCs/>
        </w:rPr>
      </w:pPr>
      <w:r w:rsidRPr="2FF584B5">
        <w:rPr>
          <w:b/>
          <w:bCs/>
        </w:rPr>
        <w:t xml:space="preserve">OMB Control Number: </w:t>
      </w:r>
      <w:r w:rsidRPr="2FF584B5" w:rsidR="4E352DFB">
        <w:rPr>
          <w:b/>
          <w:bCs/>
        </w:rPr>
        <w:t>3265-0006</w:t>
      </w:r>
    </w:p>
    <w:p w:rsidR="00F104F4" w:rsidRPr="00E60DE0" w:rsidP="00E60DE0" w14:paraId="2C7F2C63" w14:textId="77777777">
      <w:pPr>
        <w:spacing w:after="120"/>
        <w:jc w:val="center"/>
        <w:rPr>
          <w:b/>
        </w:rPr>
      </w:pPr>
      <w:r w:rsidRPr="00E60DE0">
        <w:rPr>
          <w:b/>
        </w:rPr>
        <w:t>U.S. Election Assistance Commission</w:t>
      </w:r>
    </w:p>
    <w:p w:rsidR="00F104F4" w:rsidRPr="00E60DE0" w:rsidP="25F4E6DC" w14:paraId="25D6AF8D" w14:textId="00346FC0">
      <w:pPr>
        <w:jc w:val="center"/>
        <w:rPr>
          <w:b/>
          <w:bCs/>
        </w:rPr>
      </w:pPr>
      <w:r w:rsidRPr="2FF584B5">
        <w:rPr>
          <w:b/>
          <w:bCs/>
        </w:rPr>
        <w:t>20</w:t>
      </w:r>
      <w:r w:rsidRPr="2FF584B5" w:rsidR="000D1A8A">
        <w:rPr>
          <w:b/>
          <w:bCs/>
        </w:rPr>
        <w:t>2</w:t>
      </w:r>
      <w:r w:rsidRPr="2FF584B5" w:rsidR="7784C982">
        <w:rPr>
          <w:b/>
          <w:bCs/>
        </w:rPr>
        <w:t>4</w:t>
      </w:r>
      <w:r w:rsidRPr="2FF584B5" w:rsidR="00A1567F">
        <w:rPr>
          <w:b/>
          <w:bCs/>
        </w:rPr>
        <w:t xml:space="preserve"> </w:t>
      </w:r>
      <w:r w:rsidRPr="2FF584B5" w:rsidR="00CC75A1">
        <w:rPr>
          <w:b/>
          <w:bCs/>
        </w:rPr>
        <w:t>Election Administration and Voting Survey</w:t>
      </w:r>
    </w:p>
    <w:p w:rsidR="00E60DE0" w:rsidRPr="00E60DE0" w:rsidP="2FF584B5" w14:paraId="3819890B" w14:textId="2CF89551">
      <w:pPr>
        <w:rPr>
          <w:b/>
          <w:bCs/>
        </w:rPr>
      </w:pPr>
      <w:r w:rsidRPr="2FF584B5">
        <w:rPr>
          <w:b/>
          <w:bCs/>
        </w:rPr>
        <w:t>A.</w:t>
      </w:r>
      <w:r w:rsidRPr="2FF584B5" w:rsidR="5731F237">
        <w:rPr>
          <w:b/>
          <w:bCs/>
        </w:rPr>
        <w:t xml:space="preserve"> </w:t>
      </w:r>
      <w:r w:rsidRPr="2FF584B5">
        <w:rPr>
          <w:b/>
          <w:bCs/>
        </w:rPr>
        <w:t>Justification</w:t>
      </w:r>
    </w:p>
    <w:p w:rsidR="00E60DE0" w:rsidRPr="00E60DE0" w:rsidP="005D72BD" w14:paraId="46AB3626" w14:textId="77777777">
      <w:pPr>
        <w:ind w:left="360"/>
        <w:rPr>
          <w:b/>
          <w:u w:val="single"/>
        </w:rPr>
      </w:pPr>
      <w:r>
        <w:rPr>
          <w:b/>
          <w:u w:val="single"/>
        </w:rPr>
        <w:t>1.</w:t>
      </w:r>
      <w:r>
        <w:rPr>
          <w:b/>
          <w:u w:val="single"/>
        </w:rPr>
        <w:tab/>
      </w:r>
      <w:r w:rsidRPr="00E60DE0" w:rsidR="00CC75A1">
        <w:rPr>
          <w:b/>
          <w:u w:val="single"/>
        </w:rPr>
        <w:t>Explain the circumstances that make the collection of information necessary.</w:t>
      </w:r>
    </w:p>
    <w:p w:rsidR="006F22D8" w:rsidP="005D72BD" w14:paraId="314930C3" w14:textId="3AC51AAC">
      <w:pPr>
        <w:pStyle w:val="BodyTextIndent"/>
      </w:pPr>
      <w:r w:rsidRPr="005D72BD">
        <w:t xml:space="preserve">The proposed information collection is necessary </w:t>
      </w:r>
      <w:r w:rsidR="001A229B">
        <w:t>for several reasons.</w:t>
      </w:r>
      <w:r w:rsidR="00CC5AEB">
        <w:t xml:space="preserve"> </w:t>
      </w:r>
      <w:r w:rsidR="001A229B">
        <w:t xml:space="preserve">First, </w:t>
      </w:r>
      <w:r w:rsidRPr="005D72BD">
        <w:t>the Help America Vote Act (HAVA) of 2002 (</w:t>
      </w:r>
      <w:r w:rsidR="00EC1097">
        <w:t>52</w:t>
      </w:r>
      <w:r w:rsidRPr="005D72BD" w:rsidR="00EC1097">
        <w:t xml:space="preserve"> </w:t>
      </w:r>
      <w:r w:rsidRPr="005D72BD">
        <w:t xml:space="preserve">U.S.C. </w:t>
      </w:r>
      <w:r w:rsidR="000D2E8E">
        <w:t xml:space="preserve">§ </w:t>
      </w:r>
      <w:r w:rsidR="00EC1097">
        <w:t>20901</w:t>
      </w:r>
      <w:r w:rsidRPr="005D72BD">
        <w:t>)</w:t>
      </w:r>
      <w:r w:rsidR="001A229B">
        <w:t xml:space="preserve">, especially </w:t>
      </w:r>
      <w:r w:rsidRPr="005D72BD">
        <w:t>§241</w:t>
      </w:r>
      <w:r w:rsidR="001A229B">
        <w:t>,</w:t>
      </w:r>
      <w:r w:rsidRPr="005D72BD">
        <w:t xml:space="preserve"> requires the U.S. Election Assistance Commission (EAC) to study and report on election activities, practices, policies, and procedures, including methods of voter registration, methods of conducting provisional voting, poll worker recruitment and training, and such other matters as the Commission determines are appropriate.</w:t>
      </w:r>
    </w:p>
    <w:p w:rsidR="00E60DE0" w:rsidRPr="00E60DE0" w:rsidP="005D72BD" w14:paraId="5FE08453" w14:textId="52325733">
      <w:pPr>
        <w:pStyle w:val="BodyTextIndent"/>
      </w:pPr>
      <w:r>
        <w:t>Second</w:t>
      </w:r>
      <w:r w:rsidR="65EB5078">
        <w:t>, HAVA §802 transferred to the EAC the Federal Election Commission’s responsibility of biennially administering a</w:t>
      </w:r>
      <w:r w:rsidR="12800EEF">
        <w:t xml:space="preserve"> </w:t>
      </w:r>
      <w:r w:rsidR="65EB5078">
        <w:t>survey on the impact of the National Voter Registration Act (NVRA) (</w:t>
      </w:r>
      <w:bookmarkStart w:id="0" w:name="_Hlk20750714"/>
      <w:r w:rsidR="740BB36F">
        <w:t>52 U.S.C. § 20508</w:t>
      </w:r>
      <w:bookmarkEnd w:id="0"/>
      <w:r w:rsidR="65EB5078">
        <w:t xml:space="preserve">). The information the </w:t>
      </w:r>
      <w:r w:rsidR="101F9143">
        <w:t>s</w:t>
      </w:r>
      <w:r w:rsidR="65EB5078">
        <w:t xml:space="preserve">tates are required to submit to the EAC for purposes of the NVRA report </w:t>
      </w:r>
      <w:r w:rsidR="3871017E">
        <w:t>is</w:t>
      </w:r>
      <w:r w:rsidR="65EB5078">
        <w:t xml:space="preserve"> found under Title 11 of the Code of Federal Regulations (11 CFR 8.7).</w:t>
      </w:r>
    </w:p>
    <w:p w:rsidR="00E60DE0" w:rsidRPr="00E60DE0" w:rsidP="005D72BD" w14:paraId="43415C0A" w14:textId="56D1F98B">
      <w:pPr>
        <w:pStyle w:val="BodyTextIndent"/>
      </w:pPr>
      <w:r>
        <w:t xml:space="preserve">Third, </w:t>
      </w:r>
      <w:r w:rsidRPr="00E60DE0" w:rsidR="00CC75A1">
        <w:t xml:space="preserve">HAVA §703(a) amended §102 </w:t>
      </w:r>
      <w:r w:rsidR="0063388B">
        <w:t xml:space="preserve">of </w:t>
      </w:r>
      <w:r w:rsidRPr="00E60DE0" w:rsidR="00CC75A1">
        <w:t>the Uniformed and Overseas Citizens Absentee Voters Act (UOCAVA) (</w:t>
      </w:r>
      <w:r w:rsidR="00CC5AEB">
        <w:t>52</w:t>
      </w:r>
      <w:r w:rsidRPr="00C80EB0" w:rsidR="00CC5AEB">
        <w:t xml:space="preserve"> U.S.C. §</w:t>
      </w:r>
      <w:r w:rsidR="00CC5AEB">
        <w:t>20302</w:t>
      </w:r>
      <w:r w:rsidRPr="00C80EB0" w:rsidR="00CC5AEB">
        <w:t>(c)</w:t>
      </w:r>
      <w:r w:rsidRPr="00E60DE0" w:rsidR="00CC75A1">
        <w:t xml:space="preserve">) by requiring that “not later than 90 days after the date of each regularly scheduled general election for Federal office, each </w:t>
      </w:r>
      <w:r w:rsidR="0057757B">
        <w:t>s</w:t>
      </w:r>
      <w:r w:rsidRPr="00E60DE0" w:rsidR="00CC75A1">
        <w:t xml:space="preserve">tate and unit of local government which administered the election shall (through the </w:t>
      </w:r>
      <w:r w:rsidR="0057757B">
        <w:t>s</w:t>
      </w:r>
      <w:r w:rsidRPr="00E60DE0" w:rsidR="00CC75A1">
        <w:t>tate, in the case of a unit of local government) submit a report to the Election Assistance Commission (established under the Help America Vote Act of 2002) on the combined number of absentee ballots transmitted to absent uniformed services voters and overseas voters for the election and the combined number of such ballots which were returned by such voters and cast in the election, and shall make such a report available to the general public.”</w:t>
      </w:r>
    </w:p>
    <w:p w:rsidR="00E60DE0" w:rsidP="005D72BD" w14:paraId="3D74B716" w14:textId="480F1F15">
      <w:pPr>
        <w:pStyle w:val="BodyTextIndent"/>
        <w:rPr>
          <w:color w:val="000000"/>
        </w:rPr>
      </w:pPr>
      <w:r>
        <w:t xml:space="preserve">Fourth, the EAC and </w:t>
      </w:r>
      <w:r w:rsidRPr="5A6718D1">
        <w:rPr>
          <w:color w:val="000000" w:themeColor="text1"/>
        </w:rPr>
        <w:t xml:space="preserve">the </w:t>
      </w:r>
      <w:r>
        <w:t>Federal Voting Assistance Program</w:t>
      </w:r>
      <w:r w:rsidRPr="5A6718D1">
        <w:rPr>
          <w:color w:val="000000" w:themeColor="text1"/>
        </w:rPr>
        <w:t xml:space="preserve"> (FVAP)</w:t>
      </w:r>
      <w:r w:rsidRPr="5A6718D1" w:rsidR="00BF780E">
        <w:rPr>
          <w:color w:val="000000" w:themeColor="text1"/>
        </w:rPr>
        <w:t xml:space="preserve">, </w:t>
      </w:r>
      <w:r w:rsidR="00BF780E">
        <w:t xml:space="preserve">an agency of the Department of Defense, </w:t>
      </w:r>
      <w:r w:rsidRPr="5A6718D1">
        <w:rPr>
          <w:color w:val="000000" w:themeColor="text1"/>
        </w:rPr>
        <w:t xml:space="preserve">have worked together to </w:t>
      </w:r>
      <w:r w:rsidRPr="5A6718D1" w:rsidR="00BF780E">
        <w:rPr>
          <w:color w:val="000000" w:themeColor="text1"/>
        </w:rPr>
        <w:t>combine their requirements to collect data about voting by UOCAVA citizens.</w:t>
      </w:r>
      <w:r w:rsidRPr="5A6718D1" w:rsidR="00CC5AEB">
        <w:rPr>
          <w:color w:val="000000" w:themeColor="text1"/>
        </w:rPr>
        <w:t xml:space="preserve"> </w:t>
      </w:r>
      <w:r w:rsidRPr="5A6718D1" w:rsidR="00BF780E">
        <w:rPr>
          <w:color w:val="000000" w:themeColor="text1"/>
        </w:rPr>
        <w:t xml:space="preserve">Starting in 2014, the EAC added questions from FVAP’s Post-Election Survey of Local Election Officials to the </w:t>
      </w:r>
      <w:r w:rsidRPr="5A6718D1" w:rsidR="000E1B4D">
        <w:rPr>
          <w:color w:val="000000" w:themeColor="text1"/>
        </w:rPr>
        <w:t>Election Administration and Voting Survey (</w:t>
      </w:r>
      <w:r w:rsidRPr="5A6718D1" w:rsidR="00BF780E">
        <w:rPr>
          <w:color w:val="000000" w:themeColor="text1"/>
        </w:rPr>
        <w:t>EAVS</w:t>
      </w:r>
      <w:r w:rsidRPr="5A6718D1" w:rsidR="000E1B4D">
        <w:rPr>
          <w:color w:val="000000" w:themeColor="text1"/>
        </w:rPr>
        <w:t>)</w:t>
      </w:r>
      <w:r w:rsidRPr="5A6718D1" w:rsidR="00BF780E">
        <w:rPr>
          <w:color w:val="000000" w:themeColor="text1"/>
        </w:rPr>
        <w:t>.</w:t>
      </w:r>
      <w:r w:rsidRPr="5A6718D1" w:rsidR="00CC5AEB">
        <w:rPr>
          <w:color w:val="000000" w:themeColor="text1"/>
        </w:rPr>
        <w:t xml:space="preserve"> </w:t>
      </w:r>
      <w:r w:rsidRPr="5A6718D1" w:rsidR="00BF780E">
        <w:rPr>
          <w:color w:val="000000" w:themeColor="text1"/>
        </w:rPr>
        <w:t>This consolidation of surveys reduced the paperwork burden on state and local election offices and also made FVAP a primary consumer of the EAVS.</w:t>
      </w:r>
      <w:r w:rsidRPr="5A6718D1" w:rsidR="00CC5AEB">
        <w:rPr>
          <w:color w:val="000000" w:themeColor="text1"/>
        </w:rPr>
        <w:t xml:space="preserve"> </w:t>
      </w:r>
      <w:r w:rsidRPr="5A6718D1" w:rsidR="00BF780E">
        <w:rPr>
          <w:color w:val="000000" w:themeColor="text1"/>
        </w:rPr>
        <w:t xml:space="preserve">As a part of this consolidation, the EAC and FVAP worked with the chief </w:t>
      </w:r>
      <w:r w:rsidRPr="5A6718D1" w:rsidR="0057757B">
        <w:rPr>
          <w:color w:val="000000" w:themeColor="text1"/>
        </w:rPr>
        <w:t>s</w:t>
      </w:r>
      <w:r w:rsidRPr="5A6718D1" w:rsidR="00BF780E">
        <w:rPr>
          <w:color w:val="000000" w:themeColor="text1"/>
        </w:rPr>
        <w:t xml:space="preserve">tate election official of each </w:t>
      </w:r>
      <w:r w:rsidRPr="5A6718D1" w:rsidR="0057757B">
        <w:rPr>
          <w:color w:val="000000" w:themeColor="text1"/>
        </w:rPr>
        <w:t>s</w:t>
      </w:r>
      <w:r w:rsidRPr="5A6718D1" w:rsidR="00BF780E">
        <w:rPr>
          <w:color w:val="000000" w:themeColor="text1"/>
        </w:rPr>
        <w:t xml:space="preserve">tate </w:t>
      </w:r>
      <w:r w:rsidRPr="5A6718D1" w:rsidR="006F22D8">
        <w:rPr>
          <w:color w:val="000000" w:themeColor="text1"/>
        </w:rPr>
        <w:t xml:space="preserve">and </w:t>
      </w:r>
      <w:r w:rsidRPr="5A6718D1" w:rsidR="00BF780E">
        <w:rPr>
          <w:color w:val="000000" w:themeColor="text1"/>
        </w:rPr>
        <w:t>develop</w:t>
      </w:r>
      <w:r w:rsidRPr="5A6718D1" w:rsidR="006F22D8">
        <w:rPr>
          <w:color w:val="000000" w:themeColor="text1"/>
        </w:rPr>
        <w:t>ed</w:t>
      </w:r>
      <w:r w:rsidRPr="5A6718D1" w:rsidR="00BF780E">
        <w:rPr>
          <w:color w:val="000000" w:themeColor="text1"/>
        </w:rPr>
        <w:t xml:space="preserve"> standards for reporting the number of absentee ballots requested and received, </w:t>
      </w:r>
      <w:r w:rsidRPr="5A6718D1" w:rsidR="006F22D8">
        <w:rPr>
          <w:color w:val="000000" w:themeColor="text1"/>
        </w:rPr>
        <w:t xml:space="preserve">and </w:t>
      </w:r>
      <w:r w:rsidRPr="5A6718D1" w:rsidR="00BF780E">
        <w:rPr>
          <w:color w:val="000000" w:themeColor="text1"/>
        </w:rPr>
        <w:t xml:space="preserve">other data as FVAP determines appropriate and for FVAP to store the data reported, as required under the </w:t>
      </w:r>
      <w:r w:rsidR="00CC75A1">
        <w:t>MOVE Act (Military and Overseas Voter Empowerment)</w:t>
      </w:r>
      <w:r w:rsidR="00BF780E">
        <w:t>, enacted</w:t>
      </w:r>
      <w:r w:rsidR="005E4686">
        <w:t xml:space="preserve"> </w:t>
      </w:r>
      <w:r w:rsidR="00CC75A1">
        <w:t xml:space="preserve">as part of the National Defense Authorization Act of FY 2010 (P.L. 111-84). </w:t>
      </w:r>
    </w:p>
    <w:p w:rsidR="007C2BA5" w:rsidP="00521186" w14:paraId="41A09D76" w14:textId="3C8E70A2">
      <w:pPr>
        <w:pStyle w:val="BodyTextIndent"/>
      </w:pPr>
      <w:r w:rsidRPr="00062E63">
        <w:t>The primary use of the</w:t>
      </w:r>
      <w:r w:rsidR="006F22D8">
        <w:t>se</w:t>
      </w:r>
      <w:r w:rsidRPr="00062E63">
        <w:t xml:space="preserve"> data by FVAP is to identify areas where the electoral process can be improved by providing an accurate picture of the </w:t>
      </w:r>
      <w:r w:rsidR="00BF780E">
        <w:t xml:space="preserve">UOCAVA </w:t>
      </w:r>
      <w:r w:rsidRPr="00062E63">
        <w:t>absentee voting process.</w:t>
      </w:r>
      <w:r w:rsidR="00CC5AEB">
        <w:t xml:space="preserve"> </w:t>
      </w:r>
      <w:r w:rsidRPr="00062E63">
        <w:t>Th</w:t>
      </w:r>
      <w:r w:rsidR="00BF780E">
        <w:t>e</w:t>
      </w:r>
      <w:r w:rsidRPr="00062E63">
        <w:t>s</w:t>
      </w:r>
      <w:r w:rsidR="00BF780E">
        <w:t>e</w:t>
      </w:r>
      <w:r w:rsidRPr="00062E63">
        <w:t xml:space="preserve"> data permit </w:t>
      </w:r>
      <w:r w:rsidR="00BF780E">
        <w:t xml:space="preserve">FVAP to </w:t>
      </w:r>
      <w:r w:rsidRPr="00062E63">
        <w:t>evaluat</w:t>
      </w:r>
      <w:r w:rsidR="00BF780E">
        <w:t>e</w:t>
      </w:r>
      <w:r w:rsidRPr="00062E63">
        <w:t xml:space="preserve"> the extent to which </w:t>
      </w:r>
      <w:r w:rsidR="00D670F8">
        <w:t>FVAP</w:t>
      </w:r>
      <w:r w:rsidR="00BF780E">
        <w:t xml:space="preserve"> </w:t>
      </w:r>
      <w:r w:rsidRPr="00062E63">
        <w:t xml:space="preserve">is achieving its mission and </w:t>
      </w:r>
      <w:r w:rsidR="00BF780E">
        <w:t xml:space="preserve">the </w:t>
      </w:r>
      <w:r w:rsidRPr="00062E63">
        <w:t xml:space="preserve">actions </w:t>
      </w:r>
      <w:r w:rsidR="00D670F8">
        <w:t xml:space="preserve">it can </w:t>
      </w:r>
      <w:r w:rsidRPr="00062E63">
        <w:t>take to improve the process.</w:t>
      </w:r>
      <w:r w:rsidR="00CC5AEB">
        <w:t xml:space="preserve"> </w:t>
      </w:r>
      <w:r w:rsidRPr="00062E63">
        <w:t xml:space="preserve">In addition, </w:t>
      </w:r>
      <w:r w:rsidR="00D670F8">
        <w:t>FVAP uses these</w:t>
      </w:r>
      <w:r w:rsidRPr="00062E63" w:rsidR="00D670F8">
        <w:t xml:space="preserve"> </w:t>
      </w:r>
      <w:r w:rsidRPr="00062E63">
        <w:t xml:space="preserve">data </w:t>
      </w:r>
      <w:r w:rsidR="00D670F8">
        <w:t xml:space="preserve">to evaluate </w:t>
      </w:r>
      <w:r w:rsidRPr="00062E63">
        <w:t>if legislative changes have been successful in removing barriers for absentee voting and identify any remaining obstacles to voting by those populations covered by the UOCAVA.</w:t>
      </w:r>
    </w:p>
    <w:p w:rsidR="00662F01" w:rsidP="00521186" w14:paraId="5A66941E" w14:textId="1B38398F">
      <w:pPr>
        <w:pStyle w:val="BodyTextIndent"/>
      </w:pPr>
      <w:r>
        <w:t xml:space="preserve">Finally, it is important to note that other federal </w:t>
      </w:r>
      <w:r w:rsidR="00B237DA">
        <w:t>agencies</w:t>
      </w:r>
      <w:r>
        <w:t xml:space="preserve"> rely on data collected through the EAVS, including the Department of Justice, Department of Homeland Security, the Census Bureau, and the U.S. Postal Service. This is discussed in further detail </w:t>
      </w:r>
      <w:r w:rsidR="00B237DA">
        <w:t>below under question 2</w:t>
      </w:r>
      <w:r>
        <w:t>.</w:t>
      </w:r>
    </w:p>
    <w:p w:rsidR="00E60DE0" w:rsidRPr="005D72BD" w:rsidP="005D72BD" w14:paraId="49C582DF" w14:textId="56711859">
      <w:pPr>
        <w:ind w:left="360"/>
        <w:rPr>
          <w:b/>
          <w:u w:val="single"/>
        </w:rPr>
      </w:pPr>
      <w:r w:rsidRPr="005D72BD">
        <w:rPr>
          <w:b/>
          <w:u w:val="single"/>
        </w:rPr>
        <w:t>2.</w:t>
      </w:r>
      <w:r w:rsidR="00CC5AEB">
        <w:rPr>
          <w:b/>
          <w:u w:val="single"/>
        </w:rPr>
        <w:t xml:space="preserve"> </w:t>
      </w:r>
      <w:r w:rsidRPr="005D72BD">
        <w:rPr>
          <w:b/>
          <w:u w:val="single"/>
        </w:rPr>
        <w:t>Indicate how, by whom, and for what purpose the information is to be used.</w:t>
      </w:r>
    </w:p>
    <w:p w:rsidR="00F104F4" w:rsidP="005D72BD" w14:paraId="393A7808" w14:textId="621006E9">
      <w:pPr>
        <w:pStyle w:val="BodyTextIndent"/>
      </w:pPr>
      <w:r>
        <w:t>These data are used by several sources.</w:t>
      </w:r>
      <w:r w:rsidR="00CC5AEB">
        <w:t xml:space="preserve"> </w:t>
      </w:r>
      <w:r>
        <w:t xml:space="preserve">First, the EAC will use the data </w:t>
      </w:r>
      <w:r w:rsidR="00CC75A1">
        <w:t xml:space="preserve">collected </w:t>
      </w:r>
      <w:r w:rsidR="00F75F70">
        <w:t>by</w:t>
      </w:r>
      <w:r w:rsidR="00CC75A1">
        <w:t xml:space="preserve"> the </w:t>
      </w:r>
      <w:r w:rsidR="001E5ADC">
        <w:t>202</w:t>
      </w:r>
      <w:r w:rsidR="5EED3C00">
        <w:t>4</w:t>
      </w:r>
      <w:r w:rsidR="001E5ADC">
        <w:t xml:space="preserve"> </w:t>
      </w:r>
      <w:r w:rsidR="00662F01">
        <w:t>EAVS</w:t>
      </w:r>
      <w:r w:rsidR="00CC75A1">
        <w:t xml:space="preserve"> </w:t>
      </w:r>
      <w:r>
        <w:t xml:space="preserve">to meet its statutory requirements related to (1) the </w:t>
      </w:r>
      <w:r w:rsidR="00CC75A1">
        <w:t>impact of the NVRA (</w:t>
      </w:r>
      <w:r w:rsidR="001E5ADC">
        <w:t>52 U.S.C. § 20508</w:t>
      </w:r>
      <w:r w:rsidR="00CC75A1">
        <w:t xml:space="preserve">) on the administration of elections for the period from the day after the November </w:t>
      </w:r>
      <w:r w:rsidR="5D9CCEFB">
        <w:t>8</w:t>
      </w:r>
      <w:r w:rsidR="00CC75A1">
        <w:t xml:space="preserve">, </w:t>
      </w:r>
      <w:r w:rsidR="007D760C">
        <w:t>20</w:t>
      </w:r>
      <w:r w:rsidR="00D15FAB">
        <w:t>2</w:t>
      </w:r>
      <w:r w:rsidR="4F0048DC">
        <w:t>2</w:t>
      </w:r>
      <w:r w:rsidR="007D760C">
        <w:t xml:space="preserve"> </w:t>
      </w:r>
      <w:r w:rsidR="00CC75A1">
        <w:t xml:space="preserve">Federal general elections until Election Day November </w:t>
      </w:r>
      <w:r w:rsidR="0F308BA9">
        <w:t>5</w:t>
      </w:r>
      <w:r w:rsidR="00CC75A1">
        <w:t xml:space="preserve">, </w:t>
      </w:r>
      <w:r w:rsidR="00D670F8">
        <w:t>20</w:t>
      </w:r>
      <w:r w:rsidR="001E5ADC">
        <w:t>2</w:t>
      </w:r>
      <w:r w:rsidR="2CAB01BE">
        <w:t>4</w:t>
      </w:r>
      <w:r w:rsidR="0006530D">
        <w:t xml:space="preserve">; (2) the required HAVA </w:t>
      </w:r>
      <w:r w:rsidR="00CC75A1">
        <w:t xml:space="preserve">information </w:t>
      </w:r>
      <w:r w:rsidR="0006530D">
        <w:t xml:space="preserve">regarding </w:t>
      </w:r>
      <w:r w:rsidR="00CC75A1">
        <w:t>the combined number of absentee ballots transmitted to absent uniformed services and overseas citizen voters for the election and the combined number of such ballots which were returned by such voters and cast in the election</w:t>
      </w:r>
      <w:r w:rsidR="0006530D">
        <w:t xml:space="preserve">; and (3) information required </w:t>
      </w:r>
      <w:r w:rsidR="00F75F70">
        <w:t xml:space="preserve">by </w:t>
      </w:r>
      <w:r w:rsidR="0006530D">
        <w:t>the Help America Vote Act (HAVA) of 2002 (</w:t>
      </w:r>
      <w:r w:rsidR="00EC1097">
        <w:t xml:space="preserve">52 </w:t>
      </w:r>
      <w:r w:rsidR="0006530D">
        <w:t xml:space="preserve">U.S.C. </w:t>
      </w:r>
      <w:r w:rsidR="00EC1097">
        <w:t>§ 20901</w:t>
      </w:r>
      <w:r w:rsidR="0006530D">
        <w:t xml:space="preserve">), especially §241, that </w:t>
      </w:r>
      <w:r w:rsidR="00F75F70">
        <w:t>is</w:t>
      </w:r>
      <w:r w:rsidR="0006530D">
        <w:t xml:space="preserve"> used in the EAC biennial report to Congress. The EAC also uses these data for various reports and guidance for state and local election officials.</w:t>
      </w:r>
    </w:p>
    <w:p w:rsidR="004E12DE" w:rsidP="00521186" w14:paraId="131BAEA4" w14:textId="69B93FAD">
      <w:pPr>
        <w:pStyle w:val="BodyTextIndent"/>
      </w:pPr>
      <w:r>
        <w:t xml:space="preserve">Second, FVAP is a </w:t>
      </w:r>
      <w:r w:rsidR="008E25CE">
        <w:t>primary</w:t>
      </w:r>
      <w:r>
        <w:t xml:space="preserve"> user of these data; it is </w:t>
      </w:r>
      <w:r w:rsidRPr="00062E63" w:rsidR="007C2BA5">
        <w:t xml:space="preserve">required to submit a report to Congress reflecting a statistical analysis of </w:t>
      </w:r>
      <w:r w:rsidR="001E5ADC">
        <w:t>u</w:t>
      </w:r>
      <w:r w:rsidRPr="00062E63" w:rsidR="007C2BA5">
        <w:t xml:space="preserve">niformed </w:t>
      </w:r>
      <w:r w:rsidR="001E5ADC">
        <w:t>s</w:t>
      </w:r>
      <w:r w:rsidRPr="00062E63" w:rsidR="007C2BA5">
        <w:t>ervice</w:t>
      </w:r>
      <w:r w:rsidR="001E5ADC">
        <w:t>s</w:t>
      </w:r>
      <w:r w:rsidRPr="00062E63" w:rsidR="007C2BA5">
        <w:t xml:space="preserve"> and </w:t>
      </w:r>
      <w:r w:rsidR="001E5ADC">
        <w:t>o</w:t>
      </w:r>
      <w:r w:rsidRPr="00062E63" w:rsidR="007C2BA5">
        <w:t xml:space="preserve">verseas </w:t>
      </w:r>
      <w:r w:rsidR="001E5ADC">
        <w:t>citizen</w:t>
      </w:r>
      <w:r w:rsidRPr="00062E63" w:rsidR="001E5ADC">
        <w:t xml:space="preserve"> </w:t>
      </w:r>
      <w:r w:rsidRPr="00062E63" w:rsidR="007C2BA5">
        <w:t>participation</w:t>
      </w:r>
      <w:r w:rsidR="008E25CE">
        <w:t xml:space="preserve"> </w:t>
      </w:r>
      <w:r w:rsidR="006F22D8">
        <w:t xml:space="preserve">in each federal </w:t>
      </w:r>
      <w:r w:rsidR="001E5ADC">
        <w:t xml:space="preserve">general </w:t>
      </w:r>
      <w:r w:rsidR="006F22D8">
        <w:t xml:space="preserve">election, </w:t>
      </w:r>
      <w:r w:rsidR="008E25CE">
        <w:t xml:space="preserve">and also uses these data for policy-specific analyses. The EAC shares all relevant EAVS data </w:t>
      </w:r>
      <w:r w:rsidRPr="00062E63" w:rsidR="007C2BA5">
        <w:t xml:space="preserve">with </w:t>
      </w:r>
      <w:r w:rsidR="006F22D8">
        <w:t>FVAP</w:t>
      </w:r>
      <w:r w:rsidR="008E25CE">
        <w:t xml:space="preserve"> now that the EAC collects all local election official quantitative </w:t>
      </w:r>
      <w:r>
        <w:t>data for FVAP.</w:t>
      </w:r>
    </w:p>
    <w:p w:rsidR="00662F01" w:rsidP="00521186" w14:paraId="02CCBB73" w14:textId="378C822E">
      <w:pPr>
        <w:pStyle w:val="BodyTextIndent"/>
      </w:pPr>
      <w:r>
        <w:t>Third, additional users of these data include other federal agencies. For example, the Voting Section of the Department of Justice’s Civil Rights Division uses EAVS data to inform its monitoring and enforcement of federal voting laws, including HAVA, the NVRA, and UOCAVA. The Election Security Initiative at the Department of Homeland Security’s Cybersecurity and Infrastructure Security Agency, which leads federal efforts to protect U.S. election infrastructure following its designation as critical infrastructure in January 2017, uses EAVS data to inform its analyses of election infrastructure, including election technology cybersecurity threat modeling for different types of election jurisdictions. Other examples include the Census Bureau, which has used EAVS data on turnout and voter registration to help validate data collected through the Voting and Registration Supplement to the American Community Survey, and the U.S. Postal Service, which has used EAVS data to inform trend analyses on voting by mail.</w:t>
      </w:r>
    </w:p>
    <w:p w:rsidR="007C2BA5" w:rsidRPr="00062E63" w:rsidP="00521186" w14:paraId="280773FD" w14:textId="2E55A066">
      <w:pPr>
        <w:pStyle w:val="BodyTextIndent"/>
      </w:pPr>
      <w:r>
        <w:t>Finally</w:t>
      </w:r>
      <w:r w:rsidR="001E5ADC">
        <w:t xml:space="preserve">, </w:t>
      </w:r>
      <w:r w:rsidR="004E12DE">
        <w:t xml:space="preserve">EAVS data are also used by an array of public users, including academic and </w:t>
      </w:r>
      <w:r w:rsidR="004E12DE">
        <w:t>public policy researchers, in an effort to understand the conduct of American election administration.</w:t>
      </w:r>
    </w:p>
    <w:p w:rsidR="00E60DE0" w:rsidRPr="005D72BD" w:rsidP="00555D32" w14:paraId="40F98368" w14:textId="1C34F1EB">
      <w:pPr>
        <w:keepNext/>
        <w:widowControl/>
        <w:ind w:left="360"/>
        <w:rPr>
          <w:b/>
          <w:u w:val="single"/>
        </w:rPr>
      </w:pPr>
      <w:r w:rsidRPr="005D72BD">
        <w:rPr>
          <w:b/>
          <w:u w:val="single"/>
        </w:rPr>
        <w:t>3.</w:t>
      </w:r>
      <w:r w:rsidR="00CC5AEB">
        <w:rPr>
          <w:b/>
          <w:u w:val="single"/>
        </w:rPr>
        <w:t xml:space="preserve"> </w:t>
      </w:r>
      <w:r w:rsidRPr="005D72BD">
        <w:rPr>
          <w:b/>
          <w:u w:val="single"/>
        </w:rPr>
        <w:t>Describe whether, and to what extent, the collection of information involves the use of automated, electronic, mechanical, or other technological collection techniques or other forms of information technology.</w:t>
      </w:r>
    </w:p>
    <w:p w:rsidR="00E60DE0" w:rsidP="005D72BD" w14:paraId="3F330619" w14:textId="54E46FF3">
      <w:pPr>
        <w:pStyle w:val="BodyTextIndent"/>
      </w:pPr>
      <w:r>
        <w:t>In 2016, the EAVS data collection was modified so that states had much greater flexibility in collecting and reporting data.</w:t>
      </w:r>
      <w:r w:rsidR="00CC5AEB">
        <w:t xml:space="preserve"> </w:t>
      </w:r>
      <w:r>
        <w:t xml:space="preserve">The data were collected primarily using an Excel </w:t>
      </w:r>
      <w:r w:rsidR="00707C38">
        <w:t>template,</w:t>
      </w:r>
      <w:r>
        <w:t xml:space="preserve"> but </w:t>
      </w:r>
      <w:r w:rsidR="004E12DE">
        <w:t xml:space="preserve">modifications were made so that states with more sophisticated capabilities could report their data as an export from their state election management system. States who needed to collect data directly from their local jurisdictions were provided with a simple </w:t>
      </w:r>
      <w:r w:rsidR="00CC75A1">
        <w:t xml:space="preserve">Excel-based template, </w:t>
      </w:r>
      <w:r w:rsidR="004E12DE">
        <w:t>and these data could be easily combined into a single state report</w:t>
      </w:r>
      <w:r w:rsidR="00CC75A1">
        <w:t>.</w:t>
      </w:r>
      <w:r w:rsidR="00CC5AEB">
        <w:t xml:space="preserve"> </w:t>
      </w:r>
      <w:r w:rsidR="004E12DE">
        <w:t>Some localities were allow</w:t>
      </w:r>
      <w:r w:rsidR="00EC1097">
        <w:t>ed</w:t>
      </w:r>
      <w:r w:rsidR="004E12DE">
        <w:t xml:space="preserve"> to report their data on a paper form, or via a telephone interview-style data collection format.</w:t>
      </w:r>
      <w:r w:rsidR="00CC5AEB">
        <w:t xml:space="preserve"> </w:t>
      </w:r>
      <w:r w:rsidR="004E12DE">
        <w:t>The reported data were also validated using human-assisted machine learning techniques.</w:t>
      </w:r>
    </w:p>
    <w:p w:rsidR="00056F41" w:rsidP="005D72BD" w14:paraId="484CC2A9" w14:textId="25F736C2">
      <w:pPr>
        <w:pStyle w:val="BodyTextIndent"/>
      </w:pPr>
      <w:r>
        <w:t xml:space="preserve">In 2018, the </w:t>
      </w:r>
      <w:r w:rsidR="007A39E4">
        <w:t xml:space="preserve">EAC </w:t>
      </w:r>
      <w:r w:rsidR="001E5ADC">
        <w:t>created an online data collection system to supplement the Excel-based template that accommodated state-level data exports; this online system replaced the Excel template that allowed for item-by-item data entry. This online system was used by more than a dozen states, especially those that rely heavily on local election offices to provide EAVS data. The state and local election offices that used the online system reported positive feedback and indicated that it reduced the time spent filling out the survey. The online system also increased data integrity by incorporating data validation checks throughout the online survey and by reducing the amount of manipulation that state officials needed to do with local-level submissions; the Excel template had the capability of automatically porting online survey submissions into a single Excel file.</w:t>
      </w:r>
    </w:p>
    <w:p w:rsidR="001E5ADC" w:rsidP="005D72BD" w14:paraId="41E350E9" w14:textId="35F85E95">
      <w:pPr>
        <w:pStyle w:val="BodyTextIndent"/>
      </w:pPr>
      <w:r>
        <w:t xml:space="preserve">The EAC </w:t>
      </w:r>
      <w:r w:rsidR="00662F01">
        <w:t xml:space="preserve">plans to </w:t>
      </w:r>
      <w:r w:rsidR="002A38B6">
        <w:t>use</w:t>
      </w:r>
      <w:r>
        <w:t xml:space="preserve"> the online data collection system again in 202</w:t>
      </w:r>
      <w:r w:rsidR="2398FA23">
        <w:t>4</w:t>
      </w:r>
      <w:r>
        <w:t xml:space="preserve"> </w:t>
      </w:r>
      <w:r w:rsidR="00056F41">
        <w:t xml:space="preserve">to supplement the Excel-based template </w:t>
      </w:r>
      <w:r>
        <w:t xml:space="preserve">and will introduce additional capabilities that will allow local </w:t>
      </w:r>
      <w:r w:rsidR="00056F41">
        <w:t xml:space="preserve">election offices to edit their data prior to certification and better track their local jurisdictions’ progress through the survey. It is </w:t>
      </w:r>
      <w:r w:rsidR="00F43DC1">
        <w:t xml:space="preserve">expected </w:t>
      </w:r>
      <w:r w:rsidR="00056F41">
        <w:t>that these additional functionalities will further reduce the response burden associated with the survey and will lead to higher-quality and more accurate data submissions.</w:t>
      </w:r>
    </w:p>
    <w:p w:rsidR="00E60DE0" w:rsidRPr="005D72BD" w:rsidP="005D72BD" w14:paraId="287C3D7B" w14:textId="6ECCC313">
      <w:pPr>
        <w:ind w:left="360"/>
        <w:rPr>
          <w:b/>
          <w:u w:val="single"/>
        </w:rPr>
      </w:pPr>
      <w:r w:rsidRPr="005D72BD">
        <w:rPr>
          <w:b/>
          <w:u w:val="single"/>
        </w:rPr>
        <w:t>4.</w:t>
      </w:r>
      <w:r w:rsidR="00CC5AEB">
        <w:rPr>
          <w:b/>
          <w:u w:val="single"/>
        </w:rPr>
        <w:t xml:space="preserve"> </w:t>
      </w:r>
      <w:r w:rsidRPr="005D72BD">
        <w:rPr>
          <w:b/>
          <w:u w:val="single"/>
        </w:rPr>
        <w:t>Describe efforts to identify duplication.</w:t>
      </w:r>
    </w:p>
    <w:p w:rsidR="00761382" w:rsidP="005D72BD" w14:paraId="414F6349" w14:textId="1620D878">
      <w:pPr>
        <w:pStyle w:val="BodyTextIndent"/>
      </w:pPr>
      <w:r>
        <w:t xml:space="preserve">In 2014, FVAP and the EAC combined their survey questions about UOCAVA voting to lessen the burden on states and localities associated with federal reporting of these data. By asking the questions once, in a single survey, both organizations </w:t>
      </w:r>
      <w:r w:rsidR="00056F41">
        <w:t>have</w:t>
      </w:r>
      <w:r>
        <w:t xml:space="preserve"> obtain</w:t>
      </w:r>
      <w:r w:rsidR="00056F41">
        <w:t>ed</w:t>
      </w:r>
      <w:r>
        <w:t xml:space="preserve"> higher-quality data and higher compliance with data reporting</w:t>
      </w:r>
      <w:r w:rsidR="00056F41">
        <w:t xml:space="preserve"> requirements</w:t>
      </w:r>
      <w:r>
        <w:t xml:space="preserve">. </w:t>
      </w:r>
      <w:r w:rsidR="002C5982">
        <w:t>Under t</w:t>
      </w:r>
      <w:r>
        <w:t>he memorandum of understanding between the two agencies</w:t>
      </w:r>
      <w:r w:rsidR="002C5982">
        <w:t>,</w:t>
      </w:r>
      <w:r>
        <w:t xml:space="preserve"> FVAP provide</w:t>
      </w:r>
      <w:r w:rsidR="002C5982">
        <w:t>d</w:t>
      </w:r>
      <w:r>
        <w:t xml:space="preserve"> the EAC with the survey questions</w:t>
      </w:r>
      <w:r w:rsidR="002C5982">
        <w:t>, which were</w:t>
      </w:r>
      <w:r>
        <w:t xml:space="preserve"> added to the EAVS</w:t>
      </w:r>
      <w:r w:rsidR="002C5982">
        <w:t>,</w:t>
      </w:r>
      <w:r>
        <w:t xml:space="preserve"> and the EAC provide</w:t>
      </w:r>
      <w:r w:rsidR="002C5982">
        <w:t>d</w:t>
      </w:r>
      <w:r>
        <w:t xml:space="preserve"> FVAP with </w:t>
      </w:r>
      <w:r w:rsidR="002C5982">
        <w:t>all UOCAVA</w:t>
      </w:r>
      <w:r>
        <w:t xml:space="preserve"> data after the survey had been administered.</w:t>
      </w:r>
    </w:p>
    <w:p w:rsidR="00761382" w:rsidP="25F4E6DC" w14:paraId="1DA0CBED" w14:textId="13D8C4DF">
      <w:pPr>
        <w:pStyle w:val="BodyTextIndent"/>
      </w:pPr>
      <w:r>
        <w:t>In 2015, FVAP created a working group that reviewed all UOCAVA questions contained in the EAVS.</w:t>
      </w:r>
      <w:r w:rsidR="740BB36F">
        <w:t xml:space="preserve"> </w:t>
      </w:r>
      <w:r>
        <w:t xml:space="preserve">The group identified all redundant questions and recommended changes to </w:t>
      </w:r>
      <w:r>
        <w:t>other questions so that the questions could be more easily understood and data reporting improved.</w:t>
      </w:r>
      <w:r w:rsidR="740BB36F">
        <w:t xml:space="preserve"> </w:t>
      </w:r>
      <w:r>
        <w:t xml:space="preserve">The 2018 survey questions related to UOCAVA voting </w:t>
      </w:r>
      <w:r w:rsidR="14FAA1A4">
        <w:t>were</w:t>
      </w:r>
      <w:r>
        <w:t xml:space="preserve"> reduced based on this effort</w:t>
      </w:r>
      <w:r w:rsidR="14FAA1A4">
        <w:t>, and this reduction in questions continues in the 2020 survey.</w:t>
      </w:r>
      <w:r w:rsidR="7205DDA5">
        <w:t xml:space="preserve"> </w:t>
      </w:r>
      <w:r w:rsidR="7C10026D">
        <w:t>In 2019</w:t>
      </w:r>
      <w:r w:rsidR="204105A3">
        <w:t xml:space="preserve"> and 202</w:t>
      </w:r>
      <w:r w:rsidR="2C02F9F3">
        <w:t>2</w:t>
      </w:r>
      <w:r w:rsidR="7C10026D">
        <w:t xml:space="preserve">, the EAC launched a </w:t>
      </w:r>
      <w:r w:rsidR="7205DDA5">
        <w:t>similar working group to examine the voter registration questions in the EAVS</w:t>
      </w:r>
      <w:r w:rsidR="7C10026D">
        <w:t>, including efforts to streamline questions where redundancy may exist</w:t>
      </w:r>
      <w:r w:rsidR="7205DDA5">
        <w:t xml:space="preserve">. </w:t>
      </w:r>
      <w:r w:rsidR="717D69F9">
        <w:t>C</w:t>
      </w:r>
      <w:r w:rsidR="7205DDA5">
        <w:t xml:space="preserve">hanges recommended by this group will </w:t>
      </w:r>
      <w:r w:rsidR="6DFD1136">
        <w:t>be implemented</w:t>
      </w:r>
      <w:r w:rsidR="7205DDA5">
        <w:t xml:space="preserve"> </w:t>
      </w:r>
      <w:r w:rsidR="10EE7DB7">
        <w:t>in</w:t>
      </w:r>
      <w:r w:rsidR="7205DDA5">
        <w:t xml:space="preserve"> the 202</w:t>
      </w:r>
      <w:r w:rsidR="204105A3">
        <w:t>4</w:t>
      </w:r>
      <w:r w:rsidR="7205DDA5">
        <w:t xml:space="preserve"> EAVS.</w:t>
      </w:r>
    </w:p>
    <w:p w:rsidR="00EC7CB2" w:rsidP="00521186" w14:paraId="3E6DA8B7" w14:textId="23A872BF">
      <w:pPr>
        <w:pStyle w:val="BodyTextIndent"/>
      </w:pPr>
      <w:r>
        <w:t xml:space="preserve">To further identify and mitigate against duplication of effort, EAC </w:t>
      </w:r>
      <w:r w:rsidR="05527ECF">
        <w:t xml:space="preserve">staff </w:t>
      </w:r>
      <w:r>
        <w:t>maintain regular communication with federal agencies known to conduct data collections on similar topics</w:t>
      </w:r>
      <w:r w:rsidR="43630442">
        <w:t>, such as the Census Bureau and FVAP. For example, when modifying questions regarding UOCAVA voters for the 2020 Policy Survey, a component of the EAVS data collection</w:t>
      </w:r>
      <w:r w:rsidR="135B1C97">
        <w:t xml:space="preserve"> formerly called the Statutory Overview</w:t>
      </w:r>
      <w:r w:rsidR="43630442">
        <w:t xml:space="preserve">, EAC staff </w:t>
      </w:r>
      <w:r w:rsidR="615906AA">
        <w:t xml:space="preserve">discussed potential revisions with FVAP and reviewed existing FVAP data collections to ensure that duplication was avoided. Similarly, when considering a potential new question for the 2020 EAVS on election jurisdiction employment, the EAC engaged officials at the Census Bureau who administer the Annual Employment Survey and Census of the Governments to </w:t>
      </w:r>
      <w:r w:rsidR="05527ECF">
        <w:t xml:space="preserve">inform question design and </w:t>
      </w:r>
      <w:r w:rsidR="615906AA">
        <w:t>make sure there would be no dupli</w:t>
      </w:r>
      <w:r w:rsidR="05527ECF">
        <w:t>cated effort.</w:t>
      </w:r>
    </w:p>
    <w:p w:rsidR="00E60DE0" w:rsidRPr="005D72BD" w:rsidP="5A6718D1" w14:paraId="1E74CDD7" w14:textId="6F993F43">
      <w:pPr>
        <w:pStyle w:val="BodyTextIndent"/>
        <w:ind w:left="0"/>
        <w:rPr>
          <w:b/>
          <w:bCs/>
          <w:u w:val="single"/>
        </w:rPr>
      </w:pPr>
      <w:r w:rsidRPr="5A6718D1">
        <w:rPr>
          <w:b/>
          <w:bCs/>
          <w:u w:val="single"/>
        </w:rPr>
        <w:t>5.</w:t>
      </w:r>
      <w:r w:rsidRPr="5A6718D1" w:rsidR="00CC5AEB">
        <w:rPr>
          <w:b/>
          <w:bCs/>
          <w:u w:val="single"/>
        </w:rPr>
        <w:t xml:space="preserve"> </w:t>
      </w:r>
      <w:r w:rsidRPr="5A6718D1">
        <w:rPr>
          <w:b/>
          <w:bCs/>
          <w:u w:val="single"/>
        </w:rPr>
        <w:t>If the collection of information impacts small businesses or other small entities, describe any methods used to minimize burden.</w:t>
      </w:r>
      <w:r w:rsidRPr="5A6718D1" w:rsidR="001352FD">
        <w:rPr>
          <w:b/>
          <w:bCs/>
          <w:u w:val="single"/>
        </w:rPr>
        <w:t xml:space="preserve"> </w:t>
      </w:r>
    </w:p>
    <w:p w:rsidR="00F104F4" w:rsidRPr="00E60DE0" w:rsidP="00521186" w14:paraId="020960FD" w14:textId="240D4BE6">
      <w:pPr>
        <w:pStyle w:val="BodyTextIndent"/>
      </w:pPr>
      <w:r w:rsidRPr="00E60DE0">
        <w:t>This information collection does not have a significant impact on small businesses or other small</w:t>
      </w:r>
      <w:r w:rsidR="00B81A91">
        <w:t xml:space="preserve"> </w:t>
      </w:r>
      <w:r w:rsidRPr="00E60DE0">
        <w:t xml:space="preserve">entities. The chief election officials for the </w:t>
      </w:r>
      <w:r w:rsidR="0057757B">
        <w:t>s</w:t>
      </w:r>
      <w:r w:rsidRPr="00E60DE0">
        <w:t xml:space="preserve">tates, the District of Columbia, and the U.S. territories may have to request information from their local election jurisdictions, but </w:t>
      </w:r>
      <w:r w:rsidR="00056F41">
        <w:t>much</w:t>
      </w:r>
      <w:r w:rsidRPr="00E60DE0" w:rsidR="00056F41">
        <w:t xml:space="preserve"> </w:t>
      </w:r>
      <w:r w:rsidRPr="00E60DE0">
        <w:t>of this information is already routinely collected from the local election officials to certify election results and report voter turnout.</w:t>
      </w:r>
    </w:p>
    <w:p w:rsidR="00E60DE0" w:rsidRPr="00E60DE0" w:rsidP="00521186" w14:paraId="3CDA8B83" w14:textId="6C975B03">
      <w:pPr>
        <w:pStyle w:val="BodyTextIndent"/>
      </w:pPr>
      <w:r w:rsidRPr="00E60DE0">
        <w:t xml:space="preserve">The EAC has made efforts to limit the information requested and burden on all participants. The information sought is limited to that information necessary to meet the requirements listed in response to </w:t>
      </w:r>
      <w:r w:rsidR="00056F41">
        <w:t>Question 1</w:t>
      </w:r>
      <w:r w:rsidRPr="00E60DE0">
        <w:t>.</w:t>
      </w:r>
    </w:p>
    <w:p w:rsidR="00E60DE0" w:rsidRPr="005D72BD" w:rsidP="00521186" w14:paraId="2726E843" w14:textId="0204E2A9">
      <w:pPr>
        <w:keepNext/>
        <w:widowControl/>
        <w:ind w:left="360"/>
        <w:rPr>
          <w:b/>
          <w:u w:val="single"/>
        </w:rPr>
      </w:pPr>
      <w:r w:rsidRPr="005D72BD">
        <w:rPr>
          <w:b/>
          <w:u w:val="single"/>
        </w:rPr>
        <w:t>6.</w:t>
      </w:r>
      <w:r w:rsidR="00CC5AEB">
        <w:rPr>
          <w:b/>
          <w:u w:val="single"/>
        </w:rPr>
        <w:t xml:space="preserve"> </w:t>
      </w:r>
      <w:r w:rsidRPr="005D72BD">
        <w:rPr>
          <w:b/>
          <w:u w:val="single"/>
        </w:rPr>
        <w:t>Describe the consequence to Federal program or policy activities if the collection is not conducted or is conducted less frequently, as well as any technical or legal obstacles to reducing burden.</w:t>
      </w:r>
    </w:p>
    <w:p w:rsidR="00410936" w:rsidP="00521186" w14:paraId="1AA925F6" w14:textId="3F7EA0CD">
      <w:pPr>
        <w:pStyle w:val="BodyTextIndent"/>
      </w:pPr>
      <w:r w:rsidRPr="00E60DE0">
        <w:t xml:space="preserve">If the EAC does not collect this information it </w:t>
      </w:r>
      <w:r w:rsidR="00902B56">
        <w:t>will</w:t>
      </w:r>
      <w:r w:rsidRPr="00E60DE0" w:rsidR="00902B56">
        <w:t xml:space="preserve"> </w:t>
      </w:r>
      <w:r w:rsidRPr="00E60DE0">
        <w:t>be unable to comply with its statutory requirements under HAVA (</w:t>
      </w:r>
      <w:r w:rsidR="00EC1097">
        <w:t>52</w:t>
      </w:r>
      <w:r w:rsidRPr="00E60DE0" w:rsidR="00EC1097">
        <w:t xml:space="preserve"> </w:t>
      </w:r>
      <w:r w:rsidRPr="00E60DE0">
        <w:t xml:space="preserve">U.S.C. </w:t>
      </w:r>
      <w:r w:rsidRPr="0006530D" w:rsidR="00EC1097">
        <w:t>§</w:t>
      </w:r>
      <w:r w:rsidR="00EC1097">
        <w:t xml:space="preserve"> 20901</w:t>
      </w:r>
      <w:r w:rsidRPr="00E60DE0">
        <w:t>), NVRA (</w:t>
      </w:r>
      <w:r w:rsidR="00056F41">
        <w:t>52</w:t>
      </w:r>
      <w:r w:rsidRPr="00C80EB0" w:rsidR="00056F41">
        <w:t xml:space="preserve"> U.S.C. § </w:t>
      </w:r>
      <w:r w:rsidR="00056F41">
        <w:t>20508</w:t>
      </w:r>
      <w:r w:rsidRPr="00E60DE0">
        <w:t>), and UOCAVA (</w:t>
      </w:r>
      <w:bookmarkStart w:id="1" w:name="_Hlk20750878"/>
      <w:r w:rsidR="00056F41">
        <w:t>52</w:t>
      </w:r>
      <w:r w:rsidRPr="00C80EB0" w:rsidR="00056F41">
        <w:t xml:space="preserve"> U.S.C. §</w:t>
      </w:r>
      <w:r w:rsidR="00056F41">
        <w:t>20302</w:t>
      </w:r>
      <w:r w:rsidRPr="00C80EB0" w:rsidR="00056F41">
        <w:t>(c)</w:t>
      </w:r>
      <w:bookmarkEnd w:id="1"/>
      <w:r w:rsidRPr="00E60DE0">
        <w:t>). This collection of information must be carried out every two years after each Federal genera</w:t>
      </w:r>
      <w:r w:rsidR="00D61C07">
        <w:t xml:space="preserve">l </w:t>
      </w:r>
      <w:r w:rsidRPr="00E60DE0">
        <w:t xml:space="preserve">election as stipulated by NVRA and UOCAVA. </w:t>
      </w:r>
      <w:r>
        <w:t>In addition, FVAP will be unable to meet its congressional reporting requirements related to UOCAVA voting</w:t>
      </w:r>
      <w:r w:rsidR="00056F41">
        <w:t xml:space="preserve"> if </w:t>
      </w:r>
      <w:r w:rsidR="00F75F70">
        <w:t xml:space="preserve">the </w:t>
      </w:r>
      <w:r w:rsidR="00056F41">
        <w:t>EAC does not collect this information</w:t>
      </w:r>
      <w:r>
        <w:t>.</w:t>
      </w:r>
    </w:p>
    <w:p w:rsidR="00410936" w:rsidRPr="00E60DE0" w:rsidP="00521186" w14:paraId="45C3DE11" w14:textId="39553F83">
      <w:pPr>
        <w:pStyle w:val="BodyTextIndent"/>
      </w:pPr>
      <w:r>
        <w:t>Because the core questions in the EAVS will not change</w:t>
      </w:r>
      <w:r w:rsidR="00902B56">
        <w:t xml:space="preserve"> for </w:t>
      </w:r>
      <w:r w:rsidR="00056F41">
        <w:t>202</w:t>
      </w:r>
      <w:r w:rsidR="2ACE42F6">
        <w:t>4</w:t>
      </w:r>
      <w:r w:rsidR="00056F41">
        <w:t xml:space="preserve"> </w:t>
      </w:r>
      <w:r>
        <w:t>and have not changed dramatically since 2006, state and local election offices are well-positioned to answer the questions contained in the survey.</w:t>
      </w:r>
      <w:r w:rsidR="00CC5AEB">
        <w:t xml:space="preserve"> </w:t>
      </w:r>
      <w:r>
        <w:t xml:space="preserve">Many election offices already have developed data collection methods for the EAVS data or developed system queries to extract data from </w:t>
      </w:r>
      <w:r>
        <w:t>election management systems, which also reduces the burden of the EAVS moving forward.</w:t>
      </w:r>
    </w:p>
    <w:p w:rsidR="00E60DE0" w:rsidRPr="005D72BD" w:rsidP="00521186" w14:paraId="062B07AC" w14:textId="57E71248">
      <w:pPr>
        <w:keepNext/>
        <w:widowControl/>
        <w:ind w:left="360"/>
        <w:rPr>
          <w:b/>
          <w:u w:val="single"/>
        </w:rPr>
      </w:pPr>
      <w:r w:rsidRPr="005D72BD">
        <w:rPr>
          <w:b/>
          <w:u w:val="single"/>
        </w:rPr>
        <w:t>7.</w:t>
      </w:r>
      <w:r w:rsidR="00CC5AEB">
        <w:rPr>
          <w:b/>
          <w:u w:val="single"/>
        </w:rPr>
        <w:t xml:space="preserve"> </w:t>
      </w:r>
      <w:r w:rsidRPr="005D72BD">
        <w:rPr>
          <w:b/>
          <w:u w:val="single"/>
        </w:rPr>
        <w:t>Explain any special circumstances that require the collection to be conducted in a manner inconsistent with OMB guidelines.</w:t>
      </w:r>
    </w:p>
    <w:p w:rsidR="00E60DE0" w:rsidRPr="00E60DE0" w:rsidP="00521186" w14:paraId="3BD20EA0" w14:textId="77777777">
      <w:pPr>
        <w:pStyle w:val="BodyTextIndent"/>
      </w:pPr>
      <w:r w:rsidRPr="00E60DE0">
        <w:t>There are no special circumstances applicable to this information collection.</w:t>
      </w:r>
    </w:p>
    <w:p w:rsidR="00E60DE0" w:rsidRPr="005D72BD" w:rsidP="00B244E8" w14:paraId="0487F25C" w14:textId="27EA377B">
      <w:pPr>
        <w:ind w:left="360" w:right="-30"/>
        <w:rPr>
          <w:b/>
          <w:u w:val="single"/>
        </w:rPr>
      </w:pPr>
      <w:r w:rsidRPr="005D72BD">
        <w:rPr>
          <w:b/>
          <w:u w:val="single"/>
        </w:rPr>
        <w:t>8.</w:t>
      </w:r>
      <w:r w:rsidR="00CC5AEB">
        <w:rPr>
          <w:b/>
          <w:u w:val="single"/>
        </w:rPr>
        <w:t xml:space="preserve"> </w:t>
      </w:r>
      <w:r w:rsidRPr="005D72BD">
        <w:rPr>
          <w:b/>
          <w:u w:val="single"/>
        </w:rPr>
        <w:t>If applicable, provide a copy and identify the date and page number of publication</w:t>
      </w:r>
      <w:r w:rsidR="00D47AAA">
        <w:rPr>
          <w:b/>
          <w:u w:val="single"/>
        </w:rPr>
        <w:t xml:space="preserve"> </w:t>
      </w:r>
      <w:r w:rsidRPr="005D72BD">
        <w:rPr>
          <w:b/>
          <w:u w:val="single"/>
        </w:rPr>
        <w:t>in the Federal Register of the agency’s notice, required by 5CFR 320.8(d), soliciting comments on the information collection prior to submission to OMB.</w:t>
      </w:r>
      <w:r w:rsidR="00D47AAA">
        <w:rPr>
          <w:b/>
          <w:u w:val="single"/>
        </w:rPr>
        <w:t xml:space="preserve"> </w:t>
      </w:r>
      <w:r w:rsidRPr="005D72BD">
        <w:rPr>
          <w:b/>
          <w:u w:val="single"/>
        </w:rPr>
        <w:t>Summarize public comments received in response to that notice and describe actions taken in response to the comments.</w:t>
      </w:r>
      <w:r w:rsidR="00D47AAA">
        <w:rPr>
          <w:b/>
          <w:u w:val="single"/>
        </w:rPr>
        <w:t xml:space="preserve"> </w:t>
      </w:r>
      <w:r w:rsidRPr="005D72BD">
        <w:rPr>
          <w:b/>
          <w:u w:val="single"/>
        </w:rPr>
        <w:t>Specifically</w:t>
      </w:r>
      <w:r w:rsidR="00CC5AEB">
        <w:rPr>
          <w:b/>
          <w:u w:val="single"/>
        </w:rPr>
        <w:t xml:space="preserve"> </w:t>
      </w:r>
      <w:r w:rsidRPr="005D72BD">
        <w:rPr>
          <w:b/>
          <w:u w:val="single"/>
        </w:rPr>
        <w:t>address comments received on cost and hour burden. Describe efforts to consult with persons outside</w:t>
      </w:r>
      <w:r w:rsidR="00AE3E4C">
        <w:rPr>
          <w:b/>
          <w:u w:val="single"/>
        </w:rPr>
        <w:t xml:space="preserve"> of</w:t>
      </w:r>
      <w:r w:rsidR="00D47AAA">
        <w:rPr>
          <w:b/>
          <w:u w:val="single"/>
        </w:rPr>
        <w:t xml:space="preserve"> </w:t>
      </w:r>
      <w:r w:rsidR="00AE3E4C">
        <w:rPr>
          <w:b/>
          <w:u w:val="single"/>
        </w:rPr>
        <w:t>EAC</w:t>
      </w:r>
      <w:r w:rsidRPr="005D72BD">
        <w:rPr>
          <w:b/>
          <w:u w:val="single"/>
        </w:rPr>
        <w:t>.</w:t>
      </w:r>
    </w:p>
    <w:p w:rsidR="00E65CF7" w:rsidP="00D97198" w14:paraId="1C747DC5" w14:textId="2E99B246">
      <w:pPr>
        <w:pStyle w:val="BodyTextIndent"/>
      </w:pPr>
      <w:r>
        <w:t xml:space="preserve">The EAC published a Federal Register Notice soliciting comments on the information collection on </w:t>
      </w:r>
      <w:r w:rsidR="00C0050C">
        <w:t xml:space="preserve">November </w:t>
      </w:r>
      <w:r w:rsidR="5FF6CA2B">
        <w:t>15</w:t>
      </w:r>
      <w:r>
        <w:t>, 20</w:t>
      </w:r>
      <w:r w:rsidR="00C0050C">
        <w:t>2</w:t>
      </w:r>
      <w:r w:rsidR="1679E2D2">
        <w:t>3</w:t>
      </w:r>
      <w:r>
        <w:t>, Vol. 8</w:t>
      </w:r>
      <w:r w:rsidR="2EBC4C34">
        <w:t>8</w:t>
      </w:r>
      <w:r>
        <w:t xml:space="preserve">, No. </w:t>
      </w:r>
      <w:r w:rsidR="00C0050C">
        <w:t>2</w:t>
      </w:r>
      <w:r w:rsidR="750F703D">
        <w:t>19</w:t>
      </w:r>
      <w:r>
        <w:t xml:space="preserve">, pgs. </w:t>
      </w:r>
      <w:r w:rsidRPr="2FF584B5" w:rsidR="710A61CE">
        <w:t>78347-78348</w:t>
      </w:r>
      <w:r>
        <w:t xml:space="preserve">. A copy of the notice as published is provided as Attachment A. In addition to publication in the Federal Register, the EAC sought to maximize the public comments received by advertising the public comment period on its social media channels and by </w:t>
      </w:r>
      <w:r w:rsidR="00840933">
        <w:t>encouraging</w:t>
      </w:r>
      <w:r>
        <w:t xml:space="preserve"> election officials</w:t>
      </w:r>
      <w:r w:rsidR="00840933">
        <w:t xml:space="preserve">, </w:t>
      </w:r>
      <w:r>
        <w:t>scholars</w:t>
      </w:r>
      <w:r w:rsidR="00840933">
        <w:t>, and other stakeholders in the elections community</w:t>
      </w:r>
      <w:r>
        <w:t xml:space="preserve"> to review the documents and submit comments. Prior to submission to the Federal Register, the EAC consulted with the EAVS committee on its Standards Board</w:t>
      </w:r>
      <w:r w:rsidR="00840933">
        <w:t xml:space="preserve"> (a federal advisory committee</w:t>
      </w:r>
      <w:r>
        <w:t xml:space="preserve"> </w:t>
      </w:r>
      <w:r w:rsidR="00840933">
        <w:t xml:space="preserve">to the EAC) </w:t>
      </w:r>
      <w:r>
        <w:t xml:space="preserve">and members of a working group to solicit their input on </w:t>
      </w:r>
      <w:r w:rsidR="00840933">
        <w:t>potential modifications to the data collection</w:t>
      </w:r>
      <w:r>
        <w:t>.</w:t>
      </w:r>
    </w:p>
    <w:p w:rsidR="00E65CF7" w:rsidP="00D97198" w14:paraId="0EADB548" w14:textId="0CE15523">
      <w:pPr>
        <w:pStyle w:val="BodyTextIndent"/>
      </w:pPr>
      <w:r>
        <w:t>EAC received 1</w:t>
      </w:r>
      <w:r w:rsidR="6E433B2E">
        <w:t>4</w:t>
      </w:r>
      <w:r>
        <w:t xml:space="preserve"> comments that were submitted by 1</w:t>
      </w:r>
      <w:r w:rsidR="38E1C0A8">
        <w:t>3</w:t>
      </w:r>
      <w:r>
        <w:t xml:space="preserve"> individuals in</w:t>
      </w:r>
      <w:r w:rsidR="5BB8F899">
        <w:t xml:space="preserve"> at least</w:t>
      </w:r>
      <w:r>
        <w:t xml:space="preserve"> </w:t>
      </w:r>
      <w:r w:rsidR="00C0050C">
        <w:t>7</w:t>
      </w:r>
      <w:r>
        <w:t xml:space="preserve"> states. Comments were made regarding both the EAVS and the Policy Survey.</w:t>
      </w:r>
      <w:r w:rsidR="00E57B5B">
        <w:t xml:space="preserve"> </w:t>
      </w:r>
      <w:r w:rsidR="3E17A63A">
        <w:t>Two</w:t>
      </w:r>
      <w:r w:rsidR="00F965DD">
        <w:t xml:space="preserve"> comments</w:t>
      </w:r>
      <w:r w:rsidR="00E57B5B">
        <w:t xml:space="preserve"> were received from academics,</w:t>
      </w:r>
      <w:r w:rsidR="00AF2B0D">
        <w:t xml:space="preserve"> </w:t>
      </w:r>
      <w:r w:rsidR="47602951">
        <w:t>five</w:t>
      </w:r>
      <w:r w:rsidR="00E57B5B">
        <w:t xml:space="preserve"> were received from </w:t>
      </w:r>
      <w:r w:rsidR="000F68F3">
        <w:t xml:space="preserve">non-governmental organizations focused on elections or individual </w:t>
      </w:r>
      <w:r w:rsidR="00E57B5B">
        <w:t>election advocates</w:t>
      </w:r>
      <w:r w:rsidR="00AF2B0D">
        <w:t xml:space="preserve">, </w:t>
      </w:r>
      <w:r w:rsidR="31E3B7B4">
        <w:t>four</w:t>
      </w:r>
      <w:r w:rsidR="00AF2B0D">
        <w:t xml:space="preserve"> from an election official, one from a member of the general public, and one from a</w:t>
      </w:r>
      <w:r w:rsidR="532BDAC9">
        <w:t xml:space="preserve"> state government agency</w:t>
      </w:r>
      <w:r w:rsidR="00E57B5B">
        <w:t>.</w:t>
      </w:r>
      <w:r w:rsidR="00AF2B0D">
        <w:t xml:space="preserve"> </w:t>
      </w:r>
      <w:r w:rsidR="6D56829E">
        <w:t>One</w:t>
      </w:r>
      <w:r w:rsidR="00AF2B0D">
        <w:t xml:space="preserve"> comment w</w:t>
      </w:r>
      <w:r w:rsidR="45868A1D">
        <w:t>as</w:t>
      </w:r>
      <w:r w:rsidR="00AF2B0D">
        <w:t xml:space="preserve"> not germane to the </w:t>
      </w:r>
      <w:r w:rsidR="78AF5B94">
        <w:t xml:space="preserve">2024 </w:t>
      </w:r>
      <w:r w:rsidR="00AF2B0D">
        <w:t>EAVS.</w:t>
      </w:r>
      <w:r w:rsidR="00E57B5B">
        <w:t xml:space="preserve"> Table 1 shows the number of persons providing comments by state.</w:t>
      </w:r>
    </w:p>
    <w:tbl>
      <w:tblPr>
        <w:tblStyle w:val="TableGrid"/>
        <w:tblW w:w="0" w:type="auto"/>
        <w:jc w:val="center"/>
        <w:tblLook w:val="04A0"/>
      </w:tblPr>
      <w:tblGrid>
        <w:gridCol w:w="1950"/>
        <w:gridCol w:w="3583"/>
      </w:tblGrid>
      <w:tr w14:paraId="532514FE" w14:textId="77777777" w:rsidTr="2FF584B5">
        <w:tblPrEx>
          <w:tblW w:w="0" w:type="auto"/>
          <w:jc w:val="center"/>
          <w:tblLook w:val="04A0"/>
        </w:tblPrEx>
        <w:trPr>
          <w:cantSplit/>
          <w:jc w:val="center"/>
        </w:trPr>
        <w:tc>
          <w:tcPr>
            <w:tcW w:w="0" w:type="auto"/>
            <w:gridSpan w:val="2"/>
          </w:tcPr>
          <w:p w:rsidR="00E57B5B" w:rsidRPr="005C2CAE" w:rsidP="00591B7A" w14:paraId="03F117A7" w14:textId="77777777">
            <w:pPr>
              <w:pStyle w:val="BodyTextIndent"/>
              <w:keepNext/>
              <w:spacing w:after="0"/>
              <w:ind w:left="0"/>
              <w:rPr>
                <w:b/>
              </w:rPr>
            </w:pPr>
            <w:r>
              <w:rPr>
                <w:b/>
              </w:rPr>
              <w:t>Table 1: Number of Persons Commenting by State</w:t>
            </w:r>
          </w:p>
        </w:tc>
      </w:tr>
      <w:tr w14:paraId="1151ECEC" w14:textId="77777777" w:rsidTr="2FF584B5">
        <w:tblPrEx>
          <w:tblW w:w="0" w:type="auto"/>
          <w:jc w:val="center"/>
          <w:tblLook w:val="04A0"/>
        </w:tblPrEx>
        <w:trPr>
          <w:cantSplit/>
          <w:jc w:val="center"/>
        </w:trPr>
        <w:tc>
          <w:tcPr>
            <w:tcW w:w="0" w:type="auto"/>
          </w:tcPr>
          <w:p w:rsidR="00E57B5B" w:rsidRPr="0082694E" w:rsidP="00591B7A" w14:paraId="50A33E5F" w14:textId="77777777">
            <w:pPr>
              <w:pStyle w:val="BodyTextIndent"/>
              <w:keepNext/>
              <w:spacing w:after="0"/>
              <w:ind w:left="0"/>
              <w:rPr>
                <w:b/>
              </w:rPr>
            </w:pPr>
            <w:r w:rsidRPr="0082694E">
              <w:rPr>
                <w:b/>
              </w:rPr>
              <w:t>State</w:t>
            </w:r>
          </w:p>
        </w:tc>
        <w:tc>
          <w:tcPr>
            <w:tcW w:w="0" w:type="auto"/>
          </w:tcPr>
          <w:p w:rsidR="00E57B5B" w:rsidRPr="0082694E" w:rsidP="00591B7A" w14:paraId="219CA425" w14:textId="77777777">
            <w:pPr>
              <w:pStyle w:val="BodyTextIndent"/>
              <w:keepNext/>
              <w:spacing w:after="0"/>
              <w:ind w:left="0"/>
              <w:rPr>
                <w:b/>
              </w:rPr>
            </w:pPr>
            <w:r w:rsidRPr="0082694E">
              <w:rPr>
                <w:b/>
              </w:rPr>
              <w:t>Number of Persons Commenting</w:t>
            </w:r>
          </w:p>
        </w:tc>
      </w:tr>
      <w:tr w14:paraId="6DAFA88C" w14:textId="77777777" w:rsidTr="2FF584B5">
        <w:tblPrEx>
          <w:tblW w:w="0" w:type="auto"/>
          <w:jc w:val="center"/>
          <w:tblLook w:val="04A0"/>
        </w:tblPrEx>
        <w:trPr>
          <w:cantSplit/>
          <w:jc w:val="center"/>
        </w:trPr>
        <w:tc>
          <w:tcPr>
            <w:tcW w:w="0" w:type="auto"/>
          </w:tcPr>
          <w:p w:rsidR="00E57B5B" w:rsidP="00591B7A" w14:paraId="0EFAC62C" w14:textId="65C05748">
            <w:pPr>
              <w:pStyle w:val="BodyTextIndent"/>
              <w:keepNext/>
              <w:spacing w:after="0"/>
              <w:ind w:left="0"/>
            </w:pPr>
            <w:r>
              <w:t>Illinois</w:t>
            </w:r>
          </w:p>
        </w:tc>
        <w:tc>
          <w:tcPr>
            <w:tcW w:w="0" w:type="auto"/>
          </w:tcPr>
          <w:p w:rsidR="00E57B5B" w:rsidP="00591B7A" w14:paraId="45912E72" w14:textId="50F85BA0">
            <w:pPr>
              <w:pStyle w:val="BodyTextIndent"/>
              <w:keepNext/>
              <w:spacing w:after="0"/>
              <w:ind w:left="0"/>
              <w:jc w:val="center"/>
            </w:pPr>
            <w:r>
              <w:t>2</w:t>
            </w:r>
          </w:p>
        </w:tc>
      </w:tr>
      <w:tr w14:paraId="4F5E3676" w14:textId="77777777" w:rsidTr="2FF584B5">
        <w:tblPrEx>
          <w:tblW w:w="0" w:type="auto"/>
          <w:jc w:val="center"/>
          <w:tblLook w:val="04A0"/>
        </w:tblPrEx>
        <w:trPr>
          <w:cantSplit/>
          <w:jc w:val="center"/>
        </w:trPr>
        <w:tc>
          <w:tcPr>
            <w:tcW w:w="0" w:type="auto"/>
          </w:tcPr>
          <w:p w:rsidR="00B74207" w:rsidP="00591B7A" w14:paraId="603F3082" w14:textId="0DCF2299">
            <w:pPr>
              <w:pStyle w:val="BodyTextIndent"/>
              <w:keepNext/>
              <w:spacing w:after="0"/>
              <w:ind w:left="0"/>
            </w:pPr>
            <w:r>
              <w:t>Indiana</w:t>
            </w:r>
          </w:p>
        </w:tc>
        <w:tc>
          <w:tcPr>
            <w:tcW w:w="0" w:type="auto"/>
          </w:tcPr>
          <w:p w:rsidR="00B74207" w:rsidP="00591B7A" w14:paraId="7334E5BB" w14:textId="44149FE2">
            <w:pPr>
              <w:pStyle w:val="BodyTextIndent"/>
              <w:keepNext/>
              <w:spacing w:after="0"/>
              <w:ind w:left="0"/>
              <w:jc w:val="center"/>
            </w:pPr>
            <w:r>
              <w:t>1</w:t>
            </w:r>
          </w:p>
        </w:tc>
      </w:tr>
      <w:tr w14:paraId="056CC689" w14:textId="77777777" w:rsidTr="2FF584B5">
        <w:tblPrEx>
          <w:tblW w:w="0" w:type="auto"/>
          <w:jc w:val="center"/>
          <w:tblLook w:val="04A0"/>
        </w:tblPrEx>
        <w:trPr>
          <w:cantSplit/>
          <w:jc w:val="center"/>
        </w:trPr>
        <w:tc>
          <w:tcPr>
            <w:tcW w:w="0" w:type="auto"/>
          </w:tcPr>
          <w:p w:rsidR="00E57B5B" w:rsidP="00591B7A" w14:paraId="06E1FA99" w14:textId="719FCB39">
            <w:pPr>
              <w:pStyle w:val="BodyTextIndent"/>
              <w:keepNext/>
              <w:spacing w:after="0"/>
              <w:ind w:left="0"/>
            </w:pPr>
            <w:r>
              <w:t>Maryland</w:t>
            </w:r>
          </w:p>
        </w:tc>
        <w:tc>
          <w:tcPr>
            <w:tcW w:w="0" w:type="auto"/>
          </w:tcPr>
          <w:p w:rsidR="00E57B5B" w:rsidP="00591B7A" w14:paraId="26577D40" w14:textId="553D5A9D">
            <w:pPr>
              <w:pStyle w:val="BodyTextIndent"/>
              <w:keepNext/>
              <w:spacing w:after="0"/>
              <w:ind w:left="0"/>
              <w:jc w:val="center"/>
            </w:pPr>
            <w:r>
              <w:t>1</w:t>
            </w:r>
          </w:p>
        </w:tc>
      </w:tr>
      <w:tr w14:paraId="4A77DBEB" w14:textId="77777777" w:rsidTr="2FF584B5">
        <w:tblPrEx>
          <w:tblW w:w="0" w:type="auto"/>
          <w:jc w:val="center"/>
          <w:tblLook w:val="04A0"/>
        </w:tblPrEx>
        <w:trPr>
          <w:cantSplit/>
          <w:jc w:val="center"/>
        </w:trPr>
        <w:tc>
          <w:tcPr>
            <w:tcW w:w="0" w:type="auto"/>
          </w:tcPr>
          <w:p w:rsidR="00B74207" w:rsidP="00B74207" w14:paraId="0E56092C" w14:textId="1E1AA08A">
            <w:pPr>
              <w:pStyle w:val="BodyTextIndent"/>
              <w:spacing w:after="0"/>
              <w:ind w:left="0"/>
            </w:pPr>
            <w:r>
              <w:t>Oregon</w:t>
            </w:r>
          </w:p>
        </w:tc>
        <w:tc>
          <w:tcPr>
            <w:tcW w:w="0" w:type="auto"/>
          </w:tcPr>
          <w:p w:rsidR="00B74207" w:rsidP="00B74207" w14:paraId="15AA89DF" w14:textId="08D105B7">
            <w:pPr>
              <w:pStyle w:val="BodyTextIndent"/>
              <w:spacing w:after="0"/>
              <w:ind w:left="0"/>
              <w:jc w:val="center"/>
            </w:pPr>
            <w:r>
              <w:t>1</w:t>
            </w:r>
          </w:p>
        </w:tc>
      </w:tr>
      <w:tr w14:paraId="0329B091" w14:textId="77777777" w:rsidTr="2FF584B5">
        <w:tblPrEx>
          <w:tblW w:w="0" w:type="auto"/>
          <w:jc w:val="center"/>
          <w:tblLook w:val="04A0"/>
        </w:tblPrEx>
        <w:trPr>
          <w:cantSplit/>
          <w:jc w:val="center"/>
        </w:trPr>
        <w:tc>
          <w:tcPr>
            <w:tcW w:w="0" w:type="auto"/>
          </w:tcPr>
          <w:p w:rsidR="00B74207" w:rsidP="00B74207" w14:paraId="733CB124" w14:textId="5BD4863F">
            <w:pPr>
              <w:pStyle w:val="BodyTextIndent"/>
              <w:spacing w:after="0"/>
              <w:ind w:left="0"/>
            </w:pPr>
            <w:r>
              <w:t>Texas</w:t>
            </w:r>
          </w:p>
        </w:tc>
        <w:tc>
          <w:tcPr>
            <w:tcW w:w="0" w:type="auto"/>
          </w:tcPr>
          <w:p w:rsidR="00B74207" w:rsidP="2FF584B5" w14:paraId="7A64AC0F" w14:textId="7D8FB823">
            <w:pPr>
              <w:pStyle w:val="BodyTextIndent"/>
              <w:spacing w:after="0"/>
              <w:ind w:left="0"/>
              <w:jc w:val="center"/>
            </w:pPr>
            <w:r>
              <w:t>2</w:t>
            </w:r>
          </w:p>
        </w:tc>
      </w:tr>
      <w:tr w14:paraId="77B07B87" w14:textId="77777777" w:rsidTr="2FF584B5">
        <w:tblPrEx>
          <w:tblW w:w="0" w:type="auto"/>
          <w:jc w:val="center"/>
          <w:tblLook w:val="04A0"/>
        </w:tblPrEx>
        <w:trPr>
          <w:cantSplit/>
          <w:jc w:val="center"/>
        </w:trPr>
        <w:tc>
          <w:tcPr>
            <w:tcW w:w="0" w:type="auto"/>
          </w:tcPr>
          <w:p w:rsidR="00B74207" w:rsidP="00B74207" w14:paraId="2422672D" w14:textId="37FC11E5">
            <w:pPr>
              <w:pStyle w:val="BodyTextIndent"/>
              <w:spacing w:after="0"/>
              <w:ind w:left="0"/>
            </w:pPr>
            <w:r>
              <w:t>Washington,</w:t>
            </w:r>
            <w:r w:rsidR="5D1967FD">
              <w:t xml:space="preserve"> </w:t>
            </w:r>
            <w:r>
              <w:t>D.C.</w:t>
            </w:r>
          </w:p>
        </w:tc>
        <w:tc>
          <w:tcPr>
            <w:tcW w:w="0" w:type="auto"/>
          </w:tcPr>
          <w:p w:rsidR="00B74207" w:rsidP="00B74207" w14:paraId="56DD025D" w14:textId="1C4EB770">
            <w:pPr>
              <w:pStyle w:val="BodyTextIndent"/>
              <w:spacing w:after="0"/>
              <w:ind w:left="0"/>
              <w:jc w:val="center"/>
            </w:pPr>
            <w:r>
              <w:t>4</w:t>
            </w:r>
            <w:r w:rsidR="6E539060">
              <w:t>*</w:t>
            </w:r>
          </w:p>
        </w:tc>
      </w:tr>
      <w:tr w14:paraId="056580D3" w14:textId="77777777" w:rsidTr="2FF584B5">
        <w:tblPrEx>
          <w:tblW w:w="0" w:type="auto"/>
          <w:jc w:val="center"/>
          <w:tblLook w:val="04A0"/>
        </w:tblPrEx>
        <w:trPr>
          <w:cantSplit/>
          <w:jc w:val="center"/>
        </w:trPr>
        <w:tc>
          <w:tcPr>
            <w:tcW w:w="0" w:type="auto"/>
          </w:tcPr>
          <w:p w:rsidR="00B74207" w:rsidP="00B74207" w14:paraId="71675A8D" w14:textId="28392786">
            <w:pPr>
              <w:pStyle w:val="BodyTextIndent"/>
              <w:spacing w:after="0"/>
              <w:ind w:left="0"/>
            </w:pPr>
            <w:r>
              <w:t>Wisconsin</w:t>
            </w:r>
          </w:p>
        </w:tc>
        <w:tc>
          <w:tcPr>
            <w:tcW w:w="0" w:type="auto"/>
          </w:tcPr>
          <w:p w:rsidR="00B74207" w:rsidP="00B74207" w14:paraId="2509D60D" w14:textId="33AE01FE">
            <w:pPr>
              <w:pStyle w:val="BodyTextIndent"/>
              <w:spacing w:after="0"/>
              <w:ind w:left="0"/>
              <w:jc w:val="center"/>
            </w:pPr>
            <w:r>
              <w:t>1</w:t>
            </w:r>
          </w:p>
        </w:tc>
      </w:tr>
      <w:tr w14:paraId="0D58B60E" w14:textId="77777777" w:rsidTr="2FF584B5">
        <w:tblPrEx>
          <w:tblW w:w="0" w:type="auto"/>
          <w:jc w:val="center"/>
          <w:tblLook w:val="04A0"/>
        </w:tblPrEx>
        <w:trPr>
          <w:cantSplit/>
          <w:jc w:val="center"/>
        </w:trPr>
        <w:tc>
          <w:tcPr>
            <w:tcW w:w="0" w:type="auto"/>
          </w:tcPr>
          <w:p w:rsidR="00B74207" w:rsidP="00B74207" w14:paraId="220BD8CD" w14:textId="0DE7FB6F">
            <w:pPr>
              <w:pStyle w:val="BodyTextIndent"/>
              <w:spacing w:after="0"/>
              <w:ind w:left="0"/>
            </w:pPr>
            <w:r>
              <w:t>Unknown</w:t>
            </w:r>
          </w:p>
        </w:tc>
        <w:tc>
          <w:tcPr>
            <w:tcW w:w="0" w:type="auto"/>
          </w:tcPr>
          <w:p w:rsidR="00B74207" w:rsidP="00B74207" w14:paraId="3B88E227" w14:textId="0DDE74E0">
            <w:pPr>
              <w:pStyle w:val="BodyTextIndent"/>
              <w:spacing w:after="0"/>
              <w:ind w:left="0"/>
              <w:jc w:val="center"/>
            </w:pPr>
            <w:r>
              <w:t>1</w:t>
            </w:r>
          </w:p>
        </w:tc>
      </w:tr>
      <w:tr w14:paraId="559066ED" w14:textId="77777777" w:rsidTr="2FF584B5">
        <w:tblPrEx>
          <w:tblW w:w="0" w:type="auto"/>
          <w:jc w:val="center"/>
          <w:tblLook w:val="04A0"/>
        </w:tblPrEx>
        <w:trPr>
          <w:cantSplit/>
          <w:jc w:val="center"/>
        </w:trPr>
        <w:tc>
          <w:tcPr>
            <w:tcW w:w="0" w:type="auto"/>
          </w:tcPr>
          <w:p w:rsidR="00B74207" w:rsidRPr="00D650B0" w:rsidP="00B74207" w14:paraId="5B112B37" w14:textId="63A55CEB">
            <w:pPr>
              <w:pStyle w:val="BodyTextIndent"/>
              <w:spacing w:after="0"/>
              <w:ind w:left="0"/>
              <w:rPr>
                <w:b/>
                <w:bCs/>
              </w:rPr>
            </w:pPr>
            <w:r w:rsidRPr="00D650B0">
              <w:rPr>
                <w:b/>
                <w:bCs/>
              </w:rPr>
              <w:t>Total</w:t>
            </w:r>
          </w:p>
        </w:tc>
        <w:tc>
          <w:tcPr>
            <w:tcW w:w="0" w:type="auto"/>
          </w:tcPr>
          <w:p w:rsidR="00B74207" w:rsidRPr="00D650B0" w:rsidP="00B74207" w14:paraId="3CB3B76B" w14:textId="62D5C3C8">
            <w:pPr>
              <w:pStyle w:val="BodyTextIndent"/>
              <w:spacing w:after="0"/>
              <w:ind w:left="0"/>
              <w:jc w:val="center"/>
              <w:rPr>
                <w:b/>
                <w:bCs/>
              </w:rPr>
            </w:pPr>
            <w:r w:rsidRPr="2FF584B5">
              <w:rPr>
                <w:b/>
                <w:bCs/>
              </w:rPr>
              <w:t>1</w:t>
            </w:r>
            <w:r w:rsidRPr="2FF584B5" w:rsidR="6360E84A">
              <w:rPr>
                <w:b/>
                <w:bCs/>
              </w:rPr>
              <w:t>3*</w:t>
            </w:r>
          </w:p>
        </w:tc>
      </w:tr>
    </w:tbl>
    <w:p w:rsidR="00C74169" w:rsidP="00D97198" w14:paraId="2497398A" w14:textId="21CA73D6">
      <w:pPr>
        <w:pStyle w:val="BodyTextIndent"/>
      </w:pPr>
      <w:r>
        <w:t xml:space="preserve">*One of the </w:t>
      </w:r>
      <w:r w:rsidR="3608710C">
        <w:t>D.C. commenters resent an updated version of their public comment. Which is why the total number of people</w:t>
      </w:r>
      <w:r w:rsidR="61C3BA2A">
        <w:t xml:space="preserve"> (13)</w:t>
      </w:r>
      <w:r w:rsidR="3608710C">
        <w:t xml:space="preserve"> does not add to the total number of comments </w:t>
      </w:r>
      <w:r w:rsidR="3608710C">
        <w:t>received</w:t>
      </w:r>
      <w:r w:rsidR="6A620F8D">
        <w:t xml:space="preserve"> (14)</w:t>
      </w:r>
      <w:r w:rsidR="3608710C">
        <w:t xml:space="preserve">. </w:t>
      </w:r>
    </w:p>
    <w:p w:rsidR="00C74169" w:rsidRPr="00A31F3E" w:rsidP="00D97198" w14:paraId="19B41706" w14:textId="6DA98DCC">
      <w:pPr>
        <w:pStyle w:val="BodyTextIndent"/>
      </w:pPr>
      <w:r>
        <w:t xml:space="preserve">The EAC analyzed the content of the comments for the EAVS and the Policy Survey separately; Table 2a categorizes the </w:t>
      </w:r>
      <w:r w:rsidR="008242C2">
        <w:t>request</w:t>
      </w:r>
      <w:r>
        <w:t xml:space="preserve">s related to the EAVS and Table 2b categorizes the </w:t>
      </w:r>
      <w:r w:rsidR="008242C2">
        <w:t>request</w:t>
      </w:r>
      <w:r>
        <w:t xml:space="preserve">s related to the Policy Survey. The total number of </w:t>
      </w:r>
      <w:r w:rsidR="008242C2">
        <w:t>request</w:t>
      </w:r>
      <w:r>
        <w:t xml:space="preserve">s by content type </w:t>
      </w:r>
      <w:r w:rsidR="00F40F8F">
        <w:t xml:space="preserve">may be </w:t>
      </w:r>
      <w:r>
        <w:t>greater than 1</w:t>
      </w:r>
      <w:r w:rsidR="78E5B2E6">
        <w:t>3</w:t>
      </w:r>
      <w:r>
        <w:t xml:space="preserve"> (the number of </w:t>
      </w:r>
      <w:r w:rsidR="000F68F3">
        <w:t xml:space="preserve">persons submitting </w:t>
      </w:r>
      <w:r>
        <w:t>comments) because some comments contained multiple requests</w:t>
      </w:r>
      <w:r w:rsidR="00C93CEE">
        <w:t xml:space="preserve"> and some comments pertained to both the EAVS and the Policy Survey</w:t>
      </w:r>
      <w:r w:rsidR="004716C9">
        <w:t>.</w:t>
      </w:r>
    </w:p>
    <w:tbl>
      <w:tblPr>
        <w:tblW w:w="7960" w:type="dxa"/>
        <w:tblInd w:w="1327" w:type="dxa"/>
        <w:tblLook w:val="04A0"/>
      </w:tblPr>
      <w:tblGrid>
        <w:gridCol w:w="3840"/>
        <w:gridCol w:w="2360"/>
        <w:gridCol w:w="1760"/>
      </w:tblGrid>
      <w:tr w14:paraId="5F19842C" w14:textId="77777777" w:rsidTr="2FF584B5">
        <w:tblPrEx>
          <w:tblW w:w="7960" w:type="dxa"/>
          <w:tblInd w:w="1327" w:type="dxa"/>
          <w:tblLook w:val="04A0"/>
        </w:tblPrEx>
        <w:trPr>
          <w:cantSplit/>
          <w:trHeight w:val="310"/>
          <w:tblHeader/>
        </w:trPr>
        <w:tc>
          <w:tcPr>
            <w:tcW w:w="796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ED4FC4" w:rsidRPr="00A31F3E" w:rsidP="00ED4FC4" w14:paraId="364DBB5C" w14:textId="6235842F">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 xml:space="preserve">Table 2a: </w:t>
            </w:r>
            <w:r w:rsidR="00A31F3E">
              <w:rPr>
                <w:rFonts w:eastAsia="Times New Roman" w:cs="Times New Roman"/>
                <w:b/>
                <w:bCs/>
                <w:color w:val="000000"/>
                <w:szCs w:val="24"/>
              </w:rPr>
              <w:t>Request</w:t>
            </w:r>
            <w:r w:rsidRPr="00A31F3E">
              <w:rPr>
                <w:rFonts w:eastAsia="Times New Roman" w:cs="Times New Roman"/>
                <w:b/>
                <w:bCs/>
                <w:color w:val="000000"/>
                <w:szCs w:val="24"/>
              </w:rPr>
              <w:t>s on the EAVS</w:t>
            </w:r>
          </w:p>
        </w:tc>
      </w:tr>
      <w:tr w14:paraId="61D262E5" w14:textId="77777777" w:rsidTr="2FF584B5">
        <w:tblPrEx>
          <w:tblW w:w="7960" w:type="dxa"/>
          <w:tblInd w:w="1327" w:type="dxa"/>
          <w:tblLook w:val="04A0"/>
        </w:tblPrEx>
        <w:trPr>
          <w:cantSplit/>
          <w:trHeight w:val="310"/>
        </w:trPr>
        <w:tc>
          <w:tcPr>
            <w:tcW w:w="3840" w:type="dxa"/>
            <w:tcBorders>
              <w:top w:val="nil"/>
              <w:left w:val="single" w:sz="8" w:space="0" w:color="auto"/>
              <w:bottom w:val="single" w:sz="8" w:space="0" w:color="auto"/>
              <w:right w:val="single" w:sz="8" w:space="0" w:color="auto"/>
            </w:tcBorders>
            <w:shd w:val="clear" w:color="auto" w:fill="auto"/>
            <w:vAlign w:val="center"/>
            <w:hideMark/>
          </w:tcPr>
          <w:p w:rsidR="00ED4FC4" w:rsidRPr="00A31F3E" w:rsidP="00ED4FC4" w14:paraId="70F07E53" w14:textId="77777777">
            <w:pPr>
              <w:widowControl/>
              <w:tabs>
                <w:tab w:val="clear" w:pos="360"/>
              </w:tabs>
              <w:spacing w:after="0"/>
              <w:rPr>
                <w:rFonts w:eastAsia="Times New Roman" w:cs="Times New Roman"/>
                <w:b/>
                <w:bCs/>
                <w:color w:val="000000"/>
                <w:szCs w:val="24"/>
              </w:rPr>
            </w:pPr>
            <w:r w:rsidRPr="00A31F3E">
              <w:rPr>
                <w:rFonts w:eastAsia="Times New Roman" w:cs="Times New Roman"/>
                <w:b/>
                <w:bCs/>
                <w:color w:val="000000"/>
                <w:szCs w:val="24"/>
              </w:rPr>
              <w:t>Content Type</w:t>
            </w:r>
          </w:p>
        </w:tc>
        <w:tc>
          <w:tcPr>
            <w:tcW w:w="2360" w:type="dxa"/>
            <w:tcBorders>
              <w:top w:val="nil"/>
              <w:left w:val="nil"/>
              <w:bottom w:val="single" w:sz="8" w:space="0" w:color="auto"/>
              <w:right w:val="single" w:sz="8" w:space="0" w:color="auto"/>
            </w:tcBorders>
            <w:shd w:val="clear" w:color="auto" w:fill="auto"/>
            <w:vAlign w:val="center"/>
            <w:hideMark/>
          </w:tcPr>
          <w:p w:rsidR="00ED4FC4" w:rsidRPr="00A31F3E" w:rsidP="00ED4FC4" w14:paraId="552B1709" w14:textId="36082D6E">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 xml:space="preserve">Number of </w:t>
            </w:r>
            <w:r w:rsidR="00A31F3E">
              <w:rPr>
                <w:rFonts w:eastAsia="Times New Roman" w:cs="Times New Roman"/>
                <w:b/>
                <w:bCs/>
                <w:color w:val="000000"/>
                <w:szCs w:val="24"/>
              </w:rPr>
              <w:t>Request</w:t>
            </w:r>
            <w:r w:rsidRPr="00A31F3E">
              <w:rPr>
                <w:rFonts w:eastAsia="Times New Roman" w:cs="Times New Roman"/>
                <w:b/>
                <w:bCs/>
                <w:color w:val="000000"/>
                <w:szCs w:val="24"/>
              </w:rPr>
              <w:t>s</w:t>
            </w:r>
          </w:p>
        </w:tc>
        <w:tc>
          <w:tcPr>
            <w:tcW w:w="1760" w:type="dxa"/>
            <w:tcBorders>
              <w:top w:val="nil"/>
              <w:left w:val="nil"/>
              <w:bottom w:val="single" w:sz="8" w:space="0" w:color="auto"/>
              <w:right w:val="single" w:sz="8" w:space="0" w:color="auto"/>
            </w:tcBorders>
            <w:shd w:val="clear" w:color="auto" w:fill="auto"/>
            <w:vAlign w:val="center"/>
            <w:hideMark/>
          </w:tcPr>
          <w:p w:rsidR="00ED4FC4" w:rsidRPr="00A31F3E" w:rsidP="00ED4FC4" w14:paraId="711F88DC" w14:textId="77777777">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Percent of Total</w:t>
            </w:r>
          </w:p>
        </w:tc>
      </w:tr>
      <w:tr w14:paraId="2B00C97A" w14:textId="77777777" w:rsidTr="2FF584B5">
        <w:tblPrEx>
          <w:tblW w:w="7960" w:type="dxa"/>
          <w:tblInd w:w="1327" w:type="dxa"/>
          <w:tblLook w:val="04A0"/>
        </w:tblPrEx>
        <w:trPr>
          <w:trHeight w:val="376"/>
        </w:trPr>
        <w:tc>
          <w:tcPr>
            <w:tcW w:w="3840" w:type="dxa"/>
            <w:tcBorders>
              <w:top w:val="nil"/>
              <w:left w:val="single" w:sz="8" w:space="0" w:color="auto"/>
              <w:bottom w:val="single" w:sz="8" w:space="0" w:color="auto"/>
              <w:right w:val="single" w:sz="8" w:space="0" w:color="auto"/>
            </w:tcBorders>
            <w:shd w:val="clear" w:color="auto" w:fill="auto"/>
            <w:vAlign w:val="center"/>
            <w:hideMark/>
          </w:tcPr>
          <w:p w:rsidR="00ED4FC4" w:rsidRPr="00A31F3E" w:rsidP="00ED4FC4" w14:paraId="5F28D883" w14:textId="77777777">
            <w:pPr>
              <w:widowControl/>
              <w:tabs>
                <w:tab w:val="clear" w:pos="360"/>
              </w:tabs>
              <w:spacing w:after="0"/>
              <w:rPr>
                <w:rFonts w:eastAsia="Times New Roman" w:cs="Times New Roman"/>
                <w:color w:val="000000"/>
                <w:szCs w:val="24"/>
              </w:rPr>
            </w:pPr>
            <w:bookmarkStart w:id="2" w:name="_Hlk28255654"/>
            <w:r w:rsidRPr="00A31F3E">
              <w:rPr>
                <w:rFonts w:eastAsia="Times New Roman" w:cs="Times New Roman"/>
                <w:color w:val="000000"/>
                <w:szCs w:val="24"/>
              </w:rPr>
              <w:t>Requests to add additional questions</w:t>
            </w:r>
          </w:p>
        </w:tc>
        <w:tc>
          <w:tcPr>
            <w:tcW w:w="2360" w:type="dxa"/>
            <w:tcBorders>
              <w:top w:val="nil"/>
              <w:left w:val="nil"/>
              <w:bottom w:val="single" w:sz="8" w:space="0" w:color="auto"/>
              <w:right w:val="single" w:sz="8" w:space="0" w:color="auto"/>
            </w:tcBorders>
            <w:shd w:val="clear" w:color="auto" w:fill="auto"/>
            <w:vAlign w:val="center"/>
            <w:hideMark/>
          </w:tcPr>
          <w:p w:rsidR="00ED4FC4" w:rsidRPr="00A31F3E" w:rsidP="2FF584B5" w14:paraId="3D06F3F4" w14:textId="1EC18B48">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9</w:t>
            </w:r>
          </w:p>
        </w:tc>
        <w:tc>
          <w:tcPr>
            <w:tcW w:w="1760" w:type="dxa"/>
            <w:tcBorders>
              <w:top w:val="nil"/>
              <w:left w:val="nil"/>
              <w:bottom w:val="single" w:sz="8" w:space="0" w:color="auto"/>
              <w:right w:val="single" w:sz="8" w:space="0" w:color="auto"/>
            </w:tcBorders>
            <w:shd w:val="clear" w:color="auto" w:fill="auto"/>
            <w:vAlign w:val="center"/>
            <w:hideMark/>
          </w:tcPr>
          <w:p w:rsidR="00ED4FC4" w:rsidRPr="00A31F3E" w:rsidP="2FF584B5" w14:paraId="4EC9B3BA" w14:textId="2F074C1D">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3</w:t>
            </w:r>
            <w:r w:rsidRPr="2FF584B5" w:rsidR="2AB7E7EB">
              <w:rPr>
                <w:rFonts w:eastAsia="Times New Roman" w:cs="Times New Roman"/>
                <w:color w:val="000000" w:themeColor="text1"/>
              </w:rPr>
              <w:t>3</w:t>
            </w:r>
            <w:r w:rsidRPr="2FF584B5" w:rsidR="4AEEBC21">
              <w:rPr>
                <w:rFonts w:eastAsia="Times New Roman" w:cs="Times New Roman"/>
                <w:color w:val="000000" w:themeColor="text1"/>
              </w:rPr>
              <w:t>%</w:t>
            </w:r>
          </w:p>
        </w:tc>
      </w:tr>
      <w:tr w14:paraId="1446B29D" w14:textId="77777777" w:rsidTr="2FF584B5">
        <w:tblPrEx>
          <w:tblW w:w="7960" w:type="dxa"/>
          <w:tblInd w:w="1327" w:type="dxa"/>
          <w:tblLook w:val="04A0"/>
        </w:tblPrEx>
        <w:trPr>
          <w:trHeight w:val="376"/>
        </w:trPr>
        <w:tc>
          <w:tcPr>
            <w:tcW w:w="3840" w:type="dxa"/>
            <w:tcBorders>
              <w:top w:val="nil"/>
              <w:left w:val="single" w:sz="8" w:space="0" w:color="auto"/>
              <w:bottom w:val="single" w:sz="8" w:space="0" w:color="auto"/>
              <w:right w:val="single" w:sz="8" w:space="0" w:color="auto"/>
            </w:tcBorders>
            <w:shd w:val="clear" w:color="auto" w:fill="auto"/>
            <w:vAlign w:val="center"/>
          </w:tcPr>
          <w:p w:rsidR="00F40F8F" w:rsidRPr="00A31F3E" w:rsidP="00F40F8F" w14:paraId="2E3D5671" w14:textId="47F47902">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 for clarification of survey instructions</w:t>
            </w:r>
          </w:p>
        </w:tc>
        <w:tc>
          <w:tcPr>
            <w:tcW w:w="2360" w:type="dxa"/>
            <w:tcBorders>
              <w:top w:val="nil"/>
              <w:left w:val="nil"/>
              <w:bottom w:val="single" w:sz="8" w:space="0" w:color="auto"/>
              <w:right w:val="single" w:sz="8" w:space="0" w:color="auto"/>
            </w:tcBorders>
            <w:shd w:val="clear" w:color="auto" w:fill="auto"/>
            <w:vAlign w:val="center"/>
          </w:tcPr>
          <w:p w:rsidR="00F40F8F" w:rsidRPr="00A31F3E" w:rsidP="2FF584B5" w14:paraId="022A0924" w14:textId="7B884940">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3</w:t>
            </w:r>
          </w:p>
        </w:tc>
        <w:tc>
          <w:tcPr>
            <w:tcW w:w="1760" w:type="dxa"/>
            <w:tcBorders>
              <w:top w:val="nil"/>
              <w:left w:val="nil"/>
              <w:bottom w:val="single" w:sz="8" w:space="0" w:color="auto"/>
              <w:right w:val="single" w:sz="8" w:space="0" w:color="auto"/>
            </w:tcBorders>
            <w:shd w:val="clear" w:color="auto" w:fill="auto"/>
            <w:vAlign w:val="center"/>
          </w:tcPr>
          <w:p w:rsidR="00F40F8F" w:rsidRPr="00A31F3E" w:rsidP="2FF584B5" w14:paraId="21AD669F" w14:textId="7F0FBE31">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11</w:t>
            </w:r>
            <w:r w:rsidRPr="2FF584B5" w:rsidR="36D98FB6">
              <w:rPr>
                <w:rFonts w:eastAsia="Times New Roman" w:cs="Times New Roman"/>
                <w:color w:val="000000" w:themeColor="text1"/>
              </w:rPr>
              <w:t>%</w:t>
            </w:r>
          </w:p>
        </w:tc>
      </w:tr>
      <w:tr w14:paraId="6DB28519" w14:textId="77777777" w:rsidTr="2FF584B5">
        <w:tblPrEx>
          <w:tblW w:w="7960" w:type="dxa"/>
          <w:tblInd w:w="1327" w:type="dxa"/>
          <w:tblLook w:val="04A0"/>
        </w:tblPrEx>
        <w:trPr>
          <w:trHeight w:val="376"/>
        </w:trPr>
        <w:tc>
          <w:tcPr>
            <w:tcW w:w="3840" w:type="dxa"/>
            <w:tcBorders>
              <w:top w:val="nil"/>
              <w:left w:val="single" w:sz="8" w:space="0" w:color="auto"/>
              <w:bottom w:val="single" w:sz="8" w:space="0" w:color="auto"/>
              <w:right w:val="single" w:sz="8" w:space="0" w:color="auto"/>
            </w:tcBorders>
            <w:shd w:val="clear" w:color="auto" w:fill="auto"/>
            <w:vAlign w:val="center"/>
          </w:tcPr>
          <w:p w:rsidR="00F40F8F" w:rsidRPr="00A31F3E" w:rsidP="00F40F8F" w14:paraId="70F37032" w14:textId="4D0CBB5E">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Requests relating to survey administration and survey tools</w:t>
            </w:r>
          </w:p>
        </w:tc>
        <w:tc>
          <w:tcPr>
            <w:tcW w:w="2360" w:type="dxa"/>
            <w:tcBorders>
              <w:top w:val="nil"/>
              <w:left w:val="nil"/>
              <w:bottom w:val="single" w:sz="8" w:space="0" w:color="auto"/>
              <w:right w:val="single" w:sz="8" w:space="0" w:color="auto"/>
            </w:tcBorders>
            <w:shd w:val="clear" w:color="auto" w:fill="auto"/>
            <w:vAlign w:val="center"/>
          </w:tcPr>
          <w:p w:rsidR="00F40F8F" w:rsidRPr="00A31F3E" w:rsidP="2FF584B5" w14:paraId="462416B0" w14:textId="2960FFC6">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10</w:t>
            </w:r>
          </w:p>
        </w:tc>
        <w:tc>
          <w:tcPr>
            <w:tcW w:w="1760" w:type="dxa"/>
            <w:tcBorders>
              <w:top w:val="nil"/>
              <w:left w:val="nil"/>
              <w:bottom w:val="single" w:sz="8" w:space="0" w:color="auto"/>
              <w:right w:val="single" w:sz="8" w:space="0" w:color="auto"/>
            </w:tcBorders>
            <w:shd w:val="clear" w:color="auto" w:fill="auto"/>
            <w:vAlign w:val="center"/>
          </w:tcPr>
          <w:p w:rsidR="00F40F8F" w:rsidRPr="00A31F3E" w:rsidP="2FF584B5" w14:paraId="718746C2" w14:textId="68477663">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37</w:t>
            </w:r>
            <w:r w:rsidRPr="2FF584B5" w:rsidR="36D98FB6">
              <w:rPr>
                <w:rFonts w:eastAsia="Times New Roman" w:cs="Times New Roman"/>
                <w:color w:val="000000" w:themeColor="text1"/>
              </w:rPr>
              <w:t>%</w:t>
            </w:r>
          </w:p>
        </w:tc>
      </w:tr>
      <w:tr w14:paraId="3B45FBFF" w14:textId="77777777" w:rsidTr="2FF584B5">
        <w:tblPrEx>
          <w:tblW w:w="7960" w:type="dxa"/>
          <w:tblInd w:w="1327" w:type="dxa"/>
          <w:tblLook w:val="04A0"/>
        </w:tblPrEx>
        <w:trPr>
          <w:trHeight w:val="630"/>
        </w:trPr>
        <w:tc>
          <w:tcPr>
            <w:tcW w:w="3840" w:type="dxa"/>
            <w:tcBorders>
              <w:top w:val="nil"/>
              <w:left w:val="single" w:sz="8" w:space="0" w:color="auto"/>
              <w:bottom w:val="single" w:sz="8" w:space="0" w:color="auto"/>
              <w:right w:val="single" w:sz="8" w:space="0" w:color="auto"/>
            </w:tcBorders>
            <w:shd w:val="clear" w:color="auto" w:fill="auto"/>
            <w:vAlign w:val="center"/>
            <w:hideMark/>
          </w:tcPr>
          <w:p w:rsidR="00F40F8F" w:rsidRPr="00A31F3E" w:rsidP="00F40F8F" w14:paraId="630ED1E4" w14:textId="77777777">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Requests for adjustments to existing questions</w:t>
            </w:r>
          </w:p>
        </w:tc>
        <w:tc>
          <w:tcPr>
            <w:tcW w:w="2360" w:type="dxa"/>
            <w:tcBorders>
              <w:top w:val="nil"/>
              <w:left w:val="nil"/>
              <w:bottom w:val="single" w:sz="8" w:space="0" w:color="auto"/>
              <w:right w:val="single" w:sz="8" w:space="0" w:color="auto"/>
            </w:tcBorders>
            <w:shd w:val="clear" w:color="auto" w:fill="auto"/>
            <w:vAlign w:val="center"/>
            <w:hideMark/>
          </w:tcPr>
          <w:p w:rsidR="00F40F8F" w:rsidRPr="00A31F3E" w:rsidP="2FF584B5" w14:paraId="4A96F530" w14:textId="737022C8">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5</w:t>
            </w:r>
          </w:p>
        </w:tc>
        <w:tc>
          <w:tcPr>
            <w:tcW w:w="1760" w:type="dxa"/>
            <w:tcBorders>
              <w:top w:val="nil"/>
              <w:left w:val="nil"/>
              <w:bottom w:val="single" w:sz="8" w:space="0" w:color="auto"/>
              <w:right w:val="single" w:sz="8" w:space="0" w:color="auto"/>
            </w:tcBorders>
            <w:shd w:val="clear" w:color="auto" w:fill="auto"/>
            <w:vAlign w:val="center"/>
            <w:hideMark/>
          </w:tcPr>
          <w:p w:rsidR="00F40F8F" w:rsidRPr="00A31F3E" w:rsidP="2FF584B5" w14:paraId="1C4918B8" w14:textId="353C5193">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1</w:t>
            </w:r>
            <w:r w:rsidRPr="2FF584B5" w:rsidR="3043DFA5">
              <w:rPr>
                <w:rFonts w:eastAsia="Times New Roman" w:cs="Times New Roman"/>
                <w:color w:val="000000" w:themeColor="text1"/>
              </w:rPr>
              <w:t>9</w:t>
            </w:r>
            <w:r w:rsidRPr="2FF584B5" w:rsidR="27005DD5">
              <w:rPr>
                <w:rFonts w:eastAsia="Times New Roman" w:cs="Times New Roman"/>
                <w:color w:val="000000" w:themeColor="text1"/>
              </w:rPr>
              <w:t>%</w:t>
            </w:r>
          </w:p>
        </w:tc>
      </w:tr>
      <w:bookmarkEnd w:id="2"/>
      <w:tr w14:paraId="1AD676B5" w14:textId="77777777" w:rsidTr="2FF584B5">
        <w:tblPrEx>
          <w:tblW w:w="7960" w:type="dxa"/>
          <w:tblInd w:w="1327" w:type="dxa"/>
          <w:tblLook w:val="04A0"/>
        </w:tblPrEx>
        <w:trPr>
          <w:cantSplit/>
          <w:trHeight w:val="310"/>
        </w:trPr>
        <w:tc>
          <w:tcPr>
            <w:tcW w:w="3840" w:type="dxa"/>
            <w:tcBorders>
              <w:top w:val="nil"/>
              <w:left w:val="single" w:sz="8" w:space="0" w:color="auto"/>
              <w:bottom w:val="single" w:sz="8" w:space="0" w:color="auto"/>
              <w:right w:val="single" w:sz="8" w:space="0" w:color="auto"/>
            </w:tcBorders>
            <w:shd w:val="clear" w:color="auto" w:fill="auto"/>
            <w:vAlign w:val="center"/>
            <w:hideMark/>
          </w:tcPr>
          <w:p w:rsidR="00F40F8F" w:rsidRPr="00A31F3E" w:rsidP="00F40F8F" w14:paraId="4ACDD4FB" w14:textId="77777777">
            <w:pPr>
              <w:widowControl/>
              <w:tabs>
                <w:tab w:val="clear" w:pos="360"/>
              </w:tabs>
              <w:spacing w:after="0"/>
              <w:rPr>
                <w:rFonts w:eastAsia="Times New Roman" w:cs="Times New Roman"/>
                <w:b/>
                <w:bCs/>
                <w:color w:val="000000"/>
                <w:szCs w:val="24"/>
              </w:rPr>
            </w:pPr>
            <w:r w:rsidRPr="00A31F3E">
              <w:rPr>
                <w:rFonts w:eastAsia="Times New Roman" w:cs="Times New Roman"/>
                <w:b/>
                <w:bCs/>
                <w:color w:val="000000"/>
                <w:szCs w:val="24"/>
              </w:rPr>
              <w:t>Totals</w:t>
            </w:r>
          </w:p>
        </w:tc>
        <w:tc>
          <w:tcPr>
            <w:tcW w:w="2360" w:type="dxa"/>
            <w:tcBorders>
              <w:top w:val="nil"/>
              <w:left w:val="nil"/>
              <w:bottom w:val="single" w:sz="8" w:space="0" w:color="auto"/>
              <w:right w:val="single" w:sz="8" w:space="0" w:color="auto"/>
            </w:tcBorders>
            <w:shd w:val="clear" w:color="auto" w:fill="auto"/>
            <w:vAlign w:val="center"/>
            <w:hideMark/>
          </w:tcPr>
          <w:p w:rsidR="00F40F8F" w:rsidRPr="00A31F3E" w:rsidP="2FF584B5" w14:paraId="55706D3C" w14:textId="3D30AE15">
            <w:pPr>
              <w:widowControl/>
              <w:tabs>
                <w:tab w:val="clear" w:pos="360"/>
              </w:tabs>
              <w:spacing w:after="0"/>
              <w:jc w:val="center"/>
              <w:rPr>
                <w:rFonts w:eastAsia="Times New Roman" w:cs="Times New Roman"/>
                <w:b/>
                <w:bCs/>
                <w:noProof/>
                <w:color w:val="000000"/>
              </w:rPr>
            </w:pPr>
            <w:r w:rsidRPr="2FF584B5">
              <w:rPr>
                <w:rFonts w:eastAsia="Times New Roman" w:cs="Times New Roman"/>
                <w:b/>
                <w:bCs/>
                <w:noProof/>
                <w:color w:val="000000" w:themeColor="text1"/>
              </w:rPr>
              <w:t>27</w:t>
            </w:r>
          </w:p>
        </w:tc>
        <w:tc>
          <w:tcPr>
            <w:tcW w:w="1760" w:type="dxa"/>
            <w:tcBorders>
              <w:top w:val="nil"/>
              <w:left w:val="nil"/>
              <w:bottom w:val="single" w:sz="8" w:space="0" w:color="auto"/>
              <w:right w:val="single" w:sz="8" w:space="0" w:color="auto"/>
            </w:tcBorders>
            <w:shd w:val="clear" w:color="auto" w:fill="auto"/>
            <w:vAlign w:val="center"/>
            <w:hideMark/>
          </w:tcPr>
          <w:p w:rsidR="00F40F8F" w:rsidRPr="00A31F3E" w:rsidP="2FF584B5" w14:paraId="551B7EA6" w14:textId="6A4FF09A">
            <w:pPr>
              <w:widowControl/>
              <w:tabs>
                <w:tab w:val="clear" w:pos="360"/>
              </w:tabs>
              <w:spacing w:after="0"/>
              <w:jc w:val="center"/>
              <w:rPr>
                <w:rFonts w:eastAsia="Times New Roman" w:cs="Times New Roman"/>
                <w:b/>
                <w:bCs/>
                <w:color w:val="000000"/>
              </w:rPr>
            </w:pPr>
            <w:r w:rsidRPr="2FF584B5">
              <w:rPr>
                <w:rFonts w:eastAsia="Times New Roman" w:cs="Times New Roman"/>
                <w:b/>
                <w:bCs/>
                <w:color w:val="000000" w:themeColor="text1"/>
              </w:rPr>
              <w:t>100</w:t>
            </w:r>
            <w:r w:rsidRPr="2FF584B5" w:rsidR="43233509">
              <w:rPr>
                <w:rFonts w:eastAsia="Times New Roman" w:cs="Times New Roman"/>
                <w:b/>
                <w:bCs/>
                <w:color w:val="000000" w:themeColor="text1"/>
              </w:rPr>
              <w:t>%</w:t>
            </w:r>
          </w:p>
        </w:tc>
      </w:tr>
      <w:tr w14:paraId="52CD5CB3" w14:textId="77777777" w:rsidTr="2FF584B5">
        <w:tblPrEx>
          <w:tblW w:w="7960" w:type="dxa"/>
          <w:tblInd w:w="1327" w:type="dxa"/>
          <w:tblLook w:val="04A0"/>
        </w:tblPrEx>
        <w:trPr>
          <w:cantSplit/>
          <w:trHeight w:val="310"/>
        </w:trPr>
        <w:tc>
          <w:tcPr>
            <w:tcW w:w="7960"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F40F8F" w:rsidRPr="00A31F3E" w:rsidP="00F40F8F" w14:paraId="3094AD69" w14:textId="010FDD07">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 xml:space="preserve">Table 2b: </w:t>
            </w:r>
            <w:r w:rsidR="00A31F3E">
              <w:rPr>
                <w:rFonts w:eastAsia="Times New Roman" w:cs="Times New Roman"/>
                <w:b/>
                <w:bCs/>
                <w:color w:val="000000"/>
                <w:szCs w:val="24"/>
              </w:rPr>
              <w:t>Request</w:t>
            </w:r>
            <w:r w:rsidRPr="00A31F3E">
              <w:rPr>
                <w:rFonts w:eastAsia="Times New Roman" w:cs="Times New Roman"/>
                <w:b/>
                <w:bCs/>
                <w:color w:val="000000"/>
                <w:szCs w:val="24"/>
              </w:rPr>
              <w:t>s on the Policy Survey</w:t>
            </w:r>
          </w:p>
        </w:tc>
      </w:tr>
      <w:tr w14:paraId="0DE60867" w14:textId="77777777" w:rsidTr="2FF584B5">
        <w:tblPrEx>
          <w:tblW w:w="7960" w:type="dxa"/>
          <w:tblInd w:w="1327" w:type="dxa"/>
          <w:tblLook w:val="04A0"/>
        </w:tblPrEx>
        <w:trPr>
          <w:cantSplit/>
          <w:trHeight w:val="310"/>
        </w:trPr>
        <w:tc>
          <w:tcPr>
            <w:tcW w:w="3840" w:type="dxa"/>
            <w:tcBorders>
              <w:top w:val="nil"/>
              <w:left w:val="single" w:sz="8" w:space="0" w:color="auto"/>
              <w:bottom w:val="single" w:sz="8" w:space="0" w:color="auto"/>
              <w:right w:val="single" w:sz="8" w:space="0" w:color="auto"/>
            </w:tcBorders>
            <w:shd w:val="clear" w:color="auto" w:fill="auto"/>
            <w:vAlign w:val="center"/>
            <w:hideMark/>
          </w:tcPr>
          <w:p w:rsidR="00F40F8F" w:rsidRPr="00A31F3E" w:rsidP="00F40F8F" w14:paraId="2B6A2AC7" w14:textId="77777777">
            <w:pPr>
              <w:widowControl/>
              <w:tabs>
                <w:tab w:val="clear" w:pos="360"/>
              </w:tabs>
              <w:spacing w:after="0"/>
              <w:rPr>
                <w:rFonts w:eastAsia="Times New Roman" w:cs="Times New Roman"/>
                <w:b/>
                <w:bCs/>
                <w:color w:val="000000"/>
                <w:szCs w:val="24"/>
              </w:rPr>
            </w:pPr>
            <w:r w:rsidRPr="00A31F3E">
              <w:rPr>
                <w:rFonts w:eastAsia="Times New Roman" w:cs="Times New Roman"/>
                <w:b/>
                <w:bCs/>
                <w:color w:val="000000"/>
                <w:szCs w:val="24"/>
              </w:rPr>
              <w:t>Content Type</w:t>
            </w:r>
          </w:p>
        </w:tc>
        <w:tc>
          <w:tcPr>
            <w:tcW w:w="2360" w:type="dxa"/>
            <w:tcBorders>
              <w:top w:val="nil"/>
              <w:left w:val="nil"/>
              <w:bottom w:val="single" w:sz="8" w:space="0" w:color="auto"/>
              <w:right w:val="single" w:sz="8" w:space="0" w:color="auto"/>
            </w:tcBorders>
            <w:shd w:val="clear" w:color="auto" w:fill="auto"/>
            <w:vAlign w:val="center"/>
            <w:hideMark/>
          </w:tcPr>
          <w:p w:rsidR="00F40F8F" w:rsidRPr="00A31F3E" w:rsidP="00F40F8F" w14:paraId="22F7CF6A" w14:textId="767A87BB">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 xml:space="preserve">Number of </w:t>
            </w:r>
            <w:r w:rsidR="00A31F3E">
              <w:rPr>
                <w:rFonts w:eastAsia="Times New Roman" w:cs="Times New Roman"/>
                <w:b/>
                <w:bCs/>
                <w:color w:val="000000"/>
                <w:szCs w:val="24"/>
              </w:rPr>
              <w:t>Request</w:t>
            </w:r>
            <w:r w:rsidRPr="00A31F3E">
              <w:rPr>
                <w:rFonts w:eastAsia="Times New Roman" w:cs="Times New Roman"/>
                <w:b/>
                <w:bCs/>
                <w:color w:val="000000"/>
                <w:szCs w:val="24"/>
              </w:rPr>
              <w:t>s</w:t>
            </w:r>
          </w:p>
        </w:tc>
        <w:tc>
          <w:tcPr>
            <w:tcW w:w="1760" w:type="dxa"/>
            <w:tcBorders>
              <w:top w:val="nil"/>
              <w:left w:val="nil"/>
              <w:bottom w:val="single" w:sz="8" w:space="0" w:color="auto"/>
              <w:right w:val="single" w:sz="8" w:space="0" w:color="auto"/>
            </w:tcBorders>
            <w:shd w:val="clear" w:color="auto" w:fill="auto"/>
            <w:vAlign w:val="center"/>
            <w:hideMark/>
          </w:tcPr>
          <w:p w:rsidR="00F40F8F" w:rsidRPr="00A31F3E" w:rsidP="00F40F8F" w14:paraId="17DCD50D" w14:textId="77777777">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Percent of Total</w:t>
            </w:r>
          </w:p>
        </w:tc>
      </w:tr>
      <w:tr w14:paraId="37F32A3D" w14:textId="77777777" w:rsidTr="2FF584B5">
        <w:tblPrEx>
          <w:tblW w:w="7960" w:type="dxa"/>
          <w:tblInd w:w="1327" w:type="dxa"/>
          <w:tblLook w:val="04A0"/>
        </w:tblPrEx>
        <w:trPr>
          <w:trHeight w:val="320"/>
        </w:trPr>
        <w:tc>
          <w:tcPr>
            <w:tcW w:w="3840" w:type="dxa"/>
            <w:tcBorders>
              <w:top w:val="nil"/>
              <w:left w:val="single" w:sz="8" w:space="0" w:color="auto"/>
              <w:bottom w:val="single" w:sz="8" w:space="0" w:color="auto"/>
              <w:right w:val="single" w:sz="8" w:space="0" w:color="auto"/>
            </w:tcBorders>
            <w:shd w:val="clear" w:color="auto" w:fill="auto"/>
            <w:vAlign w:val="center"/>
            <w:hideMark/>
          </w:tcPr>
          <w:p w:rsidR="00F40F8F" w:rsidRPr="00A31F3E" w:rsidP="00F40F8F" w14:paraId="4CDCFF21" w14:textId="77777777">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Requests to add additional questions</w:t>
            </w:r>
          </w:p>
        </w:tc>
        <w:tc>
          <w:tcPr>
            <w:tcW w:w="2360" w:type="dxa"/>
            <w:tcBorders>
              <w:top w:val="nil"/>
              <w:left w:val="nil"/>
              <w:bottom w:val="single" w:sz="8" w:space="0" w:color="auto"/>
              <w:right w:val="single" w:sz="8" w:space="0" w:color="auto"/>
            </w:tcBorders>
            <w:shd w:val="clear" w:color="auto" w:fill="auto"/>
            <w:vAlign w:val="center"/>
            <w:hideMark/>
          </w:tcPr>
          <w:p w:rsidR="00F40F8F" w:rsidRPr="00A31F3E" w:rsidP="2FF584B5" w14:paraId="5534792B" w14:textId="79C46D97">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11</w:t>
            </w:r>
          </w:p>
        </w:tc>
        <w:tc>
          <w:tcPr>
            <w:tcW w:w="1760" w:type="dxa"/>
            <w:tcBorders>
              <w:top w:val="nil"/>
              <w:left w:val="nil"/>
              <w:bottom w:val="single" w:sz="8" w:space="0" w:color="auto"/>
              <w:right w:val="single" w:sz="8" w:space="0" w:color="auto"/>
            </w:tcBorders>
            <w:shd w:val="clear" w:color="auto" w:fill="auto"/>
            <w:vAlign w:val="center"/>
            <w:hideMark/>
          </w:tcPr>
          <w:p w:rsidR="00F40F8F" w:rsidRPr="00A31F3E" w:rsidP="2FF584B5" w14:paraId="59193AD7" w14:textId="7803F084">
            <w:pPr>
              <w:widowControl/>
              <w:tabs>
                <w:tab w:val="clear" w:pos="360"/>
              </w:tabs>
              <w:spacing w:after="0"/>
              <w:jc w:val="center"/>
              <w:rPr>
                <w:rFonts w:eastAsia="Times New Roman" w:cs="Times New Roman"/>
                <w:szCs w:val="24"/>
              </w:rPr>
            </w:pPr>
            <w:r w:rsidRPr="2FF584B5">
              <w:rPr>
                <w:rFonts w:eastAsia="Times New Roman" w:cs="Times New Roman"/>
                <w:color w:val="000000" w:themeColor="text1"/>
              </w:rPr>
              <w:t>85</w:t>
            </w:r>
            <w:r w:rsidRPr="2FF584B5" w:rsidR="5322FC09">
              <w:rPr>
                <w:rFonts w:eastAsia="Times New Roman" w:cs="Times New Roman"/>
                <w:color w:val="000000" w:themeColor="text1"/>
              </w:rPr>
              <w:t>%</w:t>
            </w:r>
          </w:p>
        </w:tc>
      </w:tr>
      <w:tr w14:paraId="7551B043" w14:textId="77777777" w:rsidTr="2FF584B5">
        <w:tblPrEx>
          <w:tblW w:w="7960" w:type="dxa"/>
          <w:tblInd w:w="1327" w:type="dxa"/>
          <w:tblLook w:val="04A0"/>
        </w:tblPrEx>
        <w:trPr>
          <w:trHeight w:val="630"/>
        </w:trPr>
        <w:tc>
          <w:tcPr>
            <w:tcW w:w="3840" w:type="dxa"/>
            <w:tcBorders>
              <w:top w:val="nil"/>
              <w:left w:val="single" w:sz="8" w:space="0" w:color="auto"/>
              <w:bottom w:val="single" w:sz="8" w:space="0" w:color="auto"/>
              <w:right w:val="single" w:sz="8" w:space="0" w:color="auto"/>
            </w:tcBorders>
            <w:shd w:val="clear" w:color="auto" w:fill="auto"/>
            <w:vAlign w:val="center"/>
            <w:hideMark/>
          </w:tcPr>
          <w:p w:rsidR="00F40F8F" w:rsidRPr="00A31F3E" w:rsidP="00F40F8F" w14:paraId="06A841BA" w14:textId="77777777">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Requests for adjustments to existing questions</w:t>
            </w:r>
          </w:p>
        </w:tc>
        <w:tc>
          <w:tcPr>
            <w:tcW w:w="2360" w:type="dxa"/>
            <w:tcBorders>
              <w:top w:val="nil"/>
              <w:left w:val="nil"/>
              <w:bottom w:val="single" w:sz="8" w:space="0" w:color="auto"/>
              <w:right w:val="single" w:sz="8" w:space="0" w:color="auto"/>
            </w:tcBorders>
            <w:shd w:val="clear" w:color="auto" w:fill="auto"/>
            <w:vAlign w:val="center"/>
            <w:hideMark/>
          </w:tcPr>
          <w:p w:rsidR="00F40F8F" w:rsidRPr="00A31F3E" w:rsidP="2FF584B5" w14:paraId="7FEE2EB2" w14:textId="4A86ACDA">
            <w:pPr>
              <w:widowControl/>
              <w:tabs>
                <w:tab w:val="clear" w:pos="360"/>
              </w:tabs>
              <w:spacing w:after="0"/>
              <w:jc w:val="center"/>
              <w:rPr>
                <w:rFonts w:eastAsia="Times New Roman" w:cs="Times New Roman"/>
                <w:color w:val="000000"/>
              </w:rPr>
            </w:pPr>
            <w:r w:rsidRPr="2FF584B5">
              <w:rPr>
                <w:rFonts w:eastAsia="Times New Roman" w:cs="Times New Roman"/>
                <w:color w:val="000000" w:themeColor="text1"/>
              </w:rPr>
              <w:t>2</w:t>
            </w:r>
          </w:p>
        </w:tc>
        <w:tc>
          <w:tcPr>
            <w:tcW w:w="1760" w:type="dxa"/>
            <w:tcBorders>
              <w:top w:val="nil"/>
              <w:left w:val="nil"/>
              <w:bottom w:val="single" w:sz="8" w:space="0" w:color="auto"/>
              <w:right w:val="single" w:sz="8" w:space="0" w:color="auto"/>
            </w:tcBorders>
            <w:shd w:val="clear" w:color="auto" w:fill="auto"/>
            <w:vAlign w:val="center"/>
            <w:hideMark/>
          </w:tcPr>
          <w:p w:rsidR="00F40F8F" w:rsidRPr="00A31F3E" w:rsidP="2FF584B5" w14:paraId="6F82505B" w14:textId="25108DB1">
            <w:pPr>
              <w:widowControl/>
              <w:tabs>
                <w:tab w:val="clear" w:pos="360"/>
              </w:tabs>
              <w:spacing w:after="0"/>
              <w:jc w:val="center"/>
              <w:rPr>
                <w:rFonts w:eastAsia="Times New Roman" w:cs="Times New Roman"/>
                <w:szCs w:val="24"/>
              </w:rPr>
            </w:pPr>
            <w:r w:rsidRPr="2FF584B5">
              <w:rPr>
                <w:rFonts w:eastAsia="Times New Roman" w:cs="Times New Roman"/>
                <w:color w:val="000000" w:themeColor="text1"/>
              </w:rPr>
              <w:t>1</w:t>
            </w:r>
            <w:r w:rsidRPr="2FF584B5" w:rsidR="2BF7C76A">
              <w:rPr>
                <w:rFonts w:eastAsia="Times New Roman" w:cs="Times New Roman"/>
                <w:color w:val="000000" w:themeColor="text1"/>
              </w:rPr>
              <w:t>5</w:t>
            </w:r>
            <w:r w:rsidRPr="2FF584B5" w:rsidR="5322FC09">
              <w:rPr>
                <w:rFonts w:eastAsia="Times New Roman" w:cs="Times New Roman"/>
                <w:color w:val="000000" w:themeColor="text1"/>
              </w:rPr>
              <w:t>%</w:t>
            </w:r>
          </w:p>
        </w:tc>
      </w:tr>
      <w:tr w14:paraId="4D5DEFFA" w14:textId="77777777" w:rsidTr="2FF584B5">
        <w:tblPrEx>
          <w:tblW w:w="7960" w:type="dxa"/>
          <w:tblInd w:w="1327" w:type="dxa"/>
          <w:tblLook w:val="04A0"/>
        </w:tblPrEx>
        <w:trPr>
          <w:cantSplit/>
          <w:trHeight w:val="310"/>
        </w:trPr>
        <w:tc>
          <w:tcPr>
            <w:tcW w:w="3840" w:type="dxa"/>
            <w:tcBorders>
              <w:top w:val="nil"/>
              <w:left w:val="single" w:sz="8" w:space="0" w:color="auto"/>
              <w:bottom w:val="single" w:sz="8" w:space="0" w:color="auto"/>
              <w:right w:val="single" w:sz="8" w:space="0" w:color="auto"/>
            </w:tcBorders>
            <w:shd w:val="clear" w:color="auto" w:fill="auto"/>
            <w:vAlign w:val="center"/>
            <w:hideMark/>
          </w:tcPr>
          <w:p w:rsidR="00F40F8F" w:rsidRPr="00A31F3E" w:rsidP="00F40F8F" w14:paraId="72E0C24F" w14:textId="77777777">
            <w:pPr>
              <w:widowControl/>
              <w:tabs>
                <w:tab w:val="clear" w:pos="360"/>
              </w:tabs>
              <w:spacing w:after="0"/>
              <w:rPr>
                <w:rFonts w:eastAsia="Times New Roman" w:cs="Times New Roman"/>
                <w:b/>
                <w:bCs/>
                <w:color w:val="000000"/>
                <w:szCs w:val="24"/>
              </w:rPr>
            </w:pPr>
            <w:r w:rsidRPr="00A31F3E">
              <w:rPr>
                <w:rFonts w:eastAsia="Times New Roman" w:cs="Times New Roman"/>
                <w:b/>
                <w:bCs/>
                <w:color w:val="000000"/>
                <w:szCs w:val="24"/>
              </w:rPr>
              <w:t>Total</w:t>
            </w:r>
          </w:p>
        </w:tc>
        <w:tc>
          <w:tcPr>
            <w:tcW w:w="2360" w:type="dxa"/>
            <w:tcBorders>
              <w:top w:val="nil"/>
              <w:left w:val="nil"/>
              <w:bottom w:val="single" w:sz="8" w:space="0" w:color="auto"/>
              <w:right w:val="single" w:sz="8" w:space="0" w:color="auto"/>
            </w:tcBorders>
            <w:shd w:val="clear" w:color="auto" w:fill="auto"/>
            <w:vAlign w:val="center"/>
            <w:hideMark/>
          </w:tcPr>
          <w:p w:rsidR="00F40F8F" w:rsidRPr="00A31F3E" w:rsidP="2FF584B5" w14:paraId="338B4B78" w14:textId="7AE03D9A">
            <w:pPr>
              <w:widowControl/>
              <w:tabs>
                <w:tab w:val="clear" w:pos="360"/>
              </w:tabs>
              <w:spacing w:after="0"/>
              <w:jc w:val="center"/>
              <w:rPr>
                <w:rFonts w:eastAsia="Times New Roman" w:cs="Times New Roman"/>
                <w:b/>
                <w:bCs/>
                <w:color w:val="000000"/>
              </w:rPr>
            </w:pPr>
            <w:r w:rsidRPr="2FF584B5">
              <w:rPr>
                <w:rFonts w:eastAsia="Times New Roman" w:cs="Times New Roman"/>
                <w:b/>
                <w:bCs/>
                <w:color w:val="000000" w:themeColor="text1"/>
              </w:rPr>
              <w:t>1</w:t>
            </w:r>
            <w:r w:rsidRPr="2FF584B5" w:rsidR="0FD8047E">
              <w:rPr>
                <w:rFonts w:eastAsia="Times New Roman" w:cs="Times New Roman"/>
                <w:b/>
                <w:bCs/>
                <w:color w:val="000000" w:themeColor="text1"/>
              </w:rPr>
              <w:t>3</w:t>
            </w:r>
          </w:p>
        </w:tc>
        <w:tc>
          <w:tcPr>
            <w:tcW w:w="1760" w:type="dxa"/>
            <w:tcBorders>
              <w:top w:val="nil"/>
              <w:left w:val="nil"/>
              <w:bottom w:val="single" w:sz="8" w:space="0" w:color="auto"/>
              <w:right w:val="single" w:sz="8" w:space="0" w:color="auto"/>
            </w:tcBorders>
            <w:shd w:val="clear" w:color="auto" w:fill="auto"/>
            <w:vAlign w:val="center"/>
            <w:hideMark/>
          </w:tcPr>
          <w:p w:rsidR="00F40F8F" w:rsidRPr="00A31F3E" w:rsidP="2FF584B5" w14:paraId="01DB1915" w14:textId="021BEF6B">
            <w:pPr>
              <w:widowControl/>
              <w:tabs>
                <w:tab w:val="clear" w:pos="360"/>
              </w:tabs>
              <w:spacing w:after="0"/>
              <w:jc w:val="center"/>
              <w:rPr>
                <w:rFonts w:eastAsia="Times New Roman" w:cs="Times New Roman"/>
                <w:b/>
                <w:bCs/>
                <w:color w:val="000000"/>
              </w:rPr>
            </w:pPr>
            <w:r w:rsidRPr="2FF584B5">
              <w:rPr>
                <w:rFonts w:eastAsia="Times New Roman" w:cs="Times New Roman"/>
                <w:b/>
                <w:bCs/>
                <w:color w:val="000000" w:themeColor="text1"/>
              </w:rPr>
              <w:t>100</w:t>
            </w:r>
            <w:r w:rsidRPr="2FF584B5" w:rsidR="66C6FFD5">
              <w:rPr>
                <w:rFonts w:eastAsia="Times New Roman" w:cs="Times New Roman"/>
                <w:b/>
                <w:bCs/>
                <w:color w:val="000000" w:themeColor="text1"/>
              </w:rPr>
              <w:t>%</w:t>
            </w:r>
          </w:p>
        </w:tc>
      </w:tr>
    </w:tbl>
    <w:p w:rsidR="00C74169" w:rsidP="00D97198" w14:paraId="2E14895C" w14:textId="64E64F3C">
      <w:pPr>
        <w:pStyle w:val="BodyTextIndent"/>
      </w:pPr>
    </w:p>
    <w:p w:rsidR="00C74169" w:rsidRPr="00AF7D82" w:rsidP="00D97198" w14:paraId="727A8F34" w14:textId="5A5A7782">
      <w:pPr>
        <w:pStyle w:val="BodyTextIndent"/>
      </w:pPr>
      <w:r w:rsidRPr="00AF7D82">
        <w:t>The EAC’s responses to the suggestions for the EAVS are below:</w:t>
      </w:r>
    </w:p>
    <w:p w:rsidR="00F40F8F" w:rsidRPr="00AF7D82" w:rsidP="2FF584B5" w14:paraId="7F8D07D5" w14:textId="3DAD0725">
      <w:pPr>
        <w:pStyle w:val="BodyTextIndent"/>
        <w:numPr>
          <w:ilvl w:val="0"/>
          <w:numId w:val="4"/>
        </w:numPr>
        <w:rPr>
          <w:szCs w:val="24"/>
        </w:rPr>
      </w:pPr>
      <w:r w:rsidRPr="7C8F737E">
        <w:rPr>
          <w:b/>
          <w:bCs/>
        </w:rPr>
        <w:t>Requests to add additional questions</w:t>
      </w:r>
      <w:r>
        <w:t>: There were many suggestions for additional questions, including questions on</w:t>
      </w:r>
      <w:r w:rsidR="0ACA249F">
        <w:t xml:space="preserve"> </w:t>
      </w:r>
      <w:r w:rsidR="341C4A2F">
        <w:t xml:space="preserve">the </w:t>
      </w:r>
      <w:r w:rsidR="0ACA249F">
        <w:t>quality of poll workers,</w:t>
      </w:r>
      <w:r w:rsidR="67D9967C">
        <w:t xml:space="preserve"> reasons for difficulty recruiting poll workers, </w:t>
      </w:r>
      <w:r w:rsidR="6FB74287">
        <w:t xml:space="preserve">the number of </w:t>
      </w:r>
      <w:r w:rsidR="67D9967C">
        <w:t>ballot</w:t>
      </w:r>
      <w:r w:rsidR="06B18E21">
        <w:t>s</w:t>
      </w:r>
      <w:r w:rsidR="67D9967C">
        <w:t xml:space="preserve"> return</w:t>
      </w:r>
      <w:r w:rsidR="210F1B87">
        <w:t>ed electronically</w:t>
      </w:r>
      <w:r w:rsidR="67D9967C">
        <w:t xml:space="preserve"> specifically for non-UOCAVA voters</w:t>
      </w:r>
      <w:r w:rsidR="014A088B">
        <w:t xml:space="preserve">. These </w:t>
      </w:r>
      <w:r w:rsidR="0269677E">
        <w:t xml:space="preserve">poll worker </w:t>
      </w:r>
      <w:r w:rsidR="014A088B">
        <w:t>questions were not added</w:t>
      </w:r>
      <w:r w:rsidR="5DFA3D9A">
        <w:t xml:space="preserve"> because we believe we can obtain </w:t>
      </w:r>
      <w:r w:rsidR="6399C494">
        <w:t>similar data in the comment boxes for the existing poll worker questions. The question</w:t>
      </w:r>
      <w:r w:rsidR="59DAB7FB">
        <w:t>s</w:t>
      </w:r>
      <w:r w:rsidR="6399C494">
        <w:t xml:space="preserve"> on the number of ballots </w:t>
      </w:r>
      <w:r w:rsidR="1C4882D2">
        <w:t>returned</w:t>
      </w:r>
      <w:r w:rsidR="6399C494">
        <w:t xml:space="preserve"> electronically by non-UOCAVA voters</w:t>
      </w:r>
      <w:r w:rsidR="7E90D799">
        <w:t xml:space="preserve"> will more than likely increase the survey burden and the questions</w:t>
      </w:r>
      <w:r w:rsidR="6399C494">
        <w:t xml:space="preserve"> will ne</w:t>
      </w:r>
      <w:r w:rsidR="3999BC7A">
        <w:t>ed more testing before deploying in a future EAVS</w:t>
      </w:r>
      <w:r>
        <w:t xml:space="preserve">. </w:t>
      </w:r>
      <w:r w:rsidR="228D5DF9">
        <w:t>T</w:t>
      </w:r>
      <w:r w:rsidR="135B1C97">
        <w:t xml:space="preserve">he EAC </w:t>
      </w:r>
      <w:r w:rsidR="5AA912D9">
        <w:t>is reluctant</w:t>
      </w:r>
      <w:r w:rsidR="62587641">
        <w:t xml:space="preserve"> </w:t>
      </w:r>
      <w:r w:rsidR="135B1C97">
        <w:t xml:space="preserve">to increase </w:t>
      </w:r>
      <w:r w:rsidR="67683D86">
        <w:t xml:space="preserve">the </w:t>
      </w:r>
      <w:r w:rsidR="135B1C97">
        <w:t xml:space="preserve">response burden by adding questions to an already lengthy survey. </w:t>
      </w:r>
      <w:r>
        <w:t xml:space="preserve">The EAC also wishes to conduct more rigorous </w:t>
      </w:r>
      <w:r w:rsidR="54525926">
        <w:t xml:space="preserve">question design and user testing of these potential questions. The EAC will not add </w:t>
      </w:r>
      <w:r w:rsidR="0ACA249F">
        <w:t xml:space="preserve">most of </w:t>
      </w:r>
      <w:r w:rsidR="54525926">
        <w:t>these additional questions in the 202</w:t>
      </w:r>
      <w:r w:rsidR="72DE986C">
        <w:t>4</w:t>
      </w:r>
      <w:r w:rsidR="54525926">
        <w:t xml:space="preserve"> EAVS but will work with the EAC Standards Board and other stakeholders to determine if these items </w:t>
      </w:r>
      <w:r w:rsidR="54525926">
        <w:t>are appropriate to consider for the 202</w:t>
      </w:r>
      <w:r w:rsidR="76DA0BBD">
        <w:t>6</w:t>
      </w:r>
      <w:r w:rsidR="54525926">
        <w:t xml:space="preserve"> EAVS.</w:t>
      </w:r>
      <w:r w:rsidR="0ACA249F">
        <w:t xml:space="preserve"> </w:t>
      </w:r>
      <w:r w:rsidR="4F9D4EA2">
        <w:t xml:space="preserve"> </w:t>
      </w:r>
    </w:p>
    <w:p w:rsidR="00CA480E" w:rsidP="003F031B" w14:paraId="1DFBF14D" w14:textId="0F6DA6BE">
      <w:pPr>
        <w:pStyle w:val="BodyTextIndent"/>
        <w:numPr>
          <w:ilvl w:val="0"/>
          <w:numId w:val="4"/>
        </w:numPr>
      </w:pPr>
      <w:r w:rsidRPr="2FF584B5">
        <w:rPr>
          <w:b/>
          <w:bCs/>
        </w:rPr>
        <w:t>Request for clarification of survey instructions</w:t>
      </w:r>
      <w:r>
        <w:t xml:space="preserve">: </w:t>
      </w:r>
      <w:r>
        <w:t>C</w:t>
      </w:r>
      <w:r w:rsidR="00CC1EE7">
        <w:t xml:space="preserve">ommenters raised </w:t>
      </w:r>
      <w:r w:rsidR="2012195F">
        <w:t xml:space="preserve">an </w:t>
      </w:r>
      <w:r w:rsidR="00CC1EE7">
        <w:t>issue with</w:t>
      </w:r>
      <w:r>
        <w:t xml:space="preserve"> </w:t>
      </w:r>
      <w:r w:rsidR="059F2F86">
        <w:t xml:space="preserve">changes to </w:t>
      </w:r>
      <w:r w:rsidR="00504921">
        <w:t>question</w:t>
      </w:r>
      <w:r w:rsidR="6F7AE480">
        <w:t>s</w:t>
      </w:r>
      <w:r w:rsidR="00504921">
        <w:t xml:space="preserve"> A3</w:t>
      </w:r>
      <w:r w:rsidR="2F5A41D8">
        <w:t>-A9</w:t>
      </w:r>
      <w:r w:rsidR="7D897820">
        <w:t xml:space="preserve">, specifically that the EAC give states guidelines on </w:t>
      </w:r>
      <w:r w:rsidR="508D0F5D">
        <w:t>data gathering</w:t>
      </w:r>
      <w:r w:rsidR="00504921">
        <w:t xml:space="preserve">. </w:t>
      </w:r>
      <w:r w:rsidR="2EC75B49">
        <w:t>Our instructions in the survey already address this</w:t>
      </w:r>
      <w:r w:rsidR="2678AFC3">
        <w:t xml:space="preserve"> concern,</w:t>
      </w:r>
      <w:r w:rsidR="2EC75B49">
        <w:t xml:space="preserve"> </w:t>
      </w:r>
      <w:r w:rsidR="00285CF7">
        <w:t xml:space="preserve"> </w:t>
      </w:r>
    </w:p>
    <w:p w:rsidR="00F40F8F" w:rsidRPr="00285CF7" w:rsidP="00285CF7" w14:paraId="1F1CE7D5" w14:textId="56B58442">
      <w:pPr>
        <w:pStyle w:val="BodyTextIndent"/>
        <w:numPr>
          <w:ilvl w:val="0"/>
          <w:numId w:val="4"/>
        </w:numPr>
      </w:pPr>
      <w:r w:rsidRPr="2FF584B5">
        <w:rPr>
          <w:b/>
          <w:bCs/>
        </w:rPr>
        <w:t>Requests relating to survey administration and survey tools</w:t>
      </w:r>
      <w:r>
        <w:t xml:space="preserve">: </w:t>
      </w:r>
      <w:r w:rsidR="00456DA5">
        <w:t xml:space="preserve">Commenters requested several modifications to the survey administration and tools such as: </w:t>
      </w:r>
      <w:r w:rsidR="75446390">
        <w:t xml:space="preserve"> </w:t>
      </w:r>
      <w:r w:rsidR="551B084B">
        <w:t xml:space="preserve"> concerns that the </w:t>
      </w:r>
      <w:r w:rsidR="12641C83">
        <w:t>survey</w:t>
      </w:r>
      <w:r w:rsidR="551B084B">
        <w:t xml:space="preserve"> is time consum</w:t>
      </w:r>
      <w:r w:rsidR="6E7634E0">
        <w:t>ing</w:t>
      </w:r>
      <w:r w:rsidR="2BFC73AF">
        <w:t xml:space="preserve"> and should be simplified</w:t>
      </w:r>
      <w:r w:rsidR="5B660D73">
        <w:t>; that the EAC flag states’ data submissions if they report data that is si</w:t>
      </w:r>
      <w:r w:rsidR="2E6F8566">
        <w:t>gnificantly different from their previous EAVS response</w:t>
      </w:r>
      <w:r w:rsidR="163596F0">
        <w:t>; that the EAC has a process to document and communicate the changes to the states</w:t>
      </w:r>
      <w:r w:rsidR="006A242E">
        <w:t>.</w:t>
      </w:r>
      <w:r w:rsidR="355F2778">
        <w:t xml:space="preserve"> The EAC is cognizant of the survey </w:t>
      </w:r>
      <w:r w:rsidR="59C3384B">
        <w:t>burden</w:t>
      </w:r>
      <w:r w:rsidR="355F2778">
        <w:t xml:space="preserve"> and is careful not to add many new questions to each new EAVS so that</w:t>
      </w:r>
      <w:r w:rsidR="2F7CC336">
        <w:t xml:space="preserve"> the survey burden does not sharply increase. The EAC currently </w:t>
      </w:r>
      <w:r w:rsidR="7A6AA30D">
        <w:t>flags data anomalies during the data submission process and communicates with states on how they can correct their data before they turn in their final submission.</w:t>
      </w:r>
      <w:r w:rsidR="355F2778">
        <w:t xml:space="preserve"> </w:t>
      </w:r>
      <w:r w:rsidR="006A242E">
        <w:t xml:space="preserve">  </w:t>
      </w:r>
    </w:p>
    <w:p w:rsidR="00F40F8F" w:rsidRPr="00F26405" w:rsidP="2FF584B5" w14:paraId="37444608" w14:textId="34C8E84F">
      <w:pPr>
        <w:pStyle w:val="BodyTextIndent"/>
        <w:numPr>
          <w:ilvl w:val="0"/>
          <w:numId w:val="4"/>
        </w:numPr>
        <w:rPr>
          <w:szCs w:val="24"/>
        </w:rPr>
      </w:pPr>
      <w:r w:rsidRPr="7C8F737E">
        <w:rPr>
          <w:b/>
          <w:bCs/>
        </w:rPr>
        <w:t>Requests for adjustments to existing questions</w:t>
      </w:r>
      <w:r>
        <w:t xml:space="preserve">: </w:t>
      </w:r>
      <w:r w:rsidR="6CE1107D">
        <w:t>C</w:t>
      </w:r>
      <w:r w:rsidR="57C84920">
        <w:t>ommenters requested adjustments to</w:t>
      </w:r>
      <w:r w:rsidR="2E3C61A8">
        <w:t xml:space="preserve"> A11f and A12f. </w:t>
      </w:r>
      <w:r w:rsidR="44E81B46">
        <w:t>The EAC upda</w:t>
      </w:r>
      <w:r w:rsidR="16FD0816">
        <w:t>ted the language to say "Voter may have been declared incompetent to vote under state law" in A11f and "Voter was declared incompetent to vote under state law"</w:t>
      </w:r>
      <w:r w:rsidR="3FB80B17">
        <w:t xml:space="preserve"> in A12f. </w:t>
      </w:r>
      <w:r w:rsidR="369D6495">
        <w:t xml:space="preserve">Commenters also requested that </w:t>
      </w:r>
      <w:r w:rsidR="64CA256B">
        <w:t xml:space="preserve">the </w:t>
      </w:r>
      <w:r w:rsidR="369D6495">
        <w:t>question on the</w:t>
      </w:r>
      <w:r w:rsidR="5805B03D">
        <w:t xml:space="preserve"> total</w:t>
      </w:r>
      <w:r w:rsidR="369D6495">
        <w:t xml:space="preserve"> number of UOCAVA ballots returned</w:t>
      </w:r>
      <w:r w:rsidR="051404BA">
        <w:t xml:space="preserve"> have two additional options for ballots returned by fax and online. In previous EAVS,</w:t>
      </w:r>
      <w:r w:rsidR="718D6EA4">
        <w:t xml:space="preserve"> respondents were asked to include the</w:t>
      </w:r>
      <w:r w:rsidR="5E503B47">
        <w:t xml:space="preserve"> total</w:t>
      </w:r>
      <w:r w:rsidR="718D6EA4">
        <w:t xml:space="preserve"> number of ballots returned by fax and online in the “Other” category. The EAC has split those two options out for that question</w:t>
      </w:r>
      <w:r w:rsidR="7A65F8CA">
        <w:t>. In addition</w:t>
      </w:r>
      <w:r w:rsidR="7D5ABC70">
        <w:t>,</w:t>
      </w:r>
      <w:r w:rsidR="7A65F8CA">
        <w:t xml:space="preserve"> the EAC has also </w:t>
      </w:r>
      <w:r w:rsidR="349D085C">
        <w:t>separated</w:t>
      </w:r>
      <w:r w:rsidR="49A03174">
        <w:t xml:space="preserve"> </w:t>
      </w:r>
      <w:r w:rsidR="7A65F8CA">
        <w:t xml:space="preserve"> those two options for the question</w:t>
      </w:r>
      <w:r w:rsidR="31CF0649">
        <w:t>s</w:t>
      </w:r>
      <w:r w:rsidR="7A65F8CA">
        <w:t xml:space="preserve"> on the</w:t>
      </w:r>
      <w:r w:rsidR="137E66CA">
        <w:t xml:space="preserve"> total</w:t>
      </w:r>
      <w:r w:rsidR="2AA67872">
        <w:t xml:space="preserve"> number of UOCAVA ballots counted that were returned by </w:t>
      </w:r>
      <w:r w:rsidR="545DE558">
        <w:t>fax and onlin</w:t>
      </w:r>
      <w:r w:rsidR="0D17D066">
        <w:t>e</w:t>
      </w:r>
      <w:r w:rsidR="045470E8">
        <w:t xml:space="preserve"> and the</w:t>
      </w:r>
      <w:r w:rsidR="2EB0BE98">
        <w:t xml:space="preserve"> total</w:t>
      </w:r>
      <w:r w:rsidR="045470E8">
        <w:t xml:space="preserve"> number of UOCAVA ballots that were returned undeliverable for those modes</w:t>
      </w:r>
      <w:r w:rsidR="096E0322">
        <w:t xml:space="preserve">. </w:t>
      </w:r>
      <w:r w:rsidR="3FB80B17">
        <w:t>Commenters also requested adjustments</w:t>
      </w:r>
      <w:r w:rsidR="1761E5F7">
        <w:t xml:space="preserve"> in how</w:t>
      </w:r>
      <w:r w:rsidR="65F7D7C2">
        <w:t xml:space="preserve"> states disaggregate early in-person voting and mail ballots if they are consolidating those two categories in the term absentee voting. We are considering better ways to communicate that states make the distinction in our various resources such as the EAVS Glossary and our series of newsletters. </w:t>
      </w:r>
      <w:r w:rsidR="2FAB95B1">
        <w:t xml:space="preserve">Commenters also suggested </w:t>
      </w:r>
      <w:r w:rsidR="65F7D7C2">
        <w:t>developing a polling place turnout rate,</w:t>
      </w:r>
      <w:r w:rsidR="37006409">
        <w:t xml:space="preserve"> </w:t>
      </w:r>
      <w:r w:rsidR="0E6C1911">
        <w:t xml:space="preserve">and for </w:t>
      </w:r>
      <w:r w:rsidR="37006409">
        <w:t>UOCAVA questions on ballots return (B9-13), specifically</w:t>
      </w:r>
      <w:r w:rsidR="22354A72">
        <w:t>,</w:t>
      </w:r>
      <w:r w:rsidR="37006409">
        <w:t xml:space="preserve"> </w:t>
      </w:r>
      <w:r w:rsidR="03F882D1">
        <w:t>the categories of email, fax, and online portal be split out as separate options for respondents to provide data for</w:t>
      </w:r>
      <w:r w:rsidR="2D722259">
        <w:t>. We believe the polling place turnout rate suggestion will increase the survey burden</w:t>
      </w:r>
      <w:r w:rsidR="37E3AD7F">
        <w:t xml:space="preserve">. Also we </w:t>
      </w:r>
      <w:r w:rsidR="4B6FB33D">
        <w:t>need to investigate further whether stat</w:t>
      </w:r>
      <w:r w:rsidR="37E3AD7F">
        <w:t>es</w:t>
      </w:r>
      <w:r w:rsidR="36456ADD">
        <w:t xml:space="preserve"> have the</w:t>
      </w:r>
      <w:r w:rsidR="37E3AD7F">
        <w:t xml:space="preserve"> ability to break</w:t>
      </w:r>
      <w:r w:rsidR="22FA088D">
        <w:t xml:space="preserve"> </w:t>
      </w:r>
      <w:r w:rsidR="37E3AD7F">
        <w:t xml:space="preserve">down UOCAVA ballots </w:t>
      </w:r>
      <w:r w:rsidR="5BFAC6BB">
        <w:t>returned</w:t>
      </w:r>
      <w:r w:rsidR="37E3AD7F">
        <w:t xml:space="preserve"> by email, fax, and online</w:t>
      </w:r>
      <w:r w:rsidR="3F08C370">
        <w:t>.</w:t>
      </w:r>
      <w:r w:rsidR="37E3AD7F">
        <w:t xml:space="preserve"> </w:t>
      </w:r>
      <w:r w:rsidR="6E7A6E3D">
        <w:t xml:space="preserve"> </w:t>
      </w:r>
      <w:r w:rsidR="57C84920">
        <w:t>The EAC wishes to undertake more study on the</w:t>
      </w:r>
      <w:r w:rsidR="26FDD7A1">
        <w:t xml:space="preserve">se </w:t>
      </w:r>
      <w:r w:rsidR="6E7A6E3D">
        <w:t>requests</w:t>
      </w:r>
      <w:r w:rsidR="3B2CD5FC">
        <w:t xml:space="preserve"> and</w:t>
      </w:r>
      <w:r w:rsidR="57C84920">
        <w:t xml:space="preserve"> will work with the EAC Standards Board and other stakeholders to consider making these changes in the 202</w:t>
      </w:r>
      <w:r w:rsidR="473B39B1">
        <w:t>6</w:t>
      </w:r>
      <w:r w:rsidR="57C84920">
        <w:t xml:space="preserve"> EAVS.</w:t>
      </w:r>
    </w:p>
    <w:p w:rsidR="00F40F8F" w:rsidRPr="002C1AE0" w:rsidP="00D97198" w14:paraId="5924E369" w14:textId="1C78996F">
      <w:pPr>
        <w:pStyle w:val="BodyTextIndent"/>
      </w:pPr>
      <w:r w:rsidRPr="002C1AE0">
        <w:t>The EA</w:t>
      </w:r>
      <w:r w:rsidRPr="002C1AE0" w:rsidR="004716C9">
        <w:t>C</w:t>
      </w:r>
      <w:r w:rsidRPr="002C1AE0">
        <w:t>’s responses to the suggestions for the Policy Survey are below:</w:t>
      </w:r>
    </w:p>
    <w:p w:rsidR="00F40F8F" w:rsidRPr="002C1AE0" w:rsidP="00230B1B" w14:paraId="5B40DBCD" w14:textId="7A8A48C7">
      <w:pPr>
        <w:pStyle w:val="BodyTextIndent"/>
        <w:numPr>
          <w:ilvl w:val="0"/>
          <w:numId w:val="5"/>
        </w:numPr>
      </w:pPr>
      <w:r w:rsidRPr="2FF584B5">
        <w:rPr>
          <w:b/>
          <w:bCs/>
        </w:rPr>
        <w:t>Requests to add additional questions</w:t>
      </w:r>
      <w:r>
        <w:t xml:space="preserve">: </w:t>
      </w:r>
      <w:r w:rsidR="0198FF5F">
        <w:t>The EAC has added two questions</w:t>
      </w:r>
      <w:r w:rsidR="7AC01BF2">
        <w:t xml:space="preserve"> (Q33 and Q33a)</w:t>
      </w:r>
      <w:r w:rsidR="0198FF5F">
        <w:t xml:space="preserve"> to the Policy Survey based on the public comments received.</w:t>
      </w:r>
      <w:r w:rsidR="477866F9">
        <w:t xml:space="preserve"> Q33 asks </w:t>
      </w:r>
      <w:r w:rsidR="477866F9">
        <w:t>about the circumstances under which non-UOCAVA voters will be able to return their ballots through an electronic format</w:t>
      </w:r>
      <w:r w:rsidR="061D4C2B">
        <w:t>. Q33a asks how states determine who is eligible to return their ballots through an electronic format.</w:t>
      </w:r>
      <w:r w:rsidR="7E01B40F">
        <w:t xml:space="preserve"> Both questions were tested with state EAVS POCs and were modified based on their feedback.</w:t>
      </w:r>
      <w:r w:rsidR="0198FF5F">
        <w:t xml:space="preserve"> </w:t>
      </w:r>
      <w:r w:rsidR="36C434FF">
        <w:t xml:space="preserve"> The EAC </w:t>
      </w:r>
      <w:r w:rsidR="00C17FA4">
        <w:t>will work with the EAC Standards Board and other stakeholders to determine if other items are appropriate to consider for the 202</w:t>
      </w:r>
      <w:r w:rsidR="4EE2E3E5">
        <w:t>6</w:t>
      </w:r>
      <w:r w:rsidR="00C17FA4">
        <w:t xml:space="preserve"> Policy Survey.</w:t>
      </w:r>
    </w:p>
    <w:p w:rsidR="00E60DE0" w:rsidRPr="00EF54F6" w:rsidP="2FF584B5" w14:paraId="528C539D" w14:textId="63CB32CA">
      <w:pPr>
        <w:pStyle w:val="BodyTextIndent"/>
        <w:numPr>
          <w:ilvl w:val="0"/>
          <w:numId w:val="5"/>
        </w:numPr>
        <w:rPr>
          <w:b/>
          <w:bCs/>
          <w:u w:val="single"/>
        </w:rPr>
      </w:pPr>
      <w:r w:rsidRPr="7C8F737E">
        <w:rPr>
          <w:b/>
          <w:bCs/>
        </w:rPr>
        <w:t>Requests for adjustments to existing questions</w:t>
      </w:r>
      <w:r>
        <w:t xml:space="preserve">: </w:t>
      </w:r>
      <w:r w:rsidR="10114D5C">
        <w:t>In response to comment</w:t>
      </w:r>
      <w:r w:rsidR="417AE0DF">
        <w:t>s</w:t>
      </w:r>
      <w:r w:rsidR="10114D5C">
        <w:t>, Q</w:t>
      </w:r>
      <w:r w:rsidR="41C972DA">
        <w:t>9</w:t>
      </w:r>
      <w:r w:rsidR="10114D5C">
        <w:t xml:space="preserve">a has been </w:t>
      </w:r>
      <w:r w:rsidR="0A121371">
        <w:t>revised to ask what personal information is needed for a voter to use the online registration service. This is a multi-select question that covers state-issued</w:t>
      </w:r>
      <w:r w:rsidR="4191FD73">
        <w:t xml:space="preserve"> ID, ID issued by another state, U.S. passport, SSN, and other options. We also consulted with our state EAVS POCs on the change </w:t>
      </w:r>
      <w:r w:rsidR="4BCC02E8">
        <w:t xml:space="preserve">who helped refine the question wording, answer options, </w:t>
      </w:r>
      <w:r w:rsidR="7930182E">
        <w:t xml:space="preserve">and </w:t>
      </w:r>
      <w:r w:rsidR="4BCC02E8">
        <w:t>suggested we add a comment box.</w:t>
      </w:r>
      <w:r w:rsidR="5E85BFDA">
        <w:t xml:space="preserve"> For Q49, we reworded, based on a public comment, the definition of access audit to </w:t>
      </w:r>
      <w:r w:rsidRPr="7C8F737E" w:rsidR="684D4956">
        <w:rPr>
          <w:b/>
          <w:bCs/>
        </w:rPr>
        <w:t>include</w:t>
      </w:r>
      <w:r w:rsidR="5E85BFDA">
        <w:t xml:space="preserve"> the phrase “or whether polling places and voting locations met accessibility requirements.”</w:t>
      </w:r>
      <w:r w:rsidR="10114D5C">
        <w:t xml:space="preserve"> </w:t>
      </w:r>
    </w:p>
    <w:p w:rsidR="00EF54F6" w:rsidRPr="00EF54F6" w:rsidP="00EF54F6" w14:paraId="5A286BBC" w14:textId="5A40DBED">
      <w:pPr>
        <w:pStyle w:val="BodyTextIndent"/>
      </w:pPr>
      <w:r>
        <w:t xml:space="preserve">The EAC received three additional comments during the 30-day comment period. Two were not germane and the third one was germane. </w:t>
      </w:r>
      <w:r w:rsidRPr="00EF54F6">
        <w:t>The EAC added a new question (Q33b) in the Policy Survey. It was modeled after Q42. Added B8 and B9, UOCAVA ballots transmitted by Fax (B8) and Online (B9). Previously ballots transmitted by fax and online were included in the "Other" category (B10). This change allows respondents to split those numbers out. These questions will not add to the survey burden.</w:t>
      </w:r>
    </w:p>
    <w:p w:rsidR="00E60DE0" w:rsidRPr="005D72BD" w:rsidP="2FF584B5" w14:paraId="7D984DD4" w14:textId="4C326978">
      <w:pPr>
        <w:pStyle w:val="BodyTextIndent"/>
        <w:ind w:left="360"/>
        <w:rPr>
          <w:b/>
          <w:bCs/>
          <w:u w:val="single"/>
        </w:rPr>
      </w:pPr>
      <w:r w:rsidRPr="2FF584B5">
        <w:rPr>
          <w:b/>
          <w:bCs/>
          <w:u w:val="single"/>
        </w:rPr>
        <w:t>9.</w:t>
      </w:r>
      <w:r w:rsidRPr="2FF584B5" w:rsidR="00CC5AEB">
        <w:rPr>
          <w:b/>
          <w:bCs/>
          <w:u w:val="single"/>
        </w:rPr>
        <w:t xml:space="preserve"> </w:t>
      </w:r>
      <w:r w:rsidRPr="2FF584B5">
        <w:rPr>
          <w:b/>
          <w:bCs/>
          <w:u w:val="single"/>
        </w:rPr>
        <w:t>Explain any decision to provide any payment or gift to respondents, other than remuneration of contractors or grantees.</w:t>
      </w:r>
    </w:p>
    <w:p w:rsidR="00E60DE0" w:rsidRPr="00E60DE0" w:rsidP="00521186" w14:paraId="56EEAB43" w14:textId="77777777">
      <w:pPr>
        <w:pStyle w:val="BodyTextIndent"/>
      </w:pPr>
      <w:r w:rsidRPr="00E60DE0">
        <w:t>The EAC does not provide any payment or gift to respondents.</w:t>
      </w:r>
    </w:p>
    <w:p w:rsidR="00E60DE0" w:rsidRPr="005D72BD" w:rsidP="00521186" w14:paraId="1D2CFCE3" w14:textId="77777777">
      <w:pPr>
        <w:keepNext/>
        <w:widowControl/>
        <w:ind w:left="360"/>
        <w:rPr>
          <w:b/>
          <w:u w:val="single"/>
        </w:rPr>
      </w:pPr>
      <w:r w:rsidRPr="005D72BD">
        <w:rPr>
          <w:b/>
          <w:u w:val="single"/>
        </w:rPr>
        <w:t>10. Describe any assurance of confidentiality</w:t>
      </w:r>
      <w:r w:rsidR="00D47AAA">
        <w:rPr>
          <w:b/>
          <w:u w:val="single"/>
        </w:rPr>
        <w:t xml:space="preserve"> </w:t>
      </w:r>
      <w:r w:rsidRPr="005D72BD">
        <w:rPr>
          <w:b/>
          <w:u w:val="single"/>
        </w:rPr>
        <w:t>provided to respondents and the basis for the assurance in statute, regulation, or agency policy.</w:t>
      </w:r>
    </w:p>
    <w:p w:rsidR="00E60DE0" w:rsidRPr="00E60DE0" w:rsidP="00521186" w14:paraId="61EE583F" w14:textId="77777777">
      <w:pPr>
        <w:pStyle w:val="BodyTextIndent"/>
      </w:pPr>
      <w:r w:rsidRPr="00E60DE0">
        <w:t>There is no assurance of confidentiality.</w:t>
      </w:r>
    </w:p>
    <w:p w:rsidR="00E60DE0" w:rsidRPr="005D72BD" w:rsidP="005D72BD" w14:paraId="0FBC432E" w14:textId="77777777">
      <w:pPr>
        <w:ind w:left="360"/>
        <w:rPr>
          <w:b/>
          <w:u w:val="single"/>
        </w:rPr>
      </w:pPr>
      <w:r w:rsidRPr="005D72BD">
        <w:rPr>
          <w:b/>
          <w:u w:val="single"/>
        </w:rPr>
        <w:t>11. Provide additional</w:t>
      </w:r>
      <w:r w:rsidR="00D47AAA">
        <w:rPr>
          <w:b/>
          <w:u w:val="single"/>
        </w:rPr>
        <w:t xml:space="preserve"> </w:t>
      </w:r>
      <w:r w:rsidRPr="005D72BD">
        <w:rPr>
          <w:b/>
          <w:u w:val="single"/>
        </w:rPr>
        <w:t>justification</w:t>
      </w:r>
      <w:r w:rsidR="00D47AAA">
        <w:rPr>
          <w:b/>
          <w:u w:val="single"/>
        </w:rPr>
        <w:t xml:space="preserve"> </w:t>
      </w:r>
      <w:r w:rsidRPr="005D72BD">
        <w:rPr>
          <w:b/>
          <w:u w:val="single"/>
        </w:rPr>
        <w:t>for any questions of a sensitive nature, such as sexual behavior and attitudes,</w:t>
      </w:r>
      <w:r w:rsidR="00D47AAA">
        <w:rPr>
          <w:b/>
          <w:u w:val="single"/>
        </w:rPr>
        <w:t xml:space="preserve"> </w:t>
      </w:r>
      <w:r w:rsidRPr="005D72BD">
        <w:rPr>
          <w:b/>
          <w:u w:val="single"/>
        </w:rPr>
        <w:t>religious beliefs, and other matters that are commonly considered private.</w:t>
      </w:r>
    </w:p>
    <w:p w:rsidR="00E60DE0" w:rsidRPr="00E60DE0" w:rsidP="00521186" w14:paraId="4469EA77" w14:textId="77777777">
      <w:pPr>
        <w:pStyle w:val="BodyTextIndent"/>
      </w:pPr>
      <w:r w:rsidRPr="00E60DE0">
        <w:t>There are no questions of a sensitive nature.</w:t>
      </w:r>
    </w:p>
    <w:p w:rsidR="00E60DE0" w:rsidP="005D72BD" w14:paraId="2E54BE42" w14:textId="77777777">
      <w:pPr>
        <w:ind w:left="360"/>
        <w:rPr>
          <w:b/>
          <w:u w:val="single"/>
        </w:rPr>
      </w:pPr>
      <w:r w:rsidRPr="005D72BD">
        <w:rPr>
          <w:b/>
          <w:u w:val="single"/>
        </w:rPr>
        <w:t>12. Provide estimates of the hour burden of the collection of information.</w:t>
      </w:r>
      <w:r w:rsidR="00D47AAA">
        <w:rPr>
          <w:b/>
          <w:u w:val="single"/>
        </w:rPr>
        <w:t xml:space="preserve"> </w:t>
      </w:r>
      <w:r w:rsidRPr="005D72BD">
        <w:rPr>
          <w:b/>
          <w:u w:val="single"/>
        </w:rPr>
        <w:t>The statement</w:t>
      </w:r>
      <w:r w:rsidR="00D47AAA">
        <w:rPr>
          <w:b/>
          <w:u w:val="single"/>
        </w:rPr>
        <w:t xml:space="preserve"> </w:t>
      </w:r>
      <w:r w:rsidRPr="005D72BD">
        <w:rPr>
          <w:b/>
          <w:u w:val="single"/>
        </w:rPr>
        <w:t>should indicate the number of respondents, frequency of response, annual</w:t>
      </w:r>
      <w:r w:rsidR="00D47AAA">
        <w:rPr>
          <w:b/>
          <w:u w:val="single"/>
        </w:rPr>
        <w:t xml:space="preserve"> </w:t>
      </w:r>
      <w:r w:rsidRPr="005D72BD">
        <w:rPr>
          <w:b/>
          <w:u w:val="single"/>
        </w:rPr>
        <w:t>hour</w:t>
      </w:r>
      <w:r w:rsidR="00D10D3A">
        <w:rPr>
          <w:b/>
          <w:u w:val="single"/>
        </w:rPr>
        <w:t xml:space="preserve"> </w:t>
      </w:r>
      <w:r w:rsidRPr="005D72BD">
        <w:rPr>
          <w:b/>
          <w:u w:val="single"/>
        </w:rPr>
        <w:t>burden, and an explanation</w:t>
      </w:r>
      <w:r w:rsidR="00D47AAA">
        <w:rPr>
          <w:b/>
          <w:u w:val="single"/>
        </w:rPr>
        <w:t xml:space="preserve"> </w:t>
      </w:r>
      <w:r w:rsidRPr="005D72BD">
        <w:rPr>
          <w:b/>
          <w:u w:val="single"/>
        </w:rPr>
        <w:t>of how the burden was estimated.</w:t>
      </w:r>
      <w:r w:rsidR="00D10D3A">
        <w:rPr>
          <w:b/>
          <w:u w:val="single"/>
        </w:rPr>
        <w:t xml:space="preserve"> </w:t>
      </w:r>
    </w:p>
    <w:p w:rsidR="00EF509E" w:rsidP="2FF584B5" w14:paraId="701FF092" w14:textId="1744D265">
      <w:pPr>
        <w:pStyle w:val="BodyTextIndent"/>
      </w:pPr>
      <w:r>
        <w:t xml:space="preserve">The information collection has two parts: </w:t>
      </w:r>
      <w:r w:rsidR="01361B29">
        <w:t>The</w:t>
      </w:r>
      <w:r w:rsidR="6FF98B05">
        <w:t xml:space="preserve"> </w:t>
      </w:r>
      <w:r>
        <w:t>Election Administration and Voting Survey</w:t>
      </w:r>
      <w:r w:rsidR="70BE57AF">
        <w:t xml:space="preserve"> (EAVS)</w:t>
      </w:r>
      <w:r>
        <w:t xml:space="preserve">, and </w:t>
      </w:r>
      <w:r w:rsidR="70BE57AF">
        <w:t xml:space="preserve">the </w:t>
      </w:r>
      <w:r w:rsidR="30029A67">
        <w:t>Policy Survey</w:t>
      </w:r>
      <w:r>
        <w:t xml:space="preserve">. </w:t>
      </w:r>
      <w:r w:rsidR="5E040559">
        <w:t xml:space="preserve">The </w:t>
      </w:r>
      <w:r w:rsidR="5DFA3A64">
        <w:t xml:space="preserve">estimated </w:t>
      </w:r>
      <w:r w:rsidR="5E040559">
        <w:t xml:space="preserve">response burden </w:t>
      </w:r>
      <w:r w:rsidR="5DFA3A64">
        <w:t>is</w:t>
      </w:r>
      <w:r w:rsidR="3CF0732F">
        <w:t xml:space="preserve"> based on </w:t>
      </w:r>
      <w:r w:rsidR="0CE6C0AA">
        <w:t>data collected</w:t>
      </w:r>
      <w:r w:rsidR="472E760C">
        <w:t xml:space="preserve"> in 20</w:t>
      </w:r>
      <w:r w:rsidR="189CEA99">
        <w:t xml:space="preserve">23 during the </w:t>
      </w:r>
      <w:r w:rsidR="5E74F76C">
        <w:t xml:space="preserve">2022 EAVS </w:t>
      </w:r>
      <w:r w:rsidR="189CEA99">
        <w:t xml:space="preserve">data collection process. Our survey </w:t>
      </w:r>
      <w:r w:rsidR="3592FEAE">
        <w:t>templates were programmed with timers to track how long it took each state</w:t>
      </w:r>
      <w:r w:rsidR="2A43DED7">
        <w:t xml:space="preserve"> </w:t>
      </w:r>
      <w:r w:rsidR="3592FEAE">
        <w:t xml:space="preserve">to complete the </w:t>
      </w:r>
      <w:r w:rsidR="3592FEAE">
        <w:t xml:space="preserve">template they used for the EAVS and the Policy Survey. </w:t>
      </w:r>
      <w:r w:rsidR="472E760C">
        <w:t xml:space="preserve"> </w:t>
      </w:r>
      <w:r w:rsidR="3CF0732F">
        <w:t xml:space="preserve">The median response was </w:t>
      </w:r>
      <w:r w:rsidR="5E040559">
        <w:t>8</w:t>
      </w:r>
      <w:r w:rsidR="1775F8ED">
        <w:t>8</w:t>
      </w:r>
      <w:r w:rsidR="5E040559">
        <w:t xml:space="preserve"> hours</w:t>
      </w:r>
      <w:r w:rsidR="5F195A96">
        <w:t xml:space="preserve"> for the EAVS</w:t>
      </w:r>
      <w:r w:rsidR="5E040559">
        <w:t xml:space="preserve">. </w:t>
      </w:r>
      <w:r w:rsidR="744857D9">
        <w:t>It should be noted that this estimated response burden is</w:t>
      </w:r>
      <w:r w:rsidR="0057F9B8">
        <w:t xml:space="preserve"> slightly </w:t>
      </w:r>
      <w:r w:rsidR="41D01CDE">
        <w:t>low</w:t>
      </w:r>
      <w:r w:rsidR="0057F9B8">
        <w:t>er than 202</w:t>
      </w:r>
      <w:r w:rsidR="29193DFE">
        <w:t>2</w:t>
      </w:r>
      <w:r w:rsidR="744857D9">
        <w:t xml:space="preserve">. This reduction is </w:t>
      </w:r>
      <w:r w:rsidR="3284AB34">
        <w:t xml:space="preserve">likely </w:t>
      </w:r>
      <w:r w:rsidR="744857D9">
        <w:t>due to multiple factors, including EAC efforts to streamline questions and improve data collection mechanisms</w:t>
      </w:r>
      <w:r w:rsidR="3284AB34">
        <w:t xml:space="preserve"> over time</w:t>
      </w:r>
      <w:r w:rsidR="744857D9">
        <w:t xml:space="preserve">, as well as state efforts to </w:t>
      </w:r>
      <w:r w:rsidR="3284AB34">
        <w:t xml:space="preserve">modify their systems and processes to accommodate this biennial collection, which has remained largely unchanged since the 2008 iteration of the survey. </w:t>
      </w:r>
    </w:p>
    <w:p w:rsidR="00ED776E" w:rsidP="00521186" w14:paraId="46FA1726" w14:textId="591145FF">
      <w:pPr>
        <w:pStyle w:val="BodyTextIndent"/>
      </w:pPr>
      <w:r>
        <w:t>Under the online</w:t>
      </w:r>
      <w:r w:rsidR="005F3ADD">
        <w:t xml:space="preserve"> method of completing </w:t>
      </w:r>
      <w:r w:rsidR="00E672D0">
        <w:t xml:space="preserve">the </w:t>
      </w:r>
      <w:r>
        <w:t>Policy Survey, where States select pre-determined response options</w:t>
      </w:r>
      <w:r w:rsidR="00E91A1E">
        <w:t>,</w:t>
      </w:r>
      <w:r w:rsidR="005F3ADD">
        <w:t xml:space="preserve"> </w:t>
      </w:r>
      <w:r w:rsidR="00E91A1E">
        <w:t>w</w:t>
      </w:r>
      <w:r w:rsidR="00E672D0">
        <w:t xml:space="preserve">e </w:t>
      </w:r>
      <w:r w:rsidR="005F3ADD">
        <w:t xml:space="preserve">estimate that the new burden </w:t>
      </w:r>
      <w:r w:rsidR="00E672D0">
        <w:t xml:space="preserve">for </w:t>
      </w:r>
      <w:r w:rsidR="00E91A1E">
        <w:t>completing</w:t>
      </w:r>
      <w:r w:rsidR="00E672D0">
        <w:t xml:space="preserve"> the </w:t>
      </w:r>
      <w:r>
        <w:t>Policy Survey</w:t>
      </w:r>
      <w:r w:rsidR="00E672D0">
        <w:t xml:space="preserve"> </w:t>
      </w:r>
      <w:r w:rsidR="005F3ADD">
        <w:t>is</w:t>
      </w:r>
      <w:r>
        <w:t>, on average,</w:t>
      </w:r>
      <w:r w:rsidR="005F3ADD">
        <w:t xml:space="preserve"> </w:t>
      </w:r>
      <w:r w:rsidR="00170297">
        <w:t>2</w:t>
      </w:r>
      <w:r w:rsidR="009B57DF">
        <w:t xml:space="preserve"> </w:t>
      </w:r>
      <w:r w:rsidR="005F3ADD">
        <w:t xml:space="preserve">hours. </w:t>
      </w:r>
      <w:r>
        <w:t>This</w:t>
      </w:r>
      <w:r w:rsidR="00170297">
        <w:t xml:space="preserve"> represents </w:t>
      </w:r>
      <w:r w:rsidR="6949DA6C">
        <w:t>no change</w:t>
      </w:r>
      <w:r w:rsidR="00170297">
        <w:t xml:space="preserve"> from 202</w:t>
      </w:r>
      <w:r w:rsidR="69B8A316">
        <w:t>2</w:t>
      </w:r>
      <w:r w:rsidR="00170297">
        <w:t xml:space="preserve"> but still</w:t>
      </w:r>
      <w:r>
        <w:t xml:space="preserve"> reflects a dramatic reduction in estimated burden in previous years</w:t>
      </w:r>
      <w:r w:rsidR="00170297">
        <w:t xml:space="preserve"> (pre-2018)</w:t>
      </w:r>
      <w:r>
        <w:t xml:space="preserve"> when the Statutory Overview was still in use. In 2018, the Statutory Overview survey was overhauled from an essay-answer survey to a multiple-choice survey. </w:t>
      </w:r>
    </w:p>
    <w:p w:rsidR="00D10D3A" w:rsidP="00521186" w14:paraId="03E4AAC4" w14:textId="342335F7">
      <w:pPr>
        <w:pStyle w:val="BodyTextIndent"/>
      </w:pPr>
      <w:r>
        <w:t xml:space="preserve">The table below summarizes the burden estimates for </w:t>
      </w:r>
      <w:r w:rsidR="00E672D0">
        <w:t xml:space="preserve">the EAVS and the </w:t>
      </w:r>
      <w:r w:rsidR="00606FAF">
        <w:t>Policy Survey</w:t>
      </w:r>
      <w:r>
        <w:t xml:space="preserve">. Because this data collection occurs every two years, we have </w:t>
      </w:r>
      <w:r w:rsidR="00A57FE5">
        <w:t xml:space="preserve">calculated and </w:t>
      </w:r>
      <w:r>
        <w:t xml:space="preserve">provided the annualized burden. </w:t>
      </w:r>
    </w:p>
    <w:tbl>
      <w:tblPr>
        <w:tblStyle w:val="TableGrid"/>
        <w:tblW w:w="7459" w:type="dxa"/>
        <w:jc w:val="center"/>
        <w:tblLook w:val="04A0"/>
      </w:tblPr>
      <w:tblGrid>
        <w:gridCol w:w="2170"/>
        <w:gridCol w:w="1742"/>
        <w:gridCol w:w="1350"/>
        <w:gridCol w:w="958"/>
        <w:gridCol w:w="1239"/>
      </w:tblGrid>
      <w:tr w14:paraId="75680767" w14:textId="77777777" w:rsidTr="7C8F737E">
        <w:tblPrEx>
          <w:tblW w:w="7459" w:type="dxa"/>
          <w:jc w:val="center"/>
          <w:tblLook w:val="04A0"/>
        </w:tblPrEx>
        <w:trPr>
          <w:cantSplit/>
          <w:trHeight w:val="300"/>
          <w:jc w:val="center"/>
        </w:trPr>
        <w:tc>
          <w:tcPr>
            <w:tcW w:w="2170" w:type="dxa"/>
          </w:tcPr>
          <w:p w:rsidR="005F3ADD" w:rsidRPr="00521186" w:rsidP="00521186" w14:paraId="7677E4A3" w14:textId="77777777">
            <w:pPr>
              <w:spacing w:after="0"/>
              <w:rPr>
                <w:b/>
                <w:sz w:val="20"/>
                <w:szCs w:val="20"/>
              </w:rPr>
            </w:pPr>
            <w:r w:rsidRPr="00521186">
              <w:rPr>
                <w:b/>
                <w:sz w:val="20"/>
                <w:szCs w:val="20"/>
              </w:rPr>
              <w:t>Collection Component</w:t>
            </w:r>
          </w:p>
        </w:tc>
        <w:tc>
          <w:tcPr>
            <w:tcW w:w="1742" w:type="dxa"/>
          </w:tcPr>
          <w:p w:rsidR="005F3ADD" w:rsidRPr="00521186" w:rsidP="00E91A1E" w14:paraId="708B2D55" w14:textId="77777777">
            <w:pPr>
              <w:spacing w:after="0"/>
              <w:jc w:val="center"/>
              <w:rPr>
                <w:b/>
                <w:sz w:val="20"/>
                <w:szCs w:val="20"/>
              </w:rPr>
            </w:pPr>
            <w:r w:rsidRPr="00521186">
              <w:rPr>
                <w:b/>
                <w:sz w:val="20"/>
                <w:szCs w:val="20"/>
              </w:rPr>
              <w:t>Number of Respondents</w:t>
            </w:r>
          </w:p>
        </w:tc>
        <w:tc>
          <w:tcPr>
            <w:tcW w:w="1350" w:type="dxa"/>
          </w:tcPr>
          <w:p w:rsidR="005F3ADD" w:rsidRPr="00521186" w:rsidP="00E91A1E" w14:paraId="26571A47" w14:textId="77777777">
            <w:pPr>
              <w:spacing w:after="0"/>
              <w:jc w:val="center"/>
              <w:rPr>
                <w:b/>
                <w:sz w:val="20"/>
                <w:szCs w:val="20"/>
              </w:rPr>
            </w:pPr>
            <w:r w:rsidRPr="00521186">
              <w:rPr>
                <w:b/>
                <w:sz w:val="20"/>
                <w:szCs w:val="20"/>
              </w:rPr>
              <w:t>Respondent Burden</w:t>
            </w:r>
          </w:p>
        </w:tc>
        <w:tc>
          <w:tcPr>
            <w:tcW w:w="958" w:type="dxa"/>
          </w:tcPr>
          <w:p w:rsidR="005F3ADD" w:rsidRPr="00521186" w:rsidP="00E91A1E" w14:paraId="7697EE21" w14:textId="77777777">
            <w:pPr>
              <w:spacing w:after="0"/>
              <w:jc w:val="center"/>
              <w:rPr>
                <w:b/>
                <w:sz w:val="20"/>
                <w:szCs w:val="20"/>
              </w:rPr>
            </w:pPr>
            <w:r w:rsidRPr="00521186">
              <w:rPr>
                <w:b/>
                <w:sz w:val="20"/>
                <w:szCs w:val="20"/>
              </w:rPr>
              <w:t>Total Burden</w:t>
            </w:r>
          </w:p>
        </w:tc>
        <w:tc>
          <w:tcPr>
            <w:tcW w:w="1239" w:type="dxa"/>
          </w:tcPr>
          <w:p w:rsidR="005F3ADD" w:rsidRPr="00521186" w:rsidP="00521186" w14:paraId="3D976E1C" w14:textId="77777777">
            <w:pPr>
              <w:spacing w:after="0"/>
              <w:jc w:val="center"/>
              <w:rPr>
                <w:b/>
                <w:sz w:val="20"/>
                <w:szCs w:val="20"/>
              </w:rPr>
            </w:pPr>
            <w:r w:rsidRPr="00521186">
              <w:rPr>
                <w:b/>
                <w:sz w:val="20"/>
                <w:szCs w:val="20"/>
              </w:rPr>
              <w:t>Annualized Burden</w:t>
            </w:r>
          </w:p>
        </w:tc>
      </w:tr>
      <w:tr w14:paraId="3F446466" w14:textId="77777777" w:rsidTr="7C8F737E">
        <w:tblPrEx>
          <w:tblW w:w="7459" w:type="dxa"/>
          <w:jc w:val="center"/>
          <w:tblLook w:val="04A0"/>
        </w:tblPrEx>
        <w:trPr>
          <w:cantSplit/>
          <w:trHeight w:val="300"/>
          <w:jc w:val="center"/>
        </w:trPr>
        <w:tc>
          <w:tcPr>
            <w:tcW w:w="2170" w:type="dxa"/>
          </w:tcPr>
          <w:p w:rsidR="005F3ADD" w:rsidRPr="00521186" w:rsidP="00521186" w14:paraId="32F0F574" w14:textId="77777777">
            <w:pPr>
              <w:spacing w:after="0"/>
              <w:rPr>
                <w:sz w:val="20"/>
                <w:szCs w:val="20"/>
              </w:rPr>
            </w:pPr>
            <w:r>
              <w:rPr>
                <w:sz w:val="20"/>
                <w:szCs w:val="20"/>
              </w:rPr>
              <w:t>EAVS</w:t>
            </w:r>
          </w:p>
        </w:tc>
        <w:tc>
          <w:tcPr>
            <w:tcW w:w="1742" w:type="dxa"/>
          </w:tcPr>
          <w:p w:rsidR="005F3ADD" w:rsidRPr="00521186" w:rsidP="00521186" w14:paraId="61052081" w14:textId="2323367E">
            <w:pPr>
              <w:spacing w:after="0"/>
              <w:jc w:val="center"/>
              <w:rPr>
                <w:sz w:val="20"/>
                <w:szCs w:val="20"/>
              </w:rPr>
            </w:pPr>
            <w:r>
              <w:rPr>
                <w:sz w:val="20"/>
                <w:szCs w:val="20"/>
              </w:rPr>
              <w:t>5</w:t>
            </w:r>
            <w:r w:rsidR="00EF509E">
              <w:rPr>
                <w:sz w:val="20"/>
                <w:szCs w:val="20"/>
              </w:rPr>
              <w:t>6</w:t>
            </w:r>
          </w:p>
        </w:tc>
        <w:tc>
          <w:tcPr>
            <w:tcW w:w="1350" w:type="dxa"/>
          </w:tcPr>
          <w:p w:rsidR="005F3ADD" w:rsidRPr="00521186" w:rsidP="00521186" w14:paraId="1CBCEC00" w14:textId="244C22F1">
            <w:pPr>
              <w:spacing w:after="0"/>
              <w:jc w:val="right"/>
              <w:rPr>
                <w:sz w:val="20"/>
                <w:szCs w:val="20"/>
              </w:rPr>
            </w:pPr>
            <w:r w:rsidRPr="2FF584B5">
              <w:rPr>
                <w:sz w:val="20"/>
                <w:szCs w:val="20"/>
              </w:rPr>
              <w:t>88</w:t>
            </w:r>
          </w:p>
        </w:tc>
        <w:tc>
          <w:tcPr>
            <w:tcW w:w="958" w:type="dxa"/>
          </w:tcPr>
          <w:p w:rsidR="005F3ADD" w:rsidRPr="00521186" w:rsidP="2FF584B5" w14:paraId="16B68E80" w14:textId="1B8C9BBC">
            <w:pPr>
              <w:spacing w:after="0"/>
              <w:jc w:val="right"/>
              <w:rPr>
                <w:sz w:val="20"/>
                <w:szCs w:val="20"/>
              </w:rPr>
            </w:pPr>
            <w:r w:rsidRPr="2FF584B5">
              <w:rPr>
                <w:sz w:val="20"/>
                <w:szCs w:val="20"/>
              </w:rPr>
              <w:t>4,928</w:t>
            </w:r>
          </w:p>
        </w:tc>
        <w:tc>
          <w:tcPr>
            <w:tcW w:w="1239" w:type="dxa"/>
          </w:tcPr>
          <w:p w:rsidR="005F3ADD" w:rsidRPr="00521186" w:rsidP="00521186" w14:paraId="74857773" w14:textId="71C6FE33">
            <w:pPr>
              <w:spacing w:after="0"/>
              <w:jc w:val="right"/>
              <w:rPr>
                <w:sz w:val="20"/>
                <w:szCs w:val="20"/>
              </w:rPr>
            </w:pPr>
            <w:r w:rsidRPr="2FF584B5">
              <w:rPr>
                <w:sz w:val="20"/>
                <w:szCs w:val="20"/>
              </w:rPr>
              <w:t>2</w:t>
            </w:r>
            <w:r w:rsidRPr="2FF584B5" w:rsidR="00606FAF">
              <w:rPr>
                <w:sz w:val="20"/>
                <w:szCs w:val="20"/>
              </w:rPr>
              <w:t>,</w:t>
            </w:r>
            <w:r w:rsidRPr="2FF584B5" w:rsidR="539690BA">
              <w:rPr>
                <w:sz w:val="20"/>
                <w:szCs w:val="20"/>
              </w:rPr>
              <w:t>464</w:t>
            </w:r>
          </w:p>
        </w:tc>
      </w:tr>
      <w:tr w14:paraId="5AE1B35B" w14:textId="77777777" w:rsidTr="7C8F737E">
        <w:tblPrEx>
          <w:tblW w:w="7459" w:type="dxa"/>
          <w:jc w:val="center"/>
          <w:tblLook w:val="04A0"/>
        </w:tblPrEx>
        <w:trPr>
          <w:cantSplit/>
          <w:trHeight w:val="251"/>
          <w:jc w:val="center"/>
        </w:trPr>
        <w:tc>
          <w:tcPr>
            <w:tcW w:w="2170" w:type="dxa"/>
          </w:tcPr>
          <w:p w:rsidR="005F3ADD" w:rsidRPr="00521186" w:rsidP="00521186" w14:paraId="3DCC6D01" w14:textId="074CF494">
            <w:pPr>
              <w:spacing w:after="0"/>
              <w:rPr>
                <w:sz w:val="20"/>
                <w:szCs w:val="20"/>
              </w:rPr>
            </w:pPr>
            <w:r>
              <w:rPr>
                <w:sz w:val="20"/>
                <w:szCs w:val="20"/>
              </w:rPr>
              <w:t>Policy Survey</w:t>
            </w:r>
          </w:p>
        </w:tc>
        <w:tc>
          <w:tcPr>
            <w:tcW w:w="1742" w:type="dxa"/>
          </w:tcPr>
          <w:p w:rsidR="005F3ADD" w:rsidRPr="00521186" w:rsidP="00521186" w14:paraId="667E91EF" w14:textId="5A4C7CC0">
            <w:pPr>
              <w:spacing w:after="0"/>
              <w:jc w:val="center"/>
              <w:rPr>
                <w:sz w:val="20"/>
                <w:szCs w:val="20"/>
              </w:rPr>
            </w:pPr>
            <w:r>
              <w:rPr>
                <w:sz w:val="20"/>
                <w:szCs w:val="20"/>
              </w:rPr>
              <w:t>5</w:t>
            </w:r>
            <w:r w:rsidR="00EF509E">
              <w:rPr>
                <w:sz w:val="20"/>
                <w:szCs w:val="20"/>
              </w:rPr>
              <w:t>6</w:t>
            </w:r>
          </w:p>
        </w:tc>
        <w:tc>
          <w:tcPr>
            <w:tcW w:w="1350" w:type="dxa"/>
          </w:tcPr>
          <w:p w:rsidR="005F3ADD" w:rsidRPr="00521186" w:rsidP="00521186" w14:paraId="20B15E1C" w14:textId="349579CF">
            <w:pPr>
              <w:spacing w:after="0"/>
              <w:jc w:val="right"/>
              <w:rPr>
                <w:sz w:val="20"/>
                <w:szCs w:val="20"/>
              </w:rPr>
            </w:pPr>
            <w:r>
              <w:rPr>
                <w:sz w:val="20"/>
                <w:szCs w:val="20"/>
              </w:rPr>
              <w:t>2</w:t>
            </w:r>
          </w:p>
        </w:tc>
        <w:tc>
          <w:tcPr>
            <w:tcW w:w="958" w:type="dxa"/>
          </w:tcPr>
          <w:p w:rsidR="005F3ADD" w:rsidRPr="00521186" w:rsidP="00521186" w14:paraId="4F741B4F" w14:textId="05D989F5">
            <w:pPr>
              <w:spacing w:after="0"/>
              <w:jc w:val="right"/>
              <w:rPr>
                <w:sz w:val="20"/>
                <w:szCs w:val="20"/>
              </w:rPr>
            </w:pPr>
            <w:r>
              <w:rPr>
                <w:sz w:val="20"/>
                <w:szCs w:val="20"/>
              </w:rPr>
              <w:t>112</w:t>
            </w:r>
          </w:p>
        </w:tc>
        <w:tc>
          <w:tcPr>
            <w:tcW w:w="1239" w:type="dxa"/>
          </w:tcPr>
          <w:p w:rsidR="005F3ADD" w:rsidRPr="00521186" w:rsidP="00521186" w14:paraId="344875F3" w14:textId="666F63A7">
            <w:pPr>
              <w:spacing w:after="0"/>
              <w:jc w:val="right"/>
              <w:rPr>
                <w:sz w:val="20"/>
                <w:szCs w:val="20"/>
              </w:rPr>
            </w:pPr>
            <w:r>
              <w:rPr>
                <w:sz w:val="20"/>
                <w:szCs w:val="20"/>
              </w:rPr>
              <w:t>56</w:t>
            </w:r>
          </w:p>
        </w:tc>
      </w:tr>
      <w:tr w14:paraId="48AE2D76" w14:textId="77777777" w:rsidTr="7C8F737E">
        <w:tblPrEx>
          <w:tblW w:w="7459" w:type="dxa"/>
          <w:jc w:val="center"/>
          <w:tblLook w:val="04A0"/>
        </w:tblPrEx>
        <w:trPr>
          <w:cantSplit/>
          <w:trHeight w:val="300"/>
          <w:jc w:val="center"/>
        </w:trPr>
        <w:tc>
          <w:tcPr>
            <w:tcW w:w="2170" w:type="dxa"/>
            <w:tcBorders>
              <w:bottom w:val="single" w:sz="4" w:space="0" w:color="auto"/>
            </w:tcBorders>
          </w:tcPr>
          <w:p w:rsidR="005F3ADD" w:rsidRPr="00521186" w:rsidP="005F3ADD" w14:paraId="1FAAA039" w14:textId="77777777">
            <w:pPr>
              <w:spacing w:after="0"/>
              <w:rPr>
                <w:b/>
                <w:sz w:val="20"/>
                <w:szCs w:val="20"/>
              </w:rPr>
            </w:pPr>
            <w:r w:rsidRPr="00521186">
              <w:rPr>
                <w:b/>
                <w:sz w:val="20"/>
                <w:szCs w:val="20"/>
              </w:rPr>
              <w:t>Total</w:t>
            </w:r>
          </w:p>
        </w:tc>
        <w:tc>
          <w:tcPr>
            <w:tcW w:w="1742" w:type="dxa"/>
            <w:tcBorders>
              <w:bottom w:val="single" w:sz="4" w:space="0" w:color="auto"/>
            </w:tcBorders>
          </w:tcPr>
          <w:p w:rsidR="005F3ADD" w:rsidRPr="00521186" w:rsidP="005F3ADD" w14:paraId="6FD16F57" w14:textId="77777777">
            <w:pPr>
              <w:spacing w:after="0"/>
              <w:rPr>
                <w:b/>
                <w:sz w:val="20"/>
                <w:szCs w:val="20"/>
              </w:rPr>
            </w:pPr>
          </w:p>
        </w:tc>
        <w:tc>
          <w:tcPr>
            <w:tcW w:w="1350" w:type="dxa"/>
            <w:tcBorders>
              <w:bottom w:val="single" w:sz="4" w:space="0" w:color="auto"/>
            </w:tcBorders>
          </w:tcPr>
          <w:p w:rsidR="005F3ADD" w:rsidRPr="00521186" w:rsidP="2FF584B5" w14:paraId="50A94521" w14:textId="19E15C72">
            <w:pPr>
              <w:spacing w:after="0"/>
              <w:jc w:val="right"/>
              <w:rPr>
                <w:rFonts w:eastAsia="Times New Roman" w:cs="Times New Roman"/>
                <w:sz w:val="20"/>
                <w:szCs w:val="20"/>
              </w:rPr>
            </w:pPr>
            <w:r w:rsidRPr="2FF584B5">
              <w:rPr>
                <w:b/>
                <w:bCs/>
                <w:sz w:val="20"/>
                <w:szCs w:val="20"/>
              </w:rPr>
              <w:t>90</w:t>
            </w:r>
          </w:p>
        </w:tc>
        <w:tc>
          <w:tcPr>
            <w:tcW w:w="958" w:type="dxa"/>
            <w:tcBorders>
              <w:bottom w:val="single" w:sz="4" w:space="0" w:color="auto"/>
            </w:tcBorders>
          </w:tcPr>
          <w:p w:rsidR="005F3ADD" w:rsidRPr="00521186" w:rsidP="2FF584B5" w14:paraId="08CDEBD1" w14:textId="5A2BDBF6">
            <w:pPr>
              <w:spacing w:after="0"/>
              <w:jc w:val="right"/>
              <w:rPr>
                <w:b/>
                <w:bCs/>
                <w:sz w:val="20"/>
                <w:szCs w:val="20"/>
              </w:rPr>
            </w:pPr>
            <w:r w:rsidRPr="2FF584B5">
              <w:rPr>
                <w:b/>
                <w:bCs/>
                <w:sz w:val="20"/>
                <w:szCs w:val="20"/>
              </w:rPr>
              <w:t>5.</w:t>
            </w:r>
            <w:r w:rsidRPr="2FF584B5" w:rsidR="3E2301F8">
              <w:rPr>
                <w:b/>
                <w:bCs/>
                <w:sz w:val="20"/>
                <w:szCs w:val="20"/>
              </w:rPr>
              <w:t>040</w:t>
            </w:r>
          </w:p>
        </w:tc>
        <w:tc>
          <w:tcPr>
            <w:tcW w:w="1239" w:type="dxa"/>
            <w:tcBorders>
              <w:bottom w:val="single" w:sz="4" w:space="0" w:color="auto"/>
            </w:tcBorders>
          </w:tcPr>
          <w:p w:rsidR="005F3ADD" w:rsidRPr="00521186" w:rsidP="2FF584B5" w14:paraId="5EDC68D2" w14:textId="74526282">
            <w:pPr>
              <w:spacing w:after="0"/>
              <w:jc w:val="right"/>
              <w:rPr>
                <w:b/>
                <w:bCs/>
                <w:sz w:val="20"/>
                <w:szCs w:val="20"/>
              </w:rPr>
            </w:pPr>
            <w:r w:rsidRPr="2FF584B5">
              <w:rPr>
                <w:b/>
                <w:bCs/>
                <w:sz w:val="20"/>
                <w:szCs w:val="20"/>
              </w:rPr>
              <w:t>2,</w:t>
            </w:r>
            <w:r w:rsidRPr="2FF584B5" w:rsidR="2C0C90BE">
              <w:rPr>
                <w:b/>
                <w:bCs/>
                <w:sz w:val="20"/>
                <w:szCs w:val="20"/>
              </w:rPr>
              <w:t>520</w:t>
            </w:r>
          </w:p>
        </w:tc>
      </w:tr>
      <w:tr w14:paraId="5734DD3C" w14:textId="77777777" w:rsidTr="7C8F737E">
        <w:tblPrEx>
          <w:tblW w:w="7459" w:type="dxa"/>
          <w:jc w:val="center"/>
          <w:tblLook w:val="04A0"/>
        </w:tblPrEx>
        <w:trPr>
          <w:cantSplit/>
          <w:trHeight w:val="300"/>
          <w:jc w:val="center"/>
        </w:trPr>
        <w:tc>
          <w:tcPr>
            <w:tcW w:w="7459" w:type="dxa"/>
            <w:gridSpan w:val="5"/>
            <w:tcBorders>
              <w:left w:val="nil"/>
              <w:bottom w:val="nil"/>
              <w:right w:val="nil"/>
            </w:tcBorders>
          </w:tcPr>
          <w:p w:rsidR="008134DF" w:rsidRPr="008134DF" w:rsidP="008134DF" w14:paraId="4F67ABC1" w14:textId="0B4894D4">
            <w:pPr>
              <w:spacing w:after="0"/>
              <w:rPr>
                <w:sz w:val="20"/>
                <w:szCs w:val="20"/>
                <w:vertAlign w:val="superscript"/>
              </w:rPr>
            </w:pPr>
            <w:r w:rsidRPr="008134DF">
              <w:rPr>
                <w:sz w:val="20"/>
                <w:szCs w:val="20"/>
                <w:u w:val="single"/>
                <w:vertAlign w:val="superscript"/>
              </w:rPr>
              <w:t>Note</w:t>
            </w:r>
            <w:r w:rsidRPr="008134DF">
              <w:rPr>
                <w:sz w:val="20"/>
                <w:szCs w:val="20"/>
                <w:vertAlign w:val="superscript"/>
              </w:rPr>
              <w:t>: Decimals are rounded to the nearest whole number.</w:t>
            </w:r>
          </w:p>
        </w:tc>
      </w:tr>
    </w:tbl>
    <w:p w:rsidR="0057757B" w:rsidP="000E6CAC" w14:paraId="07AD58B8" w14:textId="7A07F0D9">
      <w:pPr>
        <w:spacing w:before="240"/>
        <w:ind w:left="720"/>
      </w:pPr>
      <w:r>
        <w:t>The estimated cost of the annual</w:t>
      </w:r>
      <w:r w:rsidR="00C47B61">
        <w:t>ized</w:t>
      </w:r>
      <w:r>
        <w:t xml:space="preserve"> cost of this burden is: </w:t>
      </w:r>
      <w:r w:rsidR="00C47B61">
        <w:t>$</w:t>
      </w:r>
      <w:r w:rsidR="001B3A71">
        <w:t>7</w:t>
      </w:r>
      <w:r w:rsidR="7FFBA9F6">
        <w:t>3,760.40</w:t>
      </w:r>
      <w:r w:rsidR="00892D5A">
        <w:t>, which is</w:t>
      </w:r>
      <w:r w:rsidR="00C47B61">
        <w:t xml:space="preserve"> calculated by tak</w:t>
      </w:r>
      <w:r w:rsidR="008134DF">
        <w:t>ing the annualized burden (</w:t>
      </w:r>
      <w:r w:rsidR="00EF6EC6">
        <w:t>2,</w:t>
      </w:r>
      <w:r w:rsidR="316499B6">
        <w:t>520</w:t>
      </w:r>
      <w:r w:rsidR="00C47B61">
        <w:t xml:space="preserve"> hours) and </w:t>
      </w:r>
      <w:r w:rsidR="00E91A1E">
        <w:t xml:space="preserve">multiplying by </w:t>
      </w:r>
      <w:r w:rsidR="00C47B61">
        <w:t>an hourly rate of $</w:t>
      </w:r>
      <w:r w:rsidR="00296ED7">
        <w:t>2</w:t>
      </w:r>
      <w:r w:rsidR="02BECB09">
        <w:t>9.27</w:t>
      </w:r>
      <w:r w:rsidR="00B84F99">
        <w:t xml:space="preserve"> </w:t>
      </w:r>
      <w:r w:rsidR="00C47B61">
        <w:t>(GS-8/Step 5 hourly</w:t>
      </w:r>
      <w:r w:rsidR="00A007F5">
        <w:t xml:space="preserve"> basic</w:t>
      </w:r>
      <w:r w:rsidR="00C47B61">
        <w:t xml:space="preserve"> rate). </w:t>
      </w:r>
    </w:p>
    <w:p w:rsidR="00E60DE0" w:rsidRPr="005D72BD" w:rsidP="005D72BD" w14:paraId="36672593" w14:textId="77777777">
      <w:pPr>
        <w:ind w:left="360"/>
        <w:rPr>
          <w:b/>
          <w:u w:val="single"/>
        </w:rPr>
      </w:pPr>
      <w:r w:rsidRPr="005D72BD">
        <w:rPr>
          <w:b/>
          <w:u w:val="single"/>
        </w:rPr>
        <w:t>13. Provide an estimate for the total annual</w:t>
      </w:r>
      <w:r w:rsidR="00D47AAA">
        <w:rPr>
          <w:b/>
          <w:u w:val="single"/>
        </w:rPr>
        <w:t xml:space="preserve"> </w:t>
      </w:r>
      <w:r w:rsidRPr="005D72BD">
        <w:rPr>
          <w:b/>
          <w:u w:val="single"/>
        </w:rPr>
        <w:t>cost burden to respondents or recordkeepers resulting from the collection of information.</w:t>
      </w:r>
    </w:p>
    <w:p w:rsidR="00E60DE0" w:rsidRPr="00E60DE0" w:rsidP="00521186" w14:paraId="2E195A8F" w14:textId="77777777">
      <w:pPr>
        <w:pStyle w:val="BodyTextIndent"/>
      </w:pPr>
      <w:r w:rsidRPr="00E60DE0">
        <w:t>There are no capital or start-up costs associated with this information collection.</w:t>
      </w:r>
    </w:p>
    <w:p w:rsidR="00E60DE0" w:rsidRPr="005D72BD" w:rsidP="00521186" w14:paraId="1DB3F7D8" w14:textId="77777777">
      <w:pPr>
        <w:keepNext/>
        <w:widowControl/>
        <w:ind w:left="360"/>
        <w:rPr>
          <w:b/>
          <w:u w:val="single"/>
        </w:rPr>
      </w:pPr>
      <w:r w:rsidRPr="005D72BD">
        <w:rPr>
          <w:b/>
          <w:u w:val="single"/>
        </w:rPr>
        <w:t>14. Provide estimates of annualized</w:t>
      </w:r>
      <w:r w:rsidR="00D47AAA">
        <w:rPr>
          <w:b/>
          <w:u w:val="single"/>
        </w:rPr>
        <w:t xml:space="preserve"> </w:t>
      </w:r>
      <w:r w:rsidRPr="005D72BD">
        <w:rPr>
          <w:b/>
          <w:u w:val="single"/>
        </w:rPr>
        <w:t>cost to the Federal government.</w:t>
      </w:r>
    </w:p>
    <w:p w:rsidR="00233BC6" w:rsidP="00521186" w14:paraId="1C37CF6B" w14:textId="39FE364D">
      <w:pPr>
        <w:pStyle w:val="BodyTextIndent"/>
      </w:pPr>
      <w:r>
        <w:t>The estimated annual cost to the Federal Government is $</w:t>
      </w:r>
      <w:r w:rsidR="63F2301E">
        <w:t>537,848</w:t>
      </w:r>
      <w:r>
        <w:t xml:space="preserve">. </w:t>
      </w:r>
    </w:p>
    <w:p w:rsidR="00E60DE0" w:rsidRPr="00E60DE0" w:rsidP="2FF584B5" w14:paraId="241D0D52" w14:textId="3DE96D42">
      <w:pPr>
        <w:pStyle w:val="BodyTextIndent"/>
      </w:pPr>
      <w:r>
        <w:t xml:space="preserve">The information is collected biennially. For each data collection iteration, the cost includes: </w:t>
      </w:r>
      <w:r w:rsidR="00A52F07">
        <w:t xml:space="preserve">a) </w:t>
      </w:r>
      <w:r w:rsidR="004C0F6A">
        <w:t xml:space="preserve">approximately </w:t>
      </w:r>
      <w:r w:rsidR="00CC75A1">
        <w:t>$</w:t>
      </w:r>
      <w:r w:rsidR="36FBA811">
        <w:t>587</w:t>
      </w:r>
      <w:r w:rsidR="00590E7F">
        <w:t>,</w:t>
      </w:r>
      <w:r w:rsidR="2C941917">
        <w:t>696</w:t>
      </w:r>
      <w:r w:rsidR="00CC75A1">
        <w:t xml:space="preserve"> for a contractor to develop and manage a database system to house the </w:t>
      </w:r>
      <w:r w:rsidR="000E6CAC">
        <w:t>s</w:t>
      </w:r>
      <w:r w:rsidR="00CC75A1">
        <w:t xml:space="preserve">tate’s data; the contractor’s personnel cost associated with survey instrument development, database development, technical assistance to the </w:t>
      </w:r>
      <w:r w:rsidR="000E6CAC">
        <w:t>s</w:t>
      </w:r>
      <w:r w:rsidR="00CC75A1">
        <w:t>tates, data analysis and</w:t>
      </w:r>
      <w:r w:rsidR="00A52F07">
        <w:t xml:space="preserve"> production of various reports, b) </w:t>
      </w:r>
      <w:r>
        <w:t>$216,000 for FVAP data pro</w:t>
      </w:r>
      <w:r w:rsidR="00A52F07">
        <w:t>cessing, and report development, c)</w:t>
      </w:r>
      <w:r>
        <w:t xml:space="preserve"> </w:t>
      </w:r>
      <w:r w:rsidR="00CC75A1">
        <w:t>$</w:t>
      </w:r>
      <w:r w:rsidR="007730B6">
        <w:t>260</w:t>
      </w:r>
      <w:r w:rsidR="00CC75A1">
        <w:t xml:space="preserve">,000 for </w:t>
      </w:r>
      <w:r>
        <w:t xml:space="preserve">EAC personnel </w:t>
      </w:r>
      <w:r w:rsidR="00CC75A1">
        <w:t>to manage the entire project (includ</w:t>
      </w:r>
      <w:r>
        <w:t>ing</w:t>
      </w:r>
      <w:r w:rsidR="00CC75A1">
        <w:t xml:space="preserve"> salary and benefits)</w:t>
      </w:r>
      <w:r>
        <w:t>; and</w:t>
      </w:r>
      <w:r w:rsidR="00A52F07">
        <w:t xml:space="preserve"> d)</w:t>
      </w:r>
      <w:r>
        <w:t xml:space="preserve"> $12,000 for Government Printing Office (GPO) report design and develo</w:t>
      </w:r>
      <w:r w:rsidR="00590E7F">
        <w:t>pment. These figures sum to $</w:t>
      </w:r>
      <w:r w:rsidR="007F01F7">
        <w:t>1,</w:t>
      </w:r>
      <w:r w:rsidR="45371F7E">
        <w:t>0</w:t>
      </w:r>
      <w:r w:rsidR="3FA6CFD0">
        <w:t>75</w:t>
      </w:r>
      <w:r w:rsidR="45371F7E">
        <w:t>,696</w:t>
      </w:r>
      <w:r>
        <w:t xml:space="preserve"> </w:t>
      </w:r>
      <w:r w:rsidR="00337D29">
        <w:t xml:space="preserve">for </w:t>
      </w:r>
      <w:r>
        <w:t>two years</w:t>
      </w:r>
      <w:r w:rsidR="00337D29">
        <w:t>, bringing the annualized cost to</w:t>
      </w:r>
      <w:r w:rsidR="00CC5AEB">
        <w:t xml:space="preserve"> </w:t>
      </w:r>
      <w:r w:rsidR="00590E7F">
        <w:t>$</w:t>
      </w:r>
      <w:r w:rsidR="7F263A29">
        <w:t>537,848</w:t>
      </w:r>
      <w:r w:rsidR="00337D29">
        <w:t xml:space="preserve">. </w:t>
      </w:r>
    </w:p>
    <w:p w:rsidR="00E60DE0" w:rsidRPr="005D72BD" w:rsidP="005D72BD" w14:paraId="0994C747" w14:textId="77777777">
      <w:pPr>
        <w:ind w:left="360"/>
        <w:rPr>
          <w:b/>
          <w:u w:val="single"/>
        </w:rPr>
      </w:pPr>
      <w:r w:rsidRPr="005D72BD">
        <w:rPr>
          <w:b/>
          <w:u w:val="single"/>
        </w:rPr>
        <w:t>15. Explain the reasons for any program changes or adjustments reported in Items 13 (or 14) of OMB Form 83-I.</w:t>
      </w:r>
    </w:p>
    <w:p w:rsidR="00E60DE0" w:rsidP="00591B7A" w14:paraId="2BADA305" w14:textId="19F31AD2">
      <w:pPr>
        <w:pStyle w:val="BodyTextIndent"/>
      </w:pPr>
      <w:r>
        <w:t>The EAC requests a decreased number of burden hours in Item 13 of OMB Form 83-I</w:t>
      </w:r>
      <w:r w:rsidR="65EB5078">
        <w:t>.</w:t>
      </w:r>
      <w:r>
        <w:t xml:space="preserve"> As noted in the response to item 12 of this justification, the </w:t>
      </w:r>
      <w:r w:rsidR="48D53051">
        <w:t>de</w:t>
      </w:r>
      <w:r>
        <w:t xml:space="preserve">creased burden is due to </w:t>
      </w:r>
      <w:r w:rsidR="2141AE61">
        <w:t xml:space="preserve">multiple factors, including </w:t>
      </w:r>
      <w:r w:rsidR="5938D59A">
        <w:t xml:space="preserve">respondents’ increased </w:t>
      </w:r>
      <w:r w:rsidR="48D53051">
        <w:t>familiarity with the EAVS survey</w:t>
      </w:r>
      <w:r>
        <w:t xml:space="preserve">, a more accurate estimate of the </w:t>
      </w:r>
      <w:r w:rsidR="2141AE61">
        <w:t>s</w:t>
      </w:r>
      <w:r>
        <w:t>tates' burden after several iterations of the data collections documented in prior years</w:t>
      </w:r>
      <w:r w:rsidR="2141AE61">
        <w:t>, streamlined questions and instructions, improvements to the data collection mechanisms, and the transition from the Statutory Overview survey to the Policy Survey.</w:t>
      </w:r>
    </w:p>
    <w:p w:rsidR="00316490" w:rsidP="00521186" w14:paraId="3F53C172" w14:textId="181C62EB">
      <w:pPr>
        <w:pStyle w:val="BodyTextIndent"/>
      </w:pPr>
      <w:r>
        <w:t xml:space="preserve">The </w:t>
      </w:r>
      <w:r w:rsidR="00A129E2">
        <w:t>de</w:t>
      </w:r>
      <w:r>
        <w:t xml:space="preserve">creased burden hours </w:t>
      </w:r>
      <w:r w:rsidR="00707C38">
        <w:t>entail</w:t>
      </w:r>
      <w:r>
        <w:t xml:space="preserve"> </w:t>
      </w:r>
      <w:r w:rsidR="00A129E2">
        <w:t>de</w:t>
      </w:r>
      <w:r>
        <w:t xml:space="preserve">creased reporting on the part of the states and their respective jurisdictions. We document </w:t>
      </w:r>
      <w:r w:rsidR="00337D29">
        <w:t>the</w:t>
      </w:r>
      <w:r>
        <w:t xml:space="preserve"> cost of that burden in Item 14 of OMB Form 83-I. </w:t>
      </w:r>
    </w:p>
    <w:p w:rsidR="00E60DE0" w:rsidRPr="005D72BD" w:rsidP="005D72BD" w14:paraId="733170F9" w14:textId="116D658A">
      <w:pPr>
        <w:ind w:left="360"/>
        <w:rPr>
          <w:b/>
          <w:u w:val="single"/>
        </w:rPr>
      </w:pPr>
      <w:r w:rsidRPr="005D72BD">
        <w:rPr>
          <w:b/>
          <w:u w:val="single"/>
        </w:rPr>
        <w:t>16. For collections whose results will be published, outline the plans for tabulation and publication.</w:t>
      </w:r>
    </w:p>
    <w:p w:rsidR="00E60DE0" w:rsidRPr="00E60DE0" w:rsidP="00521186" w14:paraId="4AC7F5B8" w14:textId="101D5E90">
      <w:pPr>
        <w:pStyle w:val="BodyTextIndent"/>
      </w:pPr>
      <w:r>
        <w:t xml:space="preserve">The EAC is required by </w:t>
      </w:r>
      <w:r w:rsidR="00591B7A">
        <w:t xml:space="preserve">the </w:t>
      </w:r>
      <w:r>
        <w:t>NVRA (</w:t>
      </w:r>
      <w:r w:rsidR="00905688">
        <w:t>52 U.S.C. § 20508</w:t>
      </w:r>
      <w:r>
        <w:t xml:space="preserve">) no later than June 30th of each odd-numbered year </w:t>
      </w:r>
      <w:r w:rsidR="00D75389">
        <w:t xml:space="preserve">to </w:t>
      </w:r>
      <w:r>
        <w:t xml:space="preserve">submit to Congress a report assessing the impact of </w:t>
      </w:r>
      <w:r w:rsidR="00591B7A">
        <w:t xml:space="preserve">the </w:t>
      </w:r>
      <w:r>
        <w:t xml:space="preserve">Act on the administration of elections for Federal office during the preceding </w:t>
      </w:r>
      <w:r w:rsidR="00905688">
        <w:t>two</w:t>
      </w:r>
      <w:r>
        <w:t>-year period</w:t>
      </w:r>
      <w:r w:rsidR="00F75F70">
        <w:t xml:space="preserve"> and outlining major findings about the administration of </w:t>
      </w:r>
      <w:r w:rsidR="00591B7A">
        <w:t>Federal general elections</w:t>
      </w:r>
      <w:r w:rsidR="00020771">
        <w:t>.</w:t>
      </w:r>
      <w:r>
        <w:t xml:space="preserve"> This report </w:t>
      </w:r>
      <w:r w:rsidR="00591B7A">
        <w:t>for the 202</w:t>
      </w:r>
      <w:r w:rsidR="4B444988">
        <w:t>4</w:t>
      </w:r>
      <w:r w:rsidR="00591B7A">
        <w:t xml:space="preserve"> Federal general election </w:t>
      </w:r>
      <w:r>
        <w:t xml:space="preserve">will be </w:t>
      </w:r>
      <w:r w:rsidR="00F75F70">
        <w:t xml:space="preserve">delivered to Congress and publicly </w:t>
      </w:r>
      <w:r>
        <w:t xml:space="preserve">released </w:t>
      </w:r>
      <w:r w:rsidR="00F75F70">
        <w:t xml:space="preserve">on the EAC’s website by </w:t>
      </w:r>
      <w:r>
        <w:t xml:space="preserve">June 30, </w:t>
      </w:r>
      <w:r w:rsidR="00284A62">
        <w:t>20</w:t>
      </w:r>
      <w:r w:rsidR="00905688">
        <w:t>2</w:t>
      </w:r>
      <w:r w:rsidR="1A35C868">
        <w:t>5</w:t>
      </w:r>
      <w:r>
        <w:t>.</w:t>
      </w:r>
    </w:p>
    <w:p w:rsidR="00E60DE0" w:rsidP="00521186" w14:paraId="742A7805" w14:textId="10B8729B">
      <w:pPr>
        <w:pStyle w:val="BodyTextIndent"/>
      </w:pPr>
      <w:r>
        <w:t>T</w:t>
      </w:r>
      <w:r w:rsidRPr="00E60DE0" w:rsidR="00CC75A1">
        <w:t xml:space="preserve">he EAC will </w:t>
      </w:r>
      <w:r w:rsidR="00591B7A">
        <w:t xml:space="preserve">also </w:t>
      </w:r>
      <w:r w:rsidRPr="00E60DE0" w:rsidR="00CC75A1">
        <w:t>make available to the public the information collected on the combined</w:t>
      </w:r>
      <w:r w:rsidR="00C53307">
        <w:t xml:space="preserve"> </w:t>
      </w:r>
      <w:r w:rsidRPr="00E60DE0" w:rsidR="00CC75A1">
        <w:t xml:space="preserve">number of absentee ballots transmitted to uniformed and non-uniformed citizen voters and the combined number of such ballots which were returned by such voters and cast in the election as required by UOCAVA §102(c). The EAC </w:t>
      </w:r>
      <w:r w:rsidR="00D650B0">
        <w:t>will</w:t>
      </w:r>
      <w:r w:rsidRPr="00E60DE0" w:rsidR="00CC75A1">
        <w:t xml:space="preserve"> release its UOCAVA findings </w:t>
      </w:r>
      <w:r w:rsidR="00905688">
        <w:t>concurrently with the release of the NVRA report</w:t>
      </w:r>
      <w:r w:rsidRPr="00E60DE0" w:rsidR="00CC75A1">
        <w:t>. All of the data collected through this project will be made publicly available via EAC’s website.</w:t>
      </w:r>
    </w:p>
    <w:p w:rsidR="00E54E6F" w:rsidRPr="00E60DE0" w:rsidP="00521186" w14:paraId="1C4B5267" w14:textId="6C5E59BC">
      <w:pPr>
        <w:pStyle w:val="BodyTextIndent"/>
      </w:pPr>
      <w:r>
        <w:t xml:space="preserve">In addition to the report issued by the EAC, FVAP will also make the analysis of its data public from questions contained in Section B of the EAVS once </w:t>
      </w:r>
      <w:r w:rsidR="00AE5E5C">
        <w:t xml:space="preserve">its biennial Report to Congress </w:t>
      </w:r>
      <w:r>
        <w:t xml:space="preserve">is submitted in </w:t>
      </w:r>
      <w:r w:rsidR="75C2DE8C">
        <w:t>September</w:t>
      </w:r>
      <w:r>
        <w:t xml:space="preserve"> 202</w:t>
      </w:r>
      <w:r w:rsidR="7C93DC43">
        <w:t>5</w:t>
      </w:r>
      <w:r>
        <w:t>.</w:t>
      </w:r>
    </w:p>
    <w:p w:rsidR="00E60DE0" w:rsidRPr="005D72BD" w:rsidP="005D72BD" w14:paraId="10A4F331" w14:textId="77777777">
      <w:pPr>
        <w:ind w:left="360"/>
        <w:rPr>
          <w:b/>
          <w:u w:val="single"/>
        </w:rPr>
      </w:pPr>
      <w:r w:rsidRPr="005D72BD">
        <w:rPr>
          <w:b/>
          <w:u w:val="single"/>
        </w:rPr>
        <w:t>17. If seeking approval to not display the expiration date for OMB approval of the information collection, explain the reasons why display would be inappropriate.</w:t>
      </w:r>
    </w:p>
    <w:p w:rsidR="00E60DE0" w:rsidRPr="00E60DE0" w:rsidP="00521186" w14:paraId="23125401" w14:textId="77777777">
      <w:pPr>
        <w:pStyle w:val="BodyTextIndent"/>
      </w:pPr>
      <w:r w:rsidRPr="00E60DE0">
        <w:t>Not applicable to this collection.</w:t>
      </w:r>
    </w:p>
    <w:p w:rsidR="00E60DE0" w:rsidRPr="005D72BD" w:rsidP="005D72BD" w14:paraId="112D5C7E" w14:textId="77777777">
      <w:pPr>
        <w:ind w:left="360"/>
        <w:rPr>
          <w:b/>
          <w:u w:val="single"/>
        </w:rPr>
      </w:pPr>
      <w:r w:rsidRPr="005D72BD">
        <w:rPr>
          <w:b/>
          <w:u w:val="single"/>
        </w:rPr>
        <w:t>18. Explain each exception to the certification statement</w:t>
      </w:r>
      <w:r w:rsidR="00D47AAA">
        <w:rPr>
          <w:b/>
          <w:u w:val="single"/>
        </w:rPr>
        <w:t xml:space="preserve"> </w:t>
      </w:r>
      <w:r w:rsidRPr="005D72BD">
        <w:rPr>
          <w:b/>
          <w:u w:val="single"/>
        </w:rPr>
        <w:t>identified in Item 19 of OMB Form 83-I.</w:t>
      </w:r>
    </w:p>
    <w:p w:rsidR="009708F1" w:rsidP="00521186" w14:paraId="1442151C" w14:textId="77777777">
      <w:pPr>
        <w:pStyle w:val="BodyTextIndent"/>
      </w:pPr>
      <w:r w:rsidRPr="00E60DE0">
        <w:t>The EAC does not request an exception to the certification of this information collection.</w:t>
      </w:r>
    </w:p>
    <w:p w:rsidR="009708F1" w14:paraId="463083A7" w14:textId="77777777">
      <w:pPr>
        <w:tabs>
          <w:tab w:val="clear" w:pos="360"/>
        </w:tabs>
        <w:spacing w:after="200" w:line="276" w:lineRule="auto"/>
      </w:pPr>
    </w:p>
    <w:sectPr w:rsidSect="00A02640">
      <w:footerReference w:type="default" r:id="rId8"/>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7114854"/>
      <w:docPartObj>
        <w:docPartGallery w:val="Page Numbers (Bottom of Page)"/>
        <w:docPartUnique/>
      </w:docPartObj>
    </w:sdtPr>
    <w:sdtEndPr>
      <w:rPr>
        <w:noProof/>
      </w:rPr>
    </w:sdtEndPr>
    <w:sdtContent>
      <w:p w:rsidR="00591B7A" w:rsidP="0082694E" w14:paraId="4E637B4F" w14:textId="4301EFF6">
        <w:pPr>
          <w:jc w:val="center"/>
        </w:pPr>
        <w:r>
          <w:fldChar w:fldCharType="begin"/>
        </w:r>
        <w:r>
          <w:instrText xml:space="preserve"> PAGE   \* MERGEFORMAT </w:instrText>
        </w:r>
        <w:r>
          <w:fldChar w:fldCharType="separate"/>
        </w:r>
        <w:r w:rsidR="00191534">
          <w:rPr>
            <w:noProof/>
          </w:rPr>
          <w:t>11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05997"/>
    <w:multiLevelType w:val="hybridMultilevel"/>
    <w:tmpl w:val="631C98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F181005"/>
    <w:multiLevelType w:val="hybridMultilevel"/>
    <w:tmpl w:val="AB94E0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E134E56"/>
    <w:multiLevelType w:val="hybridMultilevel"/>
    <w:tmpl w:val="106A036A"/>
    <w:lvl w:ilvl="0">
      <w:start w:val="0"/>
      <w:numFmt w:val="bullet"/>
      <w:lvlText w:val="•"/>
      <w:lvlJc w:val="left"/>
      <w:pPr>
        <w:ind w:left="1440" w:hanging="72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32C77F7"/>
    <w:multiLevelType w:val="hybridMultilevel"/>
    <w:tmpl w:val="2946BF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64317D4"/>
    <w:multiLevelType w:val="hybridMultilevel"/>
    <w:tmpl w:val="CDA030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73439897">
    <w:abstractNumId w:val="3"/>
  </w:num>
  <w:num w:numId="2" w16cid:durableId="1241601639">
    <w:abstractNumId w:val="2"/>
  </w:num>
  <w:num w:numId="3" w16cid:durableId="1163742664">
    <w:abstractNumId w:val="1"/>
  </w:num>
  <w:num w:numId="4" w16cid:durableId="1371955925">
    <w:abstractNumId w:val="4"/>
  </w:num>
  <w:num w:numId="5" w16cid:durableId="158795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F4"/>
    <w:rsid w:val="00003263"/>
    <w:rsid w:val="00013EE5"/>
    <w:rsid w:val="00020771"/>
    <w:rsid w:val="000526D9"/>
    <w:rsid w:val="000567E2"/>
    <w:rsid w:val="00056F41"/>
    <w:rsid w:val="00062E63"/>
    <w:rsid w:val="0006530D"/>
    <w:rsid w:val="000656C7"/>
    <w:rsid w:val="00076727"/>
    <w:rsid w:val="00083708"/>
    <w:rsid w:val="00095902"/>
    <w:rsid w:val="000B470C"/>
    <w:rsid w:val="000D1A8A"/>
    <w:rsid w:val="000D2E8E"/>
    <w:rsid w:val="000E1B4D"/>
    <w:rsid w:val="000E6CAC"/>
    <w:rsid w:val="000F68F3"/>
    <w:rsid w:val="00106A5C"/>
    <w:rsid w:val="001352FD"/>
    <w:rsid w:val="00162F1E"/>
    <w:rsid w:val="0016785B"/>
    <w:rsid w:val="00170297"/>
    <w:rsid w:val="00191534"/>
    <w:rsid w:val="001915DB"/>
    <w:rsid w:val="001A229B"/>
    <w:rsid w:val="001B3A71"/>
    <w:rsid w:val="001E5ADC"/>
    <w:rsid w:val="00202F53"/>
    <w:rsid w:val="00210376"/>
    <w:rsid w:val="0022342C"/>
    <w:rsid w:val="00230B1B"/>
    <w:rsid w:val="00233BC6"/>
    <w:rsid w:val="0025664C"/>
    <w:rsid w:val="00277100"/>
    <w:rsid w:val="00284A62"/>
    <w:rsid w:val="00285CF7"/>
    <w:rsid w:val="00286361"/>
    <w:rsid w:val="002900DB"/>
    <w:rsid w:val="0029398B"/>
    <w:rsid w:val="00293F29"/>
    <w:rsid w:val="00296ED7"/>
    <w:rsid w:val="002A38B6"/>
    <w:rsid w:val="002B091C"/>
    <w:rsid w:val="002C1AE0"/>
    <w:rsid w:val="002C5982"/>
    <w:rsid w:val="002D196C"/>
    <w:rsid w:val="002E4421"/>
    <w:rsid w:val="002F3DE7"/>
    <w:rsid w:val="002F4D6A"/>
    <w:rsid w:val="00303219"/>
    <w:rsid w:val="00310F23"/>
    <w:rsid w:val="00311897"/>
    <w:rsid w:val="00316490"/>
    <w:rsid w:val="00335856"/>
    <w:rsid w:val="00337D29"/>
    <w:rsid w:val="00355A4B"/>
    <w:rsid w:val="003570CD"/>
    <w:rsid w:val="00372393"/>
    <w:rsid w:val="00380C95"/>
    <w:rsid w:val="003D1134"/>
    <w:rsid w:val="003D245B"/>
    <w:rsid w:val="003D2B80"/>
    <w:rsid w:val="003E13CD"/>
    <w:rsid w:val="003E35BD"/>
    <w:rsid w:val="003E487F"/>
    <w:rsid w:val="003F031B"/>
    <w:rsid w:val="00410936"/>
    <w:rsid w:val="004265A6"/>
    <w:rsid w:val="00452273"/>
    <w:rsid w:val="00456DA5"/>
    <w:rsid w:val="004716C9"/>
    <w:rsid w:val="004917AF"/>
    <w:rsid w:val="004A0C19"/>
    <w:rsid w:val="004B407B"/>
    <w:rsid w:val="004C0F6A"/>
    <w:rsid w:val="004D3947"/>
    <w:rsid w:val="004E12DE"/>
    <w:rsid w:val="004F1641"/>
    <w:rsid w:val="005014A5"/>
    <w:rsid w:val="00504921"/>
    <w:rsid w:val="00521186"/>
    <w:rsid w:val="00531FF0"/>
    <w:rsid w:val="0054788C"/>
    <w:rsid w:val="00555D32"/>
    <w:rsid w:val="00566419"/>
    <w:rsid w:val="0057757B"/>
    <w:rsid w:val="005786C4"/>
    <w:rsid w:val="0057F9B8"/>
    <w:rsid w:val="00590E7F"/>
    <w:rsid w:val="00591B7A"/>
    <w:rsid w:val="005B009E"/>
    <w:rsid w:val="005B00AF"/>
    <w:rsid w:val="005C2CAE"/>
    <w:rsid w:val="005C2CB3"/>
    <w:rsid w:val="005D72BD"/>
    <w:rsid w:val="005E1AE0"/>
    <w:rsid w:val="005E4686"/>
    <w:rsid w:val="005F3ADD"/>
    <w:rsid w:val="005F4E62"/>
    <w:rsid w:val="005F6CF4"/>
    <w:rsid w:val="00600232"/>
    <w:rsid w:val="00606FAF"/>
    <w:rsid w:val="006154E1"/>
    <w:rsid w:val="00621837"/>
    <w:rsid w:val="0063388B"/>
    <w:rsid w:val="00636B14"/>
    <w:rsid w:val="0064036B"/>
    <w:rsid w:val="00661106"/>
    <w:rsid w:val="00662F01"/>
    <w:rsid w:val="00665B76"/>
    <w:rsid w:val="00667C65"/>
    <w:rsid w:val="0066E7D0"/>
    <w:rsid w:val="006A242E"/>
    <w:rsid w:val="006B0A4B"/>
    <w:rsid w:val="006D46D8"/>
    <w:rsid w:val="006D790D"/>
    <w:rsid w:val="006E3BBB"/>
    <w:rsid w:val="006F22D8"/>
    <w:rsid w:val="007003A4"/>
    <w:rsid w:val="007064B8"/>
    <w:rsid w:val="00707A4B"/>
    <w:rsid w:val="00707C38"/>
    <w:rsid w:val="00717783"/>
    <w:rsid w:val="00755056"/>
    <w:rsid w:val="00756200"/>
    <w:rsid w:val="00761382"/>
    <w:rsid w:val="00761555"/>
    <w:rsid w:val="007730B6"/>
    <w:rsid w:val="00787E02"/>
    <w:rsid w:val="007A39E4"/>
    <w:rsid w:val="007C01E6"/>
    <w:rsid w:val="007C2BA5"/>
    <w:rsid w:val="007D5D52"/>
    <w:rsid w:val="007D760C"/>
    <w:rsid w:val="007D7A61"/>
    <w:rsid w:val="007E2CF0"/>
    <w:rsid w:val="007E5AE7"/>
    <w:rsid w:val="007F01F7"/>
    <w:rsid w:val="007F1643"/>
    <w:rsid w:val="007F354F"/>
    <w:rsid w:val="007F580A"/>
    <w:rsid w:val="008134DF"/>
    <w:rsid w:val="00814FAB"/>
    <w:rsid w:val="008242C2"/>
    <w:rsid w:val="0082694E"/>
    <w:rsid w:val="00840933"/>
    <w:rsid w:val="008843F7"/>
    <w:rsid w:val="008878DB"/>
    <w:rsid w:val="00892D5A"/>
    <w:rsid w:val="008974FD"/>
    <w:rsid w:val="008B5AD9"/>
    <w:rsid w:val="008C7F78"/>
    <w:rsid w:val="008DD9B2"/>
    <w:rsid w:val="008E25CE"/>
    <w:rsid w:val="008F0D7A"/>
    <w:rsid w:val="008F4707"/>
    <w:rsid w:val="00902B56"/>
    <w:rsid w:val="00905688"/>
    <w:rsid w:val="00932784"/>
    <w:rsid w:val="0093774D"/>
    <w:rsid w:val="009449FE"/>
    <w:rsid w:val="009660A0"/>
    <w:rsid w:val="009708F1"/>
    <w:rsid w:val="00971241"/>
    <w:rsid w:val="009A6EB6"/>
    <w:rsid w:val="009B0302"/>
    <w:rsid w:val="009B4CE4"/>
    <w:rsid w:val="009B57DF"/>
    <w:rsid w:val="009D7ABE"/>
    <w:rsid w:val="009E23E7"/>
    <w:rsid w:val="00A007F5"/>
    <w:rsid w:val="00A02318"/>
    <w:rsid w:val="00A02640"/>
    <w:rsid w:val="00A11EED"/>
    <w:rsid w:val="00A127A8"/>
    <w:rsid w:val="00A129E2"/>
    <w:rsid w:val="00A1567F"/>
    <w:rsid w:val="00A2286E"/>
    <w:rsid w:val="00A2495A"/>
    <w:rsid w:val="00A31F3E"/>
    <w:rsid w:val="00A32DB7"/>
    <w:rsid w:val="00A52406"/>
    <w:rsid w:val="00A52F07"/>
    <w:rsid w:val="00A57FE5"/>
    <w:rsid w:val="00A959E2"/>
    <w:rsid w:val="00A97B84"/>
    <w:rsid w:val="00AB37AF"/>
    <w:rsid w:val="00AD2B78"/>
    <w:rsid w:val="00AE1D67"/>
    <w:rsid w:val="00AE3E4C"/>
    <w:rsid w:val="00AE5E5C"/>
    <w:rsid w:val="00AF2B0D"/>
    <w:rsid w:val="00AF7D82"/>
    <w:rsid w:val="00B237DA"/>
    <w:rsid w:val="00B244E8"/>
    <w:rsid w:val="00B315C9"/>
    <w:rsid w:val="00B5227F"/>
    <w:rsid w:val="00B53F00"/>
    <w:rsid w:val="00B64987"/>
    <w:rsid w:val="00B66FA8"/>
    <w:rsid w:val="00B74207"/>
    <w:rsid w:val="00B81A91"/>
    <w:rsid w:val="00B84F99"/>
    <w:rsid w:val="00B90670"/>
    <w:rsid w:val="00BA26D5"/>
    <w:rsid w:val="00BB1DA0"/>
    <w:rsid w:val="00BE2BDE"/>
    <w:rsid w:val="00BF4AA7"/>
    <w:rsid w:val="00BF780E"/>
    <w:rsid w:val="00C0050C"/>
    <w:rsid w:val="00C17FA4"/>
    <w:rsid w:val="00C36283"/>
    <w:rsid w:val="00C442D2"/>
    <w:rsid w:val="00C47B61"/>
    <w:rsid w:val="00C53307"/>
    <w:rsid w:val="00C61DB9"/>
    <w:rsid w:val="00C74169"/>
    <w:rsid w:val="00C80EB0"/>
    <w:rsid w:val="00C91674"/>
    <w:rsid w:val="00C92B1C"/>
    <w:rsid w:val="00C93CEE"/>
    <w:rsid w:val="00CA480E"/>
    <w:rsid w:val="00CA62B7"/>
    <w:rsid w:val="00CB3272"/>
    <w:rsid w:val="00CC1EE7"/>
    <w:rsid w:val="00CC5AEB"/>
    <w:rsid w:val="00CC75A1"/>
    <w:rsid w:val="00CE7F31"/>
    <w:rsid w:val="00CF2D9C"/>
    <w:rsid w:val="00D01C7B"/>
    <w:rsid w:val="00D05A87"/>
    <w:rsid w:val="00D06031"/>
    <w:rsid w:val="00D10D3A"/>
    <w:rsid w:val="00D1292D"/>
    <w:rsid w:val="00D15FAB"/>
    <w:rsid w:val="00D42229"/>
    <w:rsid w:val="00D47AAA"/>
    <w:rsid w:val="00D5706C"/>
    <w:rsid w:val="00D61C07"/>
    <w:rsid w:val="00D650B0"/>
    <w:rsid w:val="00D670F8"/>
    <w:rsid w:val="00D73AAE"/>
    <w:rsid w:val="00D75389"/>
    <w:rsid w:val="00D76455"/>
    <w:rsid w:val="00D7725A"/>
    <w:rsid w:val="00D97198"/>
    <w:rsid w:val="00DE42A6"/>
    <w:rsid w:val="00DF2407"/>
    <w:rsid w:val="00DF525C"/>
    <w:rsid w:val="00DF7B1A"/>
    <w:rsid w:val="00E0664C"/>
    <w:rsid w:val="00E07907"/>
    <w:rsid w:val="00E44AA2"/>
    <w:rsid w:val="00E51602"/>
    <w:rsid w:val="00E54E6F"/>
    <w:rsid w:val="00E57B5B"/>
    <w:rsid w:val="00E60DE0"/>
    <w:rsid w:val="00E65CF7"/>
    <w:rsid w:val="00E672D0"/>
    <w:rsid w:val="00E86FB2"/>
    <w:rsid w:val="00E87EDE"/>
    <w:rsid w:val="00E903C1"/>
    <w:rsid w:val="00E91A1E"/>
    <w:rsid w:val="00EA245E"/>
    <w:rsid w:val="00EC1097"/>
    <w:rsid w:val="00EC47AA"/>
    <w:rsid w:val="00EC7CB2"/>
    <w:rsid w:val="00ED0314"/>
    <w:rsid w:val="00ED4FC4"/>
    <w:rsid w:val="00ED5852"/>
    <w:rsid w:val="00ED776E"/>
    <w:rsid w:val="00EE195B"/>
    <w:rsid w:val="00EF509E"/>
    <w:rsid w:val="00EF54F6"/>
    <w:rsid w:val="00EF6EC6"/>
    <w:rsid w:val="00F03F39"/>
    <w:rsid w:val="00F104F4"/>
    <w:rsid w:val="00F24F37"/>
    <w:rsid w:val="00F26405"/>
    <w:rsid w:val="00F40F8F"/>
    <w:rsid w:val="00F413C0"/>
    <w:rsid w:val="00F43DC1"/>
    <w:rsid w:val="00F45EE2"/>
    <w:rsid w:val="00F502E7"/>
    <w:rsid w:val="00F73181"/>
    <w:rsid w:val="00F75F70"/>
    <w:rsid w:val="00F85FEB"/>
    <w:rsid w:val="00F965DD"/>
    <w:rsid w:val="00FB348B"/>
    <w:rsid w:val="00FB3E99"/>
    <w:rsid w:val="00FD259B"/>
    <w:rsid w:val="00FD325F"/>
    <w:rsid w:val="00FE645B"/>
    <w:rsid w:val="0124645C"/>
    <w:rsid w:val="01361B29"/>
    <w:rsid w:val="014A088B"/>
    <w:rsid w:val="0198FF5F"/>
    <w:rsid w:val="01AB3296"/>
    <w:rsid w:val="0269677E"/>
    <w:rsid w:val="027BB9C1"/>
    <w:rsid w:val="02BECB09"/>
    <w:rsid w:val="03464C67"/>
    <w:rsid w:val="0358CDBC"/>
    <w:rsid w:val="0359477F"/>
    <w:rsid w:val="038F70E8"/>
    <w:rsid w:val="03F882D1"/>
    <w:rsid w:val="042AE8EC"/>
    <w:rsid w:val="045470E8"/>
    <w:rsid w:val="04DECFBF"/>
    <w:rsid w:val="04E0EFBF"/>
    <w:rsid w:val="051404BA"/>
    <w:rsid w:val="05527ECF"/>
    <w:rsid w:val="059D7637"/>
    <w:rsid w:val="059F2F86"/>
    <w:rsid w:val="05F491AB"/>
    <w:rsid w:val="061D4C2B"/>
    <w:rsid w:val="067AA020"/>
    <w:rsid w:val="068704F1"/>
    <w:rsid w:val="06A3FD90"/>
    <w:rsid w:val="06B18E21"/>
    <w:rsid w:val="06B9CA74"/>
    <w:rsid w:val="075BE8B6"/>
    <w:rsid w:val="079F1596"/>
    <w:rsid w:val="07C10904"/>
    <w:rsid w:val="083BDFBD"/>
    <w:rsid w:val="088F0D76"/>
    <w:rsid w:val="08C90BFF"/>
    <w:rsid w:val="091D2DD9"/>
    <w:rsid w:val="0932290D"/>
    <w:rsid w:val="096E0322"/>
    <w:rsid w:val="09782BD6"/>
    <w:rsid w:val="09D05B0B"/>
    <w:rsid w:val="09E0F2BE"/>
    <w:rsid w:val="0A121371"/>
    <w:rsid w:val="0A2AF47F"/>
    <w:rsid w:val="0A7A236E"/>
    <w:rsid w:val="0ACA249F"/>
    <w:rsid w:val="0BB4A1D2"/>
    <w:rsid w:val="0BBECBD7"/>
    <w:rsid w:val="0BCD6935"/>
    <w:rsid w:val="0CBE3299"/>
    <w:rsid w:val="0CE6C0AA"/>
    <w:rsid w:val="0D17D066"/>
    <w:rsid w:val="0D625B78"/>
    <w:rsid w:val="0DD4CAB1"/>
    <w:rsid w:val="0DE9167C"/>
    <w:rsid w:val="0E48D63B"/>
    <w:rsid w:val="0E56418C"/>
    <w:rsid w:val="0E6C1911"/>
    <w:rsid w:val="0E6F0087"/>
    <w:rsid w:val="0ECF4E9D"/>
    <w:rsid w:val="0F308BA9"/>
    <w:rsid w:val="0F5D728C"/>
    <w:rsid w:val="0FA6B688"/>
    <w:rsid w:val="0FD8047E"/>
    <w:rsid w:val="10114D5C"/>
    <w:rsid w:val="1014D550"/>
    <w:rsid w:val="101F9143"/>
    <w:rsid w:val="106B1EFE"/>
    <w:rsid w:val="10EE7DB7"/>
    <w:rsid w:val="112B32F7"/>
    <w:rsid w:val="11639EAD"/>
    <w:rsid w:val="118D8F64"/>
    <w:rsid w:val="11A13019"/>
    <w:rsid w:val="11C91616"/>
    <w:rsid w:val="11D6343E"/>
    <w:rsid w:val="1206EF5F"/>
    <w:rsid w:val="124EB30B"/>
    <w:rsid w:val="12641C83"/>
    <w:rsid w:val="1268ECE7"/>
    <w:rsid w:val="12800EEF"/>
    <w:rsid w:val="135B1C97"/>
    <w:rsid w:val="136D578D"/>
    <w:rsid w:val="137E66CA"/>
    <w:rsid w:val="13A414E7"/>
    <w:rsid w:val="13BA0931"/>
    <w:rsid w:val="13F05DCE"/>
    <w:rsid w:val="1425AB29"/>
    <w:rsid w:val="1494C054"/>
    <w:rsid w:val="149AB4A1"/>
    <w:rsid w:val="14A6AB08"/>
    <w:rsid w:val="14FAA1A4"/>
    <w:rsid w:val="15611F9F"/>
    <w:rsid w:val="156B6CE0"/>
    <w:rsid w:val="16223410"/>
    <w:rsid w:val="1631FF7C"/>
    <w:rsid w:val="163596F0"/>
    <w:rsid w:val="1679E2D2"/>
    <w:rsid w:val="16A0F8FD"/>
    <w:rsid w:val="16B1BE1A"/>
    <w:rsid w:val="16BEB095"/>
    <w:rsid w:val="16F4D93B"/>
    <w:rsid w:val="16FD0816"/>
    <w:rsid w:val="1761E5F7"/>
    <w:rsid w:val="17737036"/>
    <w:rsid w:val="1775F8ED"/>
    <w:rsid w:val="1790E5AA"/>
    <w:rsid w:val="17ABE413"/>
    <w:rsid w:val="18484C77"/>
    <w:rsid w:val="187E5EE0"/>
    <w:rsid w:val="189CEA99"/>
    <w:rsid w:val="18CF834B"/>
    <w:rsid w:val="1901F2CF"/>
    <w:rsid w:val="195E248E"/>
    <w:rsid w:val="19851956"/>
    <w:rsid w:val="1A35C868"/>
    <w:rsid w:val="1A573C25"/>
    <w:rsid w:val="1A8894B3"/>
    <w:rsid w:val="1B17F3A3"/>
    <w:rsid w:val="1B786972"/>
    <w:rsid w:val="1C43E1C3"/>
    <w:rsid w:val="1C4882D2"/>
    <w:rsid w:val="1C6D77F6"/>
    <w:rsid w:val="1C81E47F"/>
    <w:rsid w:val="1C9C2D54"/>
    <w:rsid w:val="1CFF1A25"/>
    <w:rsid w:val="1D2A37DB"/>
    <w:rsid w:val="1D4A0326"/>
    <w:rsid w:val="1D5E2F52"/>
    <w:rsid w:val="1D8BE6A5"/>
    <w:rsid w:val="1DD7E35F"/>
    <w:rsid w:val="1E03FD74"/>
    <w:rsid w:val="1E45A3FC"/>
    <w:rsid w:val="1FC9CF2D"/>
    <w:rsid w:val="2012195F"/>
    <w:rsid w:val="201FAFF3"/>
    <w:rsid w:val="203F93B6"/>
    <w:rsid w:val="204105A3"/>
    <w:rsid w:val="2089304E"/>
    <w:rsid w:val="20E90D96"/>
    <w:rsid w:val="21035950"/>
    <w:rsid w:val="210F1B87"/>
    <w:rsid w:val="2119E30B"/>
    <w:rsid w:val="2141AE61"/>
    <w:rsid w:val="2173D7D0"/>
    <w:rsid w:val="21E28A07"/>
    <w:rsid w:val="22354A72"/>
    <w:rsid w:val="228D5DF9"/>
    <w:rsid w:val="22F325D0"/>
    <w:rsid w:val="22FA088D"/>
    <w:rsid w:val="2398FA23"/>
    <w:rsid w:val="242ECD8F"/>
    <w:rsid w:val="247711DB"/>
    <w:rsid w:val="25158820"/>
    <w:rsid w:val="2586C464"/>
    <w:rsid w:val="25AB9CDD"/>
    <w:rsid w:val="25F4E6DC"/>
    <w:rsid w:val="266BD7E1"/>
    <w:rsid w:val="2678AFC3"/>
    <w:rsid w:val="26C3099F"/>
    <w:rsid w:val="26FDD7A1"/>
    <w:rsid w:val="27005DD5"/>
    <w:rsid w:val="2702C368"/>
    <w:rsid w:val="2713AD99"/>
    <w:rsid w:val="2745B1BC"/>
    <w:rsid w:val="277D821E"/>
    <w:rsid w:val="28944233"/>
    <w:rsid w:val="290C39AB"/>
    <w:rsid w:val="29193DFE"/>
    <w:rsid w:val="29FAAA61"/>
    <w:rsid w:val="29FB3CC1"/>
    <w:rsid w:val="2A3D29F3"/>
    <w:rsid w:val="2A43DED7"/>
    <w:rsid w:val="2AA67872"/>
    <w:rsid w:val="2AB7E7EB"/>
    <w:rsid w:val="2ACE42F6"/>
    <w:rsid w:val="2AFBC671"/>
    <w:rsid w:val="2B85AB0D"/>
    <w:rsid w:val="2B9D8AC9"/>
    <w:rsid w:val="2BB3DEAB"/>
    <w:rsid w:val="2BEA64BA"/>
    <w:rsid w:val="2BF7C76A"/>
    <w:rsid w:val="2BFC73AF"/>
    <w:rsid w:val="2C02F9F3"/>
    <w:rsid w:val="2C0C90BE"/>
    <w:rsid w:val="2C8F29D8"/>
    <w:rsid w:val="2C941917"/>
    <w:rsid w:val="2CAB01BE"/>
    <w:rsid w:val="2CBE0EE4"/>
    <w:rsid w:val="2CCC6671"/>
    <w:rsid w:val="2D33A03D"/>
    <w:rsid w:val="2D49E242"/>
    <w:rsid w:val="2D639E4B"/>
    <w:rsid w:val="2D722259"/>
    <w:rsid w:val="2E3C61A8"/>
    <w:rsid w:val="2E5FA51F"/>
    <w:rsid w:val="2E6F8566"/>
    <w:rsid w:val="2E742E28"/>
    <w:rsid w:val="2E96CF67"/>
    <w:rsid w:val="2EA8FADD"/>
    <w:rsid w:val="2EB0BE98"/>
    <w:rsid w:val="2EBC4C34"/>
    <w:rsid w:val="2EC75B49"/>
    <w:rsid w:val="2ECF128B"/>
    <w:rsid w:val="2F26D7DB"/>
    <w:rsid w:val="2F5A41D8"/>
    <w:rsid w:val="2F7CC336"/>
    <w:rsid w:val="2F94B4C8"/>
    <w:rsid w:val="2FAB95B1"/>
    <w:rsid w:val="2FF584B5"/>
    <w:rsid w:val="30029A67"/>
    <w:rsid w:val="302E762D"/>
    <w:rsid w:val="3043DFA5"/>
    <w:rsid w:val="30591C30"/>
    <w:rsid w:val="3093CA70"/>
    <w:rsid w:val="309B3F0D"/>
    <w:rsid w:val="30AD8775"/>
    <w:rsid w:val="30B42460"/>
    <w:rsid w:val="30B9D4B6"/>
    <w:rsid w:val="30C5A913"/>
    <w:rsid w:val="316499B6"/>
    <w:rsid w:val="31A8EF0B"/>
    <w:rsid w:val="31B08282"/>
    <w:rsid w:val="31BBF44E"/>
    <w:rsid w:val="31CF0649"/>
    <w:rsid w:val="31E3B7B4"/>
    <w:rsid w:val="3214FD2F"/>
    <w:rsid w:val="323F6793"/>
    <w:rsid w:val="3279AF71"/>
    <w:rsid w:val="3284AB34"/>
    <w:rsid w:val="32C67A48"/>
    <w:rsid w:val="332D5068"/>
    <w:rsid w:val="3375225F"/>
    <w:rsid w:val="33DCB2F6"/>
    <w:rsid w:val="33E47FAC"/>
    <w:rsid w:val="341C4A2F"/>
    <w:rsid w:val="34267E57"/>
    <w:rsid w:val="3439AACF"/>
    <w:rsid w:val="349D085C"/>
    <w:rsid w:val="34E08FCD"/>
    <w:rsid w:val="355F2778"/>
    <w:rsid w:val="3592FEAE"/>
    <w:rsid w:val="35AF9449"/>
    <w:rsid w:val="35BF1FDE"/>
    <w:rsid w:val="3608710C"/>
    <w:rsid w:val="36456ADD"/>
    <w:rsid w:val="369D6495"/>
    <w:rsid w:val="36C434FF"/>
    <w:rsid w:val="36C559A2"/>
    <w:rsid w:val="36D46D8C"/>
    <w:rsid w:val="36D98FB6"/>
    <w:rsid w:val="36E8C4F9"/>
    <w:rsid w:val="36F15834"/>
    <w:rsid w:val="36FBA811"/>
    <w:rsid w:val="37006409"/>
    <w:rsid w:val="376FAB3B"/>
    <w:rsid w:val="3789B846"/>
    <w:rsid w:val="37CB0724"/>
    <w:rsid w:val="37E3AD7F"/>
    <w:rsid w:val="37FB2C9D"/>
    <w:rsid w:val="38490D7A"/>
    <w:rsid w:val="38612A03"/>
    <w:rsid w:val="3871017E"/>
    <w:rsid w:val="38AFBF65"/>
    <w:rsid w:val="38E1C0A8"/>
    <w:rsid w:val="3983698F"/>
    <w:rsid w:val="3988CC62"/>
    <w:rsid w:val="3999BC7A"/>
    <w:rsid w:val="39AC88BC"/>
    <w:rsid w:val="39F7795F"/>
    <w:rsid w:val="3A10CE2B"/>
    <w:rsid w:val="3A28F8F6"/>
    <w:rsid w:val="3A63EE08"/>
    <w:rsid w:val="3A79414B"/>
    <w:rsid w:val="3A94D8CF"/>
    <w:rsid w:val="3B2CD5FC"/>
    <w:rsid w:val="3BBC0446"/>
    <w:rsid w:val="3C4955B3"/>
    <w:rsid w:val="3C8339D0"/>
    <w:rsid w:val="3C994C0B"/>
    <w:rsid w:val="3CF0732F"/>
    <w:rsid w:val="3D363EBB"/>
    <w:rsid w:val="3E17A63A"/>
    <w:rsid w:val="3E2301F8"/>
    <w:rsid w:val="3E3FAE99"/>
    <w:rsid w:val="3ECB3A12"/>
    <w:rsid w:val="3F08C370"/>
    <w:rsid w:val="3F55C622"/>
    <w:rsid w:val="3F77E87C"/>
    <w:rsid w:val="3FA6CFD0"/>
    <w:rsid w:val="3FB4BD32"/>
    <w:rsid w:val="3FB80B17"/>
    <w:rsid w:val="3FC31451"/>
    <w:rsid w:val="40A729F7"/>
    <w:rsid w:val="414D05F8"/>
    <w:rsid w:val="417AE0DF"/>
    <w:rsid w:val="4191FD73"/>
    <w:rsid w:val="41BD1A33"/>
    <w:rsid w:val="41C972DA"/>
    <w:rsid w:val="41D01CDE"/>
    <w:rsid w:val="423082AD"/>
    <w:rsid w:val="427FA2D7"/>
    <w:rsid w:val="42EC5DF4"/>
    <w:rsid w:val="43233509"/>
    <w:rsid w:val="4327CDCE"/>
    <w:rsid w:val="43630442"/>
    <w:rsid w:val="43E21C86"/>
    <w:rsid w:val="43E25013"/>
    <w:rsid w:val="440504D6"/>
    <w:rsid w:val="4499CECE"/>
    <w:rsid w:val="44B99C24"/>
    <w:rsid w:val="44BDA714"/>
    <w:rsid w:val="44E74231"/>
    <w:rsid w:val="44E81B46"/>
    <w:rsid w:val="44FF0DE5"/>
    <w:rsid w:val="45371F7E"/>
    <w:rsid w:val="45868A1D"/>
    <w:rsid w:val="464A5B3E"/>
    <w:rsid w:val="465A1010"/>
    <w:rsid w:val="46C34EBC"/>
    <w:rsid w:val="46CB4E69"/>
    <w:rsid w:val="46F846C6"/>
    <w:rsid w:val="47116A5D"/>
    <w:rsid w:val="472E760C"/>
    <w:rsid w:val="473B39B1"/>
    <w:rsid w:val="47602951"/>
    <w:rsid w:val="476975FA"/>
    <w:rsid w:val="477866F9"/>
    <w:rsid w:val="478646EB"/>
    <w:rsid w:val="47B91C14"/>
    <w:rsid w:val="47D0FBD0"/>
    <w:rsid w:val="48CD4B7E"/>
    <w:rsid w:val="48D53051"/>
    <w:rsid w:val="48DA2F09"/>
    <w:rsid w:val="48F17FEB"/>
    <w:rsid w:val="4908EEEF"/>
    <w:rsid w:val="494410D9"/>
    <w:rsid w:val="49A03174"/>
    <w:rsid w:val="49FC3068"/>
    <w:rsid w:val="4AEEBC21"/>
    <w:rsid w:val="4B32DFB3"/>
    <w:rsid w:val="4B444988"/>
    <w:rsid w:val="4B6FB33D"/>
    <w:rsid w:val="4B8485BF"/>
    <w:rsid w:val="4B9EBF8C"/>
    <w:rsid w:val="4BA86F9A"/>
    <w:rsid w:val="4BCC02E8"/>
    <w:rsid w:val="4C7CE1D5"/>
    <w:rsid w:val="4CC0A674"/>
    <w:rsid w:val="4E352DFB"/>
    <w:rsid w:val="4EE2E3E5"/>
    <w:rsid w:val="4EF606AB"/>
    <w:rsid w:val="4F0048DC"/>
    <w:rsid w:val="4F675A43"/>
    <w:rsid w:val="4F9D4EA2"/>
    <w:rsid w:val="4FD36C70"/>
    <w:rsid w:val="5046154A"/>
    <w:rsid w:val="508D0F5D"/>
    <w:rsid w:val="509D67C9"/>
    <w:rsid w:val="510796D4"/>
    <w:rsid w:val="519C2CEA"/>
    <w:rsid w:val="51A22137"/>
    <w:rsid w:val="51D909C1"/>
    <w:rsid w:val="525487DB"/>
    <w:rsid w:val="52A2BDBE"/>
    <w:rsid w:val="52F5B57E"/>
    <w:rsid w:val="5322FC09"/>
    <w:rsid w:val="532BDAC9"/>
    <w:rsid w:val="539690BA"/>
    <w:rsid w:val="53BD294D"/>
    <w:rsid w:val="53CFAAA2"/>
    <w:rsid w:val="53EDEC8C"/>
    <w:rsid w:val="543C575A"/>
    <w:rsid w:val="54525926"/>
    <w:rsid w:val="545DE558"/>
    <w:rsid w:val="546A5613"/>
    <w:rsid w:val="54DB99D3"/>
    <w:rsid w:val="55196D85"/>
    <w:rsid w:val="551B084B"/>
    <w:rsid w:val="55449950"/>
    <w:rsid w:val="55896A88"/>
    <w:rsid w:val="55B6DA96"/>
    <w:rsid w:val="566E09DA"/>
    <w:rsid w:val="56817B6C"/>
    <w:rsid w:val="56934A78"/>
    <w:rsid w:val="57174B26"/>
    <w:rsid w:val="5731F237"/>
    <w:rsid w:val="57C84920"/>
    <w:rsid w:val="57CAC686"/>
    <w:rsid w:val="5805B03D"/>
    <w:rsid w:val="58AF46E0"/>
    <w:rsid w:val="58C2B9B2"/>
    <w:rsid w:val="58D9271C"/>
    <w:rsid w:val="5938D59A"/>
    <w:rsid w:val="59C3384B"/>
    <w:rsid w:val="59DAB7FB"/>
    <w:rsid w:val="5A473504"/>
    <w:rsid w:val="5A6718D1"/>
    <w:rsid w:val="5A87CDB2"/>
    <w:rsid w:val="5AA912D9"/>
    <w:rsid w:val="5AF2FABF"/>
    <w:rsid w:val="5B660D73"/>
    <w:rsid w:val="5B6F86AC"/>
    <w:rsid w:val="5BB8F899"/>
    <w:rsid w:val="5BFAC6BB"/>
    <w:rsid w:val="5C09E20A"/>
    <w:rsid w:val="5C184CF1"/>
    <w:rsid w:val="5C875D7C"/>
    <w:rsid w:val="5CE1FFA8"/>
    <w:rsid w:val="5D1967FD"/>
    <w:rsid w:val="5D26A97E"/>
    <w:rsid w:val="5D4AE336"/>
    <w:rsid w:val="5D7E9099"/>
    <w:rsid w:val="5D8E1B4C"/>
    <w:rsid w:val="5D9CCEFB"/>
    <w:rsid w:val="5D9F5BA1"/>
    <w:rsid w:val="5DD2A284"/>
    <w:rsid w:val="5DEC60C2"/>
    <w:rsid w:val="5DFA3A64"/>
    <w:rsid w:val="5DFA3D9A"/>
    <w:rsid w:val="5E040559"/>
    <w:rsid w:val="5E503B47"/>
    <w:rsid w:val="5E74F76C"/>
    <w:rsid w:val="5E85BFDA"/>
    <w:rsid w:val="5EED3C00"/>
    <w:rsid w:val="5EF94C12"/>
    <w:rsid w:val="5F195A96"/>
    <w:rsid w:val="5FF6CA2B"/>
    <w:rsid w:val="6082561F"/>
    <w:rsid w:val="609B10C0"/>
    <w:rsid w:val="611EAD18"/>
    <w:rsid w:val="615906AA"/>
    <w:rsid w:val="61C3BA2A"/>
    <w:rsid w:val="61D27AEF"/>
    <w:rsid w:val="62033BEC"/>
    <w:rsid w:val="624BABD6"/>
    <w:rsid w:val="62587641"/>
    <w:rsid w:val="627EC581"/>
    <w:rsid w:val="62AB81EE"/>
    <w:rsid w:val="62E34408"/>
    <w:rsid w:val="630A34A9"/>
    <w:rsid w:val="6360E84A"/>
    <w:rsid w:val="6399C494"/>
    <w:rsid w:val="63F2301E"/>
    <w:rsid w:val="64187327"/>
    <w:rsid w:val="64AEACDE"/>
    <w:rsid w:val="64CA256B"/>
    <w:rsid w:val="651D94F4"/>
    <w:rsid w:val="65880AEA"/>
    <w:rsid w:val="65BD9B04"/>
    <w:rsid w:val="65EB5078"/>
    <w:rsid w:val="65EF91C8"/>
    <w:rsid w:val="65F7D7C2"/>
    <w:rsid w:val="66056026"/>
    <w:rsid w:val="66C6FFD5"/>
    <w:rsid w:val="66CA8654"/>
    <w:rsid w:val="67276A35"/>
    <w:rsid w:val="6741E04D"/>
    <w:rsid w:val="67596B65"/>
    <w:rsid w:val="67683D86"/>
    <w:rsid w:val="67D9967C"/>
    <w:rsid w:val="67EF6E33"/>
    <w:rsid w:val="681F9492"/>
    <w:rsid w:val="684D4956"/>
    <w:rsid w:val="686796B8"/>
    <w:rsid w:val="68C5A84A"/>
    <w:rsid w:val="68D09A1A"/>
    <w:rsid w:val="6949DA6C"/>
    <w:rsid w:val="69B8A316"/>
    <w:rsid w:val="6A472F18"/>
    <w:rsid w:val="6A620F8D"/>
    <w:rsid w:val="6A9CA280"/>
    <w:rsid w:val="6AA25762"/>
    <w:rsid w:val="6AD8D149"/>
    <w:rsid w:val="6AE7DBF9"/>
    <w:rsid w:val="6C063F89"/>
    <w:rsid w:val="6C2CDC88"/>
    <w:rsid w:val="6C61C790"/>
    <w:rsid w:val="6C78E813"/>
    <w:rsid w:val="6CA46519"/>
    <w:rsid w:val="6CC94FF3"/>
    <w:rsid w:val="6CE1107D"/>
    <w:rsid w:val="6D56829E"/>
    <w:rsid w:val="6D68F486"/>
    <w:rsid w:val="6DFD1136"/>
    <w:rsid w:val="6E433B2E"/>
    <w:rsid w:val="6E539060"/>
    <w:rsid w:val="6E7634E0"/>
    <w:rsid w:val="6E7A6E3D"/>
    <w:rsid w:val="6E9402B7"/>
    <w:rsid w:val="6F04C4E7"/>
    <w:rsid w:val="6F7AE480"/>
    <w:rsid w:val="6FB74287"/>
    <w:rsid w:val="6FD0618B"/>
    <w:rsid w:val="6FF98B05"/>
    <w:rsid w:val="70BE57AF"/>
    <w:rsid w:val="70D2FDA9"/>
    <w:rsid w:val="710A61CE"/>
    <w:rsid w:val="7114890E"/>
    <w:rsid w:val="717D69F9"/>
    <w:rsid w:val="718D6EA4"/>
    <w:rsid w:val="7205DDA5"/>
    <w:rsid w:val="72A87D5B"/>
    <w:rsid w:val="72DE986C"/>
    <w:rsid w:val="72ED9AED"/>
    <w:rsid w:val="73362287"/>
    <w:rsid w:val="73BFA60A"/>
    <w:rsid w:val="740BB36F"/>
    <w:rsid w:val="7411516E"/>
    <w:rsid w:val="741B6E20"/>
    <w:rsid w:val="744857D9"/>
    <w:rsid w:val="74574899"/>
    <w:rsid w:val="74B080B1"/>
    <w:rsid w:val="750F703D"/>
    <w:rsid w:val="75446390"/>
    <w:rsid w:val="755F95BB"/>
    <w:rsid w:val="75AD21CF"/>
    <w:rsid w:val="75AF454F"/>
    <w:rsid w:val="75C2DE8C"/>
    <w:rsid w:val="765F2620"/>
    <w:rsid w:val="76802850"/>
    <w:rsid w:val="76DA0BBD"/>
    <w:rsid w:val="7742DF48"/>
    <w:rsid w:val="7784C982"/>
    <w:rsid w:val="77DEFB9B"/>
    <w:rsid w:val="78043488"/>
    <w:rsid w:val="7813CCE4"/>
    <w:rsid w:val="78AF5B94"/>
    <w:rsid w:val="78E5B2E6"/>
    <w:rsid w:val="7930182E"/>
    <w:rsid w:val="7A2DE269"/>
    <w:rsid w:val="7A65F8CA"/>
    <w:rsid w:val="7A6AA30D"/>
    <w:rsid w:val="7A7D2051"/>
    <w:rsid w:val="7ABDF1A4"/>
    <w:rsid w:val="7AC01BF2"/>
    <w:rsid w:val="7AD82B80"/>
    <w:rsid w:val="7B4B6DA6"/>
    <w:rsid w:val="7B78730B"/>
    <w:rsid w:val="7BA98B17"/>
    <w:rsid w:val="7C10026D"/>
    <w:rsid w:val="7C268005"/>
    <w:rsid w:val="7C57D32D"/>
    <w:rsid w:val="7C8F737E"/>
    <w:rsid w:val="7C93DC43"/>
    <w:rsid w:val="7CAE565A"/>
    <w:rsid w:val="7D5ABC70"/>
    <w:rsid w:val="7D897820"/>
    <w:rsid w:val="7DEFE7B9"/>
    <w:rsid w:val="7E01B40F"/>
    <w:rsid w:val="7E90D799"/>
    <w:rsid w:val="7F1C2D02"/>
    <w:rsid w:val="7F263A29"/>
    <w:rsid w:val="7F4C0871"/>
    <w:rsid w:val="7FFBA9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BD52A0"/>
  <w15:docId w15:val="{A41E5376-71E3-43BF-B2E4-C120C94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2BD"/>
    <w:pPr>
      <w:tabs>
        <w:tab w:val="left" w:pos="360"/>
      </w:tabs>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line="240" w:lineRule="auto"/>
    </w:pPr>
    <w:rPr>
      <w:rFonts w:ascii="Times New Roman" w:hAnsi="Times New Roman"/>
      <w:sz w:val="24"/>
    </w:rPr>
  </w:style>
  <w:style w:type="paragraph" w:customStyle="1" w:styleId="Default">
    <w:name w:val="Default"/>
    <w:rsid w:val="007C2BA5"/>
    <w:pPr>
      <w:autoSpaceDE w:val="0"/>
      <w:autoSpaceDN w:val="0"/>
      <w:adjustRightInd w:val="0"/>
      <w:spacing w:after="0" w:line="240" w:lineRule="auto"/>
    </w:pPr>
    <w:rPr>
      <w:rFonts w:ascii="Times" w:hAnsi="Times" w:eastAsiaTheme="minorEastAsia" w:cs="Times"/>
      <w:color w:val="000000"/>
      <w:sz w:val="24"/>
      <w:szCs w:val="24"/>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45BAE4CF844C829927EDFA544514" ma:contentTypeVersion="14" ma:contentTypeDescription="Create a new document." ma:contentTypeScope="" ma:versionID="939d8a12de7dfb210f43be274d1bd74c">
  <xsd:schema xmlns:xsd="http://www.w3.org/2001/XMLSchema" xmlns:xs="http://www.w3.org/2001/XMLSchema" xmlns:p="http://schemas.microsoft.com/office/2006/metadata/properties" xmlns:ns2="88b1c72e-1230-43aa-9e77-8fd989221912" xmlns:ns3="07d8c8e5-742f-449e-a462-68aeb1b9e923" targetNamespace="http://schemas.microsoft.com/office/2006/metadata/properties" ma:root="true" ma:fieldsID="efcb5f26acddecbf10dc5549ad8fcc05" ns2:_="" ns3:_="">
    <xsd:import namespace="88b1c72e-1230-43aa-9e77-8fd989221912"/>
    <xsd:import namespace="07d8c8e5-742f-449e-a462-68aeb1b9e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c72e-1230-43aa-9e77-8fd989221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8c8e5-742f-449e-a462-68aeb1b9e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572F34-6CE7-4033-B92A-A0E703530A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573B2C-EBD8-468C-8390-200642EFFA0B}">
  <ds:schemaRefs>
    <ds:schemaRef ds:uri="http://schemas.microsoft.com/sharepoint/v3/contenttype/forms"/>
  </ds:schemaRefs>
</ds:datastoreItem>
</file>

<file path=customXml/itemProps3.xml><?xml version="1.0" encoding="utf-8"?>
<ds:datastoreItem xmlns:ds="http://schemas.openxmlformats.org/officeDocument/2006/customXml" ds:itemID="{B64373E9-2517-4C21-9E31-FBD9B8EFE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c72e-1230-43aa-9e77-8fd989221912"/>
    <ds:schemaRef ds:uri="07d8c8e5-742f-449e-a462-68aeb1b9e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62568-09E0-42DD-9BAB-5212EC05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4412</Words>
  <Characters>23673</Characters>
  <Application>Microsoft Office Word</Application>
  <DocSecurity>0</DocSecurity>
  <Lines>443</Lines>
  <Paragraphs>147</Paragraphs>
  <ScaleCrop>false</ScaleCrop>
  <Company>ICF International</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EAVS - Supporting Statement A [2]</dc:title>
  <dc:creator>ShellyAnderson</dc:creator>
  <cp:lastModifiedBy>Raymond Williams</cp:lastModifiedBy>
  <cp:revision>27</cp:revision>
  <dcterms:created xsi:type="dcterms:W3CDTF">2020-02-05T20:09:00Z</dcterms:created>
  <dcterms:modified xsi:type="dcterms:W3CDTF">2024-04-12T20:36:00Z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0x01010004C845BAE4CF844C829927EDFA544514</vt:lpwstr>
  </property>
  <property fmtid="{D5CDD505-2E9C-101B-9397-08002B2CF9AE}" pid="3" name="Created">
    <vt:filetime>2011-12-14T00:00:00Z</vt:filetime>
  </property>
  <property fmtid="{D5CDD505-2E9C-101B-9397-08002B2CF9AE}" pid="4" name="GrammarlyDocumentId">
    <vt:lpwstr>8a823c2fdff9a20ff6aec8830affe59f7505c15be3fe609f27b1aefb49e3cc79</vt:lpwstr>
  </property>
  <property fmtid="{D5CDD505-2E9C-101B-9397-08002B2CF9AE}" pid="5" name="LastSaved">
    <vt:filetime>2013-04-25T00:00:00Z</vt:filetime>
  </property>
</Properties>
</file>