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A31314" w:rsidP="00B83CF0" w14:paraId="1357BC4C" w14:textId="77777777">
      <w:pPr>
        <w:pStyle w:val="Title"/>
        <w:rPr>
          <w:rFonts w:ascii="Times New Roman" w:hAnsi="Times New Roman"/>
          <w:u w:val="none"/>
        </w:rPr>
      </w:pPr>
      <w:r w:rsidRPr="00A31314">
        <w:rPr>
          <w:rFonts w:ascii="Times New Roman" w:hAnsi="Times New Roman"/>
          <w:u w:val="none"/>
        </w:rPr>
        <w:t>Department of Transportation</w:t>
      </w:r>
    </w:p>
    <w:p w:rsidR="00470720" w14:paraId="27DF784B" w14:textId="77777777">
      <w:pPr>
        <w:pStyle w:val="Title"/>
        <w:rPr>
          <w:rFonts w:ascii="Times New Roman" w:hAnsi="Times New Roman"/>
          <w:u w:val="none"/>
        </w:rPr>
      </w:pPr>
      <w:r w:rsidRPr="00D402EB">
        <w:rPr>
          <w:rFonts w:ascii="Times New Roman" w:hAnsi="Times New Roman"/>
          <w:u w:val="none"/>
        </w:rPr>
        <w:t>Maritime Administration</w:t>
      </w:r>
    </w:p>
    <w:p w:rsidR="00B75564" w14:paraId="43169011" w14:textId="77777777">
      <w:pPr>
        <w:pStyle w:val="Title"/>
        <w:rPr>
          <w:rFonts w:ascii="Times New Roman" w:hAnsi="Times New Roman"/>
          <w:u w:val="none"/>
        </w:rPr>
      </w:pPr>
      <w:r>
        <w:rPr>
          <w:rFonts w:ascii="Times New Roman" w:hAnsi="Times New Roman"/>
          <w:u w:val="none"/>
        </w:rPr>
        <w:t>Information Collection Request</w:t>
      </w:r>
    </w:p>
    <w:p w:rsidR="00B75564" w:rsidRPr="00D402EB" w14:paraId="53A1A634" w14:textId="77777777">
      <w:pPr>
        <w:pStyle w:val="Title"/>
        <w:rPr>
          <w:rFonts w:ascii="Times New Roman" w:hAnsi="Times New Roman"/>
          <w:u w:val="none"/>
        </w:rPr>
      </w:pPr>
      <w:r>
        <w:rPr>
          <w:rFonts w:ascii="Times New Roman" w:hAnsi="Times New Roman"/>
          <w:u w:val="none"/>
        </w:rPr>
        <w:t>2133-XXXX</w:t>
      </w:r>
    </w:p>
    <w:p w:rsidR="00560E90" w:rsidRPr="002D141A" w:rsidP="00560E90" w14:paraId="7B720469" w14:textId="77777777">
      <w:pPr>
        <w:pStyle w:val="Title"/>
        <w:rPr>
          <w:rFonts w:ascii="Times New Roman" w:hAnsi="Times New Roman"/>
          <w:u w:val="none"/>
        </w:rPr>
      </w:pPr>
      <w:r w:rsidRPr="00B07D56">
        <w:rPr>
          <w:rFonts w:ascii="Times New Roman" w:hAnsi="Times New Roman"/>
          <w:u w:val="none"/>
        </w:rPr>
        <w:t>Building</w:t>
      </w:r>
      <w:r w:rsidRPr="002D141A">
        <w:rPr>
          <w:rFonts w:ascii="Times New Roman" w:hAnsi="Times New Roman"/>
          <w:u w:val="none"/>
        </w:rPr>
        <w:t xml:space="preserve"> American Production Capacity for Electric Port Equipment </w:t>
      </w:r>
    </w:p>
    <w:p w:rsidR="0004749E" w:rsidP="00560E90" w14:paraId="60202315" w14:textId="77777777">
      <w:pPr>
        <w:pStyle w:val="Title"/>
        <w:rPr>
          <w:rFonts w:ascii="Times New Roman" w:hAnsi="Times New Roman"/>
          <w:u w:val="none"/>
        </w:rPr>
      </w:pPr>
      <w:r w:rsidRPr="002D141A">
        <w:rPr>
          <w:rFonts w:ascii="Times New Roman" w:hAnsi="Times New Roman"/>
          <w:u w:val="none"/>
        </w:rPr>
        <w:t xml:space="preserve">and </w:t>
      </w:r>
      <w:r w:rsidR="005A0A6B">
        <w:rPr>
          <w:rFonts w:ascii="Times New Roman" w:hAnsi="Times New Roman"/>
          <w:u w:val="none"/>
        </w:rPr>
        <w:t>O</w:t>
      </w:r>
      <w:r w:rsidRPr="002D141A">
        <w:rPr>
          <w:rFonts w:ascii="Times New Roman" w:hAnsi="Times New Roman"/>
          <w:u w:val="none"/>
        </w:rPr>
        <w:t>ther Port Infrastructure Items</w:t>
      </w:r>
    </w:p>
    <w:p w:rsidR="00B75564" w:rsidP="00560E90" w14:paraId="4BEECF0B" w14:textId="77777777">
      <w:pPr>
        <w:pStyle w:val="Title"/>
        <w:rPr>
          <w:rFonts w:ascii="Times New Roman" w:hAnsi="Times New Roman"/>
          <w:u w:val="none"/>
        </w:rPr>
      </w:pPr>
    </w:p>
    <w:p w:rsidR="00B75564" w:rsidRPr="00D402EB" w:rsidP="00B75564" w14:paraId="2389C0D9" w14:textId="77777777">
      <w:pPr>
        <w:pStyle w:val="Title"/>
        <w:rPr>
          <w:rFonts w:ascii="Times New Roman" w:hAnsi="Times New Roman"/>
          <w:u w:val="none"/>
        </w:rPr>
      </w:pPr>
      <w:r w:rsidRPr="00D402EB">
        <w:rPr>
          <w:rFonts w:ascii="Times New Roman" w:hAnsi="Times New Roman"/>
          <w:u w:val="none"/>
        </w:rPr>
        <w:t xml:space="preserve">SUPPORTING STATEMENT </w:t>
      </w:r>
    </w:p>
    <w:p w:rsidR="00B75564" w:rsidRPr="002D141A" w:rsidP="00560E90" w14:paraId="76B8153A" w14:textId="77777777">
      <w:pPr>
        <w:pStyle w:val="Title"/>
        <w:rPr>
          <w:rFonts w:ascii="Times New Roman" w:hAnsi="Times New Roman"/>
          <w:u w:val="none"/>
        </w:rPr>
      </w:pPr>
    </w:p>
    <w:p w:rsidR="00105F8E" w:rsidRPr="002D141A" w14:paraId="0F134E74" w14:textId="77777777">
      <w:pPr>
        <w:rPr>
          <w:rFonts w:ascii="Times New Roman" w:hAnsi="Times New Roman"/>
          <w:b/>
          <w:bCs/>
          <w:sz w:val="24"/>
          <w:szCs w:val="24"/>
        </w:rPr>
      </w:pPr>
    </w:p>
    <w:p w:rsidR="0004749E" w:rsidRPr="00B42A03" w:rsidP="00B42A03" w14:paraId="72B57FB2" w14:textId="77777777">
      <w:pPr>
        <w:pStyle w:val="Subtitle"/>
        <w:rPr>
          <w:rFonts w:ascii="Times New Roman" w:hAnsi="Times New Roman"/>
          <w:b w:val="0"/>
          <w:bCs w:val="0"/>
          <w:u w:val="none"/>
        </w:rPr>
      </w:pPr>
      <w:r w:rsidRPr="002D141A">
        <w:rPr>
          <w:rFonts w:ascii="Times New Roman" w:hAnsi="Times New Roman"/>
        </w:rPr>
        <w:t>Introduction</w:t>
      </w:r>
      <w:r w:rsidRPr="00B42A03">
        <w:rPr>
          <w:rFonts w:ascii="Times New Roman" w:hAnsi="Times New Roman"/>
          <w:u w:val="none"/>
        </w:rPr>
        <w:t xml:space="preserve">: </w:t>
      </w:r>
      <w:r w:rsidRPr="00B42A03">
        <w:rPr>
          <w:rFonts w:ascii="Times New Roman" w:hAnsi="Times New Roman"/>
          <w:b w:val="0"/>
          <w:bCs w:val="0"/>
          <w:u w:val="none"/>
        </w:rPr>
        <w:t xml:space="preserve">This </w:t>
      </w:r>
      <w:r w:rsidRPr="00B42A03" w:rsidR="006C49F7">
        <w:rPr>
          <w:rFonts w:ascii="Times New Roman" w:hAnsi="Times New Roman"/>
          <w:b w:val="0"/>
          <w:bCs w:val="0"/>
          <w:u w:val="none"/>
        </w:rPr>
        <w:t xml:space="preserve">submission </w:t>
      </w:r>
      <w:r w:rsidRPr="00B42A03">
        <w:rPr>
          <w:rFonts w:ascii="Times New Roman" w:hAnsi="Times New Roman"/>
          <w:b w:val="0"/>
          <w:bCs w:val="0"/>
          <w:u w:val="none"/>
        </w:rPr>
        <w:t xml:space="preserve">is to request </w:t>
      </w:r>
      <w:r w:rsidRPr="00B42A03" w:rsidR="006C49F7">
        <w:rPr>
          <w:rFonts w:ascii="Times New Roman" w:hAnsi="Times New Roman"/>
          <w:b w:val="0"/>
          <w:bCs w:val="0"/>
          <w:u w:val="none"/>
        </w:rPr>
        <w:t xml:space="preserve">a three-year approval from </w:t>
      </w:r>
      <w:r w:rsidRPr="00B42A03">
        <w:rPr>
          <w:rFonts w:ascii="Times New Roman" w:hAnsi="Times New Roman"/>
          <w:b w:val="0"/>
          <w:bCs w:val="0"/>
          <w:u w:val="none"/>
        </w:rPr>
        <w:t>the Office of Management and Budget (OMB) for the information collection entitled</w:t>
      </w:r>
      <w:r w:rsidRPr="00B42A03" w:rsidR="006C49F7">
        <w:rPr>
          <w:rFonts w:ascii="Times New Roman" w:hAnsi="Times New Roman"/>
          <w:b w:val="0"/>
          <w:bCs w:val="0"/>
          <w:u w:val="none"/>
        </w:rPr>
        <w:t xml:space="preserve"> OMB 2133-XXXX</w:t>
      </w:r>
      <w:r w:rsidR="0043798A">
        <w:rPr>
          <w:rFonts w:ascii="Times New Roman" w:hAnsi="Times New Roman"/>
          <w:b w:val="0"/>
          <w:bCs w:val="0"/>
          <w:u w:val="none"/>
        </w:rPr>
        <w:t xml:space="preserve">, </w:t>
      </w:r>
      <w:r w:rsidRPr="00B42A03" w:rsidR="00F046A8">
        <w:rPr>
          <w:rFonts w:ascii="Times New Roman" w:hAnsi="Times New Roman"/>
          <w:b w:val="0"/>
          <w:bCs w:val="0"/>
          <w:u w:val="none"/>
        </w:rPr>
        <w:t xml:space="preserve">Building American Production Capacity for Electric Port Equipment and </w:t>
      </w:r>
      <w:r w:rsidR="005A0A6B">
        <w:rPr>
          <w:rFonts w:ascii="Times New Roman" w:hAnsi="Times New Roman"/>
          <w:b w:val="0"/>
          <w:bCs w:val="0"/>
          <w:u w:val="none"/>
        </w:rPr>
        <w:t>O</w:t>
      </w:r>
      <w:r w:rsidRPr="00B42A03" w:rsidR="00F046A8">
        <w:rPr>
          <w:rFonts w:ascii="Times New Roman" w:hAnsi="Times New Roman"/>
          <w:b w:val="0"/>
          <w:bCs w:val="0"/>
          <w:u w:val="none"/>
        </w:rPr>
        <w:t>ther Port Infrastructure Items</w:t>
      </w:r>
      <w:r w:rsidRPr="00B42A03" w:rsidR="006C49F7">
        <w:rPr>
          <w:rFonts w:ascii="Times New Roman" w:hAnsi="Times New Roman"/>
          <w:b w:val="0"/>
          <w:bCs w:val="0"/>
          <w:u w:val="none"/>
        </w:rPr>
        <w:t xml:space="preserve">, which is a </w:t>
      </w:r>
      <w:r w:rsidRPr="00B42A03" w:rsidR="006C49F7">
        <w:rPr>
          <w:rFonts w:ascii="Times New Roman" w:hAnsi="Times New Roman"/>
          <w:b w:val="0"/>
          <w:bCs w:val="0"/>
          <w:i/>
          <w:iCs/>
          <w:u w:val="none"/>
        </w:rPr>
        <w:t>new collection</w:t>
      </w:r>
      <w:r w:rsidRPr="00B42A03" w:rsidR="006C49F7">
        <w:rPr>
          <w:rFonts w:ascii="Times New Roman" w:hAnsi="Times New Roman"/>
          <w:b w:val="0"/>
          <w:bCs w:val="0"/>
          <w:u w:val="none"/>
        </w:rPr>
        <w:t xml:space="preserve">. </w:t>
      </w:r>
    </w:p>
    <w:p w:rsidR="0004749E" w:rsidRPr="00EA1BFE" w:rsidP="00CA6839" w14:paraId="37F0BB69" w14:textId="77777777">
      <w:pPr>
        <w:pStyle w:val="ListParagraph"/>
        <w:widowControl/>
        <w:numPr>
          <w:ilvl w:val="0"/>
          <w:numId w:val="14"/>
        </w:numPr>
        <w:autoSpaceDE/>
        <w:autoSpaceDN/>
        <w:adjustRightInd/>
        <w:spacing w:before="240"/>
        <w:ind w:left="360" w:hanging="360"/>
        <w:rPr>
          <w:rFonts w:ascii="Times New Roman" w:eastAsia="Arial Unicode MS" w:hAnsi="Times New Roman"/>
          <w:b/>
          <w:sz w:val="24"/>
          <w:szCs w:val="24"/>
        </w:rPr>
      </w:pPr>
      <w:r w:rsidRPr="00EA1BFE">
        <w:rPr>
          <w:rFonts w:ascii="Times New Roman" w:eastAsia="Arial Unicode MS" w:hAnsi="Times New Roman"/>
          <w:b/>
          <w:sz w:val="24"/>
          <w:szCs w:val="24"/>
        </w:rPr>
        <w:t>Justification</w:t>
      </w:r>
    </w:p>
    <w:p w:rsidR="0004749E" w:rsidRPr="00BA2089" w:rsidP="00EA1BFE" w14:paraId="29528CC7" w14:textId="77777777">
      <w:pPr>
        <w:pStyle w:val="ListParagraph"/>
        <w:numPr>
          <w:ilvl w:val="0"/>
          <w:numId w:val="13"/>
        </w:numPr>
        <w:tabs>
          <w:tab w:val="left" w:pos="-1440"/>
          <w:tab w:val="left" w:pos="-720"/>
          <w:tab w:val="left" w:pos="0"/>
          <w:tab w:val="left" w:pos="288"/>
          <w:tab w:val="left" w:pos="630"/>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spacing w:before="240"/>
        <w:contextualSpacing w:val="0"/>
        <w:rPr>
          <w:rFonts w:ascii="Times New Roman" w:hAnsi="Times New Roman"/>
          <w:b/>
          <w:bCs/>
          <w:sz w:val="24"/>
          <w:szCs w:val="24"/>
        </w:rPr>
      </w:pPr>
      <w:r w:rsidRPr="00BA2089">
        <w:rPr>
          <w:rFonts w:ascii="Times New Roman" w:hAnsi="Times New Roman"/>
          <w:b/>
          <w:sz w:val="24"/>
          <w:szCs w:val="24"/>
        </w:rPr>
        <w:t xml:space="preserve">Circumstances </w:t>
      </w:r>
      <w:r w:rsidRPr="00BA2089" w:rsidR="00781A6E">
        <w:rPr>
          <w:rFonts w:ascii="Times New Roman" w:hAnsi="Times New Roman"/>
          <w:b/>
          <w:sz w:val="24"/>
          <w:szCs w:val="24"/>
        </w:rPr>
        <w:t xml:space="preserve">Making the Collection </w:t>
      </w:r>
      <w:r w:rsidRPr="00BA2089">
        <w:rPr>
          <w:rFonts w:ascii="Times New Roman" w:hAnsi="Times New Roman"/>
          <w:b/>
          <w:sz w:val="24"/>
          <w:szCs w:val="24"/>
        </w:rPr>
        <w:t xml:space="preserve">of </w:t>
      </w:r>
      <w:r w:rsidRPr="00BA2089" w:rsidR="00781A6E">
        <w:rPr>
          <w:rFonts w:ascii="Times New Roman" w:hAnsi="Times New Roman"/>
          <w:b/>
          <w:sz w:val="24"/>
          <w:szCs w:val="24"/>
        </w:rPr>
        <w:t>Information N</w:t>
      </w:r>
      <w:r w:rsidRPr="00BA2089">
        <w:rPr>
          <w:rFonts w:ascii="Times New Roman" w:hAnsi="Times New Roman"/>
          <w:b/>
          <w:sz w:val="24"/>
          <w:szCs w:val="24"/>
        </w:rPr>
        <w:t>ecessary</w:t>
      </w:r>
      <w:r w:rsidRPr="00BA2089" w:rsidR="00470720">
        <w:rPr>
          <w:rFonts w:ascii="Times New Roman" w:hAnsi="Times New Roman"/>
          <w:b/>
          <w:bCs/>
          <w:sz w:val="24"/>
          <w:szCs w:val="24"/>
        </w:rPr>
        <w:t xml:space="preserve"> </w:t>
      </w:r>
    </w:p>
    <w:p w:rsidR="000C0714" w:rsidRPr="00EA1BFE" w:rsidP="006B7523" w14:paraId="5EEF7BC4" w14:textId="77777777">
      <w:pPr>
        <w:pStyle w:val="ListParagraph"/>
        <w:tabs>
          <w:tab w:val="left" w:pos="-1440"/>
          <w:tab w:val="left" w:pos="-720"/>
        </w:tabs>
        <w:spacing w:before="120"/>
        <w:ind w:left="630"/>
        <w:contextualSpacing w:val="0"/>
        <w:rPr>
          <w:rFonts w:ascii="Times New Roman" w:hAnsi="Times New Roman"/>
          <w:bCs/>
          <w:sz w:val="24"/>
          <w:szCs w:val="24"/>
        </w:rPr>
      </w:pPr>
      <w:r w:rsidRPr="00EA1BFE">
        <w:rPr>
          <w:rFonts w:ascii="Times New Roman" w:hAnsi="Times New Roman"/>
          <w:bCs/>
          <w:sz w:val="24"/>
          <w:szCs w:val="24"/>
        </w:rPr>
        <w:t>In the regular course of business, port authorities</w:t>
      </w:r>
      <w:r w:rsidRPr="00EA1BFE" w:rsidR="00603BF6">
        <w:rPr>
          <w:rFonts w:ascii="Times New Roman" w:hAnsi="Times New Roman"/>
          <w:bCs/>
          <w:sz w:val="24"/>
          <w:szCs w:val="24"/>
        </w:rPr>
        <w:t>,</w:t>
      </w:r>
      <w:r w:rsidRPr="00EA1BFE">
        <w:rPr>
          <w:rFonts w:ascii="Times New Roman" w:hAnsi="Times New Roman"/>
          <w:bCs/>
          <w:sz w:val="24"/>
          <w:szCs w:val="24"/>
        </w:rPr>
        <w:t xml:space="preserve"> and marine terminal operators in the </w:t>
      </w:r>
      <w:r w:rsidRPr="00EA1BFE" w:rsidR="00BA2089">
        <w:rPr>
          <w:rFonts w:ascii="Times New Roman" w:hAnsi="Times New Roman"/>
          <w:bCs/>
          <w:sz w:val="24"/>
          <w:szCs w:val="24"/>
        </w:rPr>
        <w:t>United State</w:t>
      </w:r>
      <w:r w:rsidRPr="00EA1BFE" w:rsidR="003B568A">
        <w:rPr>
          <w:rFonts w:ascii="Times New Roman" w:hAnsi="Times New Roman"/>
          <w:bCs/>
          <w:sz w:val="24"/>
          <w:szCs w:val="24"/>
        </w:rPr>
        <w:t>s</w:t>
      </w:r>
      <w:r w:rsidRPr="00EA1BFE" w:rsidR="00BA2089">
        <w:rPr>
          <w:rFonts w:ascii="Times New Roman" w:hAnsi="Times New Roman"/>
          <w:bCs/>
          <w:sz w:val="24"/>
          <w:szCs w:val="24"/>
        </w:rPr>
        <w:t xml:space="preserve"> (</w:t>
      </w:r>
      <w:r w:rsidRPr="00EA1BFE">
        <w:rPr>
          <w:rFonts w:ascii="Times New Roman" w:hAnsi="Times New Roman"/>
          <w:bCs/>
          <w:sz w:val="24"/>
          <w:szCs w:val="24"/>
        </w:rPr>
        <w:t>U.S.</w:t>
      </w:r>
      <w:r w:rsidRPr="00EA1BFE" w:rsidR="00BA2089">
        <w:rPr>
          <w:rFonts w:ascii="Times New Roman" w:hAnsi="Times New Roman"/>
          <w:bCs/>
          <w:sz w:val="24"/>
          <w:szCs w:val="24"/>
        </w:rPr>
        <w:t>)</w:t>
      </w:r>
      <w:r w:rsidRPr="00EA1BFE">
        <w:rPr>
          <w:rFonts w:ascii="Times New Roman" w:hAnsi="Times New Roman"/>
          <w:bCs/>
          <w:sz w:val="24"/>
          <w:szCs w:val="24"/>
        </w:rPr>
        <w:t xml:space="preserve"> purchase</w:t>
      </w:r>
      <w:r w:rsidRPr="00EA1BFE" w:rsidR="00B607E3">
        <w:rPr>
          <w:rFonts w:ascii="Times New Roman" w:hAnsi="Times New Roman"/>
          <w:bCs/>
          <w:sz w:val="24"/>
          <w:szCs w:val="24"/>
        </w:rPr>
        <w:t xml:space="preserve"> cargo handling </w:t>
      </w:r>
      <w:r w:rsidRPr="00EA1BFE">
        <w:rPr>
          <w:rFonts w:ascii="Times New Roman" w:hAnsi="Times New Roman"/>
          <w:bCs/>
          <w:sz w:val="24"/>
          <w:szCs w:val="24"/>
        </w:rPr>
        <w:t xml:space="preserve">equipment </w:t>
      </w:r>
      <w:r w:rsidRPr="00EA1BFE" w:rsidR="00B607E3">
        <w:rPr>
          <w:rFonts w:ascii="Times New Roman" w:hAnsi="Times New Roman"/>
          <w:bCs/>
          <w:sz w:val="24"/>
          <w:szCs w:val="24"/>
        </w:rPr>
        <w:t xml:space="preserve">(CHE) </w:t>
      </w:r>
      <w:r w:rsidRPr="00EA1BFE">
        <w:rPr>
          <w:rFonts w:ascii="Times New Roman" w:hAnsi="Times New Roman"/>
          <w:bCs/>
          <w:sz w:val="24"/>
          <w:szCs w:val="24"/>
        </w:rPr>
        <w:t>necessary for loading, unloading, and organizing containers</w:t>
      </w:r>
      <w:r w:rsidRPr="00EA1BFE" w:rsidR="00B607E3">
        <w:rPr>
          <w:rFonts w:ascii="Times New Roman" w:hAnsi="Times New Roman"/>
          <w:bCs/>
          <w:sz w:val="24"/>
          <w:szCs w:val="24"/>
        </w:rPr>
        <w:t>,</w:t>
      </w:r>
      <w:r w:rsidRPr="00EA1BFE">
        <w:rPr>
          <w:rFonts w:ascii="Times New Roman" w:hAnsi="Times New Roman"/>
          <w:bCs/>
          <w:sz w:val="24"/>
          <w:szCs w:val="24"/>
        </w:rPr>
        <w:t xml:space="preserve"> such as ship-to-shore </w:t>
      </w:r>
      <w:r w:rsidRPr="00EA1BFE" w:rsidR="00B607E3">
        <w:rPr>
          <w:rFonts w:ascii="Times New Roman" w:hAnsi="Times New Roman"/>
          <w:bCs/>
          <w:sz w:val="24"/>
          <w:szCs w:val="24"/>
        </w:rPr>
        <w:t xml:space="preserve">(STS) </w:t>
      </w:r>
      <w:r w:rsidRPr="00EA1BFE">
        <w:rPr>
          <w:rFonts w:ascii="Times New Roman" w:hAnsi="Times New Roman"/>
          <w:bCs/>
          <w:sz w:val="24"/>
          <w:szCs w:val="24"/>
        </w:rPr>
        <w:t xml:space="preserve">cranes, rubber-tired gantry cranes (RTGs), rail-mounted gantry cranes, straddle carriers, top loaders, reach stackers, forklifts, and </w:t>
      </w:r>
      <w:r w:rsidRPr="00EA1BFE" w:rsidR="00B607E3">
        <w:rPr>
          <w:rFonts w:ascii="Times New Roman" w:hAnsi="Times New Roman"/>
          <w:bCs/>
          <w:sz w:val="24"/>
          <w:szCs w:val="24"/>
        </w:rPr>
        <w:t>yard tractors</w:t>
      </w:r>
      <w:r w:rsidRPr="00EA1BFE">
        <w:rPr>
          <w:rFonts w:ascii="Times New Roman" w:hAnsi="Times New Roman"/>
          <w:bCs/>
          <w:sz w:val="24"/>
          <w:szCs w:val="24"/>
        </w:rPr>
        <w:t xml:space="preserve">. </w:t>
      </w:r>
    </w:p>
    <w:p w:rsidR="000C0714" w:rsidRPr="00EA1BFE" w:rsidP="006B7523" w14:paraId="246C075D" w14:textId="77777777">
      <w:pPr>
        <w:pStyle w:val="ListParagraph"/>
        <w:tabs>
          <w:tab w:val="left" w:pos="-1440"/>
          <w:tab w:val="left" w:pos="-720"/>
        </w:tabs>
        <w:spacing w:before="120"/>
        <w:ind w:left="630"/>
        <w:contextualSpacing w:val="0"/>
        <w:rPr>
          <w:rFonts w:ascii="Times New Roman" w:hAnsi="Times New Roman"/>
          <w:bCs/>
          <w:sz w:val="24"/>
          <w:szCs w:val="24"/>
        </w:rPr>
      </w:pPr>
      <w:r w:rsidRPr="00EA1BFE">
        <w:rPr>
          <w:rFonts w:ascii="Times New Roman" w:hAnsi="Times New Roman"/>
          <w:bCs/>
          <w:sz w:val="24"/>
          <w:szCs w:val="24"/>
        </w:rPr>
        <w:t xml:space="preserve">The proposed information collection (IC) </w:t>
      </w:r>
      <w:r w:rsidRPr="00EA1BFE" w:rsidR="00CA6F5D">
        <w:rPr>
          <w:rFonts w:ascii="Times New Roman" w:hAnsi="Times New Roman"/>
          <w:bCs/>
          <w:sz w:val="24"/>
          <w:szCs w:val="24"/>
        </w:rPr>
        <w:t>(</w:t>
      </w:r>
      <w:r w:rsidRPr="00EA1BFE">
        <w:rPr>
          <w:rFonts w:ascii="Times New Roman" w:hAnsi="Times New Roman"/>
          <w:bCs/>
          <w:sz w:val="24"/>
          <w:szCs w:val="24"/>
        </w:rPr>
        <w:t xml:space="preserve">Building American Production Capacity for Electric Port Equipment and </w:t>
      </w:r>
      <w:r w:rsidR="005A0A6B">
        <w:rPr>
          <w:rFonts w:ascii="Times New Roman" w:hAnsi="Times New Roman"/>
          <w:bCs/>
          <w:sz w:val="24"/>
          <w:szCs w:val="24"/>
        </w:rPr>
        <w:t>O</w:t>
      </w:r>
      <w:r w:rsidRPr="00EA1BFE">
        <w:rPr>
          <w:rFonts w:ascii="Times New Roman" w:hAnsi="Times New Roman"/>
          <w:bCs/>
          <w:sz w:val="24"/>
          <w:szCs w:val="24"/>
        </w:rPr>
        <w:t xml:space="preserve">ther Port Infrastructure Items) supports the DOT strategic goals of Economic Strength &amp; Global Competitiveness, Climate &amp; Sustainability, and </w:t>
      </w:r>
      <w:r w:rsidRPr="00CA6839">
        <w:rPr>
          <w:rFonts w:ascii="Times New Roman" w:hAnsi="Times New Roman"/>
          <w:bCs/>
          <w:sz w:val="24"/>
          <w:szCs w:val="24"/>
        </w:rPr>
        <w:t>Transformation (</w:t>
      </w:r>
      <w:hyperlink r:id="rId5" w:history="1">
        <w:r w:rsidRPr="00D66060">
          <w:rPr>
            <w:rFonts w:ascii="Times New Roman" w:hAnsi="Times New Roman"/>
            <w:bCs/>
            <w:sz w:val="24"/>
            <w:szCs w:val="24"/>
          </w:rPr>
          <w:t>https://www.transportation.gov/dot-strategic-plan</w:t>
        </w:r>
      </w:hyperlink>
      <w:r w:rsidRPr="00CA6839">
        <w:rPr>
          <w:rFonts w:ascii="Times New Roman" w:hAnsi="Times New Roman"/>
          <w:bCs/>
          <w:sz w:val="24"/>
          <w:szCs w:val="24"/>
        </w:rPr>
        <w:t>)</w:t>
      </w:r>
      <w:r w:rsidRPr="00B33626" w:rsidR="00213E4D">
        <w:rPr>
          <w:rFonts w:ascii="Times New Roman" w:hAnsi="Times New Roman"/>
          <w:bCs/>
          <w:sz w:val="24"/>
          <w:szCs w:val="24"/>
        </w:rPr>
        <w:t xml:space="preserve"> by</w:t>
      </w:r>
      <w:r w:rsidRPr="00EA1BFE" w:rsidR="00213E4D">
        <w:rPr>
          <w:rFonts w:ascii="Times New Roman" w:hAnsi="Times New Roman"/>
          <w:bCs/>
          <w:sz w:val="24"/>
          <w:szCs w:val="24"/>
        </w:rPr>
        <w:t xml:space="preserve"> analyzing the demand for port cargo handling equipment, facilitating development of a pooled procurement model, and identifying manufacturers capable of meeting domestic production requirements for federal funding.</w:t>
      </w:r>
    </w:p>
    <w:p w:rsidR="00851FC1" w:rsidRPr="00EA1BFE" w:rsidP="006B7523" w14:paraId="5F63499C" w14:textId="77777777">
      <w:pPr>
        <w:pStyle w:val="ListParagraph"/>
        <w:tabs>
          <w:tab w:val="left" w:pos="-1440"/>
          <w:tab w:val="left" w:pos="-720"/>
        </w:tabs>
        <w:spacing w:before="120"/>
        <w:ind w:left="630"/>
        <w:contextualSpacing w:val="0"/>
        <w:rPr>
          <w:rFonts w:ascii="Times New Roman" w:hAnsi="Times New Roman"/>
          <w:bCs/>
          <w:sz w:val="24"/>
          <w:szCs w:val="24"/>
        </w:rPr>
      </w:pPr>
      <w:r w:rsidRPr="00EA1BFE">
        <w:rPr>
          <w:rFonts w:ascii="Times New Roman" w:hAnsi="Times New Roman"/>
          <w:bCs/>
          <w:sz w:val="24"/>
          <w:szCs w:val="24"/>
        </w:rPr>
        <w:t>The</w:t>
      </w:r>
      <w:r w:rsidRPr="00EA1BFE" w:rsidR="00B607E3">
        <w:rPr>
          <w:rFonts w:ascii="Times New Roman" w:hAnsi="Times New Roman"/>
          <w:bCs/>
          <w:sz w:val="24"/>
          <w:szCs w:val="24"/>
        </w:rPr>
        <w:t xml:space="preserve"> </w:t>
      </w:r>
      <w:r w:rsidRPr="00EA1BFE">
        <w:rPr>
          <w:rFonts w:ascii="Times New Roman" w:hAnsi="Times New Roman"/>
          <w:bCs/>
          <w:sz w:val="24"/>
          <w:szCs w:val="24"/>
        </w:rPr>
        <w:t xml:space="preserve">Infrastructure Investment and Jobs Act (IIJA), commonly referred to as the Bipartisan Infrastructure </w:t>
      </w:r>
      <w:r w:rsidR="00D42578">
        <w:rPr>
          <w:rFonts w:ascii="Times New Roman" w:hAnsi="Times New Roman"/>
          <w:bCs/>
          <w:sz w:val="24"/>
          <w:szCs w:val="24"/>
        </w:rPr>
        <w:t>Law (BIL)</w:t>
      </w:r>
      <w:r w:rsidRPr="00EA1BFE">
        <w:rPr>
          <w:rFonts w:ascii="Times New Roman" w:hAnsi="Times New Roman"/>
          <w:bCs/>
          <w:sz w:val="24"/>
          <w:szCs w:val="24"/>
        </w:rPr>
        <w:t xml:space="preserve">, was signed into law on November 15, 2021. </w:t>
      </w:r>
      <w:r w:rsidR="00F25E07">
        <w:rPr>
          <w:rFonts w:ascii="Times New Roman" w:hAnsi="Times New Roman"/>
          <w:bCs/>
          <w:sz w:val="24"/>
          <w:szCs w:val="24"/>
        </w:rPr>
        <w:t>IIJA</w:t>
      </w:r>
      <w:r w:rsidRPr="00EA1BFE">
        <w:rPr>
          <w:rFonts w:ascii="Times New Roman" w:hAnsi="Times New Roman"/>
          <w:bCs/>
          <w:sz w:val="24"/>
          <w:szCs w:val="24"/>
        </w:rPr>
        <w:t xml:space="preserve"> provides a predictable </w:t>
      </w:r>
      <w:r w:rsidRPr="00EA1BFE" w:rsidR="001D0C2F">
        <w:rPr>
          <w:rFonts w:ascii="Times New Roman" w:hAnsi="Times New Roman"/>
          <w:bCs/>
          <w:sz w:val="24"/>
          <w:szCs w:val="24"/>
        </w:rPr>
        <w:t xml:space="preserve">Federal </w:t>
      </w:r>
      <w:r w:rsidRPr="00EA1BFE">
        <w:rPr>
          <w:rFonts w:ascii="Times New Roman" w:hAnsi="Times New Roman"/>
          <w:bCs/>
          <w:sz w:val="24"/>
          <w:szCs w:val="24"/>
        </w:rPr>
        <w:t xml:space="preserve">grant stream that will aid </w:t>
      </w:r>
      <w:r w:rsidRPr="00EA1BFE" w:rsidR="00E04839">
        <w:rPr>
          <w:rFonts w:ascii="Times New Roman" w:hAnsi="Times New Roman"/>
          <w:bCs/>
          <w:sz w:val="24"/>
          <w:szCs w:val="24"/>
        </w:rPr>
        <w:t xml:space="preserve">in improving </w:t>
      </w:r>
      <w:r w:rsidRPr="00EA1BFE">
        <w:rPr>
          <w:rFonts w:ascii="Times New Roman" w:hAnsi="Times New Roman"/>
          <w:bCs/>
          <w:sz w:val="24"/>
          <w:szCs w:val="24"/>
        </w:rPr>
        <w:t xml:space="preserve">our </w:t>
      </w:r>
      <w:r w:rsidRPr="00EA1BFE" w:rsidR="00E04839">
        <w:rPr>
          <w:rFonts w:ascii="Times New Roman" w:hAnsi="Times New Roman"/>
          <w:bCs/>
          <w:sz w:val="24"/>
          <w:szCs w:val="24"/>
        </w:rPr>
        <w:t xml:space="preserve">nation’s </w:t>
      </w:r>
      <w:r w:rsidRPr="00EA1BFE">
        <w:rPr>
          <w:rFonts w:ascii="Times New Roman" w:hAnsi="Times New Roman"/>
          <w:bCs/>
          <w:sz w:val="24"/>
          <w:szCs w:val="24"/>
        </w:rPr>
        <w:t>ports over the next five years</w:t>
      </w:r>
      <w:r w:rsidRPr="00EA1BFE" w:rsidR="00044CA2">
        <w:rPr>
          <w:rFonts w:ascii="Times New Roman" w:hAnsi="Times New Roman"/>
          <w:bCs/>
          <w:sz w:val="24"/>
          <w:szCs w:val="24"/>
        </w:rPr>
        <w:t>. However,</w:t>
      </w:r>
      <w:r w:rsidRPr="00EA1BFE">
        <w:rPr>
          <w:rFonts w:ascii="Times New Roman" w:hAnsi="Times New Roman"/>
          <w:bCs/>
          <w:sz w:val="24"/>
          <w:szCs w:val="24"/>
        </w:rPr>
        <w:t xml:space="preserve"> these funding streams have domestic sourcing requirements that are not readily </w:t>
      </w:r>
      <w:r w:rsidRPr="00EA1BFE" w:rsidR="00B607E3">
        <w:rPr>
          <w:rFonts w:ascii="Times New Roman" w:hAnsi="Times New Roman"/>
          <w:bCs/>
          <w:sz w:val="24"/>
          <w:szCs w:val="24"/>
        </w:rPr>
        <w:t xml:space="preserve">attainable within the </w:t>
      </w:r>
      <w:r w:rsidRPr="00EA1BFE">
        <w:rPr>
          <w:rFonts w:ascii="Times New Roman" w:hAnsi="Times New Roman"/>
          <w:bCs/>
          <w:sz w:val="24"/>
          <w:szCs w:val="24"/>
        </w:rPr>
        <w:t xml:space="preserve">current </w:t>
      </w:r>
      <w:r w:rsidRPr="00EA1BFE" w:rsidR="00B607E3">
        <w:rPr>
          <w:rFonts w:ascii="Times New Roman" w:hAnsi="Times New Roman"/>
          <w:bCs/>
          <w:sz w:val="24"/>
          <w:szCs w:val="24"/>
        </w:rPr>
        <w:t xml:space="preserve">port equipment </w:t>
      </w:r>
      <w:r w:rsidRPr="00EA1BFE">
        <w:rPr>
          <w:rFonts w:ascii="Times New Roman" w:hAnsi="Times New Roman"/>
          <w:bCs/>
          <w:sz w:val="24"/>
          <w:szCs w:val="24"/>
        </w:rPr>
        <w:t xml:space="preserve">supply </w:t>
      </w:r>
      <w:r w:rsidRPr="00EA1BFE" w:rsidR="00B607E3">
        <w:rPr>
          <w:rFonts w:ascii="Times New Roman" w:hAnsi="Times New Roman"/>
          <w:bCs/>
          <w:sz w:val="24"/>
          <w:szCs w:val="24"/>
        </w:rPr>
        <w:t>industry</w:t>
      </w:r>
      <w:r w:rsidRPr="00EA1BFE">
        <w:rPr>
          <w:rFonts w:ascii="Times New Roman" w:hAnsi="Times New Roman"/>
          <w:bCs/>
          <w:sz w:val="24"/>
          <w:szCs w:val="24"/>
        </w:rPr>
        <w:t xml:space="preserve">.  </w:t>
      </w:r>
    </w:p>
    <w:p w:rsidR="00851FC1" w:rsidRPr="00EA1BFE" w:rsidP="006B7523" w14:paraId="7F0BC2CE" w14:textId="77777777">
      <w:pPr>
        <w:pStyle w:val="ListParagraph"/>
        <w:tabs>
          <w:tab w:val="left" w:pos="-1440"/>
          <w:tab w:val="left" w:pos="-720"/>
        </w:tabs>
        <w:spacing w:before="120"/>
        <w:ind w:left="630"/>
        <w:contextualSpacing w:val="0"/>
        <w:rPr>
          <w:rFonts w:ascii="Times New Roman" w:hAnsi="Times New Roman"/>
          <w:bCs/>
          <w:sz w:val="24"/>
          <w:szCs w:val="24"/>
        </w:rPr>
      </w:pPr>
      <w:r w:rsidRPr="00EA1BFE">
        <w:rPr>
          <w:rFonts w:ascii="Times New Roman" w:hAnsi="Times New Roman"/>
          <w:bCs/>
          <w:sz w:val="24"/>
          <w:szCs w:val="24"/>
        </w:rPr>
        <w:t>Much of th</w:t>
      </w:r>
      <w:r w:rsidRPr="00EA1BFE" w:rsidR="00044CA2">
        <w:rPr>
          <w:rFonts w:ascii="Times New Roman" w:hAnsi="Times New Roman"/>
          <w:bCs/>
          <w:sz w:val="24"/>
          <w:szCs w:val="24"/>
        </w:rPr>
        <w:t xml:space="preserve">e existing </w:t>
      </w:r>
      <w:r w:rsidRPr="00EA1BFE" w:rsidR="00B607E3">
        <w:rPr>
          <w:rFonts w:ascii="Times New Roman" w:hAnsi="Times New Roman"/>
          <w:bCs/>
          <w:sz w:val="24"/>
          <w:szCs w:val="24"/>
        </w:rPr>
        <w:t>CHE</w:t>
      </w:r>
      <w:r w:rsidRPr="00EA1BFE">
        <w:rPr>
          <w:rFonts w:ascii="Times New Roman" w:hAnsi="Times New Roman"/>
          <w:bCs/>
          <w:sz w:val="24"/>
          <w:szCs w:val="24"/>
        </w:rPr>
        <w:t xml:space="preserve"> is </w:t>
      </w:r>
      <w:r w:rsidR="00B33626">
        <w:rPr>
          <w:rFonts w:ascii="Times New Roman" w:hAnsi="Times New Roman"/>
          <w:bCs/>
          <w:sz w:val="24"/>
          <w:szCs w:val="24"/>
        </w:rPr>
        <w:t>diesel-powered</w:t>
      </w:r>
      <w:r w:rsidRPr="00EA1BFE" w:rsidR="000B5DF9">
        <w:rPr>
          <w:rFonts w:ascii="Times New Roman" w:hAnsi="Times New Roman"/>
          <w:bCs/>
          <w:sz w:val="24"/>
          <w:szCs w:val="24"/>
        </w:rPr>
        <w:t xml:space="preserve">, </w:t>
      </w:r>
      <w:r w:rsidRPr="00EA1BFE">
        <w:rPr>
          <w:rFonts w:ascii="Times New Roman" w:hAnsi="Times New Roman"/>
          <w:bCs/>
          <w:sz w:val="24"/>
          <w:szCs w:val="24"/>
        </w:rPr>
        <w:t>in short supply, and rarely manufactured domestically. Other port infrastructure items</w:t>
      </w:r>
      <w:r w:rsidR="000550E1">
        <w:rPr>
          <w:rFonts w:ascii="Times New Roman" w:hAnsi="Times New Roman"/>
          <w:bCs/>
          <w:sz w:val="24"/>
          <w:szCs w:val="24"/>
        </w:rPr>
        <w:t>,</w:t>
      </w:r>
      <w:r w:rsidRPr="00EA1BFE">
        <w:rPr>
          <w:rFonts w:ascii="Times New Roman" w:hAnsi="Times New Roman"/>
          <w:bCs/>
          <w:sz w:val="24"/>
          <w:szCs w:val="24"/>
        </w:rPr>
        <w:t xml:space="preserve"> </w:t>
      </w:r>
      <w:r w:rsidRPr="00EA1BFE" w:rsidR="006B29F3">
        <w:rPr>
          <w:rFonts w:ascii="Times New Roman" w:hAnsi="Times New Roman"/>
          <w:bCs/>
          <w:sz w:val="24"/>
          <w:szCs w:val="24"/>
        </w:rPr>
        <w:t xml:space="preserve">such as </w:t>
      </w:r>
      <w:r w:rsidRPr="00EA1BFE" w:rsidR="00BA2089">
        <w:rPr>
          <w:rFonts w:ascii="Times New Roman" w:hAnsi="Times New Roman"/>
          <w:bCs/>
          <w:sz w:val="24"/>
          <w:szCs w:val="24"/>
        </w:rPr>
        <w:t>wharfside</w:t>
      </w:r>
      <w:r w:rsidRPr="00EA1BFE" w:rsidR="006B29F3">
        <w:rPr>
          <w:rFonts w:ascii="Times New Roman" w:hAnsi="Times New Roman"/>
          <w:bCs/>
          <w:sz w:val="24"/>
          <w:szCs w:val="24"/>
        </w:rPr>
        <w:t xml:space="preserve"> fenders</w:t>
      </w:r>
      <w:r w:rsidR="002607E0">
        <w:rPr>
          <w:rFonts w:ascii="Times New Roman" w:hAnsi="Times New Roman"/>
          <w:bCs/>
          <w:sz w:val="24"/>
          <w:szCs w:val="24"/>
        </w:rPr>
        <w:t>,</w:t>
      </w:r>
      <w:r w:rsidRPr="00EA1BFE" w:rsidR="006B29F3">
        <w:rPr>
          <w:rFonts w:ascii="Times New Roman" w:hAnsi="Times New Roman"/>
          <w:bCs/>
          <w:sz w:val="24"/>
          <w:szCs w:val="24"/>
        </w:rPr>
        <w:t xml:space="preserve"> </w:t>
      </w:r>
      <w:r w:rsidRPr="00EA1BFE">
        <w:rPr>
          <w:rFonts w:ascii="Times New Roman" w:hAnsi="Times New Roman"/>
          <w:bCs/>
          <w:sz w:val="24"/>
          <w:szCs w:val="24"/>
        </w:rPr>
        <w:t xml:space="preserve">also </w:t>
      </w:r>
      <w:r w:rsidRPr="00EA1BFE" w:rsidR="006B29F3">
        <w:rPr>
          <w:rFonts w:ascii="Times New Roman" w:hAnsi="Times New Roman"/>
          <w:bCs/>
          <w:sz w:val="24"/>
          <w:szCs w:val="24"/>
        </w:rPr>
        <w:t>rarely</w:t>
      </w:r>
      <w:r w:rsidRPr="00EA1BFE">
        <w:rPr>
          <w:rFonts w:ascii="Times New Roman" w:hAnsi="Times New Roman"/>
          <w:bCs/>
          <w:sz w:val="24"/>
          <w:szCs w:val="24"/>
        </w:rPr>
        <w:t xml:space="preserve"> meet domestic sourcing requirements for </w:t>
      </w:r>
      <w:r w:rsidRPr="00EA1BFE" w:rsidR="001D0C2F">
        <w:rPr>
          <w:rFonts w:ascii="Times New Roman" w:hAnsi="Times New Roman"/>
          <w:bCs/>
          <w:sz w:val="24"/>
          <w:szCs w:val="24"/>
        </w:rPr>
        <w:t xml:space="preserve">Federal </w:t>
      </w:r>
      <w:r w:rsidRPr="00EA1BFE">
        <w:rPr>
          <w:rFonts w:ascii="Times New Roman" w:hAnsi="Times New Roman"/>
          <w:bCs/>
          <w:sz w:val="24"/>
          <w:szCs w:val="24"/>
        </w:rPr>
        <w:t>grant procurement.</w:t>
      </w:r>
      <w:r w:rsidRPr="00EA1BFE" w:rsidR="002C1470">
        <w:rPr>
          <w:rFonts w:ascii="Times New Roman" w:hAnsi="Times New Roman"/>
          <w:bCs/>
          <w:sz w:val="24"/>
          <w:szCs w:val="24"/>
        </w:rPr>
        <w:t xml:space="preserve"> </w:t>
      </w:r>
      <w:r w:rsidRPr="00EA1BFE">
        <w:rPr>
          <w:rFonts w:ascii="Times New Roman" w:hAnsi="Times New Roman"/>
          <w:bCs/>
          <w:sz w:val="24"/>
          <w:szCs w:val="24"/>
        </w:rPr>
        <w:t>Given the shortage of equipment to handle containers</w:t>
      </w:r>
      <w:r w:rsidRPr="00EA1BFE" w:rsidR="00E04839">
        <w:rPr>
          <w:rFonts w:ascii="Times New Roman" w:hAnsi="Times New Roman"/>
          <w:bCs/>
          <w:sz w:val="24"/>
          <w:szCs w:val="24"/>
        </w:rPr>
        <w:t>,</w:t>
      </w:r>
      <w:r w:rsidRPr="00EA1BFE">
        <w:rPr>
          <w:rFonts w:ascii="Times New Roman" w:hAnsi="Times New Roman"/>
          <w:bCs/>
          <w:sz w:val="24"/>
          <w:szCs w:val="24"/>
        </w:rPr>
        <w:t xml:space="preserve"> as well as the </w:t>
      </w:r>
      <w:r w:rsidRPr="00EA1BFE" w:rsidR="006B29F3">
        <w:rPr>
          <w:rFonts w:ascii="Times New Roman" w:hAnsi="Times New Roman"/>
          <w:bCs/>
          <w:sz w:val="24"/>
          <w:szCs w:val="24"/>
        </w:rPr>
        <w:t xml:space="preserve">need to electrify operations in the context of </w:t>
      </w:r>
      <w:r w:rsidRPr="00EA1BFE">
        <w:rPr>
          <w:rFonts w:ascii="Times New Roman" w:hAnsi="Times New Roman"/>
          <w:bCs/>
          <w:sz w:val="24"/>
          <w:szCs w:val="24"/>
        </w:rPr>
        <w:t xml:space="preserve">climate change, it is critical that the </w:t>
      </w:r>
      <w:r w:rsidRPr="00EA1BFE" w:rsidR="00E04839">
        <w:rPr>
          <w:rFonts w:ascii="Times New Roman" w:hAnsi="Times New Roman"/>
          <w:bCs/>
          <w:sz w:val="24"/>
          <w:szCs w:val="24"/>
        </w:rPr>
        <w:t>U.S.</w:t>
      </w:r>
      <w:r w:rsidRPr="00EA1BFE" w:rsidR="00BA2089">
        <w:rPr>
          <w:rFonts w:ascii="Times New Roman" w:hAnsi="Times New Roman"/>
          <w:bCs/>
          <w:sz w:val="24"/>
          <w:szCs w:val="24"/>
        </w:rPr>
        <w:t xml:space="preserve"> </w:t>
      </w:r>
      <w:r w:rsidRPr="00EA1BFE">
        <w:rPr>
          <w:rFonts w:ascii="Times New Roman" w:hAnsi="Times New Roman"/>
          <w:bCs/>
          <w:sz w:val="24"/>
          <w:szCs w:val="24"/>
        </w:rPr>
        <w:t>build a domestic capacity for manufacturing clean</w:t>
      </w:r>
      <w:r w:rsidRPr="00EA1BFE" w:rsidR="006B29F3">
        <w:rPr>
          <w:rFonts w:ascii="Times New Roman" w:hAnsi="Times New Roman"/>
          <w:bCs/>
          <w:sz w:val="24"/>
          <w:szCs w:val="24"/>
        </w:rPr>
        <w:t>,</w:t>
      </w:r>
      <w:r w:rsidRPr="00EA1BFE">
        <w:rPr>
          <w:rFonts w:ascii="Times New Roman" w:hAnsi="Times New Roman"/>
          <w:bCs/>
          <w:sz w:val="24"/>
          <w:szCs w:val="24"/>
        </w:rPr>
        <w:t xml:space="preserve"> </w:t>
      </w:r>
      <w:r w:rsidRPr="00EA1BFE" w:rsidR="006B29F3">
        <w:rPr>
          <w:rFonts w:ascii="Times New Roman" w:hAnsi="Times New Roman"/>
          <w:bCs/>
          <w:sz w:val="24"/>
          <w:szCs w:val="24"/>
        </w:rPr>
        <w:t xml:space="preserve">electrically </w:t>
      </w:r>
      <w:r w:rsidRPr="00EA1BFE" w:rsidR="00722B73">
        <w:rPr>
          <w:rFonts w:ascii="Times New Roman" w:hAnsi="Times New Roman"/>
          <w:bCs/>
          <w:sz w:val="24"/>
          <w:szCs w:val="24"/>
        </w:rPr>
        <w:t>powered</w:t>
      </w:r>
      <w:r w:rsidRPr="00EA1BFE">
        <w:rPr>
          <w:rFonts w:ascii="Times New Roman" w:hAnsi="Times New Roman"/>
          <w:bCs/>
          <w:sz w:val="24"/>
          <w:szCs w:val="24"/>
        </w:rPr>
        <w:t xml:space="preserve"> American</w:t>
      </w:r>
      <w:r w:rsidRPr="00EA1BFE" w:rsidR="006B29F3">
        <w:rPr>
          <w:rFonts w:ascii="Times New Roman" w:hAnsi="Times New Roman"/>
          <w:bCs/>
          <w:sz w:val="24"/>
          <w:szCs w:val="24"/>
        </w:rPr>
        <w:t xml:space="preserve"> CHE as an alternative</w:t>
      </w:r>
      <w:r w:rsidRPr="00EA1BFE">
        <w:rPr>
          <w:rFonts w:ascii="Times New Roman" w:hAnsi="Times New Roman"/>
          <w:bCs/>
          <w:sz w:val="24"/>
          <w:szCs w:val="24"/>
        </w:rPr>
        <w:t xml:space="preserve"> to </w:t>
      </w:r>
      <w:r w:rsidRPr="00EA1BFE" w:rsidR="006B29F3">
        <w:rPr>
          <w:rFonts w:ascii="Times New Roman" w:hAnsi="Times New Roman"/>
          <w:bCs/>
          <w:sz w:val="24"/>
          <w:szCs w:val="24"/>
        </w:rPr>
        <w:t xml:space="preserve">existing, </w:t>
      </w:r>
      <w:r w:rsidRPr="00EA1BFE">
        <w:rPr>
          <w:rFonts w:ascii="Times New Roman" w:hAnsi="Times New Roman"/>
          <w:bCs/>
          <w:sz w:val="24"/>
          <w:szCs w:val="24"/>
        </w:rPr>
        <w:t>predominantly foreign sources.</w:t>
      </w:r>
    </w:p>
    <w:p w:rsidR="002513E9" w:rsidRPr="00EA1BFE" w:rsidP="006B7523" w14:paraId="013D5093" w14:textId="77777777">
      <w:pPr>
        <w:pStyle w:val="ListParagraph"/>
        <w:tabs>
          <w:tab w:val="left" w:pos="-1440"/>
          <w:tab w:val="left" w:pos="-720"/>
        </w:tabs>
        <w:spacing w:before="120"/>
        <w:ind w:left="630"/>
        <w:contextualSpacing w:val="0"/>
        <w:rPr>
          <w:rFonts w:ascii="Times New Roman" w:hAnsi="Times New Roman"/>
          <w:bCs/>
          <w:sz w:val="24"/>
          <w:szCs w:val="24"/>
        </w:rPr>
      </w:pPr>
      <w:bookmarkStart w:id="0" w:name="_Hlk150855887"/>
      <w:r w:rsidRPr="00EA1BFE">
        <w:rPr>
          <w:rFonts w:ascii="Times New Roman" w:hAnsi="Times New Roman"/>
          <w:bCs/>
          <w:sz w:val="24"/>
          <w:szCs w:val="24"/>
        </w:rPr>
        <w:t>The American Association of Port Authorities (AAPA)</w:t>
      </w:r>
      <w:r w:rsidRPr="00EA1BFE" w:rsidR="002C1470">
        <w:rPr>
          <w:rFonts w:ascii="Times New Roman" w:hAnsi="Times New Roman"/>
          <w:bCs/>
          <w:sz w:val="24"/>
          <w:szCs w:val="24"/>
        </w:rPr>
        <w:t xml:space="preserve"> </w:t>
      </w:r>
      <w:bookmarkEnd w:id="0"/>
      <w:r w:rsidRPr="00EA1BFE">
        <w:rPr>
          <w:rFonts w:ascii="Times New Roman" w:hAnsi="Times New Roman"/>
          <w:bCs/>
          <w:sz w:val="24"/>
          <w:szCs w:val="24"/>
        </w:rPr>
        <w:t xml:space="preserve">conducted an initial survey of port authorities in the </w:t>
      </w:r>
      <w:r w:rsidRPr="00EA1BFE" w:rsidR="00E04839">
        <w:rPr>
          <w:rFonts w:ascii="Times New Roman" w:hAnsi="Times New Roman"/>
          <w:bCs/>
          <w:sz w:val="24"/>
          <w:szCs w:val="24"/>
        </w:rPr>
        <w:t>U.S. and</w:t>
      </w:r>
      <w:r w:rsidRPr="00EA1BFE">
        <w:rPr>
          <w:rFonts w:ascii="Times New Roman" w:hAnsi="Times New Roman"/>
          <w:bCs/>
          <w:sz w:val="24"/>
          <w:szCs w:val="24"/>
        </w:rPr>
        <w:t xml:space="preserve"> found significant interest in American-made </w:t>
      </w:r>
      <w:r w:rsidRPr="00EA1BFE" w:rsidR="00BA2089">
        <w:rPr>
          <w:rFonts w:ascii="Times New Roman" w:hAnsi="Times New Roman"/>
          <w:bCs/>
          <w:sz w:val="24"/>
          <w:szCs w:val="24"/>
        </w:rPr>
        <w:t>electrically</w:t>
      </w:r>
      <w:r w:rsidRPr="00EA1BFE" w:rsidR="003716B8">
        <w:rPr>
          <w:rFonts w:ascii="Times New Roman" w:hAnsi="Times New Roman"/>
          <w:bCs/>
          <w:sz w:val="24"/>
          <w:szCs w:val="24"/>
        </w:rPr>
        <w:t xml:space="preserve"> </w:t>
      </w:r>
      <w:r w:rsidRPr="00EA1BFE" w:rsidR="00722B73">
        <w:rPr>
          <w:rFonts w:ascii="Times New Roman" w:hAnsi="Times New Roman"/>
          <w:bCs/>
          <w:sz w:val="24"/>
          <w:szCs w:val="24"/>
        </w:rPr>
        <w:t>powered</w:t>
      </w:r>
      <w:r w:rsidRPr="00EA1BFE">
        <w:rPr>
          <w:rFonts w:ascii="Times New Roman" w:hAnsi="Times New Roman"/>
          <w:bCs/>
          <w:sz w:val="24"/>
          <w:szCs w:val="24"/>
        </w:rPr>
        <w:t xml:space="preserve"> port equipment. Port </w:t>
      </w:r>
      <w:r w:rsidR="00961422">
        <w:rPr>
          <w:rFonts w:ascii="Times New Roman" w:hAnsi="Times New Roman"/>
          <w:bCs/>
          <w:sz w:val="24"/>
          <w:szCs w:val="24"/>
        </w:rPr>
        <w:t>Authority</w:t>
      </w:r>
      <w:r w:rsidRPr="00EA1BFE" w:rsidR="00961422">
        <w:rPr>
          <w:rFonts w:ascii="Times New Roman" w:hAnsi="Times New Roman"/>
          <w:bCs/>
          <w:sz w:val="24"/>
          <w:szCs w:val="24"/>
        </w:rPr>
        <w:t xml:space="preserve"> </w:t>
      </w:r>
      <w:r w:rsidRPr="00EA1BFE" w:rsidR="002C1470">
        <w:rPr>
          <w:rFonts w:ascii="Times New Roman" w:hAnsi="Times New Roman"/>
          <w:bCs/>
          <w:sz w:val="24"/>
          <w:szCs w:val="24"/>
        </w:rPr>
        <w:t>representatives</w:t>
      </w:r>
      <w:r w:rsidRPr="00EA1BFE">
        <w:rPr>
          <w:rFonts w:ascii="Times New Roman" w:hAnsi="Times New Roman"/>
          <w:bCs/>
          <w:sz w:val="24"/>
          <w:szCs w:val="24"/>
        </w:rPr>
        <w:t xml:space="preserve"> </w:t>
      </w:r>
      <w:r w:rsidRPr="00EA1BFE" w:rsidR="004025E1">
        <w:rPr>
          <w:rFonts w:ascii="Times New Roman" w:hAnsi="Times New Roman"/>
          <w:bCs/>
          <w:sz w:val="24"/>
          <w:szCs w:val="24"/>
        </w:rPr>
        <w:t xml:space="preserve">also </w:t>
      </w:r>
      <w:r w:rsidRPr="00EA1BFE">
        <w:rPr>
          <w:rFonts w:ascii="Times New Roman" w:hAnsi="Times New Roman"/>
          <w:bCs/>
          <w:sz w:val="24"/>
          <w:szCs w:val="24"/>
        </w:rPr>
        <w:t>expressed</w:t>
      </w:r>
      <w:r w:rsidRPr="00EA1BFE" w:rsidR="000C0714">
        <w:rPr>
          <w:rFonts w:ascii="Times New Roman" w:hAnsi="Times New Roman"/>
          <w:bCs/>
          <w:sz w:val="24"/>
          <w:szCs w:val="24"/>
        </w:rPr>
        <w:t xml:space="preserve"> </w:t>
      </w:r>
      <w:r w:rsidRPr="00EA1BFE">
        <w:rPr>
          <w:rFonts w:ascii="Times New Roman" w:hAnsi="Times New Roman"/>
          <w:bCs/>
          <w:sz w:val="24"/>
          <w:szCs w:val="24"/>
        </w:rPr>
        <w:t xml:space="preserve">interest in </w:t>
      </w:r>
      <w:r w:rsidRPr="00EA1BFE" w:rsidR="002C1470">
        <w:rPr>
          <w:rFonts w:ascii="Times New Roman" w:hAnsi="Times New Roman"/>
          <w:bCs/>
          <w:sz w:val="24"/>
          <w:szCs w:val="24"/>
        </w:rPr>
        <w:t>the</w:t>
      </w:r>
      <w:r w:rsidRPr="00EA1BFE">
        <w:rPr>
          <w:rFonts w:ascii="Times New Roman" w:hAnsi="Times New Roman"/>
          <w:bCs/>
          <w:sz w:val="24"/>
          <w:szCs w:val="24"/>
        </w:rPr>
        <w:t xml:space="preserve"> procurement of American</w:t>
      </w:r>
      <w:r w:rsidRPr="00EA1BFE" w:rsidR="00E04839">
        <w:rPr>
          <w:rFonts w:ascii="Times New Roman" w:hAnsi="Times New Roman"/>
          <w:bCs/>
          <w:sz w:val="24"/>
          <w:szCs w:val="24"/>
        </w:rPr>
        <w:t>-</w:t>
      </w:r>
      <w:r w:rsidRPr="00EA1BFE">
        <w:rPr>
          <w:rFonts w:ascii="Times New Roman" w:hAnsi="Times New Roman"/>
          <w:bCs/>
          <w:sz w:val="24"/>
          <w:szCs w:val="24"/>
        </w:rPr>
        <w:t xml:space="preserve">made </w:t>
      </w:r>
      <w:r w:rsidRPr="00EA1BFE" w:rsidR="004025E1">
        <w:rPr>
          <w:rFonts w:ascii="Times New Roman" w:hAnsi="Times New Roman"/>
          <w:bCs/>
          <w:sz w:val="24"/>
          <w:szCs w:val="24"/>
        </w:rPr>
        <w:t xml:space="preserve">electrically </w:t>
      </w:r>
      <w:r w:rsidRPr="00EA1BFE" w:rsidR="00722B73">
        <w:rPr>
          <w:rFonts w:ascii="Times New Roman" w:hAnsi="Times New Roman"/>
          <w:bCs/>
          <w:sz w:val="24"/>
          <w:szCs w:val="24"/>
        </w:rPr>
        <w:t>powered</w:t>
      </w:r>
      <w:r w:rsidRPr="00EA1BFE">
        <w:rPr>
          <w:rFonts w:ascii="Times New Roman" w:hAnsi="Times New Roman"/>
          <w:bCs/>
          <w:sz w:val="24"/>
          <w:szCs w:val="24"/>
        </w:rPr>
        <w:t xml:space="preserve"> port equipment through a pooled </w:t>
      </w:r>
      <w:r w:rsidRPr="00EA1BFE" w:rsidR="004025E1">
        <w:rPr>
          <w:rFonts w:ascii="Times New Roman" w:hAnsi="Times New Roman"/>
          <w:bCs/>
          <w:sz w:val="24"/>
          <w:szCs w:val="24"/>
        </w:rPr>
        <w:t xml:space="preserve">procurement </w:t>
      </w:r>
      <w:r w:rsidRPr="00EA1BFE">
        <w:rPr>
          <w:rFonts w:ascii="Times New Roman" w:hAnsi="Times New Roman"/>
          <w:bCs/>
          <w:sz w:val="24"/>
          <w:szCs w:val="24"/>
        </w:rPr>
        <w:t xml:space="preserve">model. </w:t>
      </w:r>
      <w:r w:rsidRPr="00EA1BFE" w:rsidR="002C1470">
        <w:rPr>
          <w:rFonts w:ascii="Times New Roman" w:hAnsi="Times New Roman"/>
          <w:bCs/>
          <w:sz w:val="24"/>
          <w:szCs w:val="24"/>
        </w:rPr>
        <w:t xml:space="preserve"> </w:t>
      </w:r>
      <w:r w:rsidRPr="00EA1BFE">
        <w:rPr>
          <w:rFonts w:ascii="Times New Roman" w:hAnsi="Times New Roman"/>
          <w:bCs/>
          <w:sz w:val="24"/>
          <w:szCs w:val="24"/>
        </w:rPr>
        <w:t>Pooled procurement has multiple benefits</w:t>
      </w:r>
      <w:r w:rsidRPr="00EA1BFE" w:rsidR="004025E1">
        <w:rPr>
          <w:rFonts w:ascii="Times New Roman" w:hAnsi="Times New Roman"/>
          <w:bCs/>
          <w:sz w:val="24"/>
          <w:szCs w:val="24"/>
        </w:rPr>
        <w:t xml:space="preserve">. </w:t>
      </w:r>
      <w:r w:rsidRPr="00EA1BFE" w:rsidR="002C1470">
        <w:rPr>
          <w:rFonts w:ascii="Times New Roman" w:hAnsi="Times New Roman"/>
          <w:bCs/>
          <w:sz w:val="24"/>
          <w:szCs w:val="24"/>
        </w:rPr>
        <w:t xml:space="preserve">On </w:t>
      </w:r>
      <w:r w:rsidRPr="00EA1BFE">
        <w:rPr>
          <w:rFonts w:ascii="Times New Roman" w:hAnsi="Times New Roman"/>
          <w:bCs/>
          <w:sz w:val="24"/>
          <w:szCs w:val="24"/>
        </w:rPr>
        <w:t>the supply (manufacturing) side, the aggregated demand is more likely to encourage American manufacturers (or international joint ventures operating in the U.S.) to get into the business. Depending on how the pool is structured, a supplier can get a promise of sole sourcing. On the demand (</w:t>
      </w:r>
      <w:r w:rsidRPr="00EA1BFE" w:rsidR="00BA2089">
        <w:rPr>
          <w:rFonts w:ascii="Times New Roman" w:hAnsi="Times New Roman"/>
          <w:bCs/>
          <w:sz w:val="24"/>
          <w:szCs w:val="24"/>
        </w:rPr>
        <w:t xml:space="preserve">i.e., </w:t>
      </w:r>
      <w:r w:rsidRPr="00EA1BFE">
        <w:rPr>
          <w:rFonts w:ascii="Times New Roman" w:hAnsi="Times New Roman"/>
          <w:bCs/>
          <w:sz w:val="24"/>
          <w:szCs w:val="24"/>
        </w:rPr>
        <w:t xml:space="preserve">ports and their partners) side, pooled procurement </w:t>
      </w:r>
      <w:r w:rsidRPr="00EA1BFE" w:rsidR="000C0714">
        <w:rPr>
          <w:rFonts w:ascii="Times New Roman" w:hAnsi="Times New Roman"/>
          <w:bCs/>
          <w:sz w:val="24"/>
          <w:szCs w:val="24"/>
        </w:rPr>
        <w:t xml:space="preserve">can </w:t>
      </w:r>
      <w:r w:rsidRPr="00EA1BFE">
        <w:rPr>
          <w:rFonts w:ascii="Times New Roman" w:hAnsi="Times New Roman"/>
          <w:bCs/>
          <w:sz w:val="24"/>
          <w:szCs w:val="24"/>
        </w:rPr>
        <w:t xml:space="preserve">make it easier to identify and negotiate with </w:t>
      </w:r>
      <w:r w:rsidRPr="00EA1BFE" w:rsidR="002C1470">
        <w:rPr>
          <w:rFonts w:ascii="Times New Roman" w:hAnsi="Times New Roman"/>
          <w:bCs/>
          <w:sz w:val="24"/>
          <w:szCs w:val="24"/>
        </w:rPr>
        <w:t>suppliers</w:t>
      </w:r>
      <w:r w:rsidRPr="00EA1BFE" w:rsidR="00E04839">
        <w:rPr>
          <w:rFonts w:ascii="Times New Roman" w:hAnsi="Times New Roman"/>
          <w:bCs/>
          <w:sz w:val="24"/>
          <w:szCs w:val="24"/>
        </w:rPr>
        <w:t>. This mod</w:t>
      </w:r>
      <w:r w:rsidRPr="00EA1BFE" w:rsidR="001D0C2F">
        <w:rPr>
          <w:rFonts w:ascii="Times New Roman" w:hAnsi="Times New Roman"/>
          <w:bCs/>
          <w:sz w:val="24"/>
          <w:szCs w:val="24"/>
        </w:rPr>
        <w:t xml:space="preserve">el </w:t>
      </w:r>
      <w:r w:rsidRPr="00EA1BFE" w:rsidR="000C0714">
        <w:rPr>
          <w:rFonts w:ascii="Times New Roman" w:hAnsi="Times New Roman"/>
          <w:bCs/>
          <w:sz w:val="24"/>
          <w:szCs w:val="24"/>
        </w:rPr>
        <w:t>might</w:t>
      </w:r>
      <w:r w:rsidRPr="00EA1BFE" w:rsidR="001D0C2F">
        <w:rPr>
          <w:rFonts w:ascii="Times New Roman" w:hAnsi="Times New Roman"/>
          <w:bCs/>
          <w:sz w:val="24"/>
          <w:szCs w:val="24"/>
        </w:rPr>
        <w:t xml:space="preserve"> also</w:t>
      </w:r>
      <w:r w:rsidRPr="00EA1BFE">
        <w:rPr>
          <w:rFonts w:ascii="Times New Roman" w:hAnsi="Times New Roman"/>
          <w:bCs/>
          <w:sz w:val="24"/>
          <w:szCs w:val="24"/>
        </w:rPr>
        <w:t xml:space="preserve"> be structured to guarantee supply at longer-term predictable prices (sometimes called, </w:t>
      </w:r>
      <w:r w:rsidRPr="00EA1BFE" w:rsidR="000C0714">
        <w:rPr>
          <w:rFonts w:ascii="Times New Roman" w:hAnsi="Times New Roman"/>
          <w:bCs/>
          <w:sz w:val="24"/>
          <w:szCs w:val="24"/>
        </w:rPr>
        <w:t>“</w:t>
      </w:r>
      <w:r w:rsidRPr="00EA1BFE" w:rsidR="002C1470">
        <w:rPr>
          <w:rFonts w:ascii="Times New Roman" w:hAnsi="Times New Roman"/>
          <w:bCs/>
          <w:sz w:val="24"/>
          <w:szCs w:val="24"/>
        </w:rPr>
        <w:t>piggyback</w:t>
      </w:r>
      <w:r w:rsidRPr="00EA1BFE" w:rsidR="000C0714">
        <w:rPr>
          <w:rFonts w:ascii="Times New Roman" w:hAnsi="Times New Roman"/>
          <w:bCs/>
          <w:sz w:val="24"/>
          <w:szCs w:val="24"/>
        </w:rPr>
        <w:t>”</w:t>
      </w:r>
      <w:r w:rsidRPr="00EA1BFE">
        <w:rPr>
          <w:rFonts w:ascii="Times New Roman" w:hAnsi="Times New Roman"/>
          <w:bCs/>
          <w:sz w:val="24"/>
          <w:szCs w:val="24"/>
        </w:rPr>
        <w:t xml:space="preserve"> or </w:t>
      </w:r>
      <w:r w:rsidRPr="00EA1BFE" w:rsidR="000C0714">
        <w:rPr>
          <w:rFonts w:ascii="Times New Roman" w:hAnsi="Times New Roman"/>
          <w:bCs/>
          <w:sz w:val="24"/>
          <w:szCs w:val="24"/>
        </w:rPr>
        <w:t>“</w:t>
      </w:r>
      <w:r w:rsidRPr="00EA1BFE">
        <w:rPr>
          <w:rFonts w:ascii="Times New Roman" w:hAnsi="Times New Roman"/>
          <w:bCs/>
          <w:sz w:val="24"/>
          <w:szCs w:val="24"/>
        </w:rPr>
        <w:t>call options</w:t>
      </w:r>
      <w:r w:rsidRPr="00EA1BFE" w:rsidR="000C0714">
        <w:rPr>
          <w:rFonts w:ascii="Times New Roman" w:hAnsi="Times New Roman"/>
          <w:bCs/>
          <w:sz w:val="24"/>
          <w:szCs w:val="24"/>
        </w:rPr>
        <w:t>”</w:t>
      </w:r>
      <w:r w:rsidRPr="00EA1BFE">
        <w:rPr>
          <w:rFonts w:ascii="Times New Roman" w:hAnsi="Times New Roman"/>
          <w:bCs/>
          <w:sz w:val="24"/>
          <w:szCs w:val="24"/>
        </w:rPr>
        <w:t>).</w:t>
      </w:r>
    </w:p>
    <w:p w:rsidR="002513E9" w:rsidRPr="00EA1BFE" w:rsidP="00EA1BFE" w14:paraId="2848D512"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 xml:space="preserve">Successful pooled procurement of American-made electrically </w:t>
      </w:r>
      <w:r w:rsidRPr="00EA1BFE" w:rsidR="00722B73">
        <w:rPr>
          <w:rFonts w:ascii="Times New Roman" w:hAnsi="Times New Roman"/>
          <w:bCs/>
          <w:sz w:val="24"/>
          <w:szCs w:val="24"/>
        </w:rPr>
        <w:t>powered</w:t>
      </w:r>
      <w:r w:rsidRPr="00EA1BFE">
        <w:rPr>
          <w:rFonts w:ascii="Times New Roman" w:hAnsi="Times New Roman"/>
          <w:bCs/>
          <w:sz w:val="24"/>
          <w:szCs w:val="24"/>
        </w:rPr>
        <w:t xml:space="preserve"> port equipment is </w:t>
      </w:r>
      <w:r w:rsidRPr="00EA1BFE" w:rsidR="002C1470">
        <w:rPr>
          <w:rFonts w:ascii="Times New Roman" w:hAnsi="Times New Roman"/>
          <w:bCs/>
          <w:sz w:val="24"/>
          <w:szCs w:val="24"/>
        </w:rPr>
        <w:t xml:space="preserve">contingent on </w:t>
      </w:r>
      <w:r w:rsidRPr="00EA1BFE">
        <w:rPr>
          <w:rFonts w:ascii="Times New Roman" w:hAnsi="Times New Roman"/>
          <w:bCs/>
          <w:sz w:val="24"/>
          <w:szCs w:val="24"/>
        </w:rPr>
        <w:t>identifying manufacturers capable of producing the required equipment in the U.S., either directly or through a joint venture with an American company that satisfies applicable domestic preference requirements. A port willing to lead the procurement would need to be identified</w:t>
      </w:r>
      <w:r w:rsidRPr="00EA1BFE" w:rsidR="001D0C2F">
        <w:rPr>
          <w:rFonts w:ascii="Times New Roman" w:hAnsi="Times New Roman"/>
          <w:bCs/>
          <w:sz w:val="24"/>
          <w:szCs w:val="24"/>
        </w:rPr>
        <w:t xml:space="preserve"> </w:t>
      </w:r>
      <w:r w:rsidRPr="00EA1BFE" w:rsidR="002C1470">
        <w:rPr>
          <w:rFonts w:ascii="Times New Roman" w:hAnsi="Times New Roman"/>
          <w:bCs/>
          <w:sz w:val="24"/>
          <w:szCs w:val="24"/>
        </w:rPr>
        <w:t xml:space="preserve">to </w:t>
      </w:r>
      <w:r w:rsidRPr="00EA1BFE" w:rsidR="00A87E8C">
        <w:rPr>
          <w:rFonts w:ascii="Times New Roman" w:hAnsi="Times New Roman"/>
          <w:bCs/>
          <w:sz w:val="24"/>
          <w:szCs w:val="24"/>
        </w:rPr>
        <w:t xml:space="preserve">facilitate </w:t>
      </w:r>
      <w:r w:rsidR="00143449">
        <w:rPr>
          <w:rFonts w:ascii="Times New Roman" w:hAnsi="Times New Roman"/>
          <w:bCs/>
          <w:sz w:val="24"/>
          <w:szCs w:val="24"/>
        </w:rPr>
        <w:t xml:space="preserve">the </w:t>
      </w:r>
      <w:r w:rsidRPr="00EA1BFE">
        <w:rPr>
          <w:rFonts w:ascii="Times New Roman" w:hAnsi="Times New Roman"/>
          <w:bCs/>
          <w:sz w:val="24"/>
          <w:szCs w:val="24"/>
        </w:rPr>
        <w:t>develop</w:t>
      </w:r>
      <w:r w:rsidRPr="00EA1BFE" w:rsidR="00A87E8C">
        <w:rPr>
          <w:rFonts w:ascii="Times New Roman" w:hAnsi="Times New Roman"/>
          <w:bCs/>
          <w:sz w:val="24"/>
          <w:szCs w:val="24"/>
        </w:rPr>
        <w:t>ment of</w:t>
      </w:r>
      <w:r w:rsidRPr="00EA1BFE">
        <w:rPr>
          <w:rFonts w:ascii="Times New Roman" w:hAnsi="Times New Roman"/>
          <w:bCs/>
          <w:sz w:val="24"/>
          <w:szCs w:val="24"/>
        </w:rPr>
        <w:t xml:space="preserve"> an initial statement of work</w:t>
      </w:r>
      <w:r w:rsidRPr="00EA1BFE" w:rsidR="000B5DF9">
        <w:rPr>
          <w:rFonts w:ascii="Times New Roman" w:hAnsi="Times New Roman"/>
          <w:bCs/>
          <w:sz w:val="24"/>
          <w:szCs w:val="24"/>
        </w:rPr>
        <w:t>. This port</w:t>
      </w:r>
      <w:r w:rsidRPr="00EA1BFE">
        <w:rPr>
          <w:rFonts w:ascii="Times New Roman" w:hAnsi="Times New Roman"/>
          <w:bCs/>
          <w:sz w:val="24"/>
          <w:szCs w:val="24"/>
        </w:rPr>
        <w:t xml:space="preserve"> </w:t>
      </w:r>
      <w:r w:rsidRPr="00EA1BFE" w:rsidR="00A87E8C">
        <w:rPr>
          <w:rFonts w:ascii="Times New Roman" w:hAnsi="Times New Roman"/>
          <w:bCs/>
          <w:sz w:val="24"/>
          <w:szCs w:val="24"/>
        </w:rPr>
        <w:t xml:space="preserve">could </w:t>
      </w:r>
      <w:r w:rsidRPr="00EA1BFE">
        <w:rPr>
          <w:rFonts w:ascii="Times New Roman" w:hAnsi="Times New Roman"/>
          <w:bCs/>
          <w:sz w:val="24"/>
          <w:szCs w:val="24"/>
        </w:rPr>
        <w:t xml:space="preserve">then </w:t>
      </w:r>
      <w:r w:rsidRPr="00EA1BFE" w:rsidR="00A87E8C">
        <w:rPr>
          <w:rFonts w:ascii="Times New Roman" w:hAnsi="Times New Roman"/>
          <w:bCs/>
          <w:sz w:val="24"/>
          <w:szCs w:val="24"/>
        </w:rPr>
        <w:t>be used as a model by</w:t>
      </w:r>
      <w:r w:rsidRPr="00EA1BFE">
        <w:rPr>
          <w:rFonts w:ascii="Times New Roman" w:hAnsi="Times New Roman"/>
          <w:bCs/>
          <w:sz w:val="24"/>
          <w:szCs w:val="24"/>
        </w:rPr>
        <w:t xml:space="preserve"> other ports to acquire</w:t>
      </w:r>
      <w:r w:rsidRPr="00EA1BFE" w:rsidR="00A87E8C">
        <w:rPr>
          <w:rFonts w:ascii="Times New Roman" w:hAnsi="Times New Roman"/>
          <w:bCs/>
          <w:sz w:val="24"/>
          <w:szCs w:val="24"/>
        </w:rPr>
        <w:t xml:space="preserve"> needed</w:t>
      </w:r>
      <w:r w:rsidRPr="00EA1BFE">
        <w:rPr>
          <w:rFonts w:ascii="Times New Roman" w:hAnsi="Times New Roman"/>
          <w:bCs/>
          <w:sz w:val="24"/>
          <w:szCs w:val="24"/>
        </w:rPr>
        <w:t xml:space="preserve"> equipment through their own acquisition processes. </w:t>
      </w:r>
      <w:r w:rsidR="00FE3F3C">
        <w:rPr>
          <w:rFonts w:ascii="Times New Roman" w:hAnsi="Times New Roman"/>
          <w:bCs/>
          <w:sz w:val="24"/>
          <w:szCs w:val="24"/>
        </w:rPr>
        <w:t>T</w:t>
      </w:r>
      <w:r w:rsidRPr="00EA1BFE">
        <w:rPr>
          <w:rFonts w:ascii="Times New Roman" w:hAnsi="Times New Roman"/>
          <w:bCs/>
          <w:sz w:val="24"/>
          <w:szCs w:val="24"/>
        </w:rPr>
        <w:t>his acquisition process would be compliant with Federal grant requirements.</w:t>
      </w:r>
    </w:p>
    <w:p w:rsidR="00EA1BFE" w:rsidRPr="00EA1BFE" w:rsidP="00EA1BFE" w14:paraId="0D22D9D4" w14:textId="77777777">
      <w:pPr>
        <w:numPr>
          <w:ilvl w:val="0"/>
          <w:numId w:val="13"/>
        </w:numPr>
        <w:tabs>
          <w:tab w:val="left" w:pos="-1440"/>
          <w:tab w:val="left" w:pos="-720"/>
        </w:tabs>
        <w:spacing w:before="240"/>
        <w:rPr>
          <w:rFonts w:ascii="Times New Roman" w:hAnsi="Times New Roman"/>
          <w:bCs/>
          <w:sz w:val="24"/>
          <w:szCs w:val="24"/>
        </w:rPr>
      </w:pPr>
      <w:r w:rsidRPr="00EA1BFE">
        <w:rPr>
          <w:rFonts w:ascii="Times New Roman" w:hAnsi="Times New Roman"/>
          <w:b/>
          <w:sz w:val="24"/>
          <w:szCs w:val="24"/>
        </w:rPr>
        <w:t>Purpose and Use of Information Collection</w:t>
      </w:r>
    </w:p>
    <w:p w:rsidR="00C76C82" w:rsidRPr="00EA1BFE" w:rsidP="00EA1BFE" w14:paraId="0D0B412B"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AAPA</w:t>
      </w:r>
      <w:r w:rsidR="00E256B7">
        <w:rPr>
          <w:rFonts w:ascii="Times New Roman" w:hAnsi="Times New Roman"/>
          <w:bCs/>
          <w:sz w:val="24"/>
          <w:szCs w:val="24"/>
        </w:rPr>
        <w:t xml:space="preserve">, </w:t>
      </w:r>
      <w:r w:rsidRPr="00EA1BFE">
        <w:rPr>
          <w:rFonts w:ascii="Times New Roman" w:hAnsi="Times New Roman"/>
          <w:bCs/>
          <w:sz w:val="24"/>
          <w:szCs w:val="24"/>
        </w:rPr>
        <w:t>utilizing a cooperative agreement with the U.S. Department of Transportation’s Maritime Administration</w:t>
      </w:r>
      <w:r w:rsidRPr="00EA1BFE" w:rsidR="00BA2089">
        <w:rPr>
          <w:rFonts w:ascii="Times New Roman" w:hAnsi="Times New Roman"/>
          <w:bCs/>
          <w:sz w:val="24"/>
          <w:szCs w:val="24"/>
        </w:rPr>
        <w:t xml:space="preserve"> (</w:t>
      </w:r>
      <w:r w:rsidRPr="00EA1BFE">
        <w:rPr>
          <w:rFonts w:ascii="Times New Roman" w:hAnsi="Times New Roman"/>
          <w:bCs/>
          <w:sz w:val="24"/>
          <w:szCs w:val="24"/>
        </w:rPr>
        <w:t>MARAD)</w:t>
      </w:r>
      <w:r w:rsidR="00E256B7">
        <w:rPr>
          <w:rFonts w:ascii="Times New Roman" w:hAnsi="Times New Roman"/>
          <w:bCs/>
          <w:sz w:val="24"/>
          <w:szCs w:val="24"/>
        </w:rPr>
        <w:t>,</w:t>
      </w:r>
      <w:r w:rsidRPr="00EA1BFE">
        <w:rPr>
          <w:rFonts w:ascii="Times New Roman" w:hAnsi="Times New Roman"/>
          <w:bCs/>
          <w:sz w:val="24"/>
          <w:szCs w:val="24"/>
        </w:rPr>
        <w:t xml:space="preserve"> seeks to identify the aggregated needs of port authorities and marine terminal operators nationally over the coming five to ten </w:t>
      </w:r>
      <w:r w:rsidRPr="00EA1BFE" w:rsidR="005D4AE6">
        <w:rPr>
          <w:rFonts w:ascii="Times New Roman" w:hAnsi="Times New Roman"/>
          <w:bCs/>
          <w:sz w:val="24"/>
          <w:szCs w:val="24"/>
        </w:rPr>
        <w:t>years and</w:t>
      </w:r>
      <w:r w:rsidRPr="00EA1BFE">
        <w:rPr>
          <w:rFonts w:ascii="Times New Roman" w:hAnsi="Times New Roman"/>
          <w:bCs/>
          <w:sz w:val="24"/>
          <w:szCs w:val="24"/>
        </w:rPr>
        <w:t xml:space="preserve"> assess the feasibility of a pool procurement model sourcing electric</w:t>
      </w:r>
      <w:r w:rsidRPr="00EA1BFE" w:rsidR="00907D92">
        <w:rPr>
          <w:rFonts w:ascii="Times New Roman" w:hAnsi="Times New Roman"/>
          <w:bCs/>
          <w:sz w:val="24"/>
          <w:szCs w:val="24"/>
        </w:rPr>
        <w:t>ally powered</w:t>
      </w:r>
      <w:r w:rsidRPr="00EA1BFE">
        <w:rPr>
          <w:rFonts w:ascii="Times New Roman" w:hAnsi="Times New Roman"/>
          <w:bCs/>
          <w:sz w:val="24"/>
          <w:szCs w:val="24"/>
        </w:rPr>
        <w:t xml:space="preserve"> port equipment and port items. </w:t>
      </w:r>
    </w:p>
    <w:p w:rsidR="008D7F11" w:rsidRPr="00EA1BFE" w:rsidP="00EA1BFE" w14:paraId="03CFD1B9"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There are two elements to the proposed information collection:</w:t>
      </w:r>
    </w:p>
    <w:p w:rsidR="008D7F11" w:rsidRPr="00B42A03" w:rsidP="00EA1BFE" w14:paraId="56AD5FCA" w14:textId="77777777">
      <w:pPr>
        <w:pStyle w:val="BodyText3"/>
        <w:numPr>
          <w:ilvl w:val="0"/>
          <w:numId w:val="19"/>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60"/>
        <w:ind w:left="1440"/>
        <w:rPr>
          <w:rFonts w:ascii="Times New Roman" w:hAnsi="Times New Roman"/>
          <w:color w:val="auto"/>
        </w:rPr>
      </w:pPr>
      <w:r w:rsidRPr="00B609F4">
        <w:rPr>
          <w:rFonts w:ascii="Times New Roman" w:hAnsi="Times New Roman"/>
          <w:color w:val="auto"/>
        </w:rPr>
        <w:t xml:space="preserve">A survey of </w:t>
      </w:r>
      <w:r w:rsidRPr="00B42A03">
        <w:rPr>
          <w:rFonts w:ascii="Times New Roman" w:hAnsi="Times New Roman"/>
          <w:color w:val="auto"/>
        </w:rPr>
        <w:t>port authorities and marine terminal operators.</w:t>
      </w:r>
    </w:p>
    <w:p w:rsidR="008D7F11" w:rsidRPr="00B609F4" w:rsidP="00EA1BFE" w14:paraId="5440A5B5" w14:textId="77777777">
      <w:pPr>
        <w:pStyle w:val="BodyText3"/>
        <w:numPr>
          <w:ilvl w:val="0"/>
          <w:numId w:val="19"/>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60"/>
        <w:ind w:left="1440"/>
        <w:rPr>
          <w:rFonts w:ascii="Times New Roman" w:hAnsi="Times New Roman"/>
          <w:color w:val="auto"/>
        </w:rPr>
      </w:pPr>
      <w:r w:rsidRPr="00B42A03">
        <w:rPr>
          <w:rFonts w:ascii="Times New Roman" w:hAnsi="Times New Roman"/>
          <w:color w:val="auto"/>
        </w:rPr>
        <w:t>Interviews of equipment manufacturers.</w:t>
      </w:r>
    </w:p>
    <w:p w:rsidR="003B0144" w:rsidRPr="00EA1BFE" w:rsidP="00EA1BFE" w14:paraId="4F21E054" w14:textId="53E590BC">
      <w:pPr>
        <w:pStyle w:val="ListParagraph"/>
        <w:tabs>
          <w:tab w:val="left" w:pos="-1440"/>
          <w:tab w:val="left" w:pos="-720"/>
        </w:tabs>
        <w:spacing w:before="120"/>
        <w:contextualSpacing w:val="0"/>
        <w:rPr>
          <w:rFonts w:ascii="Times New Roman" w:hAnsi="Times New Roman"/>
          <w:bCs/>
          <w:sz w:val="24"/>
          <w:szCs w:val="24"/>
        </w:rPr>
      </w:pPr>
      <w:r w:rsidRPr="00970B66">
        <w:rPr>
          <w:rFonts w:ascii="Times New Roman" w:hAnsi="Times New Roman"/>
          <w:b/>
          <w:sz w:val="24"/>
          <w:szCs w:val="24"/>
        </w:rPr>
        <w:t>Survey.</w:t>
      </w:r>
      <w:r>
        <w:rPr>
          <w:rFonts w:ascii="Times New Roman" w:hAnsi="Times New Roman"/>
          <w:bCs/>
          <w:sz w:val="24"/>
          <w:szCs w:val="24"/>
        </w:rPr>
        <w:t xml:space="preserve"> </w:t>
      </w:r>
      <w:r w:rsidRPr="00EA1BFE" w:rsidR="00B050F8">
        <w:rPr>
          <w:rFonts w:ascii="Times New Roman" w:hAnsi="Times New Roman"/>
          <w:bCs/>
          <w:sz w:val="24"/>
          <w:szCs w:val="24"/>
        </w:rPr>
        <w:t xml:space="preserve">The </w:t>
      </w:r>
      <w:r w:rsidRPr="00EA1BFE" w:rsidR="00213E4D">
        <w:rPr>
          <w:rFonts w:ascii="Times New Roman" w:hAnsi="Times New Roman"/>
          <w:bCs/>
          <w:sz w:val="24"/>
          <w:szCs w:val="24"/>
        </w:rPr>
        <w:t xml:space="preserve">survey </w:t>
      </w:r>
      <w:r w:rsidRPr="00EA1BFE" w:rsidR="008D7F11">
        <w:rPr>
          <w:rFonts w:ascii="Times New Roman" w:hAnsi="Times New Roman"/>
          <w:bCs/>
          <w:sz w:val="24"/>
          <w:szCs w:val="24"/>
        </w:rPr>
        <w:t>of</w:t>
      </w:r>
      <w:r w:rsidRPr="00EA1BFE" w:rsidR="00213E4D">
        <w:rPr>
          <w:rFonts w:ascii="Times New Roman" w:hAnsi="Times New Roman"/>
          <w:bCs/>
          <w:sz w:val="24"/>
          <w:szCs w:val="24"/>
        </w:rPr>
        <w:t xml:space="preserve"> </w:t>
      </w:r>
      <w:r w:rsidRPr="00EA1BFE" w:rsidR="008D7F11">
        <w:rPr>
          <w:rFonts w:ascii="Times New Roman" w:hAnsi="Times New Roman"/>
          <w:bCs/>
          <w:sz w:val="24"/>
          <w:szCs w:val="24"/>
        </w:rPr>
        <w:t xml:space="preserve">port authorities and marine terminal operators is </w:t>
      </w:r>
      <w:r w:rsidRPr="00EA1BFE" w:rsidR="00FE79C7">
        <w:rPr>
          <w:rFonts w:ascii="Times New Roman" w:hAnsi="Times New Roman"/>
          <w:bCs/>
          <w:sz w:val="24"/>
          <w:szCs w:val="24"/>
        </w:rPr>
        <w:t>intended to</w:t>
      </w:r>
      <w:r w:rsidRPr="00EA1BFE" w:rsidR="00B050F8">
        <w:rPr>
          <w:rFonts w:ascii="Times New Roman" w:hAnsi="Times New Roman"/>
          <w:bCs/>
          <w:sz w:val="24"/>
          <w:szCs w:val="24"/>
        </w:rPr>
        <w:t xml:space="preserve"> identify </w:t>
      </w:r>
      <w:r w:rsidRPr="00EA1BFE" w:rsidR="00FE79C7">
        <w:rPr>
          <w:rFonts w:ascii="Times New Roman" w:hAnsi="Times New Roman"/>
          <w:bCs/>
          <w:sz w:val="24"/>
          <w:szCs w:val="24"/>
        </w:rPr>
        <w:t xml:space="preserve">the </w:t>
      </w:r>
      <w:r w:rsidRPr="00EA1BFE" w:rsidR="008D7F11">
        <w:rPr>
          <w:rFonts w:ascii="Times New Roman" w:hAnsi="Times New Roman"/>
          <w:bCs/>
          <w:sz w:val="24"/>
          <w:szCs w:val="24"/>
        </w:rPr>
        <w:t xml:space="preserve">1) </w:t>
      </w:r>
      <w:r w:rsidRPr="00EA1BFE" w:rsidR="00B050F8">
        <w:rPr>
          <w:rFonts w:ascii="Times New Roman" w:hAnsi="Times New Roman"/>
          <w:bCs/>
          <w:sz w:val="24"/>
          <w:szCs w:val="24"/>
        </w:rPr>
        <w:t>demand for electric</w:t>
      </w:r>
      <w:r w:rsidRPr="00EA1BFE" w:rsidR="00BA2089">
        <w:rPr>
          <w:rFonts w:ascii="Times New Roman" w:hAnsi="Times New Roman"/>
          <w:bCs/>
          <w:sz w:val="24"/>
          <w:szCs w:val="24"/>
        </w:rPr>
        <w:t>ally powered</w:t>
      </w:r>
      <w:r w:rsidRPr="00EA1BFE" w:rsidR="009F5F5F">
        <w:rPr>
          <w:rFonts w:ascii="Times New Roman" w:hAnsi="Times New Roman"/>
          <w:bCs/>
          <w:sz w:val="24"/>
          <w:szCs w:val="24"/>
        </w:rPr>
        <w:t xml:space="preserve"> </w:t>
      </w:r>
      <w:r w:rsidRPr="00EA1BFE" w:rsidR="00B050F8">
        <w:rPr>
          <w:rFonts w:ascii="Times New Roman" w:hAnsi="Times New Roman"/>
          <w:bCs/>
          <w:sz w:val="24"/>
          <w:szCs w:val="24"/>
        </w:rPr>
        <w:t xml:space="preserve">port </w:t>
      </w:r>
      <w:r w:rsidRPr="00EA1BFE" w:rsidR="00213E4D">
        <w:rPr>
          <w:rFonts w:ascii="Times New Roman" w:hAnsi="Times New Roman"/>
          <w:bCs/>
          <w:sz w:val="24"/>
          <w:szCs w:val="24"/>
        </w:rPr>
        <w:t>cargo handling equipment (CHE)</w:t>
      </w:r>
      <w:r w:rsidRPr="00EA1BFE" w:rsidR="00CE65AB">
        <w:rPr>
          <w:rFonts w:ascii="Times New Roman" w:hAnsi="Times New Roman"/>
          <w:bCs/>
          <w:sz w:val="24"/>
          <w:szCs w:val="24"/>
        </w:rPr>
        <w:t>,</w:t>
      </w:r>
      <w:r w:rsidRPr="00EA1BFE" w:rsidR="00213E4D">
        <w:rPr>
          <w:rFonts w:ascii="Times New Roman" w:hAnsi="Times New Roman"/>
          <w:bCs/>
          <w:sz w:val="24"/>
          <w:szCs w:val="24"/>
        </w:rPr>
        <w:t xml:space="preserve"> </w:t>
      </w:r>
      <w:r w:rsidRPr="00EA1BFE" w:rsidR="00B050F8">
        <w:rPr>
          <w:rFonts w:ascii="Times New Roman" w:hAnsi="Times New Roman"/>
          <w:bCs/>
          <w:sz w:val="24"/>
          <w:szCs w:val="24"/>
        </w:rPr>
        <w:t>and</w:t>
      </w:r>
      <w:r w:rsidRPr="00EA1BFE" w:rsidR="00213E4D">
        <w:rPr>
          <w:rFonts w:ascii="Times New Roman" w:hAnsi="Times New Roman"/>
          <w:bCs/>
          <w:sz w:val="24"/>
          <w:szCs w:val="24"/>
        </w:rPr>
        <w:t xml:space="preserve"> other port equipment potentially</w:t>
      </w:r>
      <w:r w:rsidRPr="00EA1BFE" w:rsidR="00B050F8">
        <w:rPr>
          <w:rFonts w:ascii="Times New Roman" w:hAnsi="Times New Roman"/>
          <w:bCs/>
          <w:sz w:val="24"/>
          <w:szCs w:val="24"/>
        </w:rPr>
        <w:t xml:space="preserve"> </w:t>
      </w:r>
      <w:r w:rsidRPr="00EA1BFE" w:rsidR="00213E4D">
        <w:rPr>
          <w:rFonts w:ascii="Times New Roman" w:hAnsi="Times New Roman"/>
          <w:bCs/>
          <w:sz w:val="24"/>
          <w:szCs w:val="24"/>
        </w:rPr>
        <w:t>subject to</w:t>
      </w:r>
      <w:r w:rsidRPr="00EA1BFE" w:rsidR="00B050F8">
        <w:rPr>
          <w:rFonts w:ascii="Times New Roman" w:hAnsi="Times New Roman"/>
          <w:bCs/>
          <w:sz w:val="24"/>
          <w:szCs w:val="24"/>
        </w:rPr>
        <w:t xml:space="preserve"> pooled procurement in support of Buy American/Buy America objectives</w:t>
      </w:r>
      <w:r w:rsidRPr="00EA1BFE" w:rsidR="008D7F11">
        <w:rPr>
          <w:rFonts w:ascii="Times New Roman" w:hAnsi="Times New Roman"/>
          <w:bCs/>
          <w:sz w:val="24"/>
          <w:szCs w:val="24"/>
        </w:rPr>
        <w:t xml:space="preserve">, and 2) interest in a pooled procurement model. </w:t>
      </w:r>
      <w:r w:rsidRPr="00EA1BFE" w:rsidR="00573F92">
        <w:rPr>
          <w:rFonts w:ascii="Times New Roman" w:hAnsi="Times New Roman"/>
          <w:bCs/>
          <w:sz w:val="24"/>
          <w:szCs w:val="24"/>
        </w:rPr>
        <w:t xml:space="preserve">The survey format has been chosen because the information sought is relatively well-structured and should be found in existing organizational documents and plans. Initial dissemination will be via email. </w:t>
      </w:r>
      <w:r w:rsidRPr="00EA1BFE" w:rsidR="008D7F11">
        <w:rPr>
          <w:rFonts w:ascii="Times New Roman" w:hAnsi="Times New Roman"/>
          <w:bCs/>
          <w:sz w:val="24"/>
          <w:szCs w:val="24"/>
        </w:rPr>
        <w:t>Port respondents will be contacted by AAPA</w:t>
      </w:r>
      <w:r w:rsidRPr="00EA1BFE" w:rsidR="005D4AE6">
        <w:rPr>
          <w:rFonts w:ascii="Times New Roman" w:hAnsi="Times New Roman"/>
          <w:bCs/>
          <w:sz w:val="24"/>
          <w:szCs w:val="24"/>
        </w:rPr>
        <w:t>, while</w:t>
      </w:r>
      <w:r w:rsidRPr="00EA1BFE" w:rsidR="008D7F11">
        <w:rPr>
          <w:rFonts w:ascii="Times New Roman" w:hAnsi="Times New Roman"/>
          <w:bCs/>
          <w:sz w:val="24"/>
          <w:szCs w:val="24"/>
        </w:rPr>
        <w:t xml:space="preserve"> marine and terminal operators will be contacted by the contractor </w:t>
      </w:r>
      <w:r w:rsidRPr="00EA1BFE" w:rsidR="00573F92">
        <w:rPr>
          <w:rFonts w:ascii="Times New Roman" w:hAnsi="Times New Roman"/>
          <w:bCs/>
          <w:sz w:val="24"/>
          <w:szCs w:val="24"/>
        </w:rPr>
        <w:t>(Tioga)</w:t>
      </w:r>
      <w:r w:rsidRPr="00EA1BFE" w:rsidR="008D7F11">
        <w:rPr>
          <w:rFonts w:ascii="Times New Roman" w:hAnsi="Times New Roman"/>
          <w:bCs/>
          <w:sz w:val="24"/>
          <w:szCs w:val="24"/>
        </w:rPr>
        <w:t xml:space="preserve"> through the National Association of Waterfront Employers (NAWE). The contractor will use Survey Monkey or another comparable </w:t>
      </w:r>
      <w:r w:rsidR="00F369BC">
        <w:rPr>
          <w:rFonts w:ascii="Times New Roman" w:hAnsi="Times New Roman"/>
          <w:bCs/>
          <w:sz w:val="24"/>
          <w:szCs w:val="24"/>
        </w:rPr>
        <w:t>online</w:t>
      </w:r>
      <w:r w:rsidRPr="00EA1BFE" w:rsidR="008D7F11">
        <w:rPr>
          <w:rFonts w:ascii="Times New Roman" w:hAnsi="Times New Roman"/>
          <w:bCs/>
          <w:sz w:val="24"/>
          <w:szCs w:val="24"/>
        </w:rPr>
        <w:t xml:space="preserve"> platform.</w:t>
      </w:r>
      <w:r w:rsidRPr="00EA1BFE" w:rsidR="00573F92">
        <w:rPr>
          <w:rFonts w:ascii="Times New Roman" w:hAnsi="Times New Roman"/>
          <w:bCs/>
          <w:sz w:val="24"/>
          <w:szCs w:val="24"/>
        </w:rPr>
        <w:t xml:space="preserve"> The contractor will offer options for written or email replies for respondents unable or unwilling to use the </w:t>
      </w:r>
      <w:r w:rsidR="00F369BC">
        <w:rPr>
          <w:rFonts w:ascii="Times New Roman" w:hAnsi="Times New Roman"/>
          <w:bCs/>
          <w:sz w:val="24"/>
          <w:szCs w:val="24"/>
        </w:rPr>
        <w:t>online</w:t>
      </w:r>
      <w:r w:rsidRPr="00EA1BFE" w:rsidR="00573F92">
        <w:rPr>
          <w:rFonts w:ascii="Times New Roman" w:hAnsi="Times New Roman"/>
          <w:bCs/>
          <w:sz w:val="24"/>
          <w:szCs w:val="24"/>
        </w:rPr>
        <w:t xml:space="preserve"> platform.</w:t>
      </w:r>
    </w:p>
    <w:p w:rsidR="00C76C82" w:rsidRPr="00EA1BFE" w:rsidP="00EA1BFE" w14:paraId="61A7CC9B"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The s</w:t>
      </w:r>
      <w:r w:rsidRPr="00EA1BFE" w:rsidR="003B0144">
        <w:rPr>
          <w:rFonts w:ascii="Times New Roman" w:hAnsi="Times New Roman"/>
          <w:bCs/>
          <w:sz w:val="24"/>
          <w:szCs w:val="24"/>
        </w:rPr>
        <w:t xml:space="preserve">elected contractor </w:t>
      </w:r>
      <w:r w:rsidRPr="00EA1BFE" w:rsidR="00573F92">
        <w:rPr>
          <w:rFonts w:ascii="Times New Roman" w:hAnsi="Times New Roman"/>
          <w:bCs/>
          <w:sz w:val="24"/>
          <w:szCs w:val="24"/>
        </w:rPr>
        <w:t>will collect and use</w:t>
      </w:r>
      <w:r w:rsidRPr="00EA1BFE">
        <w:rPr>
          <w:rFonts w:ascii="Times New Roman" w:hAnsi="Times New Roman"/>
          <w:bCs/>
          <w:sz w:val="24"/>
          <w:szCs w:val="24"/>
        </w:rPr>
        <w:t xml:space="preserve"> the survey results to develop an estimate of the demand and market size</w:t>
      </w:r>
      <w:r w:rsidR="002B333E">
        <w:rPr>
          <w:rFonts w:ascii="Times New Roman" w:hAnsi="Times New Roman"/>
          <w:bCs/>
          <w:sz w:val="24"/>
          <w:szCs w:val="24"/>
        </w:rPr>
        <w:t>,</w:t>
      </w:r>
      <w:r w:rsidRPr="00EA1BFE">
        <w:rPr>
          <w:rFonts w:ascii="Times New Roman" w:hAnsi="Times New Roman"/>
          <w:bCs/>
          <w:sz w:val="24"/>
          <w:szCs w:val="24"/>
        </w:rPr>
        <w:t xml:space="preserve"> lead/lag time for pooled procurement of U.S.-manufactured electric CHE</w:t>
      </w:r>
      <w:r w:rsidRPr="00EA1BFE" w:rsidR="005D4AE6">
        <w:rPr>
          <w:rFonts w:ascii="Times New Roman" w:hAnsi="Times New Roman"/>
          <w:bCs/>
          <w:sz w:val="24"/>
          <w:szCs w:val="24"/>
        </w:rPr>
        <w:t>,</w:t>
      </w:r>
      <w:r w:rsidRPr="00EA1BFE">
        <w:rPr>
          <w:rFonts w:ascii="Times New Roman" w:hAnsi="Times New Roman"/>
          <w:bCs/>
          <w:sz w:val="24"/>
          <w:szCs w:val="24"/>
        </w:rPr>
        <w:t xml:space="preserve"> and other relevant port equipment in the </w:t>
      </w:r>
      <w:r w:rsidRPr="00EA1BFE" w:rsidR="00BA2089">
        <w:rPr>
          <w:rFonts w:ascii="Times New Roman" w:hAnsi="Times New Roman"/>
          <w:bCs/>
          <w:sz w:val="24"/>
          <w:szCs w:val="24"/>
        </w:rPr>
        <w:t>U.S</w:t>
      </w:r>
      <w:r w:rsidRPr="00EA1BFE" w:rsidR="003B0144">
        <w:rPr>
          <w:rFonts w:ascii="Times New Roman" w:hAnsi="Times New Roman"/>
          <w:bCs/>
          <w:sz w:val="24"/>
          <w:szCs w:val="24"/>
        </w:rPr>
        <w:t>. The contractor will also identify</w:t>
      </w:r>
      <w:r w:rsidRPr="00EA1BFE">
        <w:rPr>
          <w:rFonts w:ascii="Times New Roman" w:hAnsi="Times New Roman"/>
          <w:bCs/>
          <w:sz w:val="24"/>
          <w:szCs w:val="24"/>
        </w:rPr>
        <w:t xml:space="preserve"> and document</w:t>
      </w:r>
      <w:r w:rsidRPr="00EA1BFE" w:rsidR="003B0144">
        <w:rPr>
          <w:rFonts w:ascii="Times New Roman" w:hAnsi="Times New Roman"/>
          <w:bCs/>
          <w:sz w:val="24"/>
          <w:szCs w:val="24"/>
        </w:rPr>
        <w:t xml:space="preserve"> the willingness of port and terminal operators to participate in a pooled procurement program</w:t>
      </w:r>
      <w:r w:rsidRPr="00EA1BFE">
        <w:rPr>
          <w:rFonts w:ascii="Times New Roman" w:hAnsi="Times New Roman"/>
          <w:bCs/>
          <w:sz w:val="24"/>
          <w:szCs w:val="24"/>
        </w:rPr>
        <w:t>.</w:t>
      </w:r>
    </w:p>
    <w:p w:rsidR="006752FD" w:rsidRPr="00EA1BFE" w:rsidP="00EA1BFE" w14:paraId="7D614B31" w14:textId="59ED463F">
      <w:pPr>
        <w:pStyle w:val="ListParagraph"/>
        <w:tabs>
          <w:tab w:val="left" w:pos="-1440"/>
          <w:tab w:val="left" w:pos="-720"/>
        </w:tabs>
        <w:spacing w:before="120"/>
        <w:contextualSpacing w:val="0"/>
        <w:rPr>
          <w:rFonts w:ascii="Times New Roman" w:hAnsi="Times New Roman"/>
          <w:bCs/>
          <w:sz w:val="24"/>
          <w:szCs w:val="24"/>
        </w:rPr>
      </w:pPr>
      <w:r w:rsidRPr="00970B66">
        <w:rPr>
          <w:rFonts w:ascii="Times New Roman" w:hAnsi="Times New Roman"/>
          <w:b/>
          <w:sz w:val="24"/>
          <w:szCs w:val="24"/>
        </w:rPr>
        <w:t xml:space="preserve">Interviews. </w:t>
      </w:r>
      <w:r w:rsidRPr="00EA1BFE" w:rsidR="00B050F8">
        <w:rPr>
          <w:rFonts w:ascii="Times New Roman" w:hAnsi="Times New Roman"/>
          <w:bCs/>
          <w:sz w:val="24"/>
          <w:szCs w:val="24"/>
        </w:rPr>
        <w:t xml:space="preserve">Manufacturers will be contacted by the contractor or through an industry association. The contractor has preliminarily identified potential manufacturer </w:t>
      </w:r>
      <w:r w:rsidRPr="00EA1BFE" w:rsidR="00B050F8">
        <w:rPr>
          <w:rFonts w:ascii="Times New Roman" w:hAnsi="Times New Roman"/>
          <w:bCs/>
          <w:sz w:val="24"/>
          <w:szCs w:val="24"/>
        </w:rPr>
        <w:t xml:space="preserve">interviewee firms through personal knowledge, industry directories, and other sources. </w:t>
      </w:r>
      <w:r w:rsidRPr="00EA1BFE" w:rsidR="007D5478">
        <w:rPr>
          <w:rFonts w:ascii="Times New Roman" w:hAnsi="Times New Roman"/>
          <w:bCs/>
          <w:sz w:val="24"/>
          <w:szCs w:val="24"/>
        </w:rPr>
        <w:t xml:space="preserve">The contractor will make initial manufacturer contacts via email, with phone follow-ups as needed. </w:t>
      </w:r>
    </w:p>
    <w:p w:rsidR="00F305D1" w:rsidRPr="00EA1BFE" w:rsidP="00EA1BFE" w14:paraId="188EA4CB"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 xml:space="preserve">The manufacturer interviews will be conducted either by phone or an </w:t>
      </w:r>
      <w:r w:rsidRPr="00EA1BFE" w:rsidR="000B5DF9">
        <w:rPr>
          <w:rFonts w:ascii="Times New Roman" w:hAnsi="Times New Roman"/>
          <w:bCs/>
          <w:sz w:val="24"/>
          <w:szCs w:val="24"/>
        </w:rPr>
        <w:t>online meeting platform</w:t>
      </w:r>
      <w:r w:rsidRPr="00EA1BFE">
        <w:rPr>
          <w:rFonts w:ascii="Times New Roman" w:hAnsi="Times New Roman"/>
          <w:bCs/>
          <w:sz w:val="24"/>
          <w:szCs w:val="24"/>
        </w:rPr>
        <w:t xml:space="preserve"> (e.g., Teams or Zoom), based on respondent preference. Respondents may also respond to the interview in writing</w:t>
      </w:r>
      <w:r w:rsidR="00925D32">
        <w:rPr>
          <w:rFonts w:ascii="Times New Roman" w:hAnsi="Times New Roman"/>
          <w:bCs/>
          <w:sz w:val="24"/>
          <w:szCs w:val="24"/>
        </w:rPr>
        <w:t xml:space="preserve"> </w:t>
      </w:r>
      <w:r w:rsidRPr="00EA1BFE">
        <w:rPr>
          <w:rFonts w:ascii="Times New Roman" w:hAnsi="Times New Roman"/>
          <w:bCs/>
          <w:sz w:val="24"/>
          <w:szCs w:val="24"/>
        </w:rPr>
        <w:t xml:space="preserve">by completing and sending an electronic form by email. </w:t>
      </w:r>
    </w:p>
    <w:p w:rsidR="003B0144" w:rsidRPr="002D141A" w:rsidP="00EA1BFE" w14:paraId="3354BB51" w14:textId="77777777">
      <w:pPr>
        <w:pStyle w:val="ListParagraph"/>
        <w:tabs>
          <w:tab w:val="left" w:pos="-1440"/>
          <w:tab w:val="left" w:pos="-720"/>
        </w:tabs>
        <w:spacing w:before="120"/>
        <w:contextualSpacing w:val="0"/>
        <w:rPr>
          <w:rFonts w:ascii="Times New Roman" w:hAnsi="Times New Roman"/>
          <w:sz w:val="24"/>
          <w:szCs w:val="24"/>
        </w:rPr>
      </w:pPr>
      <w:r w:rsidRPr="00EA1BFE">
        <w:rPr>
          <w:rFonts w:ascii="Times New Roman" w:hAnsi="Times New Roman"/>
          <w:bCs/>
          <w:sz w:val="24"/>
          <w:szCs w:val="24"/>
        </w:rPr>
        <w:t xml:space="preserve">The contractor will </w:t>
      </w:r>
      <w:r w:rsidRPr="00EA1BFE" w:rsidR="006752FD">
        <w:rPr>
          <w:rFonts w:ascii="Times New Roman" w:hAnsi="Times New Roman"/>
          <w:bCs/>
          <w:sz w:val="24"/>
          <w:szCs w:val="24"/>
        </w:rPr>
        <w:t xml:space="preserve">compile and </w:t>
      </w:r>
      <w:r w:rsidRPr="00EA1BFE">
        <w:rPr>
          <w:rFonts w:ascii="Times New Roman" w:hAnsi="Times New Roman"/>
          <w:bCs/>
          <w:sz w:val="24"/>
          <w:szCs w:val="24"/>
        </w:rPr>
        <w:t>use the manufacturer interview</w:t>
      </w:r>
      <w:r w:rsidRPr="00EA1BFE" w:rsidR="006752FD">
        <w:rPr>
          <w:rFonts w:ascii="Times New Roman" w:hAnsi="Times New Roman"/>
          <w:bCs/>
          <w:sz w:val="24"/>
          <w:szCs w:val="24"/>
        </w:rPr>
        <w:t xml:space="preserve"> results </w:t>
      </w:r>
      <w:r w:rsidRPr="00EA1BFE">
        <w:rPr>
          <w:rFonts w:ascii="Times New Roman" w:hAnsi="Times New Roman"/>
          <w:bCs/>
          <w:sz w:val="24"/>
          <w:szCs w:val="24"/>
        </w:rPr>
        <w:t>to assess</w:t>
      </w:r>
      <w:r w:rsidRPr="00EA1BFE" w:rsidR="00213E4D">
        <w:rPr>
          <w:rFonts w:ascii="Times New Roman" w:hAnsi="Times New Roman"/>
          <w:bCs/>
          <w:sz w:val="24"/>
          <w:szCs w:val="24"/>
        </w:rPr>
        <w:t xml:space="preserve"> the interest and capability of U.S. and foreign manufacturers to produce </w:t>
      </w:r>
      <w:r w:rsidRPr="00EA1BFE">
        <w:rPr>
          <w:rFonts w:ascii="Times New Roman" w:hAnsi="Times New Roman"/>
          <w:bCs/>
          <w:sz w:val="24"/>
          <w:szCs w:val="24"/>
        </w:rPr>
        <w:t xml:space="preserve">CHE and other relevant port </w:t>
      </w:r>
      <w:r w:rsidRPr="00EA1BFE" w:rsidR="00213E4D">
        <w:rPr>
          <w:rFonts w:ascii="Times New Roman" w:hAnsi="Times New Roman"/>
          <w:bCs/>
          <w:sz w:val="24"/>
          <w:szCs w:val="24"/>
        </w:rPr>
        <w:t>equipment in the U.S.</w:t>
      </w:r>
      <w:r w:rsidRPr="00EA1BFE">
        <w:rPr>
          <w:rFonts w:ascii="Times New Roman" w:hAnsi="Times New Roman"/>
          <w:bCs/>
          <w:sz w:val="24"/>
          <w:szCs w:val="24"/>
        </w:rPr>
        <w:t xml:space="preserve"> </w:t>
      </w:r>
      <w:r w:rsidRPr="00EA1BFE" w:rsidR="00573F92">
        <w:rPr>
          <w:rFonts w:ascii="Times New Roman" w:hAnsi="Times New Roman"/>
          <w:bCs/>
          <w:sz w:val="24"/>
          <w:szCs w:val="24"/>
        </w:rPr>
        <w:t>The interview format has been chosen for this element because the information sought is less structured, less quantified, and less likely to be found in existing documents.</w:t>
      </w:r>
      <w:r w:rsidRPr="002D141A">
        <w:rPr>
          <w:rFonts w:ascii="Times New Roman" w:hAnsi="Times New Roman"/>
          <w:sz w:val="24"/>
          <w:szCs w:val="24"/>
        </w:rPr>
        <w:t xml:space="preserve"> </w:t>
      </w:r>
    </w:p>
    <w:p w:rsidR="00E96095" w:rsidRPr="00EA1BFE" w:rsidP="00EA1BFE" w14:paraId="54A2D569" w14:textId="77777777">
      <w:pPr>
        <w:numPr>
          <w:ilvl w:val="0"/>
          <w:numId w:val="13"/>
        </w:numPr>
        <w:tabs>
          <w:tab w:val="left" w:pos="-1440"/>
          <w:tab w:val="left" w:pos="-720"/>
        </w:tabs>
        <w:spacing w:before="240"/>
        <w:rPr>
          <w:rFonts w:ascii="Times New Roman" w:hAnsi="Times New Roman"/>
          <w:b/>
          <w:sz w:val="24"/>
          <w:szCs w:val="24"/>
        </w:rPr>
      </w:pPr>
      <w:r w:rsidRPr="00B07D56">
        <w:rPr>
          <w:rFonts w:ascii="Times New Roman" w:hAnsi="Times New Roman"/>
          <w:b/>
          <w:sz w:val="24"/>
          <w:szCs w:val="24"/>
        </w:rPr>
        <w:t>A</w:t>
      </w:r>
      <w:r w:rsidRPr="00D402EB" w:rsidR="0004749E">
        <w:rPr>
          <w:rFonts w:ascii="Times New Roman" w:hAnsi="Times New Roman"/>
          <w:b/>
          <w:sz w:val="24"/>
          <w:szCs w:val="24"/>
        </w:rPr>
        <w:t>utomat</w:t>
      </w:r>
      <w:r w:rsidRPr="00D402EB">
        <w:rPr>
          <w:rFonts w:ascii="Times New Roman" w:hAnsi="Times New Roman"/>
          <w:b/>
          <w:sz w:val="24"/>
          <w:szCs w:val="24"/>
        </w:rPr>
        <w:t>ion or Use of</w:t>
      </w:r>
      <w:r w:rsidRPr="00D402EB" w:rsidR="0004749E">
        <w:rPr>
          <w:rFonts w:ascii="Times New Roman" w:hAnsi="Times New Roman"/>
          <w:b/>
          <w:sz w:val="24"/>
          <w:szCs w:val="24"/>
        </w:rPr>
        <w:t xml:space="preserve"> </w:t>
      </w:r>
      <w:r w:rsidRPr="00D402EB">
        <w:rPr>
          <w:rFonts w:ascii="Times New Roman" w:hAnsi="Times New Roman"/>
          <w:b/>
          <w:sz w:val="24"/>
          <w:szCs w:val="24"/>
        </w:rPr>
        <w:t>I</w:t>
      </w:r>
      <w:r w:rsidRPr="00D402EB" w:rsidR="0004749E">
        <w:rPr>
          <w:rFonts w:ascii="Times New Roman" w:hAnsi="Times New Roman"/>
          <w:b/>
          <w:sz w:val="24"/>
          <w:szCs w:val="24"/>
        </w:rPr>
        <w:t xml:space="preserve">nformation </w:t>
      </w:r>
      <w:r w:rsidRPr="00D402EB">
        <w:rPr>
          <w:rFonts w:ascii="Times New Roman" w:hAnsi="Times New Roman"/>
          <w:b/>
          <w:sz w:val="24"/>
          <w:szCs w:val="24"/>
        </w:rPr>
        <w:t>Technology</w:t>
      </w:r>
    </w:p>
    <w:p w:rsidR="00213E4D" w:rsidRPr="00EA1BFE" w:rsidP="00EA1BFE" w14:paraId="05E205D3" w14:textId="4FE8DB6F">
      <w:pPr>
        <w:pStyle w:val="ListParagraph"/>
        <w:tabs>
          <w:tab w:val="left" w:pos="-1440"/>
          <w:tab w:val="left" w:pos="-720"/>
        </w:tabs>
        <w:spacing w:before="120"/>
        <w:contextualSpacing w:val="0"/>
        <w:rPr>
          <w:rFonts w:ascii="Times New Roman" w:hAnsi="Times New Roman"/>
          <w:bCs/>
          <w:sz w:val="24"/>
          <w:szCs w:val="24"/>
        </w:rPr>
      </w:pPr>
      <w:r w:rsidRPr="00970B66">
        <w:rPr>
          <w:rFonts w:ascii="Times New Roman" w:hAnsi="Times New Roman"/>
          <w:b/>
          <w:sz w:val="24"/>
          <w:szCs w:val="24"/>
        </w:rPr>
        <w:t xml:space="preserve">Survey. </w:t>
      </w:r>
      <w:r w:rsidRPr="00EA1BFE" w:rsidR="00B050F8">
        <w:rPr>
          <w:rFonts w:ascii="Times New Roman" w:hAnsi="Times New Roman"/>
          <w:bCs/>
          <w:sz w:val="24"/>
          <w:szCs w:val="24"/>
        </w:rPr>
        <w:t>Th</w:t>
      </w:r>
      <w:r w:rsidRPr="00EA1BFE" w:rsidR="00907D92">
        <w:rPr>
          <w:rFonts w:ascii="Times New Roman" w:hAnsi="Times New Roman"/>
          <w:bCs/>
          <w:sz w:val="24"/>
          <w:szCs w:val="24"/>
        </w:rPr>
        <w:t>is IC</w:t>
      </w:r>
      <w:r w:rsidRPr="00EA1BFE" w:rsidR="00B050F8">
        <w:rPr>
          <w:rFonts w:ascii="Times New Roman" w:hAnsi="Times New Roman"/>
          <w:bCs/>
          <w:sz w:val="24"/>
          <w:szCs w:val="24"/>
        </w:rPr>
        <w:t xml:space="preserve"> will </w:t>
      </w:r>
      <w:r w:rsidRPr="00EA1BFE" w:rsidR="001D0C2F">
        <w:rPr>
          <w:rFonts w:ascii="Times New Roman" w:hAnsi="Times New Roman"/>
          <w:bCs/>
          <w:sz w:val="24"/>
          <w:szCs w:val="24"/>
        </w:rPr>
        <w:t xml:space="preserve">utilize information </w:t>
      </w:r>
      <w:r w:rsidRPr="00EA1BFE" w:rsidR="00B050F8">
        <w:rPr>
          <w:rFonts w:ascii="Times New Roman" w:hAnsi="Times New Roman"/>
          <w:bCs/>
          <w:sz w:val="24"/>
          <w:szCs w:val="24"/>
        </w:rPr>
        <w:t>technolog</w:t>
      </w:r>
      <w:r w:rsidRPr="00EA1BFE" w:rsidR="001D0C2F">
        <w:rPr>
          <w:rFonts w:ascii="Times New Roman" w:hAnsi="Times New Roman"/>
          <w:bCs/>
          <w:sz w:val="24"/>
          <w:szCs w:val="24"/>
        </w:rPr>
        <w:t>y</w:t>
      </w:r>
      <w:r w:rsidRPr="00EA1BFE" w:rsidR="00B050F8">
        <w:rPr>
          <w:rFonts w:ascii="Times New Roman" w:hAnsi="Times New Roman"/>
          <w:bCs/>
          <w:sz w:val="24"/>
          <w:szCs w:val="24"/>
        </w:rPr>
        <w:t xml:space="preserve"> for survey notifications, question</w:t>
      </w:r>
      <w:r w:rsidRPr="00EA1BFE" w:rsidR="001D0C2F">
        <w:rPr>
          <w:rFonts w:ascii="Times New Roman" w:hAnsi="Times New Roman"/>
          <w:bCs/>
          <w:sz w:val="24"/>
          <w:szCs w:val="24"/>
        </w:rPr>
        <w:t xml:space="preserve"> dissemination</w:t>
      </w:r>
      <w:r w:rsidRPr="00EA1BFE" w:rsidR="00B050F8">
        <w:rPr>
          <w:rFonts w:ascii="Times New Roman" w:hAnsi="Times New Roman"/>
          <w:bCs/>
          <w:sz w:val="24"/>
          <w:szCs w:val="24"/>
        </w:rPr>
        <w:t>, and</w:t>
      </w:r>
      <w:r w:rsidRPr="00EA1BFE" w:rsidR="001D0C2F">
        <w:rPr>
          <w:rFonts w:ascii="Times New Roman" w:hAnsi="Times New Roman"/>
          <w:bCs/>
          <w:sz w:val="24"/>
          <w:szCs w:val="24"/>
        </w:rPr>
        <w:t xml:space="preserve"> the compilation of</w:t>
      </w:r>
      <w:r w:rsidRPr="00EA1BFE" w:rsidR="00B050F8">
        <w:rPr>
          <w:rFonts w:ascii="Times New Roman" w:hAnsi="Times New Roman"/>
          <w:bCs/>
          <w:sz w:val="24"/>
          <w:szCs w:val="24"/>
        </w:rPr>
        <w:t xml:space="preserve"> responses. The survey will be </w:t>
      </w:r>
      <w:r w:rsidRPr="005D06CF" w:rsidR="005D06CF">
        <w:rPr>
          <w:rFonts w:ascii="Times New Roman" w:hAnsi="Times New Roman"/>
          <w:bCs/>
          <w:sz w:val="24"/>
          <w:szCs w:val="24"/>
        </w:rPr>
        <w:t xml:space="preserve">Section 508 of the Rehabilitation Act of 1973 </w:t>
      </w:r>
      <w:r w:rsidR="00D84D85">
        <w:rPr>
          <w:rFonts w:ascii="Times New Roman" w:hAnsi="Times New Roman"/>
          <w:bCs/>
          <w:sz w:val="24"/>
          <w:szCs w:val="24"/>
        </w:rPr>
        <w:t>compliant</w:t>
      </w:r>
      <w:r w:rsidRPr="00EA1BFE" w:rsidR="00B050F8">
        <w:rPr>
          <w:rFonts w:ascii="Times New Roman" w:hAnsi="Times New Roman"/>
          <w:bCs/>
          <w:sz w:val="24"/>
          <w:szCs w:val="24"/>
        </w:rPr>
        <w:t xml:space="preserve"> within the chosen platform. Electronic data submissions are estimated at over 90% for survey responses. The remaining 10% would most likely involve online meetings or phone calls</w:t>
      </w:r>
      <w:r w:rsidRPr="00EA1BFE" w:rsidR="009F3B85">
        <w:rPr>
          <w:rFonts w:ascii="Times New Roman" w:hAnsi="Times New Roman"/>
          <w:bCs/>
          <w:sz w:val="24"/>
          <w:szCs w:val="24"/>
        </w:rPr>
        <w:t>.</w:t>
      </w:r>
    </w:p>
    <w:p w:rsidR="00213E4D" w:rsidRPr="00EA1BFE" w:rsidP="00EA1BFE" w14:paraId="4B06199D" w14:textId="7DCE4EFF">
      <w:pPr>
        <w:pStyle w:val="ListParagraph"/>
        <w:tabs>
          <w:tab w:val="left" w:pos="-1440"/>
          <w:tab w:val="left" w:pos="-720"/>
        </w:tabs>
        <w:spacing w:before="120"/>
        <w:contextualSpacing w:val="0"/>
        <w:rPr>
          <w:rFonts w:ascii="Times New Roman" w:hAnsi="Times New Roman"/>
          <w:bCs/>
          <w:sz w:val="24"/>
          <w:szCs w:val="24"/>
        </w:rPr>
      </w:pPr>
      <w:r w:rsidRPr="00970B66">
        <w:rPr>
          <w:rFonts w:ascii="Times New Roman" w:hAnsi="Times New Roman"/>
          <w:b/>
          <w:sz w:val="24"/>
          <w:szCs w:val="24"/>
        </w:rPr>
        <w:t>Interviews.</w:t>
      </w:r>
      <w:r>
        <w:rPr>
          <w:rFonts w:ascii="Times New Roman" w:hAnsi="Times New Roman"/>
          <w:bCs/>
          <w:sz w:val="24"/>
          <w:szCs w:val="24"/>
        </w:rPr>
        <w:t xml:space="preserve"> </w:t>
      </w:r>
      <w:r w:rsidRPr="00EA1BFE" w:rsidR="00B050F8">
        <w:rPr>
          <w:rFonts w:ascii="Times New Roman" w:hAnsi="Times New Roman"/>
          <w:bCs/>
          <w:sz w:val="24"/>
          <w:szCs w:val="24"/>
        </w:rPr>
        <w:t xml:space="preserve">The manufacturer interviews will be conducted either by phone or in an online meeting </w:t>
      </w:r>
      <w:r w:rsidRPr="00EA1BFE" w:rsidR="005D4AE6">
        <w:rPr>
          <w:rFonts w:ascii="Times New Roman" w:hAnsi="Times New Roman"/>
          <w:bCs/>
          <w:sz w:val="24"/>
          <w:szCs w:val="24"/>
        </w:rPr>
        <w:t xml:space="preserve">platform </w:t>
      </w:r>
      <w:r w:rsidRPr="00EA1BFE" w:rsidR="00B050F8">
        <w:rPr>
          <w:rFonts w:ascii="Times New Roman" w:hAnsi="Times New Roman"/>
          <w:bCs/>
          <w:sz w:val="24"/>
          <w:szCs w:val="24"/>
        </w:rPr>
        <w:t>(e.g.</w:t>
      </w:r>
      <w:r w:rsidRPr="00EA1BFE" w:rsidR="00CE65AB">
        <w:rPr>
          <w:rFonts w:ascii="Times New Roman" w:hAnsi="Times New Roman"/>
          <w:bCs/>
          <w:sz w:val="24"/>
          <w:szCs w:val="24"/>
        </w:rPr>
        <w:t>,</w:t>
      </w:r>
      <w:r w:rsidRPr="00EA1BFE" w:rsidR="00B050F8">
        <w:rPr>
          <w:rFonts w:ascii="Times New Roman" w:hAnsi="Times New Roman"/>
          <w:bCs/>
          <w:sz w:val="24"/>
          <w:szCs w:val="24"/>
        </w:rPr>
        <w:t xml:space="preserve"> Teams or Zoom), based on respondent preference. Respondents may also respond </w:t>
      </w:r>
      <w:r w:rsidRPr="00EA1BFE" w:rsidR="00AD5990">
        <w:rPr>
          <w:rFonts w:ascii="Times New Roman" w:hAnsi="Times New Roman"/>
          <w:bCs/>
          <w:sz w:val="24"/>
          <w:szCs w:val="24"/>
        </w:rPr>
        <w:t>to the interview in</w:t>
      </w:r>
      <w:r w:rsidRPr="00EA1BFE" w:rsidR="00B050F8">
        <w:rPr>
          <w:rFonts w:ascii="Times New Roman" w:hAnsi="Times New Roman"/>
          <w:bCs/>
          <w:sz w:val="24"/>
          <w:szCs w:val="24"/>
        </w:rPr>
        <w:t xml:space="preserve"> writing</w:t>
      </w:r>
      <w:r w:rsidR="00B9290E">
        <w:rPr>
          <w:rFonts w:ascii="Times New Roman" w:hAnsi="Times New Roman"/>
          <w:bCs/>
          <w:sz w:val="24"/>
          <w:szCs w:val="24"/>
        </w:rPr>
        <w:t xml:space="preserve"> </w:t>
      </w:r>
      <w:r w:rsidRPr="00EA1BFE" w:rsidR="00CE65AB">
        <w:rPr>
          <w:rFonts w:ascii="Times New Roman" w:hAnsi="Times New Roman"/>
          <w:bCs/>
          <w:sz w:val="24"/>
          <w:szCs w:val="24"/>
        </w:rPr>
        <w:t xml:space="preserve">by </w:t>
      </w:r>
      <w:r w:rsidRPr="00EA1BFE" w:rsidR="00E65D04">
        <w:rPr>
          <w:rFonts w:ascii="Times New Roman" w:hAnsi="Times New Roman"/>
          <w:bCs/>
          <w:sz w:val="24"/>
          <w:szCs w:val="24"/>
        </w:rPr>
        <w:t>completing and sending an electronic form</w:t>
      </w:r>
      <w:r w:rsidRPr="00EA1BFE" w:rsidR="00CE65AB">
        <w:rPr>
          <w:rFonts w:ascii="Times New Roman" w:hAnsi="Times New Roman"/>
          <w:bCs/>
          <w:sz w:val="24"/>
          <w:szCs w:val="24"/>
        </w:rPr>
        <w:t xml:space="preserve"> by </w:t>
      </w:r>
      <w:r w:rsidRPr="00EA1BFE" w:rsidR="00127BC8">
        <w:rPr>
          <w:rFonts w:ascii="Times New Roman" w:hAnsi="Times New Roman"/>
          <w:bCs/>
          <w:sz w:val="24"/>
          <w:szCs w:val="24"/>
        </w:rPr>
        <w:t>email</w:t>
      </w:r>
      <w:r w:rsidRPr="00EA1BFE" w:rsidR="00E65D04">
        <w:rPr>
          <w:rFonts w:ascii="Times New Roman" w:hAnsi="Times New Roman"/>
          <w:bCs/>
          <w:sz w:val="24"/>
          <w:szCs w:val="24"/>
        </w:rPr>
        <w:t>.</w:t>
      </w:r>
      <w:r w:rsidRPr="00EA1BFE" w:rsidR="00B050F8">
        <w:rPr>
          <w:rFonts w:ascii="Times New Roman" w:hAnsi="Times New Roman"/>
          <w:bCs/>
          <w:sz w:val="24"/>
          <w:szCs w:val="24"/>
        </w:rPr>
        <w:t xml:space="preserve"> </w:t>
      </w:r>
    </w:p>
    <w:p w:rsidR="008A613B" w:rsidRPr="00EA1BFE" w:rsidP="00EA1BFE" w14:paraId="44116B16"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 xml:space="preserve">Supplemental means for </w:t>
      </w:r>
      <w:r w:rsidR="00A31433">
        <w:rPr>
          <w:rFonts w:ascii="Times New Roman" w:hAnsi="Times New Roman"/>
          <w:bCs/>
          <w:sz w:val="24"/>
          <w:szCs w:val="24"/>
        </w:rPr>
        <w:t>follow-up</w:t>
      </w:r>
      <w:r w:rsidRPr="00EA1BFE">
        <w:rPr>
          <w:rFonts w:ascii="Times New Roman" w:hAnsi="Times New Roman"/>
          <w:bCs/>
          <w:sz w:val="24"/>
          <w:szCs w:val="24"/>
        </w:rPr>
        <w:t xml:space="preserve"> discussions with survey respondents </w:t>
      </w:r>
      <w:r w:rsidRPr="00EA1BFE" w:rsidR="00213E4D">
        <w:rPr>
          <w:rFonts w:ascii="Times New Roman" w:hAnsi="Times New Roman"/>
          <w:bCs/>
          <w:sz w:val="24"/>
          <w:szCs w:val="24"/>
        </w:rPr>
        <w:t xml:space="preserve">or interviewees </w:t>
      </w:r>
      <w:r w:rsidRPr="00EA1BFE">
        <w:rPr>
          <w:rFonts w:ascii="Times New Roman" w:hAnsi="Times New Roman"/>
          <w:bCs/>
          <w:sz w:val="24"/>
          <w:szCs w:val="24"/>
        </w:rPr>
        <w:t xml:space="preserve">may include email and </w:t>
      </w:r>
      <w:r w:rsidRPr="00EA1BFE" w:rsidR="002354EC">
        <w:rPr>
          <w:rFonts w:ascii="Times New Roman" w:hAnsi="Times New Roman"/>
          <w:bCs/>
          <w:sz w:val="24"/>
          <w:szCs w:val="24"/>
        </w:rPr>
        <w:t>virtual meetings</w:t>
      </w:r>
      <w:r w:rsidRPr="00EA1BFE">
        <w:rPr>
          <w:rFonts w:ascii="Times New Roman" w:hAnsi="Times New Roman"/>
          <w:bCs/>
          <w:sz w:val="24"/>
          <w:szCs w:val="24"/>
        </w:rPr>
        <w:t xml:space="preserve">.  </w:t>
      </w:r>
    </w:p>
    <w:p w:rsidR="007036A6" w:rsidRPr="00EA1BFE" w:rsidP="00EA1BFE" w14:paraId="6B45F6AB" w14:textId="77777777">
      <w:pPr>
        <w:numPr>
          <w:ilvl w:val="0"/>
          <w:numId w:val="13"/>
        </w:numPr>
        <w:tabs>
          <w:tab w:val="left" w:pos="-1440"/>
          <w:tab w:val="left" w:pos="-720"/>
        </w:tabs>
        <w:spacing w:before="240"/>
        <w:rPr>
          <w:rFonts w:ascii="Times New Roman" w:hAnsi="Times New Roman"/>
          <w:b/>
          <w:sz w:val="24"/>
          <w:szCs w:val="24"/>
        </w:rPr>
      </w:pPr>
      <w:r w:rsidRPr="002D141A">
        <w:rPr>
          <w:rFonts w:ascii="Times New Roman" w:hAnsi="Times New Roman"/>
          <w:b/>
        </w:rPr>
        <w:t xml:space="preserve"> </w:t>
      </w:r>
      <w:r w:rsidRPr="00EA1BFE">
        <w:rPr>
          <w:rFonts w:ascii="Times New Roman" w:hAnsi="Times New Roman"/>
          <w:b/>
          <w:sz w:val="24"/>
          <w:szCs w:val="24"/>
        </w:rPr>
        <w:t xml:space="preserve">Efforts to </w:t>
      </w:r>
      <w:r w:rsidRPr="00EA1BFE" w:rsidR="00FA5DAB">
        <w:rPr>
          <w:rFonts w:ascii="Times New Roman" w:hAnsi="Times New Roman"/>
          <w:b/>
          <w:sz w:val="24"/>
          <w:szCs w:val="24"/>
        </w:rPr>
        <w:t xml:space="preserve">Identify </w:t>
      </w:r>
      <w:r w:rsidR="001D39AA">
        <w:rPr>
          <w:rFonts w:ascii="Times New Roman" w:hAnsi="Times New Roman"/>
          <w:b/>
          <w:sz w:val="24"/>
          <w:szCs w:val="24"/>
        </w:rPr>
        <w:t>D</w:t>
      </w:r>
      <w:r w:rsidRPr="00EA1BFE">
        <w:rPr>
          <w:rFonts w:ascii="Times New Roman" w:hAnsi="Times New Roman"/>
          <w:b/>
          <w:sz w:val="24"/>
          <w:szCs w:val="24"/>
        </w:rPr>
        <w:t>uplication</w:t>
      </w:r>
      <w:r w:rsidRPr="00EA1BFE" w:rsidR="00470720">
        <w:rPr>
          <w:rFonts w:ascii="Times New Roman" w:hAnsi="Times New Roman"/>
          <w:b/>
          <w:sz w:val="24"/>
          <w:szCs w:val="24"/>
        </w:rPr>
        <w:t xml:space="preserve"> </w:t>
      </w:r>
    </w:p>
    <w:p w:rsidR="009D0C3B" w:rsidRPr="00EA1BFE" w:rsidP="00EA1BFE" w14:paraId="7614E97E"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The AAPA conducted an initial survey of port authorities in the U</w:t>
      </w:r>
      <w:r w:rsidRPr="00EA1BFE" w:rsidR="001D0C2F">
        <w:rPr>
          <w:rFonts w:ascii="Times New Roman" w:hAnsi="Times New Roman"/>
          <w:bCs/>
          <w:sz w:val="24"/>
          <w:szCs w:val="24"/>
        </w:rPr>
        <w:t>.</w:t>
      </w:r>
      <w:r w:rsidRPr="00EA1BFE">
        <w:rPr>
          <w:rFonts w:ascii="Times New Roman" w:hAnsi="Times New Roman"/>
          <w:bCs/>
          <w:sz w:val="24"/>
          <w:szCs w:val="24"/>
        </w:rPr>
        <w:t>S</w:t>
      </w:r>
      <w:r w:rsidRPr="00EA1BFE" w:rsidR="001D0C2F">
        <w:rPr>
          <w:rFonts w:ascii="Times New Roman" w:hAnsi="Times New Roman"/>
          <w:bCs/>
          <w:sz w:val="24"/>
          <w:szCs w:val="24"/>
        </w:rPr>
        <w:t>.</w:t>
      </w:r>
      <w:r w:rsidRPr="00EA1BFE">
        <w:rPr>
          <w:rFonts w:ascii="Times New Roman" w:hAnsi="Times New Roman"/>
          <w:bCs/>
          <w:sz w:val="24"/>
          <w:szCs w:val="24"/>
        </w:rPr>
        <w:t xml:space="preserve"> and found significant interest in American-made electric</w:t>
      </w:r>
      <w:r w:rsidRPr="00EA1BFE" w:rsidR="00AD5990">
        <w:rPr>
          <w:rFonts w:ascii="Times New Roman" w:hAnsi="Times New Roman"/>
          <w:bCs/>
          <w:sz w:val="24"/>
          <w:szCs w:val="24"/>
        </w:rPr>
        <w:t>ally powered</w:t>
      </w:r>
      <w:r w:rsidRPr="00EA1BFE">
        <w:rPr>
          <w:rFonts w:ascii="Times New Roman" w:hAnsi="Times New Roman"/>
          <w:bCs/>
          <w:sz w:val="24"/>
          <w:szCs w:val="24"/>
        </w:rPr>
        <w:t xml:space="preserve"> port </w:t>
      </w:r>
      <w:r w:rsidRPr="00EA1BFE" w:rsidR="005D4AE6">
        <w:rPr>
          <w:rFonts w:ascii="Times New Roman" w:hAnsi="Times New Roman"/>
          <w:bCs/>
          <w:sz w:val="24"/>
          <w:szCs w:val="24"/>
        </w:rPr>
        <w:t>equipment but</w:t>
      </w:r>
      <w:r w:rsidRPr="00EA1BFE" w:rsidR="00BB3A24">
        <w:rPr>
          <w:rFonts w:ascii="Times New Roman" w:hAnsi="Times New Roman"/>
          <w:bCs/>
          <w:sz w:val="24"/>
          <w:szCs w:val="24"/>
        </w:rPr>
        <w:t xml:space="preserve"> did not yield the more detailed and quantified data necessary to build and support an ongoing program. </w:t>
      </w:r>
      <w:r w:rsidRPr="00EA1BFE">
        <w:rPr>
          <w:rFonts w:ascii="Times New Roman" w:hAnsi="Times New Roman"/>
          <w:bCs/>
          <w:sz w:val="24"/>
          <w:szCs w:val="24"/>
        </w:rPr>
        <w:t xml:space="preserve">The proposed survey </w:t>
      </w:r>
      <w:r w:rsidRPr="00EA1BFE" w:rsidR="00FA5DAB">
        <w:rPr>
          <w:rFonts w:ascii="Times New Roman" w:hAnsi="Times New Roman"/>
          <w:bCs/>
          <w:sz w:val="24"/>
          <w:szCs w:val="24"/>
        </w:rPr>
        <w:t xml:space="preserve">for Building American Production Capacity for Electric Port Equipment and </w:t>
      </w:r>
      <w:r w:rsidR="005A0A6B">
        <w:rPr>
          <w:rFonts w:ascii="Times New Roman" w:hAnsi="Times New Roman"/>
          <w:bCs/>
          <w:sz w:val="24"/>
          <w:szCs w:val="24"/>
        </w:rPr>
        <w:t>O</w:t>
      </w:r>
      <w:r w:rsidRPr="00EA1BFE" w:rsidR="00FA5DAB">
        <w:rPr>
          <w:rFonts w:ascii="Times New Roman" w:hAnsi="Times New Roman"/>
          <w:bCs/>
          <w:sz w:val="24"/>
          <w:szCs w:val="24"/>
        </w:rPr>
        <w:t xml:space="preserve">ther Port Infrastructure Items </w:t>
      </w:r>
      <w:r w:rsidRPr="00EA1BFE">
        <w:rPr>
          <w:rFonts w:ascii="Times New Roman" w:hAnsi="Times New Roman"/>
          <w:bCs/>
          <w:sz w:val="24"/>
          <w:szCs w:val="24"/>
        </w:rPr>
        <w:t>will expand upon the initial AAPA effort</w:t>
      </w:r>
      <w:r w:rsidRPr="00EA1BFE" w:rsidR="00CE65AB">
        <w:rPr>
          <w:rFonts w:ascii="Times New Roman" w:hAnsi="Times New Roman"/>
          <w:bCs/>
          <w:sz w:val="24"/>
          <w:szCs w:val="24"/>
        </w:rPr>
        <w:t>. In particular, the current survey</w:t>
      </w:r>
      <w:r w:rsidRPr="00EA1BFE" w:rsidR="001D0C2F">
        <w:rPr>
          <w:rFonts w:ascii="Times New Roman" w:hAnsi="Times New Roman"/>
          <w:bCs/>
          <w:sz w:val="24"/>
          <w:szCs w:val="24"/>
        </w:rPr>
        <w:t xml:space="preserve"> is intended</w:t>
      </w:r>
      <w:r w:rsidRPr="00EA1BFE">
        <w:rPr>
          <w:rFonts w:ascii="Times New Roman" w:hAnsi="Times New Roman"/>
          <w:bCs/>
          <w:sz w:val="24"/>
          <w:szCs w:val="24"/>
        </w:rPr>
        <w:t xml:space="preserve"> to identify </w:t>
      </w:r>
      <w:r w:rsidRPr="00EA1BFE" w:rsidR="00CE65AB">
        <w:rPr>
          <w:rFonts w:ascii="Times New Roman" w:hAnsi="Times New Roman"/>
          <w:bCs/>
          <w:sz w:val="24"/>
          <w:szCs w:val="24"/>
        </w:rPr>
        <w:t xml:space="preserve">specific </w:t>
      </w:r>
      <w:r w:rsidRPr="00EA1BFE">
        <w:rPr>
          <w:rFonts w:ascii="Times New Roman" w:hAnsi="Times New Roman"/>
          <w:bCs/>
          <w:sz w:val="24"/>
          <w:szCs w:val="24"/>
        </w:rPr>
        <w:t>ports</w:t>
      </w:r>
      <w:r w:rsidRPr="00EA1BFE" w:rsidR="000C0714">
        <w:rPr>
          <w:rFonts w:ascii="Times New Roman" w:hAnsi="Times New Roman"/>
          <w:bCs/>
          <w:sz w:val="24"/>
          <w:szCs w:val="24"/>
        </w:rPr>
        <w:t>, marine terminal operators,</w:t>
      </w:r>
      <w:r w:rsidRPr="00EA1BFE">
        <w:rPr>
          <w:rFonts w:ascii="Times New Roman" w:hAnsi="Times New Roman"/>
          <w:bCs/>
          <w:sz w:val="24"/>
          <w:szCs w:val="24"/>
        </w:rPr>
        <w:t xml:space="preserve"> and private industry/manufacturers </w:t>
      </w:r>
      <w:r w:rsidRPr="00EA1BFE" w:rsidR="00FA5DAB">
        <w:rPr>
          <w:rFonts w:ascii="Times New Roman" w:hAnsi="Times New Roman"/>
          <w:bCs/>
          <w:sz w:val="24"/>
          <w:szCs w:val="24"/>
        </w:rPr>
        <w:t xml:space="preserve">with </w:t>
      </w:r>
      <w:r w:rsidRPr="00EA1BFE">
        <w:rPr>
          <w:rFonts w:ascii="Times New Roman" w:hAnsi="Times New Roman"/>
          <w:bCs/>
          <w:sz w:val="24"/>
          <w:szCs w:val="24"/>
        </w:rPr>
        <w:t>the expected demand and supply</w:t>
      </w:r>
      <w:r w:rsidRPr="00EA1BFE" w:rsidR="00CE65AB">
        <w:rPr>
          <w:rFonts w:ascii="Times New Roman" w:hAnsi="Times New Roman"/>
          <w:bCs/>
          <w:sz w:val="24"/>
          <w:szCs w:val="24"/>
        </w:rPr>
        <w:t xml:space="preserve"> capability</w:t>
      </w:r>
      <w:r w:rsidRPr="00EA1BFE">
        <w:rPr>
          <w:rFonts w:ascii="Times New Roman" w:hAnsi="Times New Roman"/>
          <w:bCs/>
          <w:sz w:val="24"/>
          <w:szCs w:val="24"/>
        </w:rPr>
        <w:t xml:space="preserve"> to sustain the proposed pooled procurement.</w:t>
      </w:r>
    </w:p>
    <w:p w:rsidR="00FA5DAB" w:rsidRPr="00B07D56" w:rsidP="00EA1BFE" w14:paraId="1B4E6BDB" w14:textId="77777777">
      <w:pPr>
        <w:numPr>
          <w:ilvl w:val="0"/>
          <w:numId w:val="13"/>
        </w:numPr>
        <w:tabs>
          <w:tab w:val="left" w:pos="-1440"/>
          <w:tab w:val="left" w:pos="-720"/>
        </w:tabs>
        <w:spacing w:before="240"/>
        <w:rPr>
          <w:rFonts w:ascii="Times New Roman" w:hAnsi="Times New Roman"/>
          <w:b/>
          <w:sz w:val="24"/>
          <w:szCs w:val="24"/>
        </w:rPr>
      </w:pPr>
      <w:r w:rsidRPr="00B07D56">
        <w:rPr>
          <w:rFonts w:ascii="Times New Roman" w:hAnsi="Times New Roman"/>
          <w:b/>
          <w:sz w:val="24"/>
          <w:szCs w:val="24"/>
        </w:rPr>
        <w:t xml:space="preserve">Impact on </w:t>
      </w:r>
      <w:r w:rsidRPr="00D402EB">
        <w:rPr>
          <w:rFonts w:ascii="Times New Roman" w:hAnsi="Times New Roman"/>
          <w:b/>
          <w:sz w:val="24"/>
          <w:szCs w:val="24"/>
        </w:rPr>
        <w:t>S</w:t>
      </w:r>
      <w:r w:rsidRPr="00D402EB" w:rsidR="0004749E">
        <w:rPr>
          <w:rFonts w:ascii="Times New Roman" w:hAnsi="Times New Roman"/>
          <w:b/>
          <w:sz w:val="24"/>
          <w:szCs w:val="24"/>
        </w:rPr>
        <w:t xml:space="preserve">mall </w:t>
      </w:r>
      <w:r w:rsidRPr="00D402EB">
        <w:rPr>
          <w:rFonts w:ascii="Times New Roman" w:hAnsi="Times New Roman"/>
          <w:b/>
          <w:sz w:val="24"/>
          <w:szCs w:val="24"/>
        </w:rPr>
        <w:t>Businesses or Other Small Entities</w:t>
      </w:r>
    </w:p>
    <w:p w:rsidR="000B73AE" w:rsidRPr="00EA1BFE" w:rsidP="00EA1BFE" w14:paraId="2A8C6562"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 xml:space="preserve">This survey </w:t>
      </w:r>
      <w:r w:rsidRPr="00EA1BFE" w:rsidR="001D0C2F">
        <w:rPr>
          <w:rFonts w:ascii="Times New Roman" w:hAnsi="Times New Roman"/>
          <w:bCs/>
          <w:sz w:val="24"/>
          <w:szCs w:val="24"/>
        </w:rPr>
        <w:t xml:space="preserve">will </w:t>
      </w:r>
      <w:r w:rsidRPr="00EA1BFE">
        <w:rPr>
          <w:rFonts w:ascii="Times New Roman" w:hAnsi="Times New Roman"/>
          <w:bCs/>
          <w:sz w:val="24"/>
          <w:szCs w:val="24"/>
        </w:rPr>
        <w:t>not</w:t>
      </w:r>
      <w:r w:rsidRPr="00EA1BFE" w:rsidR="001D0C2F">
        <w:rPr>
          <w:rFonts w:ascii="Times New Roman" w:hAnsi="Times New Roman"/>
          <w:bCs/>
          <w:sz w:val="24"/>
          <w:szCs w:val="24"/>
        </w:rPr>
        <w:t xml:space="preserve"> </w:t>
      </w:r>
      <w:r w:rsidRPr="00EA1BFE">
        <w:rPr>
          <w:rFonts w:ascii="Times New Roman" w:hAnsi="Times New Roman"/>
          <w:bCs/>
          <w:sz w:val="24"/>
          <w:szCs w:val="24"/>
        </w:rPr>
        <w:t xml:space="preserve">impact small businesses or other </w:t>
      </w:r>
      <w:r w:rsidRPr="00EA1BFE" w:rsidR="00BB3A24">
        <w:rPr>
          <w:rFonts w:ascii="Times New Roman" w:hAnsi="Times New Roman"/>
          <w:bCs/>
          <w:sz w:val="24"/>
          <w:szCs w:val="24"/>
        </w:rPr>
        <w:t xml:space="preserve">small </w:t>
      </w:r>
      <w:r w:rsidRPr="00EA1BFE">
        <w:rPr>
          <w:rFonts w:ascii="Times New Roman" w:hAnsi="Times New Roman"/>
          <w:bCs/>
          <w:sz w:val="24"/>
          <w:szCs w:val="24"/>
        </w:rPr>
        <w:t>entities.</w:t>
      </w:r>
    </w:p>
    <w:p w:rsidR="000B73AE" w:rsidRPr="00EA1BFE" w:rsidP="00EA1BFE" w14:paraId="671A3C9D"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 xml:space="preserve">Impact of Not Conducting or </w:t>
      </w:r>
      <w:r>
        <w:rPr>
          <w:rFonts w:ascii="Times New Roman" w:hAnsi="Times New Roman"/>
          <w:b/>
          <w:sz w:val="24"/>
          <w:szCs w:val="24"/>
        </w:rPr>
        <w:t>L</w:t>
      </w:r>
      <w:r w:rsidRPr="00D402EB">
        <w:rPr>
          <w:rFonts w:ascii="Times New Roman" w:hAnsi="Times New Roman"/>
          <w:b/>
          <w:sz w:val="24"/>
          <w:szCs w:val="24"/>
        </w:rPr>
        <w:t xml:space="preserve">ess </w:t>
      </w:r>
      <w:r w:rsidRPr="00D402EB" w:rsidR="001D39AA">
        <w:rPr>
          <w:rFonts w:ascii="Times New Roman" w:hAnsi="Times New Roman"/>
          <w:b/>
          <w:sz w:val="24"/>
          <w:szCs w:val="24"/>
        </w:rPr>
        <w:t xml:space="preserve">Frequent Collection </w:t>
      </w:r>
      <w:r w:rsidR="001D39AA">
        <w:rPr>
          <w:rFonts w:ascii="Times New Roman" w:hAnsi="Times New Roman"/>
          <w:b/>
          <w:sz w:val="24"/>
          <w:szCs w:val="24"/>
        </w:rPr>
        <w:t>o</w:t>
      </w:r>
      <w:r w:rsidRPr="00D402EB" w:rsidR="001D39AA">
        <w:rPr>
          <w:rFonts w:ascii="Times New Roman" w:hAnsi="Times New Roman"/>
          <w:b/>
          <w:sz w:val="24"/>
          <w:szCs w:val="24"/>
        </w:rPr>
        <w:t>f Information</w:t>
      </w:r>
    </w:p>
    <w:p w:rsidR="0004749E" w:rsidRPr="00EA1BFE" w:rsidP="00EA1BFE" w14:paraId="74942EF8"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Without this collection of information, the AAPA and MARAD would be unable to identify</w:t>
      </w:r>
      <w:r w:rsidRPr="00EA1BFE" w:rsidR="0049476A">
        <w:rPr>
          <w:rFonts w:ascii="Times New Roman" w:hAnsi="Times New Roman"/>
          <w:bCs/>
          <w:sz w:val="24"/>
          <w:szCs w:val="24"/>
        </w:rPr>
        <w:t xml:space="preserve"> </w:t>
      </w:r>
      <w:r w:rsidRPr="00EA1BFE" w:rsidR="00F305D1">
        <w:rPr>
          <w:rFonts w:ascii="Times New Roman" w:hAnsi="Times New Roman"/>
          <w:bCs/>
          <w:sz w:val="24"/>
          <w:szCs w:val="24"/>
        </w:rPr>
        <w:t xml:space="preserve">overall demand and supply or </w:t>
      </w:r>
      <w:r w:rsidRPr="00EA1BFE" w:rsidR="0049476A">
        <w:rPr>
          <w:rFonts w:ascii="Times New Roman" w:hAnsi="Times New Roman"/>
          <w:bCs/>
          <w:sz w:val="24"/>
          <w:szCs w:val="24"/>
        </w:rPr>
        <w:t>specific</w:t>
      </w:r>
      <w:r w:rsidRPr="00EA1BFE">
        <w:rPr>
          <w:rFonts w:ascii="Times New Roman" w:hAnsi="Times New Roman"/>
          <w:bCs/>
          <w:sz w:val="24"/>
          <w:szCs w:val="24"/>
        </w:rPr>
        <w:t xml:space="preserve"> </w:t>
      </w:r>
      <w:r w:rsidRPr="00EA1BFE" w:rsidR="0049476A">
        <w:rPr>
          <w:rFonts w:ascii="Times New Roman" w:hAnsi="Times New Roman"/>
          <w:bCs/>
          <w:sz w:val="24"/>
          <w:szCs w:val="24"/>
        </w:rPr>
        <w:t>ports and private industry/manufacturers with the expected demand and supply to sustain the proposed pooled procurement for American</w:t>
      </w:r>
      <w:r w:rsidRPr="00EA1BFE" w:rsidR="001D0C2F">
        <w:rPr>
          <w:rFonts w:ascii="Times New Roman" w:hAnsi="Times New Roman"/>
          <w:bCs/>
          <w:sz w:val="24"/>
          <w:szCs w:val="24"/>
        </w:rPr>
        <w:t>-</w:t>
      </w:r>
      <w:r w:rsidRPr="00EA1BFE" w:rsidR="0049476A">
        <w:rPr>
          <w:rFonts w:ascii="Times New Roman" w:hAnsi="Times New Roman"/>
          <w:bCs/>
          <w:sz w:val="24"/>
          <w:szCs w:val="24"/>
        </w:rPr>
        <w:t>made electr</w:t>
      </w:r>
      <w:r w:rsidRPr="00EA1BFE" w:rsidR="00AD5990">
        <w:rPr>
          <w:rFonts w:ascii="Times New Roman" w:hAnsi="Times New Roman"/>
          <w:bCs/>
          <w:sz w:val="24"/>
          <w:szCs w:val="24"/>
        </w:rPr>
        <w:t>ically powered</w:t>
      </w:r>
      <w:r w:rsidRPr="00EA1BFE" w:rsidR="0049476A">
        <w:rPr>
          <w:rFonts w:ascii="Times New Roman" w:hAnsi="Times New Roman"/>
          <w:bCs/>
          <w:sz w:val="24"/>
          <w:szCs w:val="24"/>
        </w:rPr>
        <w:t xml:space="preserve"> port equipment</w:t>
      </w:r>
      <w:r w:rsidRPr="00EA1BFE" w:rsidR="001D0C2F">
        <w:rPr>
          <w:rFonts w:ascii="Times New Roman" w:hAnsi="Times New Roman"/>
          <w:bCs/>
          <w:sz w:val="24"/>
          <w:szCs w:val="24"/>
        </w:rPr>
        <w:t xml:space="preserve"> and other items</w:t>
      </w:r>
      <w:r w:rsidRPr="00EA1BFE" w:rsidR="0049476A">
        <w:rPr>
          <w:rFonts w:ascii="Times New Roman" w:hAnsi="Times New Roman"/>
          <w:bCs/>
          <w:sz w:val="24"/>
          <w:szCs w:val="24"/>
        </w:rPr>
        <w:t xml:space="preserve">. </w:t>
      </w:r>
      <w:r w:rsidRPr="00EA1BFE" w:rsidR="003F0607">
        <w:rPr>
          <w:rFonts w:ascii="Times New Roman" w:hAnsi="Times New Roman"/>
          <w:bCs/>
          <w:sz w:val="24"/>
          <w:szCs w:val="24"/>
        </w:rPr>
        <w:t xml:space="preserve">The survey is non-repeating and voluntary for industry participants. </w:t>
      </w:r>
    </w:p>
    <w:p w:rsidR="0049476A" w:rsidRPr="00EA1BFE" w:rsidP="00EA1BFE" w14:paraId="73DADB6C"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 xml:space="preserve">Special </w:t>
      </w:r>
      <w:r>
        <w:rPr>
          <w:rFonts w:ascii="Times New Roman" w:hAnsi="Times New Roman"/>
          <w:b/>
          <w:sz w:val="24"/>
          <w:szCs w:val="24"/>
        </w:rPr>
        <w:t>C</w:t>
      </w:r>
      <w:r w:rsidRPr="00D402EB">
        <w:rPr>
          <w:rFonts w:ascii="Times New Roman" w:hAnsi="Times New Roman"/>
          <w:b/>
          <w:sz w:val="24"/>
          <w:szCs w:val="24"/>
        </w:rPr>
        <w:t>ircumstances</w:t>
      </w:r>
      <w:r w:rsidRPr="00EA1BFE" w:rsidR="00470720">
        <w:rPr>
          <w:rFonts w:ascii="Times New Roman" w:hAnsi="Times New Roman"/>
          <w:b/>
          <w:sz w:val="24"/>
          <w:szCs w:val="24"/>
        </w:rPr>
        <w:t xml:space="preserve"> </w:t>
      </w:r>
      <w:r w:rsidRPr="00EA1BFE">
        <w:rPr>
          <w:rFonts w:ascii="Times New Roman" w:hAnsi="Times New Roman"/>
          <w:b/>
          <w:sz w:val="24"/>
          <w:szCs w:val="24"/>
        </w:rPr>
        <w:t>Relating to the Guidelines 5 CFR 1320.5</w:t>
      </w:r>
    </w:p>
    <w:p w:rsidR="007E48FA" w:rsidRPr="00EA1BFE" w:rsidP="00EA1BFE" w14:paraId="2E20BDD7"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 xml:space="preserve">There are no special circumstances associated with this collection of information. </w:t>
      </w:r>
      <w:r w:rsidRPr="00EA1BFE" w:rsidR="000C0714">
        <w:rPr>
          <w:rFonts w:ascii="Times New Roman" w:hAnsi="Times New Roman"/>
          <w:bCs/>
          <w:sz w:val="24"/>
          <w:szCs w:val="24"/>
        </w:rPr>
        <w:t>The survey and interview</w:t>
      </w:r>
      <w:r w:rsidRPr="00EA1BFE" w:rsidR="006752FD">
        <w:rPr>
          <w:rFonts w:ascii="Times New Roman" w:hAnsi="Times New Roman"/>
          <w:bCs/>
          <w:sz w:val="24"/>
          <w:szCs w:val="24"/>
        </w:rPr>
        <w:t>s</w:t>
      </w:r>
      <w:r w:rsidRPr="00EA1BFE" w:rsidR="000C0714">
        <w:rPr>
          <w:rFonts w:ascii="Times New Roman" w:hAnsi="Times New Roman"/>
          <w:bCs/>
          <w:sz w:val="24"/>
          <w:szCs w:val="24"/>
        </w:rPr>
        <w:t xml:space="preserve"> will not:</w:t>
      </w:r>
    </w:p>
    <w:p w:rsidR="0049476A" w:rsidRPr="0049476A" w:rsidP="00EA1BFE" w14:paraId="391FA178" w14:textId="77777777">
      <w:pPr>
        <w:numPr>
          <w:ilvl w:val="0"/>
          <w:numId w:val="20"/>
        </w:numPr>
        <w:spacing w:before="120"/>
        <w:ind w:left="1080"/>
        <w:rPr>
          <w:rFonts w:ascii="Times New Roman" w:hAnsi="Times New Roman"/>
          <w:bCs/>
          <w:sz w:val="24"/>
          <w:szCs w:val="24"/>
        </w:rPr>
      </w:pPr>
      <w:r w:rsidRPr="0049476A">
        <w:rPr>
          <w:rFonts w:ascii="Times New Roman" w:hAnsi="Times New Roman"/>
          <w:bCs/>
          <w:sz w:val="24"/>
          <w:szCs w:val="24"/>
        </w:rPr>
        <w:t>Require respondents to report information to MARAD more often than quarterly;</w:t>
      </w:r>
    </w:p>
    <w:p w:rsidR="0049476A" w:rsidRPr="0049476A" w:rsidP="00EA1BFE" w14:paraId="0D82538F" w14:textId="77777777">
      <w:pPr>
        <w:numPr>
          <w:ilvl w:val="0"/>
          <w:numId w:val="20"/>
        </w:numPr>
        <w:spacing w:before="60"/>
        <w:ind w:left="1080"/>
        <w:rPr>
          <w:rFonts w:ascii="Times New Roman" w:hAnsi="Times New Roman"/>
          <w:bCs/>
          <w:sz w:val="24"/>
          <w:szCs w:val="24"/>
        </w:rPr>
      </w:pPr>
      <w:r w:rsidRPr="0049476A">
        <w:rPr>
          <w:rFonts w:ascii="Times New Roman" w:hAnsi="Times New Roman"/>
          <w:bCs/>
          <w:sz w:val="24"/>
          <w:szCs w:val="24"/>
        </w:rPr>
        <w:t>Require respondents to prepare a written response in fewer than 30 days after receipt of a collection instrument;</w:t>
      </w:r>
    </w:p>
    <w:p w:rsidR="0049476A" w:rsidRPr="0049476A" w:rsidP="00EA1BFE" w14:paraId="5BCC5C0E" w14:textId="77777777">
      <w:pPr>
        <w:numPr>
          <w:ilvl w:val="0"/>
          <w:numId w:val="20"/>
        </w:numPr>
        <w:spacing w:before="60"/>
        <w:ind w:left="1080"/>
        <w:rPr>
          <w:rFonts w:ascii="Times New Roman" w:hAnsi="Times New Roman"/>
          <w:bCs/>
          <w:sz w:val="24"/>
          <w:szCs w:val="24"/>
        </w:rPr>
      </w:pPr>
      <w:r w:rsidRPr="0049476A">
        <w:rPr>
          <w:rFonts w:ascii="Times New Roman" w:hAnsi="Times New Roman"/>
          <w:bCs/>
          <w:sz w:val="24"/>
          <w:szCs w:val="24"/>
        </w:rPr>
        <w:t>Requir</w:t>
      </w:r>
      <w:r w:rsidR="000C0714">
        <w:rPr>
          <w:rFonts w:ascii="Times New Roman" w:hAnsi="Times New Roman"/>
          <w:bCs/>
          <w:sz w:val="24"/>
          <w:szCs w:val="24"/>
        </w:rPr>
        <w:t>e</w:t>
      </w:r>
      <w:r w:rsidRPr="0049476A">
        <w:rPr>
          <w:rFonts w:ascii="Times New Roman" w:hAnsi="Times New Roman"/>
          <w:bCs/>
          <w:sz w:val="24"/>
          <w:szCs w:val="24"/>
        </w:rPr>
        <w:t xml:space="preserve"> respondents to submit more than one original copy of any document;</w:t>
      </w:r>
    </w:p>
    <w:p w:rsidR="0049476A" w:rsidRPr="0049476A" w:rsidP="00EA1BFE" w14:paraId="49F46D63" w14:textId="77777777">
      <w:pPr>
        <w:numPr>
          <w:ilvl w:val="0"/>
          <w:numId w:val="20"/>
        </w:numPr>
        <w:spacing w:before="60"/>
        <w:ind w:left="1080"/>
        <w:rPr>
          <w:rFonts w:ascii="Times New Roman" w:hAnsi="Times New Roman"/>
          <w:bCs/>
          <w:sz w:val="24"/>
          <w:szCs w:val="24"/>
        </w:rPr>
      </w:pPr>
      <w:r w:rsidRPr="0049476A">
        <w:rPr>
          <w:rFonts w:ascii="Times New Roman" w:hAnsi="Times New Roman"/>
          <w:bCs/>
          <w:sz w:val="24"/>
          <w:szCs w:val="24"/>
        </w:rPr>
        <w:t>Requir</w:t>
      </w:r>
      <w:r w:rsidR="000C0714">
        <w:rPr>
          <w:rFonts w:ascii="Times New Roman" w:hAnsi="Times New Roman"/>
          <w:bCs/>
          <w:sz w:val="24"/>
          <w:szCs w:val="24"/>
        </w:rPr>
        <w:t>e</w:t>
      </w:r>
      <w:r w:rsidRPr="0049476A">
        <w:rPr>
          <w:rFonts w:ascii="Times New Roman" w:hAnsi="Times New Roman"/>
          <w:bCs/>
          <w:sz w:val="24"/>
          <w:szCs w:val="24"/>
        </w:rPr>
        <w:t xml:space="preserve"> respondents to retain records, other than health, medical, government contract, grant-in-aid, or tax records for more than three years;</w:t>
      </w:r>
    </w:p>
    <w:p w:rsidR="0049476A" w:rsidRPr="0049476A" w:rsidP="00EA1BFE" w14:paraId="411542CF" w14:textId="77777777">
      <w:pPr>
        <w:numPr>
          <w:ilvl w:val="0"/>
          <w:numId w:val="20"/>
        </w:numPr>
        <w:spacing w:before="60"/>
        <w:ind w:left="1080"/>
        <w:rPr>
          <w:rFonts w:ascii="Times New Roman" w:hAnsi="Times New Roman"/>
          <w:bCs/>
          <w:sz w:val="24"/>
          <w:szCs w:val="24"/>
        </w:rPr>
      </w:pPr>
      <w:r w:rsidRPr="0049476A">
        <w:rPr>
          <w:rFonts w:ascii="Times New Roman" w:hAnsi="Times New Roman"/>
          <w:bCs/>
          <w:sz w:val="24"/>
          <w:szCs w:val="24"/>
        </w:rPr>
        <w:t>Requir</w:t>
      </w:r>
      <w:r w:rsidR="000C0714">
        <w:rPr>
          <w:rFonts w:ascii="Times New Roman" w:hAnsi="Times New Roman"/>
          <w:bCs/>
          <w:sz w:val="24"/>
          <w:szCs w:val="24"/>
        </w:rPr>
        <w:t>e</w:t>
      </w:r>
      <w:r w:rsidRPr="0049476A">
        <w:rPr>
          <w:rFonts w:ascii="Times New Roman" w:hAnsi="Times New Roman"/>
          <w:bCs/>
          <w:sz w:val="24"/>
          <w:szCs w:val="24"/>
        </w:rPr>
        <w:t xml:space="preserve"> the use of any statistical data that is not designed to produce valid and reliable results that can be generalized to the universe of study;</w:t>
      </w:r>
    </w:p>
    <w:p w:rsidR="0049476A" w:rsidRPr="0049476A" w:rsidP="00EA1BFE" w14:paraId="67B0E2DA" w14:textId="77777777">
      <w:pPr>
        <w:numPr>
          <w:ilvl w:val="0"/>
          <w:numId w:val="20"/>
        </w:numPr>
        <w:spacing w:before="60"/>
        <w:ind w:left="1080"/>
        <w:rPr>
          <w:rFonts w:ascii="Times New Roman" w:hAnsi="Times New Roman"/>
          <w:bCs/>
          <w:sz w:val="24"/>
          <w:szCs w:val="24"/>
        </w:rPr>
      </w:pPr>
      <w:r w:rsidRPr="0049476A">
        <w:rPr>
          <w:rFonts w:ascii="Times New Roman" w:hAnsi="Times New Roman"/>
          <w:bCs/>
          <w:sz w:val="24"/>
          <w:szCs w:val="24"/>
        </w:rPr>
        <w:t>Requir</w:t>
      </w:r>
      <w:r w:rsidR="000C0714">
        <w:rPr>
          <w:rFonts w:ascii="Times New Roman" w:hAnsi="Times New Roman"/>
          <w:bCs/>
          <w:sz w:val="24"/>
          <w:szCs w:val="24"/>
        </w:rPr>
        <w:t>e</w:t>
      </w:r>
      <w:r w:rsidRPr="0049476A">
        <w:rPr>
          <w:rFonts w:ascii="Times New Roman" w:hAnsi="Times New Roman"/>
          <w:bCs/>
          <w:sz w:val="24"/>
          <w:szCs w:val="24"/>
        </w:rPr>
        <w:t xml:space="preserve"> the use of a statistical data classification that has not been reviewed and approved by OMB;</w:t>
      </w:r>
    </w:p>
    <w:p w:rsidR="0049476A" w:rsidRPr="0049476A" w:rsidP="00EA1BFE" w14:paraId="07FBB55E" w14:textId="77777777">
      <w:pPr>
        <w:numPr>
          <w:ilvl w:val="0"/>
          <w:numId w:val="20"/>
        </w:numPr>
        <w:spacing w:before="60"/>
        <w:ind w:left="1080"/>
        <w:rPr>
          <w:rFonts w:ascii="Times New Roman" w:hAnsi="Times New Roman"/>
          <w:bCs/>
          <w:sz w:val="24"/>
          <w:szCs w:val="24"/>
        </w:rPr>
      </w:pPr>
      <w:r>
        <w:rPr>
          <w:rFonts w:ascii="Times New Roman" w:hAnsi="Times New Roman"/>
          <w:bCs/>
          <w:sz w:val="24"/>
          <w:szCs w:val="24"/>
        </w:rPr>
        <w:t>Require</w:t>
      </w:r>
      <w:r w:rsidRPr="0049476A">
        <w:rPr>
          <w:rFonts w:ascii="Times New Roman" w:hAnsi="Times New Roman"/>
          <w:bCs/>
          <w:sz w:val="24"/>
          <w:szCs w:val="24"/>
        </w:rPr>
        <w:t xml:space="preserve"> a pledge of confidentiality that is not supported by authority established in </w:t>
      </w:r>
      <w:r w:rsidR="00A237A7">
        <w:rPr>
          <w:rFonts w:ascii="Times New Roman" w:hAnsi="Times New Roman"/>
          <w:bCs/>
          <w:sz w:val="24"/>
          <w:szCs w:val="24"/>
        </w:rPr>
        <w:t>statute</w:t>
      </w:r>
      <w:r w:rsidRPr="0049476A" w:rsidR="00A237A7">
        <w:rPr>
          <w:rFonts w:ascii="Times New Roman" w:hAnsi="Times New Roman"/>
          <w:bCs/>
          <w:sz w:val="24"/>
          <w:szCs w:val="24"/>
        </w:rPr>
        <w:t xml:space="preserve"> </w:t>
      </w:r>
      <w:r w:rsidRPr="0049476A">
        <w:rPr>
          <w:rFonts w:ascii="Times New Roman" w:hAnsi="Times New Roman"/>
          <w:bCs/>
          <w:sz w:val="24"/>
          <w:szCs w:val="24"/>
        </w:rPr>
        <w:t>or regulation, that is not supported by disclosure and data security policies that are consistent with the pledge, or which unnecessarily impedes sharing of data with other agencies for compatible confidential use; or</w:t>
      </w:r>
    </w:p>
    <w:p w:rsidR="007E48FA" w:rsidRPr="00EA1BFE" w:rsidP="00EA1BFE" w14:paraId="5E698767" w14:textId="77777777">
      <w:pPr>
        <w:numPr>
          <w:ilvl w:val="0"/>
          <w:numId w:val="20"/>
        </w:numPr>
        <w:spacing w:before="60"/>
        <w:ind w:left="1080"/>
        <w:rPr>
          <w:rFonts w:ascii="Times New Roman" w:hAnsi="Times New Roman"/>
        </w:rPr>
      </w:pPr>
      <w:r w:rsidRPr="00EA1BFE">
        <w:rPr>
          <w:rFonts w:ascii="Times New Roman" w:hAnsi="Times New Roman"/>
          <w:bCs/>
          <w:sz w:val="24"/>
          <w:szCs w:val="24"/>
        </w:rPr>
        <w:t>Requir</w:t>
      </w:r>
      <w:r w:rsidRPr="00EA1BFE" w:rsidR="000C0714">
        <w:rPr>
          <w:rFonts w:ascii="Times New Roman" w:hAnsi="Times New Roman"/>
          <w:bCs/>
          <w:sz w:val="24"/>
          <w:szCs w:val="24"/>
        </w:rPr>
        <w:t>e</w:t>
      </w:r>
      <w:r w:rsidRPr="00EA1BFE">
        <w:rPr>
          <w:rFonts w:ascii="Times New Roman" w:hAnsi="Times New Roman"/>
          <w:bCs/>
          <w:sz w:val="24"/>
          <w:szCs w:val="24"/>
        </w:rPr>
        <w:t xml:space="preserve"> respondents to submit proprietary trade </w:t>
      </w:r>
      <w:r w:rsidR="002C7A88">
        <w:rPr>
          <w:rFonts w:ascii="Times New Roman" w:hAnsi="Times New Roman"/>
          <w:bCs/>
          <w:sz w:val="24"/>
          <w:szCs w:val="24"/>
        </w:rPr>
        <w:t>secrets</w:t>
      </w:r>
      <w:r w:rsidRPr="00EA1BFE">
        <w:rPr>
          <w:rFonts w:ascii="Times New Roman" w:hAnsi="Times New Roman"/>
          <w:bCs/>
          <w:sz w:val="24"/>
          <w:szCs w:val="24"/>
        </w:rPr>
        <w:t xml:space="preserve"> or other confidential information unless the agency can demonstrate that it has instituted procedures to protect the information's confidentiality to the extent permitted by law.</w:t>
      </w:r>
    </w:p>
    <w:p w:rsidR="0049476A" w:rsidRPr="00EA1BFE" w:rsidP="00EA1BFE" w14:paraId="117C535C" w14:textId="77777777">
      <w:pPr>
        <w:numPr>
          <w:ilvl w:val="0"/>
          <w:numId w:val="13"/>
        </w:numPr>
        <w:tabs>
          <w:tab w:val="left" w:pos="-1440"/>
          <w:tab w:val="left" w:pos="-720"/>
        </w:tabs>
        <w:spacing w:before="240"/>
        <w:rPr>
          <w:rFonts w:ascii="Times New Roman" w:hAnsi="Times New Roman"/>
          <w:b/>
          <w:sz w:val="24"/>
          <w:szCs w:val="24"/>
        </w:rPr>
      </w:pPr>
      <w:r>
        <w:rPr>
          <w:rFonts w:ascii="Times New Roman" w:hAnsi="Times New Roman"/>
          <w:b/>
          <w:sz w:val="24"/>
          <w:szCs w:val="24"/>
        </w:rPr>
        <w:t>Public Comments</w:t>
      </w:r>
      <w:r w:rsidR="00FD0478">
        <w:rPr>
          <w:rFonts w:ascii="Times New Roman" w:hAnsi="Times New Roman"/>
          <w:b/>
          <w:sz w:val="24"/>
          <w:szCs w:val="24"/>
        </w:rPr>
        <w:t xml:space="preserve"> in Response to the Federal Register Notice</w:t>
      </w:r>
      <w:r>
        <w:rPr>
          <w:rFonts w:ascii="Times New Roman" w:hAnsi="Times New Roman"/>
          <w:b/>
          <w:sz w:val="24"/>
          <w:szCs w:val="24"/>
        </w:rPr>
        <w:t xml:space="preserve"> and Outside Consultation</w:t>
      </w:r>
    </w:p>
    <w:p w:rsidR="00CF3156" w:rsidP="005C6390" w14:paraId="3EBB599B" w14:textId="711F4314">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 xml:space="preserve">MARAD published a </w:t>
      </w:r>
      <w:r w:rsidRPr="00EA1BFE" w:rsidR="002D32DE">
        <w:rPr>
          <w:rFonts w:ascii="Times New Roman" w:hAnsi="Times New Roman"/>
          <w:bCs/>
          <w:sz w:val="24"/>
          <w:szCs w:val="24"/>
        </w:rPr>
        <w:t>60</w:t>
      </w:r>
      <w:r w:rsidRPr="00EA1BFE">
        <w:rPr>
          <w:rFonts w:ascii="Times New Roman" w:hAnsi="Times New Roman"/>
          <w:bCs/>
          <w:sz w:val="24"/>
          <w:szCs w:val="24"/>
        </w:rPr>
        <w:t xml:space="preserve">-day notice and request for comments on this information collection in the Federal Register (FR </w:t>
      </w:r>
      <w:r w:rsidRPr="00EA1BFE" w:rsidR="002D32DE">
        <w:rPr>
          <w:rFonts w:ascii="Times New Roman" w:hAnsi="Times New Roman"/>
          <w:bCs/>
          <w:sz w:val="24"/>
          <w:szCs w:val="24"/>
        </w:rPr>
        <w:t>13226</w:t>
      </w:r>
      <w:r w:rsidRPr="00EA1BFE">
        <w:rPr>
          <w:rFonts w:ascii="Times New Roman" w:hAnsi="Times New Roman"/>
          <w:bCs/>
          <w:sz w:val="24"/>
          <w:szCs w:val="24"/>
        </w:rPr>
        <w:t xml:space="preserve">, Vol </w:t>
      </w:r>
      <w:r w:rsidRPr="00EA1BFE" w:rsidR="002D32DE">
        <w:rPr>
          <w:rFonts w:ascii="Times New Roman" w:hAnsi="Times New Roman"/>
          <w:bCs/>
          <w:sz w:val="24"/>
          <w:szCs w:val="24"/>
        </w:rPr>
        <w:t>88</w:t>
      </w:r>
      <w:r w:rsidRPr="00EA1BFE">
        <w:rPr>
          <w:rFonts w:ascii="Times New Roman" w:hAnsi="Times New Roman"/>
          <w:bCs/>
          <w:sz w:val="24"/>
          <w:szCs w:val="24"/>
        </w:rPr>
        <w:t xml:space="preserve">, No. </w:t>
      </w:r>
      <w:r w:rsidRPr="00EA1BFE" w:rsidR="002D32DE">
        <w:rPr>
          <w:rFonts w:ascii="Times New Roman" w:hAnsi="Times New Roman"/>
          <w:bCs/>
          <w:sz w:val="24"/>
          <w:szCs w:val="24"/>
        </w:rPr>
        <w:t>41</w:t>
      </w:r>
      <w:r w:rsidRPr="00EA1BFE">
        <w:rPr>
          <w:rFonts w:ascii="Times New Roman" w:hAnsi="Times New Roman"/>
          <w:bCs/>
          <w:sz w:val="24"/>
          <w:szCs w:val="24"/>
        </w:rPr>
        <w:t xml:space="preserve">) on </w:t>
      </w:r>
      <w:r w:rsidRPr="00EA1BFE" w:rsidR="002D32DE">
        <w:rPr>
          <w:rFonts w:ascii="Times New Roman" w:hAnsi="Times New Roman"/>
          <w:bCs/>
          <w:sz w:val="24"/>
          <w:szCs w:val="24"/>
        </w:rPr>
        <w:t>March</w:t>
      </w:r>
      <w:r w:rsidRPr="00EA1BFE" w:rsidR="000B5DF9">
        <w:rPr>
          <w:rFonts w:ascii="Times New Roman" w:hAnsi="Times New Roman"/>
          <w:bCs/>
          <w:sz w:val="24"/>
          <w:szCs w:val="24"/>
        </w:rPr>
        <w:t xml:space="preserve"> 2</w:t>
      </w:r>
      <w:r w:rsidRPr="00EA1BFE">
        <w:rPr>
          <w:rFonts w:ascii="Times New Roman" w:hAnsi="Times New Roman"/>
          <w:bCs/>
          <w:sz w:val="24"/>
          <w:szCs w:val="24"/>
        </w:rPr>
        <w:t xml:space="preserve">, </w:t>
      </w:r>
      <w:r w:rsidRPr="00EA1BFE" w:rsidR="000B5DF9">
        <w:rPr>
          <w:rFonts w:ascii="Times New Roman" w:hAnsi="Times New Roman"/>
          <w:bCs/>
          <w:sz w:val="24"/>
          <w:szCs w:val="24"/>
        </w:rPr>
        <w:t>2023</w:t>
      </w:r>
      <w:r w:rsidRPr="00EA1BFE">
        <w:rPr>
          <w:rFonts w:ascii="Times New Roman" w:hAnsi="Times New Roman"/>
          <w:bCs/>
          <w:sz w:val="24"/>
          <w:szCs w:val="24"/>
        </w:rPr>
        <w:t xml:space="preserve">, indicating comments should be submitted on or before </w:t>
      </w:r>
      <w:r w:rsidRPr="00EA1BFE" w:rsidR="000B5DF9">
        <w:rPr>
          <w:rFonts w:ascii="Times New Roman" w:hAnsi="Times New Roman"/>
          <w:bCs/>
          <w:sz w:val="24"/>
          <w:szCs w:val="24"/>
        </w:rPr>
        <w:t>May 1, 2023</w:t>
      </w:r>
      <w:r w:rsidRPr="00EA1BFE">
        <w:rPr>
          <w:rFonts w:ascii="Times New Roman" w:hAnsi="Times New Roman"/>
          <w:bCs/>
          <w:sz w:val="24"/>
          <w:szCs w:val="24"/>
        </w:rPr>
        <w:t xml:space="preserve">. No comments were received. A 30-day </w:t>
      </w:r>
      <w:r w:rsidR="00E67E44">
        <w:rPr>
          <w:rFonts w:ascii="Times New Roman" w:hAnsi="Times New Roman"/>
          <w:bCs/>
          <w:sz w:val="24"/>
          <w:szCs w:val="24"/>
        </w:rPr>
        <w:t xml:space="preserve">notice </w:t>
      </w:r>
      <w:r>
        <w:rPr>
          <w:rFonts w:ascii="Times New Roman" w:hAnsi="Times New Roman"/>
          <w:bCs/>
          <w:sz w:val="24"/>
          <w:szCs w:val="24"/>
        </w:rPr>
        <w:t xml:space="preserve">was also </w:t>
      </w:r>
      <w:r w:rsidRPr="00EA1BFE">
        <w:rPr>
          <w:rFonts w:ascii="Times New Roman" w:hAnsi="Times New Roman"/>
          <w:bCs/>
          <w:sz w:val="24"/>
          <w:szCs w:val="24"/>
        </w:rPr>
        <w:t>published in the Federal Register</w:t>
      </w:r>
      <w:r>
        <w:rPr>
          <w:rFonts w:ascii="Times New Roman" w:hAnsi="Times New Roman"/>
          <w:bCs/>
          <w:sz w:val="24"/>
          <w:szCs w:val="24"/>
        </w:rPr>
        <w:t xml:space="preserve"> (FR 37599, Vol. 88, No. 110) on June 8, 2023,</w:t>
      </w:r>
      <w:r w:rsidRPr="00EA1BFE">
        <w:rPr>
          <w:rFonts w:ascii="Times New Roman" w:hAnsi="Times New Roman"/>
          <w:bCs/>
          <w:sz w:val="24"/>
          <w:szCs w:val="24"/>
        </w:rPr>
        <w:t xml:space="preserve"> to solicit public comments.</w:t>
      </w:r>
      <w:r>
        <w:rPr>
          <w:rFonts w:ascii="Times New Roman" w:hAnsi="Times New Roman"/>
          <w:bCs/>
          <w:sz w:val="24"/>
          <w:szCs w:val="24"/>
        </w:rPr>
        <w:t xml:space="preserve"> No comments were received.</w:t>
      </w:r>
    </w:p>
    <w:p w:rsidR="005C6390" w:rsidRPr="005C6390" w:rsidP="00377E86" w14:paraId="218A5135" w14:textId="77777777">
      <w:pPr>
        <w:pStyle w:val="ListParagraph"/>
        <w:tabs>
          <w:tab w:val="left" w:pos="-1440"/>
          <w:tab w:val="left" w:pos="-720"/>
        </w:tabs>
        <w:contextualSpacing w:val="0"/>
        <w:rPr>
          <w:rFonts w:ascii="Times New Roman" w:hAnsi="Times New Roman"/>
          <w:bCs/>
          <w:sz w:val="24"/>
          <w:szCs w:val="24"/>
        </w:rPr>
      </w:pPr>
    </w:p>
    <w:p w:rsidR="00CF3156" w:rsidRPr="00EA1BFE" w:rsidP="00EA1BFE" w14:paraId="487E24CC" w14:textId="1B97B8FD">
      <w:pPr>
        <w:pStyle w:val="ListParagraph"/>
        <w:tabs>
          <w:tab w:val="left" w:pos="-1440"/>
          <w:tab w:val="left" w:pos="-720"/>
        </w:tabs>
        <w:spacing w:before="120"/>
        <w:contextualSpacing w:val="0"/>
        <w:rPr>
          <w:rFonts w:ascii="Times New Roman" w:hAnsi="Times New Roman"/>
          <w:bCs/>
          <w:sz w:val="24"/>
          <w:szCs w:val="24"/>
        </w:rPr>
      </w:pPr>
      <w:r>
        <w:rPr>
          <w:rFonts w:ascii="Times New Roman" w:hAnsi="Times New Roman"/>
          <w:bCs/>
          <w:sz w:val="24"/>
          <w:szCs w:val="24"/>
        </w:rPr>
        <w:t xml:space="preserve">MARAD also consulted with </w:t>
      </w:r>
      <w:r w:rsidRPr="00CF3156">
        <w:rPr>
          <w:rFonts w:ascii="Times New Roman" w:hAnsi="Times New Roman"/>
          <w:bCs/>
          <w:sz w:val="24"/>
          <w:szCs w:val="24"/>
        </w:rPr>
        <w:t>American Association of Port Authorities (AAPA)</w:t>
      </w:r>
      <w:r w:rsidR="005C6390">
        <w:rPr>
          <w:rFonts w:ascii="Times New Roman" w:hAnsi="Times New Roman"/>
          <w:bCs/>
          <w:sz w:val="24"/>
          <w:szCs w:val="24"/>
        </w:rPr>
        <w:t xml:space="preserve"> points of contact (POCs) </w:t>
      </w:r>
      <w:r>
        <w:rPr>
          <w:rFonts w:ascii="Times New Roman" w:hAnsi="Times New Roman"/>
          <w:bCs/>
          <w:sz w:val="24"/>
          <w:szCs w:val="24"/>
        </w:rPr>
        <w:t xml:space="preserve">regarding interest </w:t>
      </w:r>
      <w:r w:rsidR="005C6390">
        <w:rPr>
          <w:rFonts w:ascii="Times New Roman" w:hAnsi="Times New Roman"/>
          <w:bCs/>
          <w:sz w:val="24"/>
          <w:szCs w:val="24"/>
        </w:rPr>
        <w:t xml:space="preserve">among the port industry stakeholders </w:t>
      </w:r>
      <w:r>
        <w:rPr>
          <w:rFonts w:ascii="Times New Roman" w:hAnsi="Times New Roman"/>
          <w:bCs/>
          <w:sz w:val="24"/>
          <w:szCs w:val="24"/>
        </w:rPr>
        <w:t xml:space="preserve">in </w:t>
      </w:r>
      <w:r w:rsidR="005C6390">
        <w:rPr>
          <w:rFonts w:ascii="Times New Roman" w:hAnsi="Times New Roman"/>
          <w:bCs/>
          <w:sz w:val="24"/>
          <w:szCs w:val="24"/>
        </w:rPr>
        <w:t>the development of American-made elec</w:t>
      </w:r>
      <w:r w:rsidR="00476E6A">
        <w:rPr>
          <w:rFonts w:ascii="Times New Roman" w:hAnsi="Times New Roman"/>
          <w:bCs/>
          <w:sz w:val="24"/>
          <w:szCs w:val="24"/>
        </w:rPr>
        <w:t>trically</w:t>
      </w:r>
      <w:r w:rsidR="005C6390">
        <w:rPr>
          <w:rFonts w:ascii="Times New Roman" w:hAnsi="Times New Roman"/>
          <w:bCs/>
          <w:sz w:val="24"/>
          <w:szCs w:val="24"/>
        </w:rPr>
        <w:t xml:space="preserve"> powered port equipment. AAPA POCs and contractor resource also provided valuable input regarding the statistical methodology incorporated in the survey and also </w:t>
      </w:r>
      <w:r w:rsidR="00377E86">
        <w:rPr>
          <w:rFonts w:ascii="Times New Roman" w:hAnsi="Times New Roman"/>
          <w:bCs/>
          <w:sz w:val="24"/>
          <w:szCs w:val="24"/>
        </w:rPr>
        <w:t xml:space="preserve">the </w:t>
      </w:r>
      <w:r w:rsidR="005C6390">
        <w:rPr>
          <w:rFonts w:ascii="Times New Roman" w:hAnsi="Times New Roman"/>
          <w:bCs/>
          <w:sz w:val="24"/>
          <w:szCs w:val="24"/>
        </w:rPr>
        <w:t>inquiries used in the Interview Guide developed for this collection.</w:t>
      </w:r>
    </w:p>
    <w:p w:rsidR="00FD0478" w:rsidRPr="00EA1BFE" w:rsidP="00EA1BFE" w14:paraId="56987801" w14:textId="77777777">
      <w:pPr>
        <w:numPr>
          <w:ilvl w:val="0"/>
          <w:numId w:val="13"/>
        </w:numPr>
        <w:tabs>
          <w:tab w:val="left" w:pos="-1440"/>
          <w:tab w:val="left" w:pos="-720"/>
        </w:tabs>
        <w:spacing w:before="240"/>
        <w:rPr>
          <w:rFonts w:ascii="Times New Roman" w:hAnsi="Times New Roman"/>
          <w:b/>
          <w:sz w:val="24"/>
          <w:szCs w:val="24"/>
        </w:rPr>
      </w:pPr>
      <w:r>
        <w:rPr>
          <w:rFonts w:ascii="Times New Roman" w:hAnsi="Times New Roman"/>
          <w:b/>
          <w:sz w:val="24"/>
          <w:szCs w:val="24"/>
        </w:rPr>
        <w:t xml:space="preserve">Explanation of Any </w:t>
      </w:r>
      <w:r w:rsidRPr="00D402EB" w:rsidR="0004749E">
        <w:rPr>
          <w:rFonts w:ascii="Times New Roman" w:hAnsi="Times New Roman"/>
          <w:b/>
          <w:sz w:val="24"/>
          <w:szCs w:val="24"/>
        </w:rPr>
        <w:t xml:space="preserve">Payments or </w:t>
      </w:r>
      <w:r w:rsidRPr="00D402EB">
        <w:rPr>
          <w:rFonts w:ascii="Times New Roman" w:hAnsi="Times New Roman"/>
          <w:b/>
          <w:sz w:val="24"/>
          <w:szCs w:val="24"/>
        </w:rPr>
        <w:t>G</w:t>
      </w:r>
      <w:r w:rsidRPr="00D402EB" w:rsidR="0004749E">
        <w:rPr>
          <w:rFonts w:ascii="Times New Roman" w:hAnsi="Times New Roman"/>
          <w:b/>
          <w:sz w:val="24"/>
          <w:szCs w:val="24"/>
        </w:rPr>
        <w:t>ifts to respondents</w:t>
      </w:r>
    </w:p>
    <w:p w:rsidR="00FD0478" w:rsidRPr="00EA1BFE" w:rsidP="00EA1BFE" w14:paraId="3240AE75" w14:textId="77777777">
      <w:pPr>
        <w:pStyle w:val="ListParagraph"/>
        <w:tabs>
          <w:tab w:val="left" w:pos="-1440"/>
          <w:tab w:val="left" w:pos="-720"/>
        </w:tabs>
        <w:spacing w:before="120"/>
        <w:contextualSpacing w:val="0"/>
        <w:rPr>
          <w:rFonts w:ascii="Times New Roman" w:hAnsi="Times New Roman"/>
          <w:bCs/>
          <w:sz w:val="24"/>
          <w:szCs w:val="24"/>
        </w:rPr>
      </w:pPr>
      <w:r w:rsidRPr="00D402EB">
        <w:rPr>
          <w:rFonts w:ascii="Times New Roman" w:hAnsi="Times New Roman"/>
          <w:bCs/>
          <w:sz w:val="24"/>
          <w:szCs w:val="24"/>
        </w:rPr>
        <w:t xml:space="preserve">There </w:t>
      </w:r>
      <w:r w:rsidRPr="00B07D56">
        <w:rPr>
          <w:rFonts w:ascii="Times New Roman" w:hAnsi="Times New Roman"/>
          <w:bCs/>
          <w:sz w:val="24"/>
          <w:szCs w:val="24"/>
        </w:rPr>
        <w:t>is</w:t>
      </w:r>
      <w:r w:rsidRPr="00D402EB">
        <w:rPr>
          <w:rFonts w:ascii="Times New Roman" w:hAnsi="Times New Roman"/>
          <w:bCs/>
          <w:sz w:val="24"/>
          <w:szCs w:val="24"/>
        </w:rPr>
        <w:t xml:space="preserve"> no </w:t>
      </w:r>
      <w:r w:rsidRPr="00B07D56">
        <w:rPr>
          <w:rFonts w:ascii="Times New Roman" w:hAnsi="Times New Roman"/>
          <w:bCs/>
          <w:sz w:val="24"/>
          <w:szCs w:val="24"/>
        </w:rPr>
        <w:t>p</w:t>
      </w:r>
      <w:r w:rsidRPr="00EA1BFE" w:rsidR="00E64793">
        <w:rPr>
          <w:rFonts w:ascii="Times New Roman" w:hAnsi="Times New Roman"/>
          <w:bCs/>
          <w:sz w:val="24"/>
          <w:szCs w:val="24"/>
        </w:rPr>
        <w:t>ayment or gift to respondents</w:t>
      </w:r>
      <w:r w:rsidRPr="00EA1BFE">
        <w:rPr>
          <w:rFonts w:ascii="Times New Roman" w:hAnsi="Times New Roman"/>
          <w:bCs/>
          <w:sz w:val="24"/>
          <w:szCs w:val="24"/>
        </w:rPr>
        <w:t xml:space="preserve"> for participation in this survey.</w:t>
      </w:r>
    </w:p>
    <w:p w:rsidR="00FD0478" w:rsidRPr="00EA1BFE" w:rsidP="00EA1BFE" w14:paraId="76718E26" w14:textId="4B3B6F73">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Assurance of Confidentiality and Protection of Privacy</w:t>
      </w:r>
    </w:p>
    <w:p w:rsidR="00213E4D" w:rsidP="006B7523" w14:paraId="7D674B3A" w14:textId="77777777">
      <w:pPr>
        <w:pStyle w:val="ListParagraph"/>
        <w:tabs>
          <w:tab w:val="left" w:pos="-1440"/>
          <w:tab w:val="left" w:pos="-720"/>
          <w:tab w:val="left" w:pos="810"/>
        </w:tabs>
        <w:spacing w:before="120"/>
        <w:contextualSpacing w:val="0"/>
        <w:rPr>
          <w:rFonts w:ascii="Times New Roman" w:hAnsi="Times New Roman"/>
          <w:bCs/>
          <w:sz w:val="24"/>
          <w:szCs w:val="24"/>
        </w:rPr>
      </w:pPr>
      <w:r w:rsidRPr="00EA1BFE">
        <w:rPr>
          <w:rFonts w:ascii="Times New Roman" w:hAnsi="Times New Roman"/>
          <w:bCs/>
          <w:sz w:val="24"/>
          <w:szCs w:val="24"/>
        </w:rPr>
        <w:t xml:space="preserve">The survey is voluntary for industry participants. </w:t>
      </w:r>
      <w:r w:rsidRPr="00EA1BFE" w:rsidR="000E35D6">
        <w:rPr>
          <w:rFonts w:ascii="Times New Roman" w:hAnsi="Times New Roman"/>
          <w:bCs/>
          <w:sz w:val="24"/>
          <w:szCs w:val="24"/>
        </w:rPr>
        <w:t xml:space="preserve">Assurances of confidentiality would be </w:t>
      </w:r>
      <w:r w:rsidRPr="00EA1BFE" w:rsidR="00824546">
        <w:rPr>
          <w:rFonts w:ascii="Times New Roman" w:hAnsi="Times New Roman"/>
          <w:bCs/>
          <w:sz w:val="24"/>
          <w:szCs w:val="24"/>
        </w:rPr>
        <w:t>handled</w:t>
      </w:r>
      <w:r w:rsidRPr="00EA1BFE" w:rsidR="000E35D6">
        <w:rPr>
          <w:rFonts w:ascii="Times New Roman" w:hAnsi="Times New Roman"/>
          <w:bCs/>
          <w:sz w:val="24"/>
          <w:szCs w:val="24"/>
        </w:rPr>
        <w:t xml:space="preserve"> by AAPA through its selected contractor.</w:t>
      </w:r>
      <w:r w:rsidRPr="00EA1BFE">
        <w:rPr>
          <w:rFonts w:ascii="Times New Roman" w:hAnsi="Times New Roman"/>
          <w:bCs/>
          <w:sz w:val="24"/>
          <w:szCs w:val="24"/>
        </w:rPr>
        <w:t xml:space="preserve"> The contractor</w:t>
      </w:r>
      <w:r w:rsidRPr="00EA1BFE" w:rsidR="007D5478">
        <w:rPr>
          <w:rFonts w:ascii="Times New Roman" w:hAnsi="Times New Roman"/>
          <w:bCs/>
          <w:sz w:val="24"/>
          <w:szCs w:val="24"/>
        </w:rPr>
        <w:t xml:space="preserve"> is</w:t>
      </w:r>
      <w:r w:rsidRPr="00EA1BFE">
        <w:rPr>
          <w:rFonts w:ascii="Times New Roman" w:hAnsi="Times New Roman"/>
          <w:bCs/>
          <w:sz w:val="24"/>
          <w:szCs w:val="24"/>
        </w:rPr>
        <w:t xml:space="preserve"> experienced in dealing with confidential information and will use routine confidentiality procedures such </w:t>
      </w:r>
      <w:r w:rsidRPr="00EA1BFE">
        <w:rPr>
          <w:rFonts w:ascii="Times New Roman" w:hAnsi="Times New Roman"/>
          <w:bCs/>
          <w:sz w:val="24"/>
          <w:szCs w:val="24"/>
        </w:rPr>
        <w:t>as</w:t>
      </w:r>
      <w:r w:rsidRPr="00EA1BFE" w:rsidR="00CE65AB">
        <w:rPr>
          <w:rFonts w:ascii="Times New Roman" w:hAnsi="Times New Roman"/>
          <w:bCs/>
          <w:sz w:val="24"/>
          <w:szCs w:val="24"/>
        </w:rPr>
        <w:t xml:space="preserve"> </w:t>
      </w:r>
      <w:r w:rsidRPr="00EA1BFE" w:rsidR="007D5478">
        <w:rPr>
          <w:rFonts w:ascii="Times New Roman" w:hAnsi="Times New Roman"/>
          <w:bCs/>
          <w:sz w:val="24"/>
          <w:szCs w:val="24"/>
        </w:rPr>
        <w:t xml:space="preserve">scanning and shredding paper forms and notes, </w:t>
      </w:r>
      <w:r w:rsidRPr="00EA1BFE" w:rsidR="00CE65AB">
        <w:rPr>
          <w:rFonts w:ascii="Times New Roman" w:hAnsi="Times New Roman"/>
          <w:bCs/>
          <w:sz w:val="24"/>
          <w:szCs w:val="24"/>
        </w:rPr>
        <w:t>p</w:t>
      </w:r>
      <w:r w:rsidRPr="00EA1BFE">
        <w:rPr>
          <w:rFonts w:ascii="Times New Roman" w:hAnsi="Times New Roman"/>
          <w:bCs/>
          <w:sz w:val="24"/>
          <w:szCs w:val="24"/>
        </w:rPr>
        <w:t>assword</w:t>
      </w:r>
      <w:r w:rsidRPr="00EA1BFE" w:rsidR="007D5478">
        <w:rPr>
          <w:rFonts w:ascii="Times New Roman" w:hAnsi="Times New Roman"/>
          <w:bCs/>
          <w:sz w:val="24"/>
          <w:szCs w:val="24"/>
        </w:rPr>
        <w:t>-</w:t>
      </w:r>
      <w:r w:rsidRPr="00EA1BFE">
        <w:rPr>
          <w:rFonts w:ascii="Times New Roman" w:hAnsi="Times New Roman"/>
          <w:bCs/>
          <w:sz w:val="24"/>
          <w:szCs w:val="24"/>
        </w:rPr>
        <w:t>protect</w:t>
      </w:r>
      <w:r w:rsidRPr="00EA1BFE" w:rsidR="007D5478">
        <w:rPr>
          <w:rFonts w:ascii="Times New Roman" w:hAnsi="Times New Roman"/>
          <w:bCs/>
          <w:sz w:val="24"/>
          <w:szCs w:val="24"/>
        </w:rPr>
        <w:t>ing the</w:t>
      </w:r>
      <w:r w:rsidRPr="00EA1BFE">
        <w:rPr>
          <w:rFonts w:ascii="Times New Roman" w:hAnsi="Times New Roman"/>
          <w:bCs/>
          <w:sz w:val="24"/>
          <w:szCs w:val="24"/>
        </w:rPr>
        <w:t xml:space="preserve"> data and information storage</w:t>
      </w:r>
      <w:r w:rsidRPr="00EA1BFE" w:rsidR="00AD5990">
        <w:rPr>
          <w:rFonts w:ascii="Times New Roman" w:hAnsi="Times New Roman"/>
          <w:bCs/>
          <w:sz w:val="24"/>
          <w:szCs w:val="24"/>
        </w:rPr>
        <w:t>,</w:t>
      </w:r>
      <w:r w:rsidRPr="00EA1BFE" w:rsidR="00CE65AB">
        <w:rPr>
          <w:rFonts w:ascii="Times New Roman" w:hAnsi="Times New Roman"/>
          <w:bCs/>
          <w:sz w:val="24"/>
          <w:szCs w:val="24"/>
        </w:rPr>
        <w:t xml:space="preserve"> and enabling </w:t>
      </w:r>
      <w:r w:rsidRPr="00EA1BFE">
        <w:rPr>
          <w:rFonts w:ascii="Times New Roman" w:hAnsi="Times New Roman"/>
          <w:bCs/>
          <w:sz w:val="24"/>
          <w:szCs w:val="24"/>
        </w:rPr>
        <w:t>need-to-know</w:t>
      </w:r>
      <w:r w:rsidRPr="00EA1BFE" w:rsidR="00CE65AB">
        <w:rPr>
          <w:rFonts w:ascii="Times New Roman" w:hAnsi="Times New Roman"/>
          <w:bCs/>
          <w:sz w:val="24"/>
          <w:szCs w:val="24"/>
        </w:rPr>
        <w:t xml:space="preserve"> access to </w:t>
      </w:r>
      <w:r w:rsidRPr="00EA1BFE" w:rsidR="007D5478">
        <w:rPr>
          <w:rFonts w:ascii="Times New Roman" w:hAnsi="Times New Roman"/>
          <w:bCs/>
          <w:sz w:val="24"/>
          <w:szCs w:val="24"/>
        </w:rPr>
        <w:t xml:space="preserve">survey responses and </w:t>
      </w:r>
      <w:r w:rsidRPr="00EA1BFE" w:rsidR="00CE65AB">
        <w:rPr>
          <w:rFonts w:ascii="Times New Roman" w:hAnsi="Times New Roman"/>
          <w:bCs/>
          <w:sz w:val="24"/>
          <w:szCs w:val="24"/>
        </w:rPr>
        <w:t>collected data</w:t>
      </w:r>
      <w:r w:rsidRPr="00EA1BFE">
        <w:rPr>
          <w:rFonts w:ascii="Times New Roman" w:hAnsi="Times New Roman"/>
          <w:bCs/>
          <w:sz w:val="24"/>
          <w:szCs w:val="24"/>
        </w:rPr>
        <w:t>.</w:t>
      </w:r>
      <w:r w:rsidRPr="00EA1BFE" w:rsidR="00C76C82">
        <w:rPr>
          <w:rFonts w:ascii="Times New Roman" w:hAnsi="Times New Roman"/>
          <w:bCs/>
          <w:sz w:val="24"/>
          <w:szCs w:val="24"/>
        </w:rPr>
        <w:t xml:space="preserve"> Survey results will be presented only in aggregate tables, charts, or text to prevent </w:t>
      </w:r>
      <w:r w:rsidR="00DE0FDF">
        <w:rPr>
          <w:rFonts w:ascii="Times New Roman" w:hAnsi="Times New Roman"/>
          <w:bCs/>
          <w:sz w:val="24"/>
          <w:szCs w:val="24"/>
        </w:rPr>
        <w:t xml:space="preserve">the </w:t>
      </w:r>
      <w:r w:rsidRPr="00EA1BFE" w:rsidR="00C76C82">
        <w:rPr>
          <w:rFonts w:ascii="Times New Roman" w:hAnsi="Times New Roman"/>
          <w:bCs/>
          <w:sz w:val="24"/>
          <w:szCs w:val="24"/>
        </w:rPr>
        <w:t xml:space="preserve">identification of individual responses. </w:t>
      </w:r>
    </w:p>
    <w:p w:rsidR="00D1002B" w:rsidRPr="00EA1BFE" w:rsidP="00EA1BFE" w14:paraId="7EBDE0FC"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 xml:space="preserve">Justification for </w:t>
      </w:r>
      <w:r w:rsidRPr="00D402EB" w:rsidR="00FD0478">
        <w:rPr>
          <w:rFonts w:ascii="Times New Roman" w:hAnsi="Times New Roman"/>
          <w:b/>
          <w:sz w:val="24"/>
          <w:szCs w:val="24"/>
        </w:rPr>
        <w:t>S</w:t>
      </w:r>
      <w:r w:rsidRPr="00D402EB">
        <w:rPr>
          <w:rFonts w:ascii="Times New Roman" w:hAnsi="Times New Roman"/>
          <w:b/>
          <w:sz w:val="24"/>
          <w:szCs w:val="24"/>
        </w:rPr>
        <w:t xml:space="preserve">ensitive </w:t>
      </w:r>
      <w:r>
        <w:rPr>
          <w:rFonts w:ascii="Times New Roman" w:hAnsi="Times New Roman"/>
          <w:b/>
          <w:sz w:val="24"/>
          <w:szCs w:val="24"/>
        </w:rPr>
        <w:t>Questions</w:t>
      </w:r>
    </w:p>
    <w:p w:rsidR="0029190B" w:rsidRPr="00EA1BFE" w:rsidP="00EA1BFE" w14:paraId="556D198F" w14:textId="77777777">
      <w:pPr>
        <w:pStyle w:val="ListParagraph"/>
        <w:tabs>
          <w:tab w:val="left" w:pos="-1440"/>
          <w:tab w:val="left" w:pos="-720"/>
        </w:tabs>
        <w:spacing w:before="120"/>
        <w:contextualSpacing w:val="0"/>
        <w:rPr>
          <w:rFonts w:ascii="Times New Roman" w:hAnsi="Times New Roman"/>
          <w:bCs/>
          <w:sz w:val="24"/>
          <w:szCs w:val="24"/>
        </w:rPr>
      </w:pPr>
      <w:r w:rsidRPr="00EA1BFE">
        <w:rPr>
          <w:rFonts w:ascii="Times New Roman" w:hAnsi="Times New Roman"/>
          <w:bCs/>
          <w:sz w:val="24"/>
          <w:szCs w:val="24"/>
        </w:rPr>
        <w:t>No</w:t>
      </w:r>
      <w:r w:rsidRPr="00EA1BFE" w:rsidR="00372565">
        <w:rPr>
          <w:rFonts w:ascii="Times New Roman" w:hAnsi="Times New Roman"/>
          <w:bCs/>
          <w:sz w:val="24"/>
          <w:szCs w:val="24"/>
        </w:rPr>
        <w:t xml:space="preserve"> questions of a</w:t>
      </w:r>
      <w:r w:rsidRPr="00EA1BFE">
        <w:rPr>
          <w:rFonts w:ascii="Times New Roman" w:hAnsi="Times New Roman"/>
          <w:bCs/>
          <w:sz w:val="24"/>
          <w:szCs w:val="24"/>
        </w:rPr>
        <w:t xml:space="preserve"> sensitive </w:t>
      </w:r>
      <w:r w:rsidRPr="00EA1BFE" w:rsidR="00372565">
        <w:rPr>
          <w:rFonts w:ascii="Times New Roman" w:hAnsi="Times New Roman"/>
          <w:bCs/>
          <w:sz w:val="24"/>
          <w:szCs w:val="24"/>
        </w:rPr>
        <w:t xml:space="preserve">nature are asked. </w:t>
      </w:r>
    </w:p>
    <w:p w:rsidR="00372565" w:rsidRPr="00EA1BFE" w:rsidP="00EA1BFE" w14:paraId="557A6016"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 xml:space="preserve">Estimate of </w:t>
      </w:r>
      <w:r w:rsidRPr="00D402EB" w:rsidR="00901164">
        <w:rPr>
          <w:rFonts w:ascii="Times New Roman" w:hAnsi="Times New Roman"/>
          <w:b/>
          <w:sz w:val="24"/>
          <w:szCs w:val="24"/>
        </w:rPr>
        <w:t>Annualized Burden Hours and Cost</w:t>
      </w:r>
      <w:r w:rsidRPr="00EA1BFE" w:rsidR="00901164">
        <w:rPr>
          <w:rFonts w:ascii="Times New Roman" w:hAnsi="Times New Roman"/>
          <w:b/>
          <w:sz w:val="24"/>
          <w:szCs w:val="24"/>
        </w:rPr>
        <w:t xml:space="preserve"> </w:t>
      </w:r>
      <w:r w:rsidRPr="00D402EB">
        <w:rPr>
          <w:rFonts w:ascii="Times New Roman" w:hAnsi="Times New Roman"/>
          <w:b/>
          <w:sz w:val="24"/>
          <w:szCs w:val="24"/>
        </w:rPr>
        <w:t xml:space="preserve">for </w:t>
      </w:r>
      <w:r w:rsidR="00631510">
        <w:rPr>
          <w:rFonts w:ascii="Times New Roman" w:hAnsi="Times New Roman"/>
          <w:b/>
          <w:sz w:val="24"/>
          <w:szCs w:val="24"/>
        </w:rPr>
        <w:t>I</w:t>
      </w:r>
      <w:r w:rsidRPr="00D402EB">
        <w:rPr>
          <w:rFonts w:ascii="Times New Roman" w:hAnsi="Times New Roman"/>
          <w:b/>
          <w:sz w:val="24"/>
          <w:szCs w:val="24"/>
        </w:rPr>
        <w:t xml:space="preserve">nformation </w:t>
      </w:r>
      <w:r w:rsidR="00631510">
        <w:rPr>
          <w:rFonts w:ascii="Times New Roman" w:hAnsi="Times New Roman"/>
          <w:b/>
          <w:sz w:val="24"/>
          <w:szCs w:val="24"/>
        </w:rPr>
        <w:t>R</w:t>
      </w:r>
      <w:r w:rsidRPr="00D402EB">
        <w:rPr>
          <w:rFonts w:ascii="Times New Roman" w:hAnsi="Times New Roman"/>
          <w:b/>
          <w:sz w:val="24"/>
          <w:szCs w:val="24"/>
        </w:rPr>
        <w:t>equested</w:t>
      </w:r>
      <w:r w:rsidRPr="00B07D56">
        <w:rPr>
          <w:rFonts w:ascii="Times New Roman" w:hAnsi="Times New Roman"/>
          <w:b/>
          <w:sz w:val="24"/>
          <w:szCs w:val="24"/>
        </w:rPr>
        <w:t>:</w:t>
      </w:r>
      <w:r w:rsidRPr="00EA1BFE" w:rsidR="00470720">
        <w:rPr>
          <w:rFonts w:ascii="Times New Roman" w:hAnsi="Times New Roman"/>
          <w:b/>
          <w:sz w:val="24"/>
          <w:szCs w:val="24"/>
        </w:rPr>
        <w:t xml:space="preserve">  </w:t>
      </w:r>
    </w:p>
    <w:p w:rsidR="00901164" w:rsidP="00663A07" w14:paraId="52C4FD5D" w14:textId="77777777">
      <w:pPr>
        <w:numPr>
          <w:ilvl w:val="0"/>
          <w:numId w:val="16"/>
        </w:numPr>
        <w:spacing w:before="120"/>
        <w:rPr>
          <w:rFonts w:ascii="Times New Roman" w:hAnsi="Times New Roman"/>
          <w:b/>
          <w:bCs/>
          <w:sz w:val="24"/>
          <w:szCs w:val="24"/>
        </w:rPr>
      </w:pPr>
      <w:r w:rsidRPr="00D402EB">
        <w:rPr>
          <w:rFonts w:ascii="Times New Roman" w:hAnsi="Times New Roman"/>
          <w:b/>
          <w:bCs/>
          <w:sz w:val="24"/>
          <w:szCs w:val="24"/>
        </w:rPr>
        <w:t>Estimate</w:t>
      </w:r>
      <w:r w:rsidR="000F747C">
        <w:rPr>
          <w:rFonts w:ascii="Times New Roman" w:hAnsi="Times New Roman"/>
          <w:b/>
          <w:bCs/>
          <w:sz w:val="24"/>
          <w:szCs w:val="24"/>
        </w:rPr>
        <w:t>d</w:t>
      </w:r>
      <w:r w:rsidRPr="00D402EB">
        <w:rPr>
          <w:rFonts w:ascii="Times New Roman" w:hAnsi="Times New Roman"/>
          <w:b/>
          <w:bCs/>
          <w:sz w:val="24"/>
          <w:szCs w:val="24"/>
        </w:rPr>
        <w:t xml:space="preserve"> Annualized Burden Hours:</w:t>
      </w:r>
    </w:p>
    <w:p w:rsidR="007D5478" w:rsidRPr="00EA1BFE" w:rsidP="00E076D9" w14:paraId="6A38BCAA" w14:textId="78596B03">
      <w:pPr>
        <w:pStyle w:val="ListParagraph"/>
        <w:tabs>
          <w:tab w:val="left" w:pos="-1440"/>
          <w:tab w:val="left" w:pos="-720"/>
        </w:tabs>
        <w:spacing w:before="120" w:after="240"/>
        <w:ind w:left="1080"/>
        <w:contextualSpacing w:val="0"/>
        <w:rPr>
          <w:rFonts w:ascii="Times New Roman" w:hAnsi="Times New Roman"/>
          <w:bCs/>
          <w:sz w:val="24"/>
          <w:szCs w:val="24"/>
        </w:rPr>
      </w:pPr>
      <w:r w:rsidRPr="00EA1BFE">
        <w:rPr>
          <w:rFonts w:ascii="Times New Roman" w:hAnsi="Times New Roman"/>
          <w:bCs/>
          <w:sz w:val="24"/>
          <w:szCs w:val="24"/>
        </w:rPr>
        <w:t>Based on previous experience</w:t>
      </w:r>
      <w:r w:rsidRPr="00EA1BFE" w:rsidR="00522694">
        <w:rPr>
          <w:rFonts w:ascii="Times New Roman" w:hAnsi="Times New Roman"/>
          <w:bCs/>
          <w:sz w:val="24"/>
          <w:szCs w:val="24"/>
        </w:rPr>
        <w:t xml:space="preserve"> with the initial </w:t>
      </w:r>
      <w:r w:rsidR="00E67E44">
        <w:rPr>
          <w:rFonts w:ascii="Times New Roman" w:hAnsi="Times New Roman"/>
          <w:bCs/>
          <w:sz w:val="24"/>
          <w:szCs w:val="24"/>
        </w:rPr>
        <w:t xml:space="preserve">AAPA </w:t>
      </w:r>
      <w:r w:rsidRPr="00EA1BFE" w:rsidR="00522694">
        <w:rPr>
          <w:rFonts w:ascii="Times New Roman" w:hAnsi="Times New Roman"/>
          <w:bCs/>
          <w:sz w:val="24"/>
          <w:szCs w:val="24"/>
        </w:rPr>
        <w:t>survey</w:t>
      </w:r>
      <w:r w:rsidRPr="00EA1BFE">
        <w:rPr>
          <w:rFonts w:ascii="Times New Roman" w:hAnsi="Times New Roman"/>
          <w:bCs/>
          <w:sz w:val="24"/>
          <w:szCs w:val="24"/>
        </w:rPr>
        <w:t xml:space="preserve">, an estimated 150 potential </w:t>
      </w:r>
      <w:r w:rsidR="00E67E44">
        <w:rPr>
          <w:rFonts w:ascii="Times New Roman" w:hAnsi="Times New Roman"/>
          <w:bCs/>
          <w:sz w:val="24"/>
          <w:szCs w:val="24"/>
        </w:rPr>
        <w:t xml:space="preserve">survey and interview </w:t>
      </w:r>
      <w:r w:rsidRPr="00EA1BFE">
        <w:rPr>
          <w:rFonts w:ascii="Times New Roman" w:hAnsi="Times New Roman"/>
          <w:bCs/>
          <w:sz w:val="24"/>
          <w:szCs w:val="24"/>
        </w:rPr>
        <w:t>respondents will take an average of 15 minutes to review the survey and interview requests and choose whether or not to participate or to begin the survey and exit based on qualification questions. As such, the total estimated total review burden is 37.5</w:t>
      </w:r>
      <w:r w:rsidRPr="00D3709F" w:rsidR="00230842">
        <w:rPr>
          <w:rFonts w:ascii="Times New Roman" w:hAnsi="Times New Roman"/>
          <w:bCs/>
          <w:sz w:val="24"/>
          <w:szCs w:val="24"/>
        </w:rPr>
        <w:t>/38</w:t>
      </w:r>
      <w:r w:rsidRPr="00EA1BFE">
        <w:rPr>
          <w:rFonts w:ascii="Times New Roman" w:hAnsi="Times New Roman"/>
          <w:bCs/>
          <w:sz w:val="24"/>
          <w:szCs w:val="24"/>
        </w:rPr>
        <w:t xml:space="preserve"> hours, is illustrated in the table below:</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2"/>
        <w:gridCol w:w="383"/>
        <w:gridCol w:w="1406"/>
        <w:gridCol w:w="369"/>
        <w:gridCol w:w="1300"/>
        <w:gridCol w:w="453"/>
        <w:gridCol w:w="1273"/>
        <w:gridCol w:w="416"/>
        <w:gridCol w:w="1243"/>
      </w:tblGrid>
      <w:tr w14:paraId="33530549" w14:textId="77777777" w:rsidTr="00E076D9">
        <w:tblPrEx>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2" w:type="dxa"/>
            <w:shd w:val="clear" w:color="auto" w:fill="D0CECE" w:themeFill="background2" w:themeFillShade="E6"/>
            <w:vAlign w:val="center"/>
          </w:tcPr>
          <w:p w:rsidR="007D5478" w:rsidRPr="00663A07" w:rsidP="00E36D1D" w14:paraId="1DAAA47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663A07">
              <w:rPr>
                <w:rFonts w:ascii="Times New Roman" w:hAnsi="Times New Roman"/>
                <w:b/>
                <w:bCs/>
                <w:color w:val="auto"/>
                <w:sz w:val="22"/>
                <w:szCs w:val="22"/>
              </w:rPr>
              <w:t>Number of Potential Respondents</w:t>
            </w:r>
          </w:p>
        </w:tc>
        <w:tc>
          <w:tcPr>
            <w:tcW w:w="383" w:type="dxa"/>
            <w:shd w:val="clear" w:color="auto" w:fill="D0CECE" w:themeFill="background2" w:themeFillShade="E6"/>
            <w:vAlign w:val="bottom"/>
          </w:tcPr>
          <w:p w:rsidR="007D5478" w:rsidRPr="00663A07" w:rsidP="00E36D1D" w14:paraId="367459D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406" w:type="dxa"/>
            <w:shd w:val="clear" w:color="auto" w:fill="D0CECE" w:themeFill="background2" w:themeFillShade="E6"/>
            <w:vAlign w:val="center"/>
          </w:tcPr>
          <w:p w:rsidR="007D5478" w:rsidRPr="00663A07" w:rsidP="00E36D1D" w14:paraId="28A7B3E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663A07">
              <w:rPr>
                <w:rFonts w:ascii="Times New Roman" w:hAnsi="Times New Roman"/>
                <w:b/>
                <w:bCs/>
                <w:color w:val="auto"/>
                <w:sz w:val="22"/>
                <w:szCs w:val="22"/>
              </w:rPr>
              <w:t>Reviews per Respondent</w:t>
            </w:r>
          </w:p>
        </w:tc>
        <w:tc>
          <w:tcPr>
            <w:tcW w:w="369" w:type="dxa"/>
            <w:shd w:val="clear" w:color="auto" w:fill="D0CECE" w:themeFill="background2" w:themeFillShade="E6"/>
          </w:tcPr>
          <w:p w:rsidR="007D5478" w:rsidRPr="00663A07" w:rsidP="00E36D1D" w14:paraId="44AD3EC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300" w:type="dxa"/>
            <w:shd w:val="clear" w:color="auto" w:fill="D0CECE" w:themeFill="background2" w:themeFillShade="E6"/>
            <w:vAlign w:val="center"/>
          </w:tcPr>
          <w:p w:rsidR="007D5478" w:rsidRPr="00663A07" w:rsidP="00E36D1D" w14:paraId="454DD89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663A07">
              <w:rPr>
                <w:rFonts w:ascii="Times New Roman" w:hAnsi="Times New Roman"/>
                <w:b/>
                <w:bCs/>
                <w:color w:val="auto"/>
                <w:sz w:val="22"/>
                <w:szCs w:val="22"/>
              </w:rPr>
              <w:t xml:space="preserve">Total Reviews </w:t>
            </w:r>
          </w:p>
        </w:tc>
        <w:tc>
          <w:tcPr>
            <w:tcW w:w="453" w:type="dxa"/>
            <w:shd w:val="clear" w:color="auto" w:fill="D0CECE" w:themeFill="background2" w:themeFillShade="E6"/>
            <w:vAlign w:val="bottom"/>
          </w:tcPr>
          <w:p w:rsidR="007D5478" w:rsidRPr="00663A07" w:rsidP="00E36D1D" w14:paraId="567B0E9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273" w:type="dxa"/>
            <w:shd w:val="clear" w:color="auto" w:fill="D0CECE" w:themeFill="background2" w:themeFillShade="E6"/>
            <w:vAlign w:val="center"/>
          </w:tcPr>
          <w:p w:rsidR="007D5478" w:rsidRPr="00663A07" w:rsidP="00E36D1D" w14:paraId="49EAB83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663A07">
              <w:rPr>
                <w:rFonts w:ascii="Times New Roman" w:hAnsi="Times New Roman"/>
                <w:b/>
                <w:bCs/>
                <w:color w:val="auto"/>
                <w:sz w:val="22"/>
                <w:szCs w:val="22"/>
              </w:rPr>
              <w:t>Hours per Review</w:t>
            </w:r>
          </w:p>
        </w:tc>
        <w:tc>
          <w:tcPr>
            <w:tcW w:w="416" w:type="dxa"/>
            <w:shd w:val="clear" w:color="auto" w:fill="D0CECE" w:themeFill="background2" w:themeFillShade="E6"/>
            <w:vAlign w:val="bottom"/>
          </w:tcPr>
          <w:p w:rsidR="007D5478" w:rsidRPr="00663A07" w:rsidP="00E36D1D" w14:paraId="4CAA63F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243" w:type="dxa"/>
            <w:shd w:val="clear" w:color="auto" w:fill="D0CECE" w:themeFill="background2" w:themeFillShade="E6"/>
            <w:vAlign w:val="center"/>
          </w:tcPr>
          <w:p w:rsidR="007D5478" w:rsidRPr="00663A07" w:rsidP="00E36D1D" w14:paraId="3FC9948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663A07">
              <w:rPr>
                <w:rFonts w:ascii="Times New Roman" w:hAnsi="Times New Roman"/>
                <w:b/>
                <w:bCs/>
                <w:color w:val="auto"/>
                <w:sz w:val="22"/>
                <w:szCs w:val="22"/>
              </w:rPr>
              <w:t>Total Hours</w:t>
            </w:r>
          </w:p>
        </w:tc>
      </w:tr>
      <w:tr w14:paraId="66A7EC56" w14:textId="77777777" w:rsidTr="00E076D9">
        <w:tblPrEx>
          <w:tblW w:w="0" w:type="auto"/>
          <w:tblInd w:w="1075" w:type="dxa"/>
          <w:tblLook w:val="04A0"/>
        </w:tblPrEx>
        <w:tc>
          <w:tcPr>
            <w:tcW w:w="1432" w:type="dxa"/>
            <w:shd w:val="clear" w:color="auto" w:fill="auto"/>
            <w:vAlign w:val="center"/>
          </w:tcPr>
          <w:p w:rsidR="007D5478" w:rsidRPr="00663A07" w:rsidP="00E36D1D" w14:paraId="12FE94F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150</w:t>
            </w:r>
          </w:p>
        </w:tc>
        <w:tc>
          <w:tcPr>
            <w:tcW w:w="383" w:type="dxa"/>
            <w:shd w:val="clear" w:color="auto" w:fill="auto"/>
          </w:tcPr>
          <w:p w:rsidR="007D5478" w:rsidRPr="00663A07" w:rsidP="00E36D1D" w14:paraId="4BA69516"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w:t>
            </w:r>
          </w:p>
        </w:tc>
        <w:tc>
          <w:tcPr>
            <w:tcW w:w="1406" w:type="dxa"/>
            <w:shd w:val="clear" w:color="auto" w:fill="auto"/>
            <w:vAlign w:val="center"/>
          </w:tcPr>
          <w:p w:rsidR="007D5478" w:rsidRPr="00663A07" w:rsidP="00E36D1D" w14:paraId="50B24B6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1</w:t>
            </w:r>
          </w:p>
        </w:tc>
        <w:tc>
          <w:tcPr>
            <w:tcW w:w="369" w:type="dxa"/>
          </w:tcPr>
          <w:p w:rsidR="007D5478" w:rsidRPr="00663A07" w:rsidP="00E36D1D" w14:paraId="6303832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w:t>
            </w:r>
          </w:p>
        </w:tc>
        <w:tc>
          <w:tcPr>
            <w:tcW w:w="1300" w:type="dxa"/>
            <w:vAlign w:val="center"/>
          </w:tcPr>
          <w:p w:rsidR="007D5478" w:rsidRPr="00663A07" w:rsidP="00E36D1D" w14:paraId="18CBA672"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150</w:t>
            </w:r>
          </w:p>
        </w:tc>
        <w:tc>
          <w:tcPr>
            <w:tcW w:w="453" w:type="dxa"/>
            <w:shd w:val="clear" w:color="auto" w:fill="auto"/>
          </w:tcPr>
          <w:p w:rsidR="007D5478" w:rsidRPr="00663A07" w:rsidP="00E36D1D" w14:paraId="57BD222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w:t>
            </w:r>
          </w:p>
        </w:tc>
        <w:tc>
          <w:tcPr>
            <w:tcW w:w="1273" w:type="dxa"/>
            <w:shd w:val="clear" w:color="auto" w:fill="auto"/>
            <w:vAlign w:val="center"/>
          </w:tcPr>
          <w:p w:rsidR="007D5478" w:rsidRPr="00663A07" w:rsidP="00E36D1D" w14:paraId="0DD3271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.25</w:t>
            </w:r>
          </w:p>
        </w:tc>
        <w:tc>
          <w:tcPr>
            <w:tcW w:w="416" w:type="dxa"/>
            <w:shd w:val="clear" w:color="auto" w:fill="auto"/>
          </w:tcPr>
          <w:p w:rsidR="007D5478" w:rsidRPr="00663A07" w:rsidP="00E36D1D" w14:paraId="788FE57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w:t>
            </w:r>
          </w:p>
        </w:tc>
        <w:tc>
          <w:tcPr>
            <w:tcW w:w="1243" w:type="dxa"/>
            <w:shd w:val="clear" w:color="auto" w:fill="auto"/>
            <w:vAlign w:val="center"/>
          </w:tcPr>
          <w:p w:rsidR="007D5478" w:rsidRPr="00663A07" w:rsidP="00E36D1D" w14:paraId="4363CC78" w14:textId="3261CDC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663A07">
              <w:rPr>
                <w:rFonts w:ascii="Times New Roman" w:hAnsi="Times New Roman"/>
                <w:color w:val="auto"/>
                <w:sz w:val="22"/>
                <w:szCs w:val="22"/>
              </w:rPr>
              <w:t>37.5</w:t>
            </w:r>
            <w:r w:rsidR="00230842">
              <w:rPr>
                <w:rFonts w:ascii="Times New Roman" w:hAnsi="Times New Roman"/>
                <w:color w:val="auto"/>
                <w:sz w:val="22"/>
                <w:szCs w:val="22"/>
              </w:rPr>
              <w:t>/</w:t>
            </w:r>
            <w:r w:rsidRPr="00D3709F" w:rsidR="00230842">
              <w:rPr>
                <w:rFonts w:ascii="Times New Roman" w:hAnsi="Times New Roman"/>
                <w:color w:val="auto"/>
                <w:sz w:val="22"/>
                <w:szCs w:val="22"/>
              </w:rPr>
              <w:t>38</w:t>
            </w:r>
          </w:p>
        </w:tc>
      </w:tr>
    </w:tbl>
    <w:p w:rsidR="003B07E2" w:rsidRPr="003F726F" w:rsidP="00E076D9" w14:paraId="532289CA" w14:textId="05AB41DA">
      <w:pPr>
        <w:pStyle w:val="ListParagraph"/>
        <w:tabs>
          <w:tab w:val="left" w:pos="-1440"/>
          <w:tab w:val="left" w:pos="-720"/>
        </w:tabs>
        <w:spacing w:before="240" w:after="240"/>
        <w:ind w:left="1080"/>
        <w:contextualSpacing w:val="0"/>
        <w:rPr>
          <w:rFonts w:ascii="Times New Roman" w:hAnsi="Times New Roman"/>
          <w:bCs/>
          <w:sz w:val="24"/>
          <w:szCs w:val="24"/>
        </w:rPr>
      </w:pPr>
      <w:r w:rsidRPr="003F726F">
        <w:rPr>
          <w:rFonts w:ascii="Times New Roman" w:hAnsi="Times New Roman"/>
          <w:bCs/>
          <w:sz w:val="24"/>
          <w:szCs w:val="24"/>
        </w:rPr>
        <w:t>Of the total 150 potential respondents, a</w:t>
      </w:r>
      <w:r w:rsidRPr="003F726F" w:rsidR="00372565">
        <w:rPr>
          <w:rFonts w:ascii="Times New Roman" w:hAnsi="Times New Roman"/>
          <w:bCs/>
          <w:sz w:val="24"/>
          <w:szCs w:val="24"/>
        </w:rPr>
        <w:t xml:space="preserve">n estimated 50 </w:t>
      </w:r>
      <w:r w:rsidRPr="003F726F">
        <w:rPr>
          <w:rFonts w:ascii="Times New Roman" w:hAnsi="Times New Roman"/>
          <w:bCs/>
          <w:sz w:val="24"/>
          <w:szCs w:val="24"/>
        </w:rPr>
        <w:t>of them</w:t>
      </w:r>
      <w:r w:rsidRPr="003F726F" w:rsidR="00372565">
        <w:rPr>
          <w:rFonts w:ascii="Times New Roman" w:hAnsi="Times New Roman"/>
          <w:bCs/>
          <w:sz w:val="24"/>
          <w:szCs w:val="24"/>
        </w:rPr>
        <w:t xml:space="preserve"> will take 2 hours </w:t>
      </w:r>
      <w:r w:rsidRPr="003F726F" w:rsidR="00C76C82">
        <w:rPr>
          <w:rFonts w:ascii="Times New Roman" w:hAnsi="Times New Roman"/>
          <w:bCs/>
          <w:sz w:val="24"/>
          <w:szCs w:val="24"/>
        </w:rPr>
        <w:t>(estimated based on previous survey experience, to be recalibrated based on pilot surve</w:t>
      </w:r>
      <w:r w:rsidRPr="003F726F" w:rsidR="006752FD">
        <w:rPr>
          <w:rFonts w:ascii="Times New Roman" w:hAnsi="Times New Roman"/>
          <w:bCs/>
          <w:sz w:val="24"/>
          <w:szCs w:val="24"/>
        </w:rPr>
        <w:t>ys and interviews</w:t>
      </w:r>
      <w:r w:rsidRPr="003F726F" w:rsidR="00C76C82">
        <w:rPr>
          <w:rFonts w:ascii="Times New Roman" w:hAnsi="Times New Roman"/>
          <w:bCs/>
          <w:sz w:val="24"/>
          <w:szCs w:val="24"/>
        </w:rPr>
        <w:t>)</w:t>
      </w:r>
      <w:r w:rsidRPr="003F726F" w:rsidR="006752FD">
        <w:rPr>
          <w:rFonts w:ascii="Times New Roman" w:hAnsi="Times New Roman"/>
          <w:bCs/>
          <w:sz w:val="24"/>
          <w:szCs w:val="24"/>
        </w:rPr>
        <w:t xml:space="preserve"> </w:t>
      </w:r>
      <w:r w:rsidRPr="003F726F" w:rsidR="00372565">
        <w:rPr>
          <w:rFonts w:ascii="Times New Roman" w:hAnsi="Times New Roman"/>
          <w:bCs/>
          <w:sz w:val="24"/>
          <w:szCs w:val="24"/>
        </w:rPr>
        <w:t xml:space="preserve">to complete </w:t>
      </w:r>
      <w:r w:rsidR="00E67E44">
        <w:rPr>
          <w:rFonts w:ascii="Times New Roman" w:hAnsi="Times New Roman"/>
          <w:bCs/>
          <w:sz w:val="24"/>
          <w:szCs w:val="24"/>
        </w:rPr>
        <w:t xml:space="preserve">either 1) </w:t>
      </w:r>
      <w:r w:rsidRPr="003F726F" w:rsidR="00372565">
        <w:rPr>
          <w:rFonts w:ascii="Times New Roman" w:hAnsi="Times New Roman"/>
          <w:bCs/>
          <w:sz w:val="24"/>
          <w:szCs w:val="24"/>
        </w:rPr>
        <w:t xml:space="preserve">this </w:t>
      </w:r>
      <w:r w:rsidRPr="003F726F">
        <w:rPr>
          <w:rFonts w:ascii="Times New Roman" w:hAnsi="Times New Roman"/>
          <w:bCs/>
          <w:sz w:val="24"/>
          <w:szCs w:val="24"/>
        </w:rPr>
        <w:t>one-time</w:t>
      </w:r>
      <w:r w:rsidRPr="003F726F" w:rsidR="00372565">
        <w:rPr>
          <w:rFonts w:ascii="Times New Roman" w:hAnsi="Times New Roman"/>
          <w:bCs/>
          <w:sz w:val="24"/>
          <w:szCs w:val="24"/>
        </w:rPr>
        <w:t xml:space="preserve"> survey, </w:t>
      </w:r>
      <w:r w:rsidRPr="003F726F">
        <w:rPr>
          <w:rFonts w:ascii="Times New Roman" w:hAnsi="Times New Roman"/>
          <w:bCs/>
          <w:sz w:val="24"/>
          <w:szCs w:val="24"/>
        </w:rPr>
        <w:t xml:space="preserve">using either the electronic </w:t>
      </w:r>
      <w:r w:rsidRPr="003F726F" w:rsidR="00372565">
        <w:rPr>
          <w:rFonts w:ascii="Times New Roman" w:hAnsi="Times New Roman"/>
          <w:bCs/>
          <w:sz w:val="24"/>
          <w:szCs w:val="24"/>
        </w:rPr>
        <w:t xml:space="preserve">platform or other </w:t>
      </w:r>
      <w:r w:rsidRPr="003F726F">
        <w:rPr>
          <w:rFonts w:ascii="Times New Roman" w:hAnsi="Times New Roman"/>
          <w:bCs/>
          <w:sz w:val="24"/>
          <w:szCs w:val="24"/>
        </w:rPr>
        <w:t xml:space="preserve">available </w:t>
      </w:r>
      <w:r w:rsidRPr="003F726F" w:rsidR="00372565">
        <w:rPr>
          <w:rFonts w:ascii="Times New Roman" w:hAnsi="Times New Roman"/>
          <w:bCs/>
          <w:sz w:val="24"/>
          <w:szCs w:val="24"/>
        </w:rPr>
        <w:t>medium</w:t>
      </w:r>
      <w:r w:rsidR="00E67E44">
        <w:rPr>
          <w:rFonts w:ascii="Times New Roman" w:hAnsi="Times New Roman"/>
          <w:bCs/>
          <w:sz w:val="24"/>
          <w:szCs w:val="24"/>
        </w:rPr>
        <w:t>, or 2) the one-time interview via on-line meeting (e.g. Zoom) or conference call</w:t>
      </w:r>
      <w:r w:rsidR="00CC09D5">
        <w:rPr>
          <w:rFonts w:ascii="Times New Roman" w:hAnsi="Times New Roman"/>
          <w:bCs/>
          <w:sz w:val="24"/>
          <w:szCs w:val="24"/>
        </w:rPr>
        <w:t xml:space="preserve">, </w:t>
      </w:r>
      <w:r w:rsidRPr="00476E6A" w:rsidR="00202DB8">
        <w:rPr>
          <w:rFonts w:ascii="Times New Roman" w:hAnsi="Times New Roman"/>
          <w:bCs/>
          <w:sz w:val="24"/>
          <w:szCs w:val="24"/>
        </w:rPr>
        <w:t>and</w:t>
      </w:r>
      <w:r w:rsidRPr="00476E6A" w:rsidR="00CC09D5">
        <w:rPr>
          <w:rFonts w:ascii="Times New Roman" w:hAnsi="Times New Roman"/>
          <w:bCs/>
          <w:sz w:val="24"/>
          <w:szCs w:val="24"/>
        </w:rPr>
        <w:t xml:space="preserve"> 3) the time taken </w:t>
      </w:r>
      <w:r w:rsidRPr="00476E6A" w:rsidR="00F85D93">
        <w:rPr>
          <w:rFonts w:ascii="Times New Roman" w:hAnsi="Times New Roman"/>
          <w:bCs/>
          <w:sz w:val="24"/>
          <w:szCs w:val="24"/>
        </w:rPr>
        <w:t>to review and</w:t>
      </w:r>
      <w:r w:rsidRPr="00476E6A" w:rsidR="00D30D83">
        <w:rPr>
          <w:rFonts w:ascii="Times New Roman" w:hAnsi="Times New Roman"/>
          <w:bCs/>
          <w:sz w:val="24"/>
          <w:szCs w:val="24"/>
        </w:rPr>
        <w:t>/or</w:t>
      </w:r>
      <w:r w:rsidRPr="00476E6A" w:rsidR="00F85D93">
        <w:rPr>
          <w:rFonts w:ascii="Times New Roman" w:hAnsi="Times New Roman"/>
          <w:bCs/>
          <w:sz w:val="24"/>
          <w:szCs w:val="24"/>
        </w:rPr>
        <w:t xml:space="preserve"> respond to</w:t>
      </w:r>
      <w:r w:rsidRPr="00476E6A" w:rsidR="00CC09D5">
        <w:rPr>
          <w:rFonts w:ascii="Times New Roman" w:hAnsi="Times New Roman"/>
          <w:bCs/>
          <w:sz w:val="24"/>
          <w:szCs w:val="24"/>
        </w:rPr>
        <w:t xml:space="preserve"> </w:t>
      </w:r>
      <w:r w:rsidRPr="00476E6A" w:rsidR="00230842">
        <w:rPr>
          <w:rFonts w:ascii="Times New Roman" w:hAnsi="Times New Roman"/>
          <w:bCs/>
          <w:sz w:val="24"/>
          <w:szCs w:val="24"/>
        </w:rPr>
        <w:t>multiple (2-3) email</w:t>
      </w:r>
      <w:r w:rsidRPr="00476E6A" w:rsidR="00CC09D5">
        <w:rPr>
          <w:rFonts w:ascii="Times New Roman" w:hAnsi="Times New Roman"/>
          <w:bCs/>
          <w:sz w:val="24"/>
          <w:szCs w:val="24"/>
        </w:rPr>
        <w:t xml:space="preserve"> </w:t>
      </w:r>
      <w:r w:rsidRPr="00476E6A" w:rsidR="00202DB8">
        <w:rPr>
          <w:rFonts w:ascii="Times New Roman" w:hAnsi="Times New Roman"/>
          <w:bCs/>
          <w:sz w:val="24"/>
          <w:szCs w:val="24"/>
        </w:rPr>
        <w:t xml:space="preserve">reminders and </w:t>
      </w:r>
      <w:r w:rsidRPr="00476E6A" w:rsidR="00CC09D5">
        <w:rPr>
          <w:rFonts w:ascii="Times New Roman" w:hAnsi="Times New Roman"/>
          <w:bCs/>
          <w:sz w:val="24"/>
          <w:szCs w:val="24"/>
        </w:rPr>
        <w:t>supplemental follow-up discussions either by email or virtual meetings</w:t>
      </w:r>
      <w:r w:rsidRPr="00476E6A" w:rsidR="00230842">
        <w:rPr>
          <w:rFonts w:ascii="Times New Roman" w:hAnsi="Times New Roman"/>
          <w:bCs/>
          <w:sz w:val="24"/>
          <w:szCs w:val="24"/>
        </w:rPr>
        <w:t>. The latter i.e., supplemental follow-up discussions will be conducted</w:t>
      </w:r>
      <w:r w:rsidRPr="00476E6A" w:rsidR="00CC09D5">
        <w:rPr>
          <w:rFonts w:ascii="Times New Roman" w:hAnsi="Times New Roman"/>
          <w:bCs/>
          <w:sz w:val="24"/>
          <w:szCs w:val="24"/>
        </w:rPr>
        <w:t xml:space="preserve"> at the discretion of respondents</w:t>
      </w:r>
      <w:r w:rsidRPr="00476E6A" w:rsidR="00372565">
        <w:rPr>
          <w:rFonts w:ascii="Times New Roman" w:hAnsi="Times New Roman"/>
          <w:bCs/>
          <w:sz w:val="24"/>
          <w:szCs w:val="24"/>
        </w:rPr>
        <w:t>.</w:t>
      </w:r>
      <w:r w:rsidRPr="003F726F">
        <w:rPr>
          <w:rFonts w:ascii="Times New Roman" w:hAnsi="Times New Roman"/>
          <w:bCs/>
          <w:sz w:val="24"/>
          <w:szCs w:val="24"/>
        </w:rPr>
        <w:t xml:space="preserve"> As such, the total </w:t>
      </w:r>
      <w:r w:rsidRPr="003F726F" w:rsidR="00737963">
        <w:rPr>
          <w:rFonts w:ascii="Times New Roman" w:hAnsi="Times New Roman"/>
          <w:bCs/>
          <w:sz w:val="24"/>
          <w:szCs w:val="24"/>
        </w:rPr>
        <w:t>estimate</w:t>
      </w:r>
      <w:r w:rsidRPr="003F726F" w:rsidR="006F2465">
        <w:rPr>
          <w:rFonts w:ascii="Times New Roman" w:hAnsi="Times New Roman"/>
          <w:bCs/>
          <w:sz w:val="24"/>
          <w:szCs w:val="24"/>
        </w:rPr>
        <w:t>d</w:t>
      </w:r>
      <w:r w:rsidRPr="003F726F" w:rsidR="00737963">
        <w:rPr>
          <w:rFonts w:ascii="Times New Roman" w:hAnsi="Times New Roman"/>
          <w:bCs/>
          <w:sz w:val="24"/>
          <w:szCs w:val="24"/>
        </w:rPr>
        <w:t xml:space="preserve"> </w:t>
      </w:r>
      <w:r w:rsidRPr="003F726F" w:rsidR="00A85F3F">
        <w:rPr>
          <w:rFonts w:ascii="Times New Roman" w:hAnsi="Times New Roman"/>
          <w:bCs/>
          <w:sz w:val="24"/>
          <w:szCs w:val="24"/>
        </w:rPr>
        <w:t>response</w:t>
      </w:r>
      <w:r w:rsidRPr="003F726F" w:rsidR="007D5478">
        <w:rPr>
          <w:rFonts w:ascii="Times New Roman" w:hAnsi="Times New Roman"/>
          <w:bCs/>
          <w:sz w:val="24"/>
          <w:szCs w:val="24"/>
        </w:rPr>
        <w:t xml:space="preserve"> </w:t>
      </w:r>
      <w:r w:rsidRPr="003F726F" w:rsidR="00737963">
        <w:rPr>
          <w:rFonts w:ascii="Times New Roman" w:hAnsi="Times New Roman"/>
          <w:bCs/>
          <w:sz w:val="24"/>
          <w:szCs w:val="24"/>
        </w:rPr>
        <w:t xml:space="preserve">burden </w:t>
      </w:r>
      <w:r w:rsidRPr="003F726F" w:rsidR="007D5478">
        <w:rPr>
          <w:rFonts w:ascii="Times New Roman" w:hAnsi="Times New Roman"/>
          <w:bCs/>
          <w:sz w:val="24"/>
          <w:szCs w:val="24"/>
        </w:rPr>
        <w:t>is</w:t>
      </w:r>
      <w:r w:rsidRPr="003F726F">
        <w:rPr>
          <w:rFonts w:ascii="Times New Roman" w:hAnsi="Times New Roman"/>
          <w:bCs/>
          <w:sz w:val="24"/>
          <w:szCs w:val="24"/>
        </w:rPr>
        <w:t xml:space="preserve"> </w:t>
      </w:r>
      <w:r w:rsidRPr="003F726F" w:rsidR="006F2465">
        <w:rPr>
          <w:rFonts w:ascii="Times New Roman" w:hAnsi="Times New Roman"/>
          <w:bCs/>
          <w:sz w:val="24"/>
          <w:szCs w:val="24"/>
        </w:rPr>
        <w:t>100 hours</w:t>
      </w:r>
      <w:r w:rsidRPr="003F726F">
        <w:rPr>
          <w:rFonts w:ascii="Times New Roman" w:hAnsi="Times New Roman"/>
          <w:bCs/>
          <w:sz w:val="24"/>
          <w:szCs w:val="24"/>
        </w:rPr>
        <w:t>,</w:t>
      </w:r>
      <w:r w:rsidRPr="003F726F" w:rsidR="000F747C">
        <w:rPr>
          <w:rFonts w:ascii="Times New Roman" w:hAnsi="Times New Roman"/>
          <w:bCs/>
          <w:sz w:val="24"/>
          <w:szCs w:val="24"/>
        </w:rPr>
        <w:t xml:space="preserve"> and</w:t>
      </w:r>
      <w:r w:rsidRPr="003F726F">
        <w:rPr>
          <w:rFonts w:ascii="Times New Roman" w:hAnsi="Times New Roman"/>
          <w:bCs/>
          <w:sz w:val="24"/>
          <w:szCs w:val="24"/>
        </w:rPr>
        <w:t xml:space="preserve"> </w:t>
      </w:r>
      <w:r w:rsidRPr="003F726F" w:rsidR="00980E10">
        <w:rPr>
          <w:rFonts w:ascii="Times New Roman" w:hAnsi="Times New Roman"/>
          <w:bCs/>
          <w:sz w:val="24"/>
          <w:szCs w:val="24"/>
        </w:rPr>
        <w:t>is</w:t>
      </w:r>
      <w:r w:rsidRPr="003F726F">
        <w:rPr>
          <w:rFonts w:ascii="Times New Roman" w:hAnsi="Times New Roman"/>
          <w:bCs/>
          <w:sz w:val="24"/>
          <w:szCs w:val="24"/>
        </w:rPr>
        <w:t xml:space="preserve"> illustrated in the table below:</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
        <w:gridCol w:w="343"/>
        <w:gridCol w:w="1385"/>
        <w:gridCol w:w="362"/>
        <w:gridCol w:w="1311"/>
        <w:gridCol w:w="522"/>
        <w:gridCol w:w="1268"/>
        <w:gridCol w:w="535"/>
        <w:gridCol w:w="1121"/>
      </w:tblGrid>
      <w:tr w14:paraId="3BE86BD2" w14:textId="77777777" w:rsidTr="00E076D9">
        <w:tblPrEx>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28" w:type="dxa"/>
            <w:shd w:val="clear" w:color="auto" w:fill="D0CECE" w:themeFill="background2" w:themeFillShade="E6"/>
            <w:vAlign w:val="center"/>
          </w:tcPr>
          <w:p w:rsidR="00635227" w:rsidRPr="003F726F" w:rsidP="0080484F" w14:paraId="6F0CEF7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3F726F">
              <w:rPr>
                <w:rFonts w:ascii="Times New Roman" w:hAnsi="Times New Roman"/>
                <w:b/>
                <w:bCs/>
                <w:color w:val="auto"/>
                <w:sz w:val="22"/>
                <w:szCs w:val="22"/>
              </w:rPr>
              <w:t>Number of Respondents</w:t>
            </w:r>
          </w:p>
        </w:tc>
        <w:tc>
          <w:tcPr>
            <w:tcW w:w="343" w:type="dxa"/>
            <w:shd w:val="clear" w:color="auto" w:fill="D0CECE" w:themeFill="background2" w:themeFillShade="E6"/>
            <w:vAlign w:val="center"/>
          </w:tcPr>
          <w:p w:rsidR="00635227" w:rsidRPr="003F726F" w:rsidP="0080484F" w14:paraId="5E4B5CFA"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385" w:type="dxa"/>
            <w:shd w:val="clear" w:color="auto" w:fill="D0CECE" w:themeFill="background2" w:themeFillShade="E6"/>
            <w:vAlign w:val="center"/>
          </w:tcPr>
          <w:p w:rsidR="00635227" w:rsidRPr="003F726F" w:rsidP="0080484F" w14:paraId="0C3ADE3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3F726F">
              <w:rPr>
                <w:rFonts w:ascii="Times New Roman" w:hAnsi="Times New Roman"/>
                <w:b/>
                <w:bCs/>
                <w:color w:val="auto"/>
                <w:sz w:val="22"/>
                <w:szCs w:val="22"/>
              </w:rPr>
              <w:t>Responses per Respondent</w:t>
            </w:r>
          </w:p>
        </w:tc>
        <w:tc>
          <w:tcPr>
            <w:tcW w:w="362" w:type="dxa"/>
            <w:shd w:val="clear" w:color="auto" w:fill="D0CECE" w:themeFill="background2" w:themeFillShade="E6"/>
            <w:vAlign w:val="center"/>
          </w:tcPr>
          <w:p w:rsidR="00635227" w:rsidRPr="003F726F" w:rsidP="0080484F" w14:paraId="496C3721"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311" w:type="dxa"/>
            <w:shd w:val="clear" w:color="auto" w:fill="D0CECE" w:themeFill="background2" w:themeFillShade="E6"/>
            <w:vAlign w:val="center"/>
          </w:tcPr>
          <w:p w:rsidR="00635227" w:rsidRPr="003F726F" w:rsidP="0080484F" w14:paraId="578BC195"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3F726F">
              <w:rPr>
                <w:rFonts w:ascii="Times New Roman" w:hAnsi="Times New Roman"/>
                <w:b/>
                <w:bCs/>
                <w:color w:val="auto"/>
                <w:sz w:val="22"/>
                <w:szCs w:val="22"/>
              </w:rPr>
              <w:t xml:space="preserve">Total Responses </w:t>
            </w:r>
          </w:p>
        </w:tc>
        <w:tc>
          <w:tcPr>
            <w:tcW w:w="522" w:type="dxa"/>
            <w:shd w:val="clear" w:color="auto" w:fill="D0CECE" w:themeFill="background2" w:themeFillShade="E6"/>
            <w:vAlign w:val="center"/>
          </w:tcPr>
          <w:p w:rsidR="00635227" w:rsidRPr="003F726F" w:rsidP="0080484F" w14:paraId="278E4DB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268" w:type="dxa"/>
            <w:shd w:val="clear" w:color="auto" w:fill="D0CECE" w:themeFill="background2" w:themeFillShade="E6"/>
            <w:vAlign w:val="center"/>
          </w:tcPr>
          <w:p w:rsidR="00635227" w:rsidRPr="003F726F" w:rsidP="0080484F" w14:paraId="194938F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3F726F">
              <w:rPr>
                <w:rFonts w:ascii="Times New Roman" w:hAnsi="Times New Roman"/>
                <w:b/>
                <w:bCs/>
                <w:color w:val="auto"/>
                <w:sz w:val="22"/>
                <w:szCs w:val="22"/>
              </w:rPr>
              <w:t>Hours per Response</w:t>
            </w:r>
          </w:p>
        </w:tc>
        <w:tc>
          <w:tcPr>
            <w:tcW w:w="535" w:type="dxa"/>
            <w:shd w:val="clear" w:color="auto" w:fill="D0CECE" w:themeFill="background2" w:themeFillShade="E6"/>
            <w:vAlign w:val="center"/>
          </w:tcPr>
          <w:p w:rsidR="00635227" w:rsidRPr="003F726F" w:rsidP="0080484F" w14:paraId="291BCF8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1121" w:type="dxa"/>
            <w:shd w:val="clear" w:color="auto" w:fill="D0CECE" w:themeFill="background2" w:themeFillShade="E6"/>
            <w:vAlign w:val="center"/>
          </w:tcPr>
          <w:p w:rsidR="00635227" w:rsidRPr="003F726F" w:rsidP="0080484F" w14:paraId="2AF609F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3F726F">
              <w:rPr>
                <w:rFonts w:ascii="Times New Roman" w:hAnsi="Times New Roman"/>
                <w:b/>
                <w:bCs/>
                <w:color w:val="auto"/>
                <w:sz w:val="22"/>
                <w:szCs w:val="22"/>
              </w:rPr>
              <w:t>Total Hours</w:t>
            </w:r>
          </w:p>
        </w:tc>
      </w:tr>
      <w:tr w14:paraId="0574DBA1" w14:textId="77777777" w:rsidTr="00E076D9">
        <w:tblPrEx>
          <w:tblW w:w="0" w:type="auto"/>
          <w:tblInd w:w="1075" w:type="dxa"/>
          <w:tblLook w:val="04A0"/>
        </w:tblPrEx>
        <w:tc>
          <w:tcPr>
            <w:tcW w:w="1428" w:type="dxa"/>
            <w:shd w:val="clear" w:color="auto" w:fill="auto"/>
            <w:vAlign w:val="center"/>
          </w:tcPr>
          <w:p w:rsidR="00635227" w:rsidRPr="003F726F" w:rsidP="0080484F" w14:paraId="5E7D282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50</w:t>
            </w:r>
          </w:p>
        </w:tc>
        <w:tc>
          <w:tcPr>
            <w:tcW w:w="343" w:type="dxa"/>
            <w:shd w:val="clear" w:color="auto" w:fill="auto"/>
            <w:vAlign w:val="center"/>
          </w:tcPr>
          <w:p w:rsidR="00635227" w:rsidRPr="003F726F" w:rsidP="0080484F" w14:paraId="0279A02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w:t>
            </w:r>
          </w:p>
        </w:tc>
        <w:tc>
          <w:tcPr>
            <w:tcW w:w="1385" w:type="dxa"/>
            <w:shd w:val="clear" w:color="auto" w:fill="auto"/>
            <w:vAlign w:val="center"/>
          </w:tcPr>
          <w:p w:rsidR="00635227" w:rsidRPr="003F726F" w:rsidP="0080484F" w14:paraId="0F02D9E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1</w:t>
            </w:r>
          </w:p>
        </w:tc>
        <w:tc>
          <w:tcPr>
            <w:tcW w:w="362" w:type="dxa"/>
            <w:vAlign w:val="center"/>
          </w:tcPr>
          <w:p w:rsidR="00635227" w:rsidRPr="003F726F" w:rsidP="0080484F" w14:paraId="7B6E60E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w:t>
            </w:r>
          </w:p>
        </w:tc>
        <w:tc>
          <w:tcPr>
            <w:tcW w:w="1311" w:type="dxa"/>
            <w:vAlign w:val="center"/>
          </w:tcPr>
          <w:p w:rsidR="00635227" w:rsidRPr="003F726F" w:rsidP="0080484F" w14:paraId="5488D45D"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50</w:t>
            </w:r>
          </w:p>
        </w:tc>
        <w:tc>
          <w:tcPr>
            <w:tcW w:w="522" w:type="dxa"/>
            <w:shd w:val="clear" w:color="auto" w:fill="auto"/>
            <w:vAlign w:val="center"/>
          </w:tcPr>
          <w:p w:rsidR="00635227" w:rsidRPr="003F726F" w:rsidP="0080484F" w14:paraId="2047C83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w:t>
            </w:r>
          </w:p>
        </w:tc>
        <w:tc>
          <w:tcPr>
            <w:tcW w:w="1268" w:type="dxa"/>
            <w:shd w:val="clear" w:color="auto" w:fill="auto"/>
            <w:vAlign w:val="center"/>
          </w:tcPr>
          <w:p w:rsidR="00635227" w:rsidRPr="003F726F" w:rsidP="0080484F" w14:paraId="7CD94E1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2</w:t>
            </w:r>
          </w:p>
        </w:tc>
        <w:tc>
          <w:tcPr>
            <w:tcW w:w="535" w:type="dxa"/>
            <w:shd w:val="clear" w:color="auto" w:fill="auto"/>
            <w:vAlign w:val="center"/>
          </w:tcPr>
          <w:p w:rsidR="00635227" w:rsidRPr="003F726F" w:rsidP="0080484F" w14:paraId="3796575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w:t>
            </w:r>
          </w:p>
        </w:tc>
        <w:tc>
          <w:tcPr>
            <w:tcW w:w="1121" w:type="dxa"/>
            <w:shd w:val="clear" w:color="auto" w:fill="auto"/>
            <w:vAlign w:val="center"/>
          </w:tcPr>
          <w:p w:rsidR="00635227" w:rsidRPr="003F726F" w:rsidP="0080484F" w14:paraId="1DA2B13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3F726F">
              <w:rPr>
                <w:rFonts w:ascii="Times New Roman" w:hAnsi="Times New Roman"/>
                <w:color w:val="auto"/>
                <w:sz w:val="22"/>
                <w:szCs w:val="22"/>
              </w:rPr>
              <w:t>100</w:t>
            </w:r>
          </w:p>
        </w:tc>
      </w:tr>
    </w:tbl>
    <w:p w:rsidR="00E756B7" w:rsidRPr="00B42737" w:rsidP="00D66060" w14:paraId="6F1A6AC1" w14:textId="45E8826F">
      <w:pPr>
        <w:pStyle w:val="ListParagraph"/>
        <w:tabs>
          <w:tab w:val="left" w:pos="-1440"/>
          <w:tab w:val="left" w:pos="-720"/>
        </w:tabs>
        <w:spacing w:before="240"/>
        <w:ind w:left="1080"/>
        <w:contextualSpacing w:val="0"/>
      </w:pPr>
      <w:bookmarkStart w:id="1" w:name="_Hlk133568015"/>
      <w:r w:rsidRPr="003F726F">
        <w:rPr>
          <w:rFonts w:ascii="Times New Roman" w:hAnsi="Times New Roman"/>
          <w:bCs/>
          <w:sz w:val="24"/>
          <w:szCs w:val="24"/>
        </w:rPr>
        <w:t xml:space="preserve">Therefore, the total combined </w:t>
      </w:r>
      <w:r w:rsidRPr="003F726F" w:rsidR="00A43DC1">
        <w:rPr>
          <w:rFonts w:ascii="Times New Roman" w:hAnsi="Times New Roman"/>
          <w:bCs/>
          <w:sz w:val="24"/>
          <w:szCs w:val="24"/>
        </w:rPr>
        <w:t xml:space="preserve">respondents and responses for this collection are 200, </w:t>
      </w:r>
      <w:r w:rsidRPr="00D66060" w:rsidR="00A43DC1">
        <w:rPr>
          <w:rFonts w:ascii="Times New Roman" w:hAnsi="Times New Roman"/>
          <w:sz w:val="24"/>
          <w:szCs w:val="24"/>
        </w:rPr>
        <w:t xml:space="preserve">while the </w:t>
      </w:r>
      <w:r w:rsidRPr="00D66060" w:rsidR="00A43DC1">
        <w:rPr>
          <w:rFonts w:ascii="Times New Roman" w:hAnsi="Times New Roman"/>
          <w:bCs/>
          <w:sz w:val="24"/>
          <w:szCs w:val="24"/>
        </w:rPr>
        <w:t>total</w:t>
      </w:r>
      <w:r w:rsidRPr="00D66060" w:rsidR="00A43DC1">
        <w:rPr>
          <w:rFonts w:ascii="Times New Roman" w:hAnsi="Times New Roman"/>
          <w:sz w:val="24"/>
          <w:szCs w:val="24"/>
        </w:rPr>
        <w:t xml:space="preserve"> combined </w:t>
      </w:r>
      <w:r w:rsidRPr="00D66060">
        <w:rPr>
          <w:rFonts w:ascii="Times New Roman" w:hAnsi="Times New Roman"/>
          <w:sz w:val="24"/>
          <w:szCs w:val="24"/>
        </w:rPr>
        <w:t>burden hours associated with this collection is 137.5</w:t>
      </w:r>
      <w:r w:rsidR="00A928AA">
        <w:rPr>
          <w:rFonts w:ascii="Times New Roman" w:hAnsi="Times New Roman"/>
          <w:sz w:val="24"/>
          <w:szCs w:val="24"/>
        </w:rPr>
        <w:t>/138</w:t>
      </w:r>
      <w:r w:rsidRPr="00D66060">
        <w:rPr>
          <w:rFonts w:ascii="Times New Roman" w:hAnsi="Times New Roman"/>
          <w:sz w:val="24"/>
          <w:szCs w:val="24"/>
        </w:rPr>
        <w:t xml:space="preserve"> hours</w:t>
      </w:r>
      <w:bookmarkEnd w:id="1"/>
      <w:r w:rsidRPr="00D66060">
        <w:rPr>
          <w:rFonts w:ascii="Times New Roman" w:hAnsi="Times New Roman"/>
          <w:sz w:val="24"/>
          <w:szCs w:val="24"/>
        </w:rPr>
        <w:t>.</w:t>
      </w:r>
      <w:r w:rsidR="00CC09D5">
        <w:rPr>
          <w:rFonts w:ascii="Times New Roman" w:hAnsi="Times New Roman"/>
          <w:sz w:val="24"/>
          <w:szCs w:val="24"/>
        </w:rPr>
        <w:t xml:space="preserve"> </w:t>
      </w:r>
    </w:p>
    <w:p w:rsidR="00C178E4" w:rsidP="003F726F" w14:paraId="637E61F3" w14:textId="77777777">
      <w:pPr>
        <w:pStyle w:val="BodyText3"/>
        <w:numPr>
          <w:ilvl w:val="0"/>
          <w:numId w:val="16"/>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240"/>
        <w:rPr>
          <w:rFonts w:ascii="Times New Roman" w:hAnsi="Times New Roman"/>
          <w:color w:val="auto"/>
        </w:rPr>
      </w:pPr>
      <w:r w:rsidRPr="00D402EB">
        <w:rPr>
          <w:rFonts w:ascii="Times New Roman" w:hAnsi="Times New Roman"/>
          <w:b/>
          <w:bCs/>
          <w:color w:val="auto"/>
        </w:rPr>
        <w:t>Estimate</w:t>
      </w:r>
      <w:r w:rsidR="000F747C">
        <w:rPr>
          <w:rFonts w:ascii="Times New Roman" w:hAnsi="Times New Roman"/>
          <w:b/>
          <w:bCs/>
          <w:color w:val="auto"/>
        </w:rPr>
        <w:t>d</w:t>
      </w:r>
      <w:r>
        <w:rPr>
          <w:rFonts w:ascii="Times New Roman" w:hAnsi="Times New Roman"/>
          <w:b/>
          <w:bCs/>
          <w:color w:val="auto"/>
        </w:rPr>
        <w:t xml:space="preserve"> </w:t>
      </w:r>
      <w:r w:rsidR="000F747C">
        <w:rPr>
          <w:rFonts w:ascii="Times New Roman" w:hAnsi="Times New Roman"/>
          <w:b/>
          <w:bCs/>
          <w:color w:val="auto"/>
        </w:rPr>
        <w:t>A</w:t>
      </w:r>
      <w:r w:rsidRPr="00D402EB">
        <w:rPr>
          <w:rFonts w:ascii="Times New Roman" w:hAnsi="Times New Roman"/>
          <w:b/>
          <w:bCs/>
          <w:color w:val="auto"/>
        </w:rPr>
        <w:t xml:space="preserve">nnualized </w:t>
      </w:r>
      <w:r w:rsidR="000F747C">
        <w:rPr>
          <w:rFonts w:ascii="Times New Roman" w:hAnsi="Times New Roman"/>
          <w:b/>
          <w:bCs/>
          <w:color w:val="auto"/>
        </w:rPr>
        <w:t>C</w:t>
      </w:r>
      <w:r w:rsidRPr="00D402EB">
        <w:rPr>
          <w:rFonts w:ascii="Times New Roman" w:hAnsi="Times New Roman"/>
          <w:b/>
          <w:bCs/>
          <w:color w:val="auto"/>
        </w:rPr>
        <w:t>ost</w:t>
      </w:r>
      <w:r w:rsidR="00635227">
        <w:rPr>
          <w:rFonts w:ascii="Times New Roman" w:hAnsi="Times New Roman"/>
          <w:b/>
          <w:bCs/>
          <w:color w:val="auto"/>
        </w:rPr>
        <w:t xml:space="preserve"> </w:t>
      </w:r>
      <w:r w:rsidR="000F747C">
        <w:rPr>
          <w:rFonts w:ascii="Times New Roman" w:hAnsi="Times New Roman"/>
          <w:b/>
          <w:bCs/>
          <w:color w:val="auto"/>
        </w:rPr>
        <w:t>Burden</w:t>
      </w:r>
    </w:p>
    <w:p w:rsidR="000F747C" w:rsidP="00941259" w14:paraId="0280A09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spacing w:before="120" w:after="240"/>
        <w:ind w:left="1080"/>
        <w:rPr>
          <w:rFonts w:ascii="Times New Roman" w:hAnsi="Times New Roman"/>
          <w:color w:val="auto"/>
        </w:rPr>
      </w:pPr>
      <w:r>
        <w:rPr>
          <w:rFonts w:ascii="Times New Roman" w:hAnsi="Times New Roman"/>
          <w:color w:val="auto"/>
        </w:rPr>
        <w:t xml:space="preserve">The Department of Labor </w:t>
      </w:r>
      <w:r w:rsidR="00C178E4">
        <w:rPr>
          <w:rFonts w:ascii="Times New Roman" w:hAnsi="Times New Roman"/>
          <w:color w:val="auto"/>
        </w:rPr>
        <w:t>website (</w:t>
      </w:r>
      <w:hyperlink r:id="rId6" w:history="1">
        <w:r w:rsidRPr="005655DF">
          <w:rPr>
            <w:rStyle w:val="Hyperlink"/>
            <w:rFonts w:ascii="Times New Roman" w:hAnsi="Times New Roman"/>
          </w:rPr>
          <w:t>https://www.bls.gov/oes/current/oes530000.htm</w:t>
        </w:r>
      </w:hyperlink>
      <w:r w:rsidR="00C178E4">
        <w:rPr>
          <w:rFonts w:ascii="Times New Roman" w:hAnsi="Times New Roman"/>
          <w:color w:val="auto"/>
        </w:rPr>
        <w:t xml:space="preserve">) </w:t>
      </w:r>
      <w:r>
        <w:rPr>
          <w:rFonts w:ascii="Times New Roman" w:hAnsi="Times New Roman"/>
          <w:color w:val="auto"/>
        </w:rPr>
        <w:t xml:space="preserve">estimates that the </w:t>
      </w:r>
      <w:r w:rsidRPr="00B83CF0" w:rsidR="006F2465">
        <w:rPr>
          <w:rFonts w:ascii="Times New Roman" w:hAnsi="Times New Roman"/>
          <w:color w:val="auto"/>
        </w:rPr>
        <w:t xml:space="preserve">average hourly rate </w:t>
      </w:r>
      <w:r>
        <w:rPr>
          <w:rFonts w:ascii="Times New Roman" w:hAnsi="Times New Roman"/>
          <w:color w:val="auto"/>
        </w:rPr>
        <w:t>f</w:t>
      </w:r>
      <w:r w:rsidRPr="00B83CF0" w:rsidR="006F2465">
        <w:rPr>
          <w:rFonts w:ascii="Times New Roman" w:hAnsi="Times New Roman"/>
          <w:color w:val="auto"/>
        </w:rPr>
        <w:t xml:space="preserve">or </w:t>
      </w:r>
      <w:bookmarkStart w:id="2" w:name="_Hlk129893438"/>
      <w:r w:rsidRPr="00B83CF0" w:rsidR="006F2465">
        <w:rPr>
          <w:rFonts w:ascii="Times New Roman" w:hAnsi="Times New Roman"/>
          <w:color w:val="auto"/>
        </w:rPr>
        <w:t>Transportation and Material Moving Occupations</w:t>
      </w:r>
      <w:bookmarkEnd w:id="2"/>
      <w:r w:rsidRPr="00B83CF0" w:rsidR="006F2465">
        <w:rPr>
          <w:rFonts w:ascii="Times New Roman" w:hAnsi="Times New Roman"/>
          <w:color w:val="auto"/>
        </w:rPr>
        <w:t xml:space="preserve"> </w:t>
      </w:r>
      <w:r>
        <w:rPr>
          <w:rFonts w:ascii="Times New Roman" w:hAnsi="Times New Roman"/>
          <w:color w:val="auto"/>
        </w:rPr>
        <w:t xml:space="preserve">is </w:t>
      </w:r>
      <w:r w:rsidRPr="00B83CF0">
        <w:rPr>
          <w:rFonts w:ascii="Times New Roman" w:hAnsi="Times New Roman"/>
          <w:color w:val="auto"/>
        </w:rPr>
        <w:t>$</w:t>
      </w:r>
      <w:r>
        <w:rPr>
          <w:rFonts w:ascii="Times New Roman" w:hAnsi="Times New Roman"/>
          <w:color w:val="auto"/>
        </w:rPr>
        <w:t xml:space="preserve"> 21.12</w:t>
      </w:r>
      <w:r>
        <w:rPr>
          <w:rStyle w:val="CommentReference"/>
          <w:color w:val="auto"/>
        </w:rPr>
        <w:t xml:space="preserve">. </w:t>
      </w:r>
      <w:r w:rsidR="001D0C2F">
        <w:rPr>
          <w:rStyle w:val="CommentReference"/>
          <w:color w:val="auto"/>
        </w:rPr>
        <w:t xml:space="preserve"> </w:t>
      </w:r>
      <w:r w:rsidRPr="00D402EB">
        <w:rPr>
          <w:rStyle w:val="CommentReference"/>
          <w:rFonts w:ascii="Times New Roman" w:hAnsi="Times New Roman"/>
          <w:color w:val="auto"/>
          <w:sz w:val="24"/>
          <w:szCs w:val="24"/>
        </w:rPr>
        <w:t xml:space="preserve">Therefore, </w:t>
      </w:r>
      <w:r w:rsidRPr="00B07D56">
        <w:rPr>
          <w:rFonts w:ascii="Times New Roman" w:hAnsi="Times New Roman"/>
          <w:color w:val="auto"/>
        </w:rPr>
        <w:t>t</w:t>
      </w:r>
      <w:r w:rsidRPr="00B83CF0">
        <w:rPr>
          <w:rFonts w:ascii="Times New Roman" w:hAnsi="Times New Roman"/>
          <w:color w:val="auto"/>
        </w:rPr>
        <w:t xml:space="preserve">he estimated </w:t>
      </w:r>
      <w:r w:rsidR="00F36E28">
        <w:rPr>
          <w:rFonts w:ascii="Times New Roman" w:hAnsi="Times New Roman"/>
          <w:color w:val="auto"/>
        </w:rPr>
        <w:t>annualized</w:t>
      </w:r>
      <w:r w:rsidRPr="00B83CF0">
        <w:rPr>
          <w:rFonts w:ascii="Times New Roman" w:hAnsi="Times New Roman"/>
          <w:color w:val="auto"/>
        </w:rPr>
        <w:t xml:space="preserve"> cost is $</w:t>
      </w:r>
      <w:r w:rsidR="00F36E28">
        <w:rPr>
          <w:rFonts w:ascii="Times New Roman" w:hAnsi="Times New Roman"/>
          <w:color w:val="auto"/>
        </w:rPr>
        <w:t>2,914.56</w:t>
      </w:r>
      <w:r>
        <w:rPr>
          <w:rFonts w:ascii="Times New Roman" w:hAnsi="Times New Roman"/>
          <w:color w:val="auto"/>
        </w:rPr>
        <w:t>,</w:t>
      </w:r>
      <w:r w:rsidR="00F36E28">
        <w:rPr>
          <w:rFonts w:ascii="Times New Roman" w:hAnsi="Times New Roman"/>
          <w:color w:val="auto"/>
        </w:rPr>
        <w:t xml:space="preserve"> while the loaded costs</w:t>
      </w:r>
      <w:r w:rsidR="00CB42AC">
        <w:rPr>
          <w:rFonts w:ascii="Times New Roman" w:hAnsi="Times New Roman"/>
          <w:color w:val="auto"/>
        </w:rPr>
        <w:t>,</w:t>
      </w:r>
      <w:r w:rsidR="00F36E28">
        <w:rPr>
          <w:rFonts w:ascii="Times New Roman" w:hAnsi="Times New Roman"/>
          <w:color w:val="auto"/>
        </w:rPr>
        <w:t xml:space="preserve"> including the benefits multiplier of 1.4</w:t>
      </w:r>
      <w:r w:rsidR="00D508E8">
        <w:rPr>
          <w:rFonts w:ascii="Times New Roman" w:hAnsi="Times New Roman"/>
          <w:color w:val="auto"/>
        </w:rPr>
        <w:t>,</w:t>
      </w:r>
      <w:r w:rsidR="00F36E28">
        <w:rPr>
          <w:rFonts w:ascii="Times New Roman" w:hAnsi="Times New Roman"/>
          <w:color w:val="auto"/>
        </w:rPr>
        <w:t xml:space="preserve"> is $ 4,080.38, which is </w:t>
      </w:r>
      <w:r>
        <w:rPr>
          <w:rFonts w:ascii="Times New Roman" w:hAnsi="Times New Roman"/>
          <w:color w:val="auto"/>
        </w:rPr>
        <w:t>calculated as follows</w:t>
      </w:r>
      <w:r w:rsidR="00901164">
        <w:rPr>
          <w:rFonts w:ascii="Times New Roman" w:hAnsi="Times New Roman"/>
          <w:color w:val="auto"/>
        </w:rPr>
        <w:t xml:space="preserve"> in the table below</w:t>
      </w:r>
      <w:r>
        <w:rPr>
          <w:rFonts w:ascii="Times New Roman" w:hAnsi="Times New Roman"/>
          <w:color w:val="auto"/>
        </w:rPr>
        <w:t xml:space="preserve">: </w:t>
      </w:r>
      <w:r w:rsidRPr="00B83CF0">
        <w:rPr>
          <w:rFonts w:ascii="Times New Roman" w:hAnsi="Times New Roman"/>
          <w:color w:val="auto"/>
        </w:rPr>
        <w:t xml:space="preserve"> </w:t>
      </w:r>
    </w:p>
    <w:tbl>
      <w:tblPr>
        <w:tblW w:w="86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080"/>
        <w:gridCol w:w="270"/>
        <w:gridCol w:w="990"/>
        <w:gridCol w:w="270"/>
        <w:gridCol w:w="1170"/>
        <w:gridCol w:w="270"/>
        <w:gridCol w:w="1260"/>
        <w:gridCol w:w="270"/>
        <w:gridCol w:w="1350"/>
      </w:tblGrid>
      <w:tr w14:paraId="0151298E" w14:textId="77777777" w:rsidTr="00D66060">
        <w:tblPrEx>
          <w:tblW w:w="864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10" w:type="dxa"/>
            <w:shd w:val="clear" w:color="auto" w:fill="D0CECE" w:themeFill="background2" w:themeFillShade="E6"/>
            <w:vAlign w:val="center"/>
          </w:tcPr>
          <w:p w:rsidR="009F44C5" w:rsidRPr="00554A62" w:rsidP="00141AA6" w14:paraId="1B9D7742" w14:textId="77777777">
            <w:pPr>
              <w:autoSpaceDE/>
              <w:autoSpaceDN/>
              <w:adjustRightInd/>
              <w:jc w:val="center"/>
              <w:rPr>
                <w:rFonts w:ascii="Times New Roman" w:hAnsi="Times New Roman"/>
                <w:b/>
                <w:bCs/>
                <w:snapToGrid w:val="0"/>
                <w:sz w:val="22"/>
                <w:szCs w:val="22"/>
              </w:rPr>
            </w:pPr>
            <w:r w:rsidRPr="00554A62">
              <w:rPr>
                <w:rFonts w:ascii="Times New Roman" w:hAnsi="Times New Roman"/>
                <w:b/>
                <w:bCs/>
                <w:snapToGrid w:val="0"/>
                <w:sz w:val="22"/>
                <w:szCs w:val="22"/>
              </w:rPr>
              <w:t>Transportation and Material Moving Occupations (53-000)</w:t>
            </w:r>
          </w:p>
        </w:tc>
        <w:tc>
          <w:tcPr>
            <w:tcW w:w="1080" w:type="dxa"/>
            <w:shd w:val="clear" w:color="auto" w:fill="D0CECE" w:themeFill="background2" w:themeFillShade="E6"/>
            <w:vAlign w:val="center"/>
          </w:tcPr>
          <w:p w:rsidR="009F44C5" w:rsidRPr="00554A62" w:rsidP="00160703" w14:paraId="02F4CD83" w14:textId="77777777">
            <w:pPr>
              <w:autoSpaceDE/>
              <w:autoSpaceDN/>
              <w:adjustRightInd/>
              <w:jc w:val="center"/>
              <w:rPr>
                <w:rFonts w:ascii="Times New Roman" w:hAnsi="Times New Roman"/>
                <w:b/>
                <w:bCs/>
                <w:snapToGrid w:val="0"/>
                <w:sz w:val="22"/>
                <w:szCs w:val="22"/>
              </w:rPr>
            </w:pPr>
            <w:r w:rsidRPr="00554A62">
              <w:rPr>
                <w:rFonts w:ascii="Times New Roman" w:hAnsi="Times New Roman"/>
                <w:b/>
                <w:bCs/>
                <w:snapToGrid w:val="0"/>
                <w:sz w:val="22"/>
                <w:szCs w:val="22"/>
              </w:rPr>
              <w:t>Average Hourly Wage Rate</w:t>
            </w:r>
          </w:p>
        </w:tc>
        <w:tc>
          <w:tcPr>
            <w:tcW w:w="270" w:type="dxa"/>
            <w:shd w:val="clear" w:color="auto" w:fill="D0CECE" w:themeFill="background2" w:themeFillShade="E6"/>
            <w:vAlign w:val="center"/>
          </w:tcPr>
          <w:p w:rsidR="009F44C5" w:rsidRPr="00554A62" w:rsidP="00D66060" w14:paraId="047CDD5B" w14:textId="77777777">
            <w:pPr>
              <w:autoSpaceDE/>
              <w:autoSpaceDN/>
              <w:adjustRightInd/>
              <w:jc w:val="center"/>
              <w:rPr>
                <w:rFonts w:ascii="Times New Roman" w:hAnsi="Times New Roman"/>
                <w:b/>
                <w:bCs/>
                <w:snapToGrid w:val="0"/>
                <w:sz w:val="22"/>
                <w:szCs w:val="22"/>
              </w:rPr>
            </w:pPr>
          </w:p>
        </w:tc>
        <w:tc>
          <w:tcPr>
            <w:tcW w:w="990" w:type="dxa"/>
            <w:shd w:val="clear" w:color="auto" w:fill="D0CECE" w:themeFill="background2" w:themeFillShade="E6"/>
            <w:vAlign w:val="center"/>
          </w:tcPr>
          <w:p w:rsidR="009F44C5" w:rsidRPr="00554A62" w:rsidP="00D66060" w14:paraId="45449978" w14:textId="77777777">
            <w:pPr>
              <w:autoSpaceDE/>
              <w:autoSpaceDN/>
              <w:adjustRightInd/>
              <w:jc w:val="center"/>
              <w:rPr>
                <w:rFonts w:ascii="Times New Roman" w:hAnsi="Times New Roman"/>
                <w:b/>
                <w:bCs/>
                <w:snapToGrid w:val="0"/>
                <w:sz w:val="22"/>
                <w:szCs w:val="22"/>
              </w:rPr>
            </w:pPr>
            <w:r w:rsidRPr="00554A62">
              <w:rPr>
                <w:rFonts w:ascii="Times New Roman" w:hAnsi="Times New Roman"/>
                <w:b/>
                <w:bCs/>
                <w:snapToGrid w:val="0"/>
                <w:sz w:val="22"/>
                <w:szCs w:val="22"/>
              </w:rPr>
              <w:t>Total Annual Burden Hours</w:t>
            </w:r>
          </w:p>
        </w:tc>
        <w:tc>
          <w:tcPr>
            <w:tcW w:w="270" w:type="dxa"/>
            <w:shd w:val="clear" w:color="auto" w:fill="D0CECE" w:themeFill="background2" w:themeFillShade="E6"/>
            <w:vAlign w:val="center"/>
          </w:tcPr>
          <w:p w:rsidR="009F44C5" w:rsidRPr="00554A62" w:rsidP="00D66060" w14:paraId="73C05DE8" w14:textId="77777777">
            <w:pPr>
              <w:autoSpaceDE/>
              <w:autoSpaceDN/>
              <w:adjustRightInd/>
              <w:jc w:val="center"/>
              <w:rPr>
                <w:rFonts w:ascii="Times New Roman" w:hAnsi="Times New Roman"/>
                <w:b/>
                <w:bCs/>
                <w:snapToGrid w:val="0"/>
                <w:sz w:val="22"/>
                <w:szCs w:val="22"/>
              </w:rPr>
            </w:pPr>
          </w:p>
        </w:tc>
        <w:tc>
          <w:tcPr>
            <w:tcW w:w="1170" w:type="dxa"/>
            <w:shd w:val="clear" w:color="auto" w:fill="D0CECE" w:themeFill="background2" w:themeFillShade="E6"/>
            <w:vAlign w:val="center"/>
          </w:tcPr>
          <w:p w:rsidR="009F44C5" w:rsidRPr="00554A62" w:rsidP="00D66060" w14:paraId="35DF8F95" w14:textId="77777777">
            <w:pPr>
              <w:autoSpaceDE/>
              <w:autoSpaceDN/>
              <w:adjustRightInd/>
              <w:jc w:val="center"/>
              <w:rPr>
                <w:rFonts w:ascii="Times New Roman" w:hAnsi="Times New Roman"/>
                <w:b/>
                <w:bCs/>
                <w:snapToGrid w:val="0"/>
                <w:sz w:val="22"/>
                <w:szCs w:val="22"/>
              </w:rPr>
            </w:pPr>
            <w:r w:rsidRPr="00554A62">
              <w:rPr>
                <w:rFonts w:ascii="Times New Roman" w:hAnsi="Times New Roman"/>
                <w:b/>
                <w:bCs/>
                <w:snapToGrid w:val="0"/>
                <w:sz w:val="22"/>
                <w:szCs w:val="22"/>
              </w:rPr>
              <w:t>Estimated Total</w:t>
            </w:r>
          </w:p>
        </w:tc>
        <w:tc>
          <w:tcPr>
            <w:tcW w:w="270" w:type="dxa"/>
            <w:shd w:val="clear" w:color="auto" w:fill="D0CECE" w:themeFill="background2" w:themeFillShade="E6"/>
            <w:vAlign w:val="center"/>
          </w:tcPr>
          <w:p w:rsidR="009F44C5" w:rsidRPr="00554A62" w:rsidP="00D66060" w14:paraId="5C941C2C" w14:textId="77777777">
            <w:pPr>
              <w:autoSpaceDE/>
              <w:autoSpaceDN/>
              <w:adjustRightInd/>
              <w:jc w:val="center"/>
              <w:rPr>
                <w:rFonts w:ascii="Times New Roman" w:hAnsi="Times New Roman"/>
                <w:b/>
                <w:bCs/>
                <w:snapToGrid w:val="0"/>
                <w:sz w:val="22"/>
                <w:szCs w:val="22"/>
              </w:rPr>
            </w:pPr>
          </w:p>
        </w:tc>
        <w:tc>
          <w:tcPr>
            <w:tcW w:w="1260" w:type="dxa"/>
            <w:shd w:val="clear" w:color="auto" w:fill="D0CECE" w:themeFill="background2" w:themeFillShade="E6"/>
            <w:vAlign w:val="center"/>
          </w:tcPr>
          <w:p w:rsidR="009F44C5" w:rsidRPr="00554A62" w:rsidP="00D66060" w14:paraId="3909A40B" w14:textId="77777777">
            <w:pPr>
              <w:autoSpaceDE/>
              <w:autoSpaceDN/>
              <w:adjustRightInd/>
              <w:jc w:val="center"/>
              <w:rPr>
                <w:rFonts w:ascii="Times New Roman" w:hAnsi="Times New Roman"/>
                <w:b/>
                <w:bCs/>
                <w:snapToGrid w:val="0"/>
                <w:sz w:val="22"/>
                <w:szCs w:val="22"/>
              </w:rPr>
            </w:pPr>
            <w:r w:rsidRPr="00554A62">
              <w:rPr>
                <w:rFonts w:ascii="Times New Roman" w:hAnsi="Times New Roman"/>
                <w:b/>
                <w:bCs/>
                <w:snapToGrid w:val="0"/>
                <w:sz w:val="22"/>
                <w:szCs w:val="22"/>
              </w:rPr>
              <w:t>Benefits Multiplier</w:t>
            </w:r>
          </w:p>
        </w:tc>
        <w:tc>
          <w:tcPr>
            <w:tcW w:w="270" w:type="dxa"/>
            <w:shd w:val="clear" w:color="auto" w:fill="D0CECE" w:themeFill="background2" w:themeFillShade="E6"/>
            <w:vAlign w:val="center"/>
          </w:tcPr>
          <w:p w:rsidR="009F44C5" w:rsidRPr="00554A62" w:rsidP="00D66060" w14:paraId="41E70E97" w14:textId="77777777">
            <w:pPr>
              <w:autoSpaceDE/>
              <w:autoSpaceDN/>
              <w:adjustRightInd/>
              <w:jc w:val="center"/>
              <w:rPr>
                <w:rFonts w:ascii="Times New Roman" w:hAnsi="Times New Roman"/>
                <w:b/>
                <w:bCs/>
                <w:snapToGrid w:val="0"/>
                <w:sz w:val="22"/>
                <w:szCs w:val="22"/>
              </w:rPr>
            </w:pPr>
          </w:p>
        </w:tc>
        <w:tc>
          <w:tcPr>
            <w:tcW w:w="1350" w:type="dxa"/>
            <w:shd w:val="clear" w:color="auto" w:fill="D0CECE" w:themeFill="background2" w:themeFillShade="E6"/>
            <w:vAlign w:val="center"/>
          </w:tcPr>
          <w:p w:rsidR="009F44C5" w:rsidRPr="00554A62" w:rsidP="00D66060" w14:paraId="58279377" w14:textId="77777777">
            <w:pPr>
              <w:autoSpaceDE/>
              <w:autoSpaceDN/>
              <w:adjustRightInd/>
              <w:jc w:val="center"/>
              <w:rPr>
                <w:rFonts w:ascii="Times New Roman" w:hAnsi="Times New Roman"/>
                <w:b/>
                <w:bCs/>
                <w:snapToGrid w:val="0"/>
                <w:sz w:val="22"/>
                <w:szCs w:val="22"/>
              </w:rPr>
            </w:pPr>
            <w:r w:rsidRPr="00554A62">
              <w:rPr>
                <w:rFonts w:ascii="Times New Roman" w:hAnsi="Times New Roman"/>
                <w:b/>
                <w:bCs/>
                <w:snapToGrid w:val="0"/>
                <w:sz w:val="22"/>
                <w:szCs w:val="22"/>
              </w:rPr>
              <w:t>Total Annualized Burden</w:t>
            </w:r>
            <w:r w:rsidRPr="00554A62" w:rsidR="00F36E28">
              <w:rPr>
                <w:rFonts w:ascii="Times New Roman" w:hAnsi="Times New Roman"/>
                <w:b/>
                <w:bCs/>
                <w:snapToGrid w:val="0"/>
                <w:sz w:val="22"/>
                <w:szCs w:val="22"/>
              </w:rPr>
              <w:t xml:space="preserve"> (loaded)</w:t>
            </w:r>
          </w:p>
        </w:tc>
      </w:tr>
      <w:tr w14:paraId="18050619" w14:textId="77777777" w:rsidTr="00D66060">
        <w:tblPrEx>
          <w:tblW w:w="8640" w:type="dxa"/>
          <w:tblInd w:w="1075" w:type="dxa"/>
          <w:tblLayout w:type="fixed"/>
          <w:tblLook w:val="04A0"/>
        </w:tblPrEx>
        <w:tc>
          <w:tcPr>
            <w:tcW w:w="1710" w:type="dxa"/>
            <w:shd w:val="clear" w:color="auto" w:fill="auto"/>
            <w:vAlign w:val="center"/>
          </w:tcPr>
          <w:p w:rsidR="009F44C5" w:rsidRPr="00554A62" w:rsidP="00141AA6" w14:paraId="21B3E097" w14:textId="77777777">
            <w:pPr>
              <w:autoSpaceDE/>
              <w:autoSpaceDN/>
              <w:adjustRightInd/>
              <w:rPr>
                <w:rFonts w:ascii="Times New Roman" w:hAnsi="Times New Roman"/>
                <w:snapToGrid w:val="0"/>
                <w:sz w:val="22"/>
                <w:szCs w:val="22"/>
              </w:rPr>
            </w:pPr>
          </w:p>
        </w:tc>
        <w:tc>
          <w:tcPr>
            <w:tcW w:w="1080" w:type="dxa"/>
            <w:shd w:val="clear" w:color="auto" w:fill="auto"/>
            <w:vAlign w:val="center"/>
          </w:tcPr>
          <w:p w:rsidR="009F44C5" w:rsidRPr="00554A62" w:rsidP="00160703" w14:paraId="0CBBB695" w14:textId="77777777">
            <w:pPr>
              <w:autoSpaceDE/>
              <w:autoSpaceDN/>
              <w:adjustRightInd/>
              <w:jc w:val="center"/>
              <w:rPr>
                <w:rFonts w:ascii="Times New Roman" w:hAnsi="Times New Roman"/>
                <w:snapToGrid w:val="0"/>
                <w:sz w:val="22"/>
                <w:szCs w:val="22"/>
              </w:rPr>
            </w:pPr>
            <w:r w:rsidRPr="00554A62">
              <w:rPr>
                <w:rFonts w:ascii="Times New Roman" w:hAnsi="Times New Roman"/>
                <w:snapToGrid w:val="0"/>
                <w:sz w:val="22"/>
                <w:szCs w:val="22"/>
              </w:rPr>
              <w:t>$</w:t>
            </w:r>
            <w:r w:rsidRPr="00554A62" w:rsidR="000F747C">
              <w:rPr>
                <w:rFonts w:ascii="Times New Roman" w:hAnsi="Times New Roman"/>
                <w:snapToGrid w:val="0"/>
                <w:sz w:val="22"/>
                <w:szCs w:val="22"/>
              </w:rPr>
              <w:t>21</w:t>
            </w:r>
            <w:r w:rsidRPr="00554A62">
              <w:rPr>
                <w:rFonts w:ascii="Times New Roman" w:hAnsi="Times New Roman"/>
                <w:snapToGrid w:val="0"/>
                <w:sz w:val="22"/>
                <w:szCs w:val="22"/>
              </w:rPr>
              <w:t>.</w:t>
            </w:r>
            <w:r w:rsidRPr="00554A62" w:rsidR="000F747C">
              <w:rPr>
                <w:rFonts w:ascii="Times New Roman" w:hAnsi="Times New Roman"/>
                <w:snapToGrid w:val="0"/>
                <w:sz w:val="22"/>
                <w:szCs w:val="22"/>
              </w:rPr>
              <w:t>12</w:t>
            </w:r>
          </w:p>
        </w:tc>
        <w:tc>
          <w:tcPr>
            <w:tcW w:w="270" w:type="dxa"/>
            <w:shd w:val="clear" w:color="auto" w:fill="auto"/>
            <w:vAlign w:val="center"/>
          </w:tcPr>
          <w:p w:rsidR="009F44C5" w:rsidRPr="00554A62" w:rsidP="00D66060" w14:paraId="18583A2D" w14:textId="77777777">
            <w:pPr>
              <w:autoSpaceDE/>
              <w:autoSpaceDN/>
              <w:adjustRightInd/>
              <w:rPr>
                <w:rFonts w:ascii="Times New Roman" w:hAnsi="Times New Roman"/>
                <w:snapToGrid w:val="0"/>
                <w:sz w:val="22"/>
                <w:szCs w:val="22"/>
              </w:rPr>
            </w:pPr>
            <w:r w:rsidRPr="00554A62">
              <w:rPr>
                <w:rFonts w:ascii="Times New Roman" w:hAnsi="Times New Roman"/>
                <w:snapToGrid w:val="0"/>
                <w:sz w:val="22"/>
                <w:szCs w:val="22"/>
              </w:rPr>
              <w:t>*</w:t>
            </w:r>
          </w:p>
        </w:tc>
        <w:tc>
          <w:tcPr>
            <w:tcW w:w="990" w:type="dxa"/>
            <w:shd w:val="clear" w:color="auto" w:fill="auto"/>
            <w:vAlign w:val="center"/>
          </w:tcPr>
          <w:p w:rsidR="009F44C5" w:rsidRPr="00554A62" w:rsidP="00141AA6" w14:paraId="0BBC897C" w14:textId="77777777">
            <w:pPr>
              <w:autoSpaceDE/>
              <w:autoSpaceDN/>
              <w:adjustRightInd/>
              <w:jc w:val="center"/>
              <w:rPr>
                <w:rFonts w:ascii="Times New Roman" w:hAnsi="Times New Roman"/>
                <w:snapToGrid w:val="0"/>
                <w:sz w:val="22"/>
                <w:szCs w:val="22"/>
              </w:rPr>
            </w:pPr>
            <w:r w:rsidRPr="00554A62">
              <w:rPr>
                <w:rFonts w:ascii="Times New Roman" w:hAnsi="Times New Roman"/>
                <w:snapToGrid w:val="0"/>
                <w:sz w:val="22"/>
                <w:szCs w:val="22"/>
              </w:rPr>
              <w:t>138</w:t>
            </w:r>
          </w:p>
        </w:tc>
        <w:tc>
          <w:tcPr>
            <w:tcW w:w="270" w:type="dxa"/>
            <w:shd w:val="clear" w:color="auto" w:fill="auto"/>
            <w:vAlign w:val="center"/>
          </w:tcPr>
          <w:p w:rsidR="009F44C5" w:rsidRPr="00554A62" w:rsidP="00160703" w14:paraId="5AF30D8F" w14:textId="77777777">
            <w:pPr>
              <w:autoSpaceDE/>
              <w:autoSpaceDN/>
              <w:adjustRightInd/>
              <w:jc w:val="center"/>
              <w:rPr>
                <w:rFonts w:ascii="Times New Roman" w:hAnsi="Times New Roman"/>
                <w:b/>
                <w:bCs/>
                <w:snapToGrid w:val="0"/>
                <w:sz w:val="22"/>
                <w:szCs w:val="22"/>
              </w:rPr>
            </w:pPr>
            <w:r w:rsidRPr="00554A62">
              <w:rPr>
                <w:rFonts w:ascii="Times New Roman" w:hAnsi="Times New Roman"/>
                <w:b/>
                <w:bCs/>
                <w:snapToGrid w:val="0"/>
                <w:sz w:val="22"/>
                <w:szCs w:val="22"/>
              </w:rPr>
              <w:t>=</w:t>
            </w:r>
          </w:p>
        </w:tc>
        <w:tc>
          <w:tcPr>
            <w:tcW w:w="1170" w:type="dxa"/>
            <w:shd w:val="clear" w:color="auto" w:fill="auto"/>
            <w:vAlign w:val="center"/>
          </w:tcPr>
          <w:p w:rsidR="009F44C5" w:rsidRPr="00554A62" w:rsidP="00D66060" w14:paraId="395C0F4A" w14:textId="77777777">
            <w:pPr>
              <w:autoSpaceDE/>
              <w:autoSpaceDN/>
              <w:adjustRightInd/>
              <w:jc w:val="center"/>
              <w:rPr>
                <w:rFonts w:ascii="Times New Roman" w:hAnsi="Times New Roman"/>
                <w:snapToGrid w:val="0"/>
                <w:sz w:val="22"/>
                <w:szCs w:val="22"/>
              </w:rPr>
            </w:pPr>
            <w:r w:rsidRPr="00554A62">
              <w:rPr>
                <w:rFonts w:ascii="Times New Roman" w:hAnsi="Times New Roman"/>
                <w:snapToGrid w:val="0"/>
                <w:sz w:val="22"/>
                <w:szCs w:val="22"/>
              </w:rPr>
              <w:t>$2,</w:t>
            </w:r>
            <w:r w:rsidRPr="00554A62" w:rsidR="000F747C">
              <w:rPr>
                <w:rFonts w:ascii="Times New Roman" w:hAnsi="Times New Roman"/>
                <w:snapToGrid w:val="0"/>
                <w:sz w:val="22"/>
                <w:szCs w:val="22"/>
              </w:rPr>
              <w:t>9</w:t>
            </w:r>
            <w:r w:rsidRPr="00554A62" w:rsidR="00446046">
              <w:rPr>
                <w:rFonts w:ascii="Times New Roman" w:hAnsi="Times New Roman"/>
                <w:snapToGrid w:val="0"/>
                <w:sz w:val="22"/>
                <w:szCs w:val="22"/>
              </w:rPr>
              <w:t>14</w:t>
            </w:r>
            <w:r w:rsidRPr="00554A62" w:rsidR="000F747C">
              <w:rPr>
                <w:rFonts w:ascii="Times New Roman" w:hAnsi="Times New Roman"/>
                <w:snapToGrid w:val="0"/>
                <w:sz w:val="22"/>
                <w:szCs w:val="22"/>
              </w:rPr>
              <w:t>.</w:t>
            </w:r>
            <w:r w:rsidRPr="00554A62" w:rsidR="00446046">
              <w:rPr>
                <w:rFonts w:ascii="Times New Roman" w:hAnsi="Times New Roman"/>
                <w:snapToGrid w:val="0"/>
                <w:sz w:val="22"/>
                <w:szCs w:val="22"/>
              </w:rPr>
              <w:t>56</w:t>
            </w:r>
          </w:p>
        </w:tc>
        <w:tc>
          <w:tcPr>
            <w:tcW w:w="270" w:type="dxa"/>
            <w:vAlign w:val="center"/>
          </w:tcPr>
          <w:p w:rsidR="009F44C5" w:rsidRPr="00554A62" w:rsidP="00D66060" w14:paraId="1BC34E12" w14:textId="77777777">
            <w:pPr>
              <w:autoSpaceDE/>
              <w:autoSpaceDN/>
              <w:adjustRightInd/>
              <w:jc w:val="center"/>
              <w:rPr>
                <w:rFonts w:ascii="Times New Roman" w:hAnsi="Times New Roman"/>
                <w:snapToGrid w:val="0"/>
                <w:sz w:val="22"/>
                <w:szCs w:val="22"/>
              </w:rPr>
            </w:pPr>
            <w:r w:rsidRPr="00554A62">
              <w:rPr>
                <w:rFonts w:ascii="Times New Roman" w:hAnsi="Times New Roman"/>
                <w:snapToGrid w:val="0"/>
                <w:sz w:val="22"/>
                <w:szCs w:val="22"/>
              </w:rPr>
              <w:t>*</w:t>
            </w:r>
          </w:p>
        </w:tc>
        <w:tc>
          <w:tcPr>
            <w:tcW w:w="1260" w:type="dxa"/>
            <w:vAlign w:val="center"/>
          </w:tcPr>
          <w:p w:rsidR="009F44C5" w:rsidRPr="00554A62" w:rsidP="00D66060" w14:paraId="2E96C741" w14:textId="77777777">
            <w:pPr>
              <w:autoSpaceDE/>
              <w:autoSpaceDN/>
              <w:adjustRightInd/>
              <w:jc w:val="center"/>
              <w:rPr>
                <w:rFonts w:ascii="Times New Roman" w:hAnsi="Times New Roman"/>
                <w:snapToGrid w:val="0"/>
                <w:sz w:val="22"/>
                <w:szCs w:val="22"/>
              </w:rPr>
            </w:pPr>
            <w:r w:rsidRPr="00554A62">
              <w:rPr>
                <w:rFonts w:ascii="Times New Roman" w:hAnsi="Times New Roman"/>
                <w:snapToGrid w:val="0"/>
                <w:sz w:val="22"/>
                <w:szCs w:val="22"/>
              </w:rPr>
              <w:t>1.4</w:t>
            </w:r>
          </w:p>
        </w:tc>
        <w:tc>
          <w:tcPr>
            <w:tcW w:w="270" w:type="dxa"/>
            <w:vAlign w:val="center"/>
          </w:tcPr>
          <w:p w:rsidR="009F44C5" w:rsidRPr="00554A62" w:rsidP="00D66060" w14:paraId="6966E3B9" w14:textId="77777777">
            <w:pPr>
              <w:autoSpaceDE/>
              <w:autoSpaceDN/>
              <w:adjustRightInd/>
              <w:jc w:val="center"/>
              <w:rPr>
                <w:rFonts w:ascii="Times New Roman" w:hAnsi="Times New Roman"/>
                <w:snapToGrid w:val="0"/>
                <w:sz w:val="22"/>
                <w:szCs w:val="22"/>
              </w:rPr>
            </w:pPr>
            <w:r w:rsidRPr="00554A62">
              <w:rPr>
                <w:rFonts w:ascii="Times New Roman" w:hAnsi="Times New Roman"/>
                <w:snapToGrid w:val="0"/>
                <w:sz w:val="22"/>
                <w:szCs w:val="22"/>
              </w:rPr>
              <w:t>=</w:t>
            </w:r>
          </w:p>
        </w:tc>
        <w:tc>
          <w:tcPr>
            <w:tcW w:w="1350" w:type="dxa"/>
            <w:vAlign w:val="center"/>
          </w:tcPr>
          <w:p w:rsidR="009F44C5" w:rsidRPr="00554A62" w:rsidP="00D66060" w14:paraId="2B3B2B9E" w14:textId="77777777">
            <w:pPr>
              <w:autoSpaceDE/>
              <w:autoSpaceDN/>
              <w:adjustRightInd/>
              <w:jc w:val="center"/>
              <w:rPr>
                <w:rFonts w:ascii="Times New Roman" w:hAnsi="Times New Roman"/>
                <w:snapToGrid w:val="0"/>
                <w:sz w:val="22"/>
                <w:szCs w:val="22"/>
              </w:rPr>
            </w:pPr>
            <w:r w:rsidRPr="00554A62">
              <w:rPr>
                <w:rFonts w:ascii="Times New Roman" w:hAnsi="Times New Roman"/>
                <w:snapToGrid w:val="0"/>
                <w:sz w:val="22"/>
                <w:szCs w:val="22"/>
              </w:rPr>
              <w:t xml:space="preserve">$ </w:t>
            </w:r>
            <w:r w:rsidRPr="00554A62" w:rsidR="000F747C">
              <w:rPr>
                <w:rFonts w:ascii="Times New Roman" w:hAnsi="Times New Roman"/>
                <w:snapToGrid w:val="0"/>
                <w:sz w:val="22"/>
                <w:szCs w:val="22"/>
              </w:rPr>
              <w:t>4,0</w:t>
            </w:r>
            <w:r w:rsidRPr="00554A62" w:rsidR="00446046">
              <w:rPr>
                <w:rFonts w:ascii="Times New Roman" w:hAnsi="Times New Roman"/>
                <w:snapToGrid w:val="0"/>
                <w:sz w:val="22"/>
                <w:szCs w:val="22"/>
              </w:rPr>
              <w:t>80</w:t>
            </w:r>
            <w:r w:rsidRPr="00554A62" w:rsidR="000F747C">
              <w:rPr>
                <w:rFonts w:ascii="Times New Roman" w:hAnsi="Times New Roman"/>
                <w:snapToGrid w:val="0"/>
                <w:sz w:val="22"/>
                <w:szCs w:val="22"/>
              </w:rPr>
              <w:t>.</w:t>
            </w:r>
            <w:r w:rsidRPr="00554A62" w:rsidR="00446046">
              <w:rPr>
                <w:rFonts w:ascii="Times New Roman" w:hAnsi="Times New Roman"/>
                <w:snapToGrid w:val="0"/>
                <w:sz w:val="22"/>
                <w:szCs w:val="22"/>
              </w:rPr>
              <w:t>38</w:t>
            </w:r>
          </w:p>
        </w:tc>
      </w:tr>
    </w:tbl>
    <w:p w:rsidR="00901164" w:rsidRPr="00EA1BFE" w:rsidP="00EA1BFE" w14:paraId="13C79B51"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 xml:space="preserve">Estimate of </w:t>
      </w:r>
      <w:r>
        <w:rPr>
          <w:rFonts w:ascii="Times New Roman" w:hAnsi="Times New Roman"/>
          <w:b/>
          <w:sz w:val="24"/>
          <w:szCs w:val="24"/>
        </w:rPr>
        <w:t>T</w:t>
      </w:r>
      <w:r w:rsidRPr="00D402EB">
        <w:rPr>
          <w:rFonts w:ascii="Times New Roman" w:hAnsi="Times New Roman"/>
          <w:b/>
          <w:sz w:val="24"/>
          <w:szCs w:val="24"/>
        </w:rPr>
        <w:t xml:space="preserve">otal </w:t>
      </w:r>
      <w:r>
        <w:rPr>
          <w:rFonts w:ascii="Times New Roman" w:hAnsi="Times New Roman"/>
          <w:b/>
          <w:sz w:val="24"/>
          <w:szCs w:val="24"/>
        </w:rPr>
        <w:t>A</w:t>
      </w:r>
      <w:r w:rsidRPr="00D402EB">
        <w:rPr>
          <w:rFonts w:ascii="Times New Roman" w:hAnsi="Times New Roman"/>
          <w:b/>
          <w:sz w:val="24"/>
          <w:szCs w:val="24"/>
        </w:rPr>
        <w:t xml:space="preserve">nnual </w:t>
      </w:r>
      <w:r>
        <w:rPr>
          <w:rFonts w:ascii="Times New Roman" w:hAnsi="Times New Roman"/>
          <w:b/>
          <w:sz w:val="24"/>
          <w:szCs w:val="24"/>
        </w:rPr>
        <w:t>C</w:t>
      </w:r>
      <w:r w:rsidRPr="00D402EB">
        <w:rPr>
          <w:rFonts w:ascii="Times New Roman" w:hAnsi="Times New Roman"/>
          <w:b/>
          <w:sz w:val="24"/>
          <w:szCs w:val="24"/>
        </w:rPr>
        <w:t xml:space="preserve">osts to </w:t>
      </w:r>
      <w:r>
        <w:rPr>
          <w:rFonts w:ascii="Times New Roman" w:hAnsi="Times New Roman"/>
          <w:b/>
          <w:sz w:val="24"/>
          <w:szCs w:val="24"/>
        </w:rPr>
        <w:t>R</w:t>
      </w:r>
      <w:r w:rsidRPr="00D402EB">
        <w:rPr>
          <w:rFonts w:ascii="Times New Roman" w:hAnsi="Times New Roman"/>
          <w:b/>
          <w:sz w:val="24"/>
          <w:szCs w:val="24"/>
        </w:rPr>
        <w:t>espondents</w:t>
      </w:r>
      <w:r>
        <w:rPr>
          <w:rFonts w:ascii="Times New Roman" w:hAnsi="Times New Roman"/>
          <w:b/>
          <w:sz w:val="24"/>
          <w:szCs w:val="24"/>
        </w:rPr>
        <w:t xml:space="preserve"> and/or Record Keeper</w:t>
      </w:r>
    </w:p>
    <w:p w:rsidR="00460C5A" w:rsidP="00970B66" w14:paraId="2D8B3BCE" w14:textId="15783777">
      <w:pPr>
        <w:pStyle w:val="ListParagraph"/>
        <w:tabs>
          <w:tab w:val="left" w:pos="-1440"/>
          <w:tab w:val="left" w:pos="-720"/>
        </w:tabs>
        <w:spacing w:before="120"/>
        <w:contextualSpacing w:val="0"/>
      </w:pPr>
      <w:r w:rsidRPr="00E076D9">
        <w:rPr>
          <w:rFonts w:ascii="Times New Roman" w:hAnsi="Times New Roman"/>
          <w:bCs/>
          <w:sz w:val="24"/>
          <w:szCs w:val="24"/>
        </w:rPr>
        <w:t xml:space="preserve">No additional costs to respondents are anticipated to complete the proposed one-time survey.  Respondents are expected to use information technology already available as part of customary and usual business practices.  </w:t>
      </w:r>
    </w:p>
    <w:p w:rsidR="00091301" w:rsidRPr="00EA1BFE" w:rsidP="00EA1BFE" w14:paraId="51822846"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Estimate of Federal Government Costs</w:t>
      </w:r>
    </w:p>
    <w:p w:rsidR="00B570B5" w:rsidRPr="00E076D9" w:rsidP="00E076D9" w14:paraId="094FE87D" w14:textId="77777777">
      <w:pPr>
        <w:pStyle w:val="ListParagraph"/>
        <w:tabs>
          <w:tab w:val="left" w:pos="-1440"/>
          <w:tab w:val="left" w:pos="-720"/>
        </w:tabs>
        <w:spacing w:before="120"/>
        <w:contextualSpacing w:val="0"/>
        <w:rPr>
          <w:rFonts w:ascii="Times New Roman" w:hAnsi="Times New Roman"/>
          <w:bCs/>
          <w:sz w:val="24"/>
          <w:szCs w:val="24"/>
        </w:rPr>
      </w:pPr>
      <w:r>
        <w:rPr>
          <w:rFonts w:ascii="Times New Roman" w:hAnsi="Times New Roman"/>
          <w:bCs/>
          <w:sz w:val="24"/>
          <w:szCs w:val="24"/>
        </w:rPr>
        <w:t>The estimated</w:t>
      </w:r>
      <w:r w:rsidRPr="00E076D9">
        <w:rPr>
          <w:rFonts w:ascii="Times New Roman" w:hAnsi="Times New Roman"/>
          <w:bCs/>
          <w:sz w:val="24"/>
          <w:szCs w:val="24"/>
        </w:rPr>
        <w:t xml:space="preserve"> total cost to the Federal government is $</w:t>
      </w:r>
      <w:r w:rsidRPr="00E076D9" w:rsidR="00E65D04">
        <w:rPr>
          <w:rFonts w:ascii="Times New Roman" w:hAnsi="Times New Roman"/>
          <w:bCs/>
          <w:sz w:val="24"/>
          <w:szCs w:val="24"/>
        </w:rPr>
        <w:t>85,585</w:t>
      </w:r>
      <w:r w:rsidRPr="00E076D9" w:rsidR="001D0C2F">
        <w:rPr>
          <w:rFonts w:ascii="Times New Roman" w:hAnsi="Times New Roman"/>
          <w:bCs/>
          <w:sz w:val="24"/>
          <w:szCs w:val="24"/>
        </w:rPr>
        <w:t>.12</w:t>
      </w:r>
      <w:r w:rsidRPr="00E076D9">
        <w:rPr>
          <w:rFonts w:ascii="Times New Roman" w:hAnsi="Times New Roman"/>
          <w:bCs/>
          <w:sz w:val="24"/>
          <w:szCs w:val="24"/>
        </w:rPr>
        <w:t xml:space="preserve">. </w:t>
      </w:r>
      <w:r w:rsidRPr="00E076D9" w:rsidR="00521F2D">
        <w:rPr>
          <w:rFonts w:ascii="Times New Roman" w:hAnsi="Times New Roman"/>
          <w:bCs/>
          <w:sz w:val="24"/>
          <w:szCs w:val="24"/>
        </w:rPr>
        <w:t xml:space="preserve">The calculation of this estimate is </w:t>
      </w:r>
      <w:r w:rsidRPr="00E076D9" w:rsidR="001D0C2F">
        <w:rPr>
          <w:rFonts w:ascii="Times New Roman" w:hAnsi="Times New Roman"/>
          <w:bCs/>
          <w:sz w:val="24"/>
          <w:szCs w:val="24"/>
        </w:rPr>
        <w:t>i</w:t>
      </w:r>
      <w:r w:rsidRPr="00E076D9" w:rsidR="00116B68">
        <w:rPr>
          <w:rFonts w:ascii="Times New Roman" w:hAnsi="Times New Roman"/>
          <w:bCs/>
          <w:sz w:val="24"/>
          <w:szCs w:val="24"/>
        </w:rPr>
        <w:t>llustrated</w:t>
      </w:r>
      <w:r w:rsidRPr="00E076D9" w:rsidR="001D0C2F">
        <w:rPr>
          <w:rFonts w:ascii="Times New Roman" w:hAnsi="Times New Roman"/>
          <w:bCs/>
          <w:sz w:val="24"/>
          <w:szCs w:val="24"/>
        </w:rPr>
        <w:t xml:space="preserve"> in</w:t>
      </w:r>
      <w:r w:rsidRPr="00E076D9" w:rsidR="00116B68">
        <w:rPr>
          <w:rFonts w:ascii="Times New Roman" w:hAnsi="Times New Roman"/>
          <w:bCs/>
          <w:sz w:val="24"/>
          <w:szCs w:val="24"/>
        </w:rPr>
        <w:t xml:space="preserve"> the</w:t>
      </w:r>
      <w:r w:rsidRPr="00E076D9" w:rsidR="001D0C2F">
        <w:rPr>
          <w:rFonts w:ascii="Times New Roman" w:hAnsi="Times New Roman"/>
          <w:bCs/>
          <w:sz w:val="24"/>
          <w:szCs w:val="24"/>
        </w:rPr>
        <w:t xml:space="preserve"> tables below</w:t>
      </w:r>
      <w:r w:rsidRPr="00E076D9" w:rsidR="00521F2D">
        <w:rPr>
          <w:rFonts w:ascii="Times New Roman" w:hAnsi="Times New Roman"/>
          <w:bCs/>
          <w:sz w:val="24"/>
          <w:szCs w:val="24"/>
        </w:rPr>
        <w:t>.</w:t>
      </w:r>
    </w:p>
    <w:p w:rsidR="008C5732" w:rsidP="00E076D9" w14:paraId="5996BBD4" w14:textId="77777777">
      <w:pPr>
        <w:pStyle w:val="ListParagraph"/>
        <w:tabs>
          <w:tab w:val="left" w:pos="-1440"/>
          <w:tab w:val="left" w:pos="-720"/>
        </w:tabs>
        <w:spacing w:before="120"/>
        <w:contextualSpacing w:val="0"/>
        <w:rPr>
          <w:rFonts w:ascii="Times New Roman" w:hAnsi="Times New Roman"/>
          <w:bCs/>
          <w:sz w:val="24"/>
          <w:szCs w:val="24"/>
        </w:rPr>
      </w:pPr>
      <w:r w:rsidRPr="00E076D9">
        <w:rPr>
          <w:rFonts w:ascii="Times New Roman" w:hAnsi="Times New Roman"/>
          <w:bCs/>
          <w:sz w:val="24"/>
          <w:szCs w:val="24"/>
        </w:rPr>
        <w:t xml:space="preserve">Funding for the project is being provided under the 2019 Cooperative Agreement between AAPA and </w:t>
      </w:r>
      <w:r w:rsidRPr="00E076D9" w:rsidR="00AD5990">
        <w:rPr>
          <w:rFonts w:ascii="Times New Roman" w:hAnsi="Times New Roman"/>
          <w:bCs/>
          <w:sz w:val="24"/>
          <w:szCs w:val="24"/>
        </w:rPr>
        <w:t>MARAD</w:t>
      </w:r>
      <w:r w:rsidRPr="00E076D9" w:rsidR="00FC04A3">
        <w:rPr>
          <w:rFonts w:ascii="Times New Roman" w:hAnsi="Times New Roman"/>
          <w:bCs/>
          <w:sz w:val="24"/>
          <w:szCs w:val="24"/>
        </w:rPr>
        <w:t xml:space="preserve">. Up to $110,000 is available under </w:t>
      </w:r>
      <w:r w:rsidRPr="00E076D9">
        <w:rPr>
          <w:rFonts w:ascii="Times New Roman" w:hAnsi="Times New Roman"/>
          <w:bCs/>
          <w:sz w:val="24"/>
          <w:szCs w:val="24"/>
        </w:rPr>
        <w:t xml:space="preserve">the 2020 </w:t>
      </w:r>
      <w:r w:rsidRPr="00E076D9" w:rsidR="00FC04A3">
        <w:rPr>
          <w:rFonts w:ascii="Times New Roman" w:hAnsi="Times New Roman"/>
          <w:bCs/>
          <w:sz w:val="24"/>
          <w:szCs w:val="24"/>
        </w:rPr>
        <w:t>Modification 2 of this agreement</w:t>
      </w:r>
      <w:r w:rsidRPr="00E076D9">
        <w:rPr>
          <w:rFonts w:ascii="Times New Roman" w:hAnsi="Times New Roman"/>
          <w:bCs/>
          <w:sz w:val="24"/>
          <w:szCs w:val="24"/>
        </w:rPr>
        <w:t xml:space="preserve"> for </w:t>
      </w:r>
      <w:r w:rsidRPr="00E076D9" w:rsidR="00C44D41">
        <w:rPr>
          <w:rFonts w:ascii="Times New Roman" w:hAnsi="Times New Roman"/>
          <w:bCs/>
          <w:sz w:val="24"/>
          <w:szCs w:val="24"/>
        </w:rPr>
        <w:t>domestic preference activities</w:t>
      </w:r>
      <w:r w:rsidRPr="00E076D9">
        <w:rPr>
          <w:rFonts w:ascii="Times New Roman" w:hAnsi="Times New Roman"/>
          <w:bCs/>
          <w:sz w:val="24"/>
          <w:szCs w:val="24"/>
        </w:rPr>
        <w:t>, with an expectation of $</w:t>
      </w:r>
      <w:r w:rsidRPr="00E076D9" w:rsidR="00E65D04">
        <w:rPr>
          <w:rFonts w:ascii="Times New Roman" w:hAnsi="Times New Roman"/>
          <w:bCs/>
          <w:sz w:val="24"/>
          <w:szCs w:val="24"/>
        </w:rPr>
        <w:t>79,088</w:t>
      </w:r>
      <w:r w:rsidRPr="00E076D9">
        <w:rPr>
          <w:rFonts w:ascii="Times New Roman" w:hAnsi="Times New Roman"/>
          <w:bCs/>
          <w:sz w:val="24"/>
          <w:szCs w:val="24"/>
        </w:rPr>
        <w:t xml:space="preserve"> to be used for this project. AAPA select</w:t>
      </w:r>
      <w:r w:rsidRPr="00E076D9" w:rsidR="00E65D04">
        <w:rPr>
          <w:rFonts w:ascii="Times New Roman" w:hAnsi="Times New Roman"/>
          <w:bCs/>
          <w:sz w:val="24"/>
          <w:szCs w:val="24"/>
        </w:rPr>
        <w:t>ed</w:t>
      </w:r>
      <w:r w:rsidRPr="00E076D9">
        <w:rPr>
          <w:rFonts w:ascii="Times New Roman" w:hAnsi="Times New Roman"/>
          <w:bCs/>
          <w:sz w:val="24"/>
          <w:szCs w:val="24"/>
        </w:rPr>
        <w:t xml:space="preserve"> a contractor to perform the project work using </w:t>
      </w:r>
      <w:r w:rsidRPr="00E076D9" w:rsidR="00722E7F">
        <w:rPr>
          <w:rFonts w:ascii="Times New Roman" w:hAnsi="Times New Roman"/>
          <w:bCs/>
          <w:sz w:val="24"/>
          <w:szCs w:val="24"/>
        </w:rPr>
        <w:t>this funding</w:t>
      </w:r>
      <w:r w:rsidRPr="00E076D9" w:rsidR="00E65D04">
        <w:rPr>
          <w:rFonts w:ascii="Times New Roman" w:hAnsi="Times New Roman"/>
          <w:bCs/>
          <w:sz w:val="24"/>
          <w:szCs w:val="24"/>
        </w:rPr>
        <w:t>, with the budget shown below</w:t>
      </w:r>
      <w:r w:rsidRPr="00E076D9" w:rsidR="00F36E28">
        <w:rPr>
          <w:rFonts w:ascii="Times New Roman" w:hAnsi="Times New Roman"/>
          <w:bCs/>
          <w:sz w:val="24"/>
          <w:szCs w:val="24"/>
        </w:rPr>
        <w:t>:</w:t>
      </w:r>
    </w:p>
    <w:p w:rsidR="00277166" w:rsidRPr="00B83CF0" w:rsidP="00F36E28" w14:paraId="06B0AB9B" w14:textId="77777777">
      <w:pPr>
        <w:rPr>
          <w:rFonts w:ascii="Times New Roman" w:hAnsi="Times New Roman"/>
          <w:sz w:val="24"/>
          <w:szCs w:val="24"/>
        </w:rPr>
      </w:pPr>
    </w:p>
    <w:p w:rsidR="008C5732" w:rsidRPr="00B83CF0" w14:paraId="42B408E3" w14:textId="77777777">
      <w:pPr>
        <w:rPr>
          <w:rFonts w:ascii="Times New Roman" w:hAnsi="Times New Roman"/>
          <w:sz w:val="24"/>
          <w:szCs w:val="24"/>
        </w:rPr>
      </w:pPr>
      <w:r w:rsidRPr="00FD2DA5">
        <w:rPr>
          <w:rFonts w:ascii="Times New Roman" w:hAnsi="Times New Roman"/>
          <w:noProof/>
        </w:rPr>
        <w:drawing>
          <wp:inline distT="0" distB="0" distL="0" distR="0">
            <wp:extent cx="6353033" cy="114232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490234" cy="1166997"/>
                    </a:xfrm>
                    <a:prstGeom prst="rect">
                      <a:avLst/>
                    </a:prstGeom>
                    <a:noFill/>
                    <a:ln>
                      <a:noFill/>
                    </a:ln>
                  </pic:spPr>
                </pic:pic>
              </a:graphicData>
            </a:graphic>
          </wp:inline>
        </w:drawing>
      </w:r>
    </w:p>
    <w:p w:rsidR="00050C0E" w:rsidRPr="00F36E28" w:rsidP="00FD2DA5" w14:paraId="0FC5D36B" w14:textId="77777777">
      <w:pPr>
        <w:spacing w:before="120" w:after="240"/>
        <w:ind w:left="720"/>
        <w:rPr>
          <w:rFonts w:ascii="Times New Roman" w:hAnsi="Times New Roman"/>
          <w:sz w:val="24"/>
          <w:szCs w:val="24"/>
        </w:rPr>
      </w:pPr>
      <w:r w:rsidRPr="00B83CF0">
        <w:rPr>
          <w:rFonts w:ascii="Times New Roman" w:hAnsi="Times New Roman"/>
          <w:sz w:val="24"/>
          <w:szCs w:val="24"/>
        </w:rPr>
        <w:t>Federal staff cost is estimated at $</w:t>
      </w:r>
      <w:r w:rsidR="00116B68">
        <w:rPr>
          <w:rFonts w:ascii="Times New Roman" w:hAnsi="Times New Roman"/>
          <w:sz w:val="24"/>
          <w:szCs w:val="24"/>
        </w:rPr>
        <w:t>6,497.12</w:t>
      </w:r>
      <w:r w:rsidR="000F747C">
        <w:rPr>
          <w:rFonts w:ascii="Times New Roman" w:hAnsi="Times New Roman"/>
          <w:sz w:val="24"/>
          <w:szCs w:val="24"/>
        </w:rPr>
        <w:t>.</w:t>
      </w:r>
      <w:r w:rsidRPr="00B83CF0">
        <w:rPr>
          <w:rFonts w:ascii="Times New Roman" w:hAnsi="Times New Roman"/>
          <w:sz w:val="24"/>
          <w:szCs w:val="24"/>
        </w:rPr>
        <w:t xml:space="preserve"> </w:t>
      </w:r>
      <w:r w:rsidRPr="00B83CF0" w:rsidR="00C412DD">
        <w:rPr>
          <w:rFonts w:ascii="Times New Roman" w:hAnsi="Times New Roman"/>
          <w:sz w:val="24"/>
          <w:szCs w:val="24"/>
        </w:rPr>
        <w:t xml:space="preserve">This cost assumes </w:t>
      </w:r>
      <w:r w:rsidR="00116B68">
        <w:rPr>
          <w:rFonts w:ascii="Times New Roman" w:hAnsi="Times New Roman"/>
          <w:sz w:val="24"/>
          <w:szCs w:val="24"/>
        </w:rPr>
        <w:t xml:space="preserve">that a </w:t>
      </w:r>
      <w:r w:rsidRPr="00B83CF0" w:rsidR="00116B68">
        <w:rPr>
          <w:rFonts w:ascii="Times New Roman" w:hAnsi="Times New Roman"/>
          <w:sz w:val="24"/>
          <w:szCs w:val="24"/>
        </w:rPr>
        <w:t xml:space="preserve">GS-13 step 5 </w:t>
      </w:r>
      <w:r w:rsidR="00116B68">
        <w:rPr>
          <w:rFonts w:ascii="Times New Roman" w:hAnsi="Times New Roman"/>
          <w:sz w:val="24"/>
          <w:szCs w:val="24"/>
        </w:rPr>
        <w:t xml:space="preserve">personnel, with an </w:t>
      </w:r>
      <w:r w:rsidRPr="00B83CF0" w:rsidR="00116B68">
        <w:rPr>
          <w:rFonts w:ascii="Times New Roman" w:hAnsi="Times New Roman"/>
          <w:sz w:val="24"/>
          <w:szCs w:val="24"/>
        </w:rPr>
        <w:t>hourly rate for the Washington, DC locality of $58.01</w:t>
      </w:r>
      <w:r w:rsidR="00E636F4">
        <w:rPr>
          <w:rFonts w:ascii="Times New Roman" w:hAnsi="Times New Roman"/>
          <w:sz w:val="24"/>
          <w:szCs w:val="24"/>
        </w:rPr>
        <w:t xml:space="preserve"> </w:t>
      </w:r>
      <w:r w:rsidRPr="00116B68" w:rsidR="00116B68">
        <w:rPr>
          <w:rFonts w:ascii="Times New Roman" w:hAnsi="Times New Roman"/>
          <w:sz w:val="24"/>
          <w:szCs w:val="24"/>
        </w:rPr>
        <w:t>(</w:t>
      </w:r>
      <w:hyperlink r:id="rId8" w:history="1">
        <w:r w:rsidRPr="00116B68" w:rsidR="00116B68">
          <w:rPr>
            <w:rStyle w:val="Hyperlink"/>
            <w:rFonts w:ascii="Times New Roman" w:hAnsi="Times New Roman"/>
            <w:sz w:val="24"/>
            <w:szCs w:val="24"/>
          </w:rPr>
          <w:t>https://www.opm.gov/policy-data-oversight/pay-leave/salaries-wages/salary-tables/22Tables/html/DCB_h.aspx</w:t>
        </w:r>
      </w:hyperlink>
      <w:r w:rsidRPr="00116B68" w:rsidR="00116B68">
        <w:rPr>
          <w:rFonts w:ascii="Times New Roman" w:hAnsi="Times New Roman"/>
          <w:sz w:val="24"/>
          <w:szCs w:val="24"/>
        </w:rPr>
        <w:t>)</w:t>
      </w:r>
      <w:r w:rsidR="00116B68">
        <w:rPr>
          <w:rFonts w:ascii="Times New Roman" w:hAnsi="Times New Roman"/>
          <w:sz w:val="24"/>
          <w:szCs w:val="24"/>
        </w:rPr>
        <w:t xml:space="preserve">, will spend a total </w:t>
      </w:r>
      <w:r w:rsidRPr="00B83CF0" w:rsidR="00C412DD">
        <w:rPr>
          <w:rFonts w:ascii="Times New Roman" w:hAnsi="Times New Roman"/>
          <w:sz w:val="24"/>
          <w:szCs w:val="24"/>
        </w:rPr>
        <w:t xml:space="preserve">80 hours </w:t>
      </w:r>
      <w:r w:rsidR="00116B68">
        <w:rPr>
          <w:rFonts w:ascii="Times New Roman" w:hAnsi="Times New Roman"/>
          <w:sz w:val="24"/>
          <w:szCs w:val="24"/>
        </w:rPr>
        <w:t>completing tasks including reviewing and compiling survey responses for this project:</w:t>
      </w:r>
    </w:p>
    <w:tbl>
      <w:tblPr>
        <w:tblW w:w="8550" w:type="dxa"/>
        <w:tblInd w:w="715" w:type="dxa"/>
        <w:tblLayout w:type="fixed"/>
        <w:tblLook w:val="04A0"/>
      </w:tblPr>
      <w:tblGrid>
        <w:gridCol w:w="1447"/>
        <w:gridCol w:w="917"/>
        <w:gridCol w:w="445"/>
        <w:gridCol w:w="926"/>
        <w:gridCol w:w="401"/>
        <w:gridCol w:w="1200"/>
        <w:gridCol w:w="436"/>
        <w:gridCol w:w="1232"/>
        <w:gridCol w:w="273"/>
        <w:gridCol w:w="1273"/>
      </w:tblGrid>
      <w:tr w14:paraId="7F061D7D" w14:textId="77777777" w:rsidTr="00160703">
        <w:tblPrEx>
          <w:tblW w:w="8550" w:type="dxa"/>
          <w:tblInd w:w="715" w:type="dxa"/>
          <w:tblLayout w:type="fixed"/>
          <w:tblLook w:val="04A0"/>
        </w:tblPrEx>
        <w:trPr>
          <w:trHeight w:val="916"/>
        </w:trPr>
        <w:tc>
          <w:tcPr>
            <w:tcW w:w="1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427BC" w:rsidP="00160703" w14:paraId="334C7960" w14:textId="77777777">
            <w:pPr>
              <w:widowControl/>
              <w:autoSpaceDE/>
              <w:autoSpaceDN/>
              <w:adjustRightInd/>
              <w:jc w:val="center"/>
              <w:rPr>
                <w:rFonts w:ascii="Times New Roman" w:hAnsi="Times New Roman"/>
                <w:b/>
                <w:bCs/>
                <w:color w:val="000000"/>
                <w:sz w:val="22"/>
                <w:szCs w:val="22"/>
              </w:rPr>
            </w:pPr>
            <w:bookmarkStart w:id="3" w:name="_Hlk134161235"/>
            <w:r w:rsidRPr="00141AA6">
              <w:rPr>
                <w:rFonts w:ascii="Times New Roman" w:hAnsi="Times New Roman"/>
                <w:b/>
                <w:bCs/>
                <w:color w:val="000000"/>
                <w:sz w:val="22"/>
                <w:szCs w:val="22"/>
              </w:rPr>
              <w:t>Government Analyst</w:t>
            </w:r>
          </w:p>
          <w:p w:rsidR="00B3020C" w:rsidRPr="00141AA6" w:rsidP="00160703" w14:paraId="17D938FC" w14:textId="77777777">
            <w:pPr>
              <w:widowControl/>
              <w:autoSpaceDE/>
              <w:autoSpaceDN/>
              <w:adjustRightInd/>
              <w:jc w:val="center"/>
              <w:rPr>
                <w:rFonts w:ascii="Times New Roman" w:hAnsi="Times New Roman"/>
                <w:b/>
                <w:bCs/>
                <w:color w:val="000000"/>
                <w:sz w:val="22"/>
                <w:szCs w:val="22"/>
              </w:rPr>
            </w:pPr>
            <w:r w:rsidRPr="00141AA6">
              <w:rPr>
                <w:rFonts w:ascii="Times New Roman" w:hAnsi="Times New Roman"/>
                <w:b/>
                <w:bCs/>
                <w:color w:val="000000"/>
                <w:sz w:val="22"/>
                <w:szCs w:val="22"/>
              </w:rPr>
              <w:t>(GS 13)</w:t>
            </w:r>
          </w:p>
        </w:tc>
        <w:tc>
          <w:tcPr>
            <w:tcW w:w="90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B3020C" w:rsidRPr="00160703" w:rsidP="00160703" w14:paraId="036BDE9D" w14:textId="77777777">
            <w:pPr>
              <w:widowControl/>
              <w:autoSpaceDE/>
              <w:autoSpaceDN/>
              <w:adjustRightInd/>
              <w:jc w:val="center"/>
              <w:rPr>
                <w:rFonts w:ascii="Times New Roman" w:hAnsi="Times New Roman"/>
                <w:b/>
                <w:bCs/>
                <w:color w:val="000000"/>
                <w:sz w:val="22"/>
                <w:szCs w:val="22"/>
              </w:rPr>
            </w:pPr>
            <w:r w:rsidRPr="00160703">
              <w:rPr>
                <w:rFonts w:ascii="Times New Roman" w:hAnsi="Times New Roman"/>
                <w:b/>
                <w:bCs/>
                <w:color w:val="000000"/>
                <w:sz w:val="22"/>
                <w:szCs w:val="22"/>
              </w:rPr>
              <w:t>Hourly Wage Rate</w:t>
            </w:r>
          </w:p>
        </w:tc>
        <w:tc>
          <w:tcPr>
            <w:tcW w:w="441"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B3020C" w:rsidRPr="00160703" w:rsidP="00160703" w14:paraId="5C47CFF3" w14:textId="77777777">
            <w:pPr>
              <w:widowControl/>
              <w:autoSpaceDE/>
              <w:autoSpaceDN/>
              <w:adjustRightInd/>
              <w:jc w:val="center"/>
              <w:rPr>
                <w:rFonts w:ascii="Times New Roman" w:hAnsi="Times New Roman"/>
                <w:b/>
                <w:bCs/>
                <w:color w:val="000000"/>
                <w:sz w:val="22"/>
                <w:szCs w:val="22"/>
              </w:rPr>
            </w:pPr>
          </w:p>
        </w:tc>
        <w:tc>
          <w:tcPr>
            <w:tcW w:w="9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3020C" w:rsidRPr="00160703" w:rsidP="00160703" w14:paraId="4A018FD8" w14:textId="77777777">
            <w:pPr>
              <w:widowControl/>
              <w:autoSpaceDE/>
              <w:autoSpaceDN/>
              <w:adjustRightInd/>
              <w:jc w:val="center"/>
              <w:rPr>
                <w:rFonts w:ascii="Times New Roman" w:hAnsi="Times New Roman"/>
                <w:b/>
                <w:bCs/>
                <w:color w:val="000000"/>
                <w:sz w:val="22"/>
                <w:szCs w:val="22"/>
              </w:rPr>
            </w:pPr>
            <w:r w:rsidRPr="00160703">
              <w:rPr>
                <w:rFonts w:ascii="Times New Roman" w:hAnsi="Times New Roman"/>
                <w:b/>
                <w:bCs/>
                <w:color w:val="000000"/>
                <w:sz w:val="22"/>
                <w:szCs w:val="22"/>
              </w:rPr>
              <w:t>Total Hours</w:t>
            </w:r>
          </w:p>
        </w:tc>
        <w:tc>
          <w:tcPr>
            <w:tcW w:w="397"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B3020C" w:rsidRPr="00D66060" w:rsidP="00160703" w14:paraId="38F820E5" w14:textId="77777777">
            <w:pPr>
              <w:widowControl/>
              <w:autoSpaceDE/>
              <w:autoSpaceDN/>
              <w:adjustRightInd/>
              <w:jc w:val="center"/>
              <w:rPr>
                <w:rFonts w:ascii="Times New Roman" w:hAnsi="Times New Roman"/>
                <w:b/>
                <w:bCs/>
                <w:color w:val="000000"/>
                <w:sz w:val="22"/>
                <w:szCs w:val="22"/>
              </w:rPr>
            </w:pPr>
          </w:p>
        </w:tc>
        <w:tc>
          <w:tcPr>
            <w:tcW w:w="118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3020C" w:rsidRPr="00D66060" w:rsidP="00160703" w14:paraId="2212B959" w14:textId="77777777">
            <w:pPr>
              <w:widowControl/>
              <w:autoSpaceDE/>
              <w:autoSpaceDN/>
              <w:adjustRightInd/>
              <w:jc w:val="center"/>
              <w:rPr>
                <w:rFonts w:ascii="Times New Roman" w:hAnsi="Times New Roman"/>
                <w:b/>
                <w:bCs/>
                <w:color w:val="000000"/>
                <w:sz w:val="22"/>
                <w:szCs w:val="22"/>
              </w:rPr>
            </w:pPr>
            <w:r w:rsidRPr="00D66060">
              <w:rPr>
                <w:rFonts w:ascii="Times New Roman" w:hAnsi="Times New Roman"/>
                <w:b/>
                <w:bCs/>
                <w:color w:val="000000"/>
                <w:sz w:val="22"/>
                <w:szCs w:val="22"/>
              </w:rPr>
              <w:t>Total Wages</w:t>
            </w:r>
          </w:p>
        </w:tc>
        <w:tc>
          <w:tcPr>
            <w:tcW w:w="43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B3020C" w:rsidRPr="00D66060" w:rsidP="00160703" w14:paraId="435D6219" w14:textId="77777777">
            <w:pPr>
              <w:widowControl/>
              <w:autoSpaceDE/>
              <w:autoSpaceDN/>
              <w:adjustRightInd/>
              <w:jc w:val="center"/>
              <w:rPr>
                <w:rFonts w:ascii="Times New Roman" w:hAnsi="Times New Roman"/>
                <w:b/>
                <w:bCs/>
                <w:color w:val="000000"/>
                <w:sz w:val="22"/>
                <w:szCs w:val="22"/>
              </w:rPr>
            </w:pPr>
          </w:p>
        </w:tc>
        <w:tc>
          <w:tcPr>
            <w:tcW w:w="122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3020C" w:rsidRPr="00D66060" w:rsidP="00160703" w14:paraId="70893FF5" w14:textId="77777777">
            <w:pPr>
              <w:widowControl/>
              <w:autoSpaceDE/>
              <w:autoSpaceDN/>
              <w:adjustRightInd/>
              <w:jc w:val="center"/>
              <w:rPr>
                <w:rFonts w:ascii="Times New Roman" w:hAnsi="Times New Roman"/>
                <w:b/>
                <w:bCs/>
                <w:color w:val="000000"/>
                <w:sz w:val="22"/>
                <w:szCs w:val="22"/>
              </w:rPr>
            </w:pPr>
            <w:r w:rsidRPr="00D66060">
              <w:rPr>
                <w:rFonts w:ascii="Times New Roman" w:hAnsi="Times New Roman"/>
                <w:b/>
                <w:bCs/>
                <w:color w:val="000000"/>
                <w:sz w:val="22"/>
                <w:szCs w:val="22"/>
              </w:rPr>
              <w:t>Benefit Multiplier</w:t>
            </w:r>
          </w:p>
        </w:tc>
        <w:tc>
          <w:tcPr>
            <w:tcW w:w="270" w:type="dxa"/>
            <w:tcBorders>
              <w:top w:val="single" w:sz="4" w:space="0" w:color="auto"/>
              <w:left w:val="nil"/>
              <w:bottom w:val="single" w:sz="4" w:space="0" w:color="auto"/>
              <w:right w:val="single" w:sz="4" w:space="0" w:color="auto"/>
            </w:tcBorders>
            <w:shd w:val="clear" w:color="auto" w:fill="D0CECE" w:themeFill="background2" w:themeFillShade="E6"/>
            <w:vAlign w:val="center"/>
          </w:tcPr>
          <w:p w:rsidR="00B3020C" w:rsidRPr="00D66060" w:rsidP="00160703" w14:paraId="5C6782E7" w14:textId="77777777">
            <w:pPr>
              <w:widowControl/>
              <w:autoSpaceDE/>
              <w:autoSpaceDN/>
              <w:adjustRightInd/>
              <w:jc w:val="center"/>
              <w:rPr>
                <w:rFonts w:ascii="Times New Roman" w:hAnsi="Times New Roman"/>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B3020C" w:rsidRPr="00D66060" w:rsidP="00160703" w14:paraId="0A15BD26" w14:textId="77777777">
            <w:pPr>
              <w:widowControl/>
              <w:autoSpaceDE/>
              <w:autoSpaceDN/>
              <w:adjustRightInd/>
              <w:jc w:val="center"/>
              <w:rPr>
                <w:rFonts w:ascii="Times New Roman" w:hAnsi="Times New Roman"/>
                <w:b/>
                <w:bCs/>
                <w:color w:val="000000"/>
                <w:sz w:val="22"/>
                <w:szCs w:val="22"/>
              </w:rPr>
            </w:pPr>
            <w:r w:rsidRPr="00D66060">
              <w:rPr>
                <w:rFonts w:ascii="Times New Roman" w:hAnsi="Times New Roman"/>
                <w:b/>
                <w:bCs/>
                <w:color w:val="000000"/>
                <w:sz w:val="22"/>
                <w:szCs w:val="22"/>
              </w:rPr>
              <w:t>Total Loaded Wage</w:t>
            </w:r>
          </w:p>
        </w:tc>
      </w:tr>
      <w:tr w14:paraId="5323C3A3" w14:textId="77777777" w:rsidTr="00160703">
        <w:tblPrEx>
          <w:tblW w:w="8550" w:type="dxa"/>
          <w:tblInd w:w="715" w:type="dxa"/>
          <w:tblLayout w:type="fixed"/>
          <w:tblLook w:val="04A0"/>
        </w:tblPrEx>
        <w:trPr>
          <w:trHeight w:val="305"/>
        </w:trPr>
        <w:tc>
          <w:tcPr>
            <w:tcW w:w="1432" w:type="dxa"/>
            <w:tcBorders>
              <w:top w:val="nil"/>
              <w:left w:val="single" w:sz="4" w:space="0" w:color="auto"/>
              <w:bottom w:val="single" w:sz="4" w:space="0" w:color="auto"/>
              <w:right w:val="single" w:sz="4" w:space="0" w:color="auto"/>
            </w:tcBorders>
            <w:shd w:val="clear" w:color="auto" w:fill="auto"/>
            <w:vAlign w:val="center"/>
            <w:hideMark/>
          </w:tcPr>
          <w:p w:rsidR="00B3020C" w:rsidRPr="00141AA6" w:rsidP="00160703" w14:paraId="28A63794" w14:textId="77777777">
            <w:pPr>
              <w:widowControl/>
              <w:autoSpaceDE/>
              <w:autoSpaceDN/>
              <w:adjustRightInd/>
              <w:jc w:val="center"/>
              <w:rPr>
                <w:rFonts w:ascii="Times New Roman" w:hAnsi="Times New Roman"/>
                <w:color w:val="000000"/>
                <w:sz w:val="22"/>
                <w:szCs w:val="22"/>
              </w:rPr>
            </w:pPr>
          </w:p>
        </w:tc>
        <w:tc>
          <w:tcPr>
            <w:tcW w:w="908" w:type="dxa"/>
            <w:tcBorders>
              <w:top w:val="nil"/>
              <w:left w:val="nil"/>
              <w:bottom w:val="single" w:sz="4" w:space="0" w:color="auto"/>
              <w:right w:val="single" w:sz="4" w:space="0" w:color="auto"/>
            </w:tcBorders>
            <w:shd w:val="clear" w:color="auto" w:fill="auto"/>
            <w:vAlign w:val="center"/>
            <w:hideMark/>
          </w:tcPr>
          <w:p w:rsidR="00B3020C" w:rsidRPr="00160703" w:rsidP="00160703" w14:paraId="0BAEE34A" w14:textId="77777777">
            <w:pPr>
              <w:widowControl/>
              <w:autoSpaceDE/>
              <w:autoSpaceDN/>
              <w:adjustRightInd/>
              <w:jc w:val="center"/>
              <w:rPr>
                <w:rFonts w:ascii="Times New Roman" w:hAnsi="Times New Roman"/>
                <w:color w:val="000000"/>
                <w:sz w:val="22"/>
                <w:szCs w:val="22"/>
              </w:rPr>
            </w:pPr>
            <w:r w:rsidRPr="00160703">
              <w:rPr>
                <w:rFonts w:ascii="Times New Roman" w:hAnsi="Times New Roman"/>
                <w:color w:val="000000"/>
                <w:sz w:val="22"/>
                <w:szCs w:val="22"/>
              </w:rPr>
              <w:t>$58.01</w:t>
            </w:r>
          </w:p>
        </w:tc>
        <w:tc>
          <w:tcPr>
            <w:tcW w:w="441" w:type="dxa"/>
            <w:tcBorders>
              <w:top w:val="single" w:sz="4" w:space="0" w:color="auto"/>
              <w:left w:val="nil"/>
              <w:bottom w:val="single" w:sz="4" w:space="0" w:color="auto"/>
              <w:right w:val="single" w:sz="4" w:space="0" w:color="auto"/>
            </w:tcBorders>
            <w:vAlign w:val="center"/>
          </w:tcPr>
          <w:p w:rsidR="00B3020C" w:rsidRPr="00160703" w:rsidP="00160703" w14:paraId="4F523C0A" w14:textId="77777777">
            <w:pPr>
              <w:widowControl/>
              <w:autoSpaceDE/>
              <w:autoSpaceDN/>
              <w:adjustRightInd/>
              <w:jc w:val="center"/>
              <w:rPr>
                <w:rFonts w:ascii="Times New Roman" w:hAnsi="Times New Roman"/>
                <w:color w:val="000000"/>
                <w:sz w:val="22"/>
                <w:szCs w:val="22"/>
              </w:rPr>
            </w:pPr>
            <w:r w:rsidRPr="00160703">
              <w:rPr>
                <w:rFonts w:ascii="Times New Roman" w:hAnsi="Times New Roman"/>
                <w:color w:val="000000"/>
                <w:sz w:val="22"/>
                <w:szCs w:val="22"/>
              </w:rPr>
              <w:t>*</w:t>
            </w:r>
          </w:p>
        </w:tc>
        <w:tc>
          <w:tcPr>
            <w:tcW w:w="917" w:type="dxa"/>
            <w:tcBorders>
              <w:top w:val="nil"/>
              <w:left w:val="single" w:sz="4" w:space="0" w:color="auto"/>
              <w:bottom w:val="single" w:sz="4" w:space="0" w:color="auto"/>
              <w:right w:val="single" w:sz="4" w:space="0" w:color="auto"/>
            </w:tcBorders>
            <w:shd w:val="clear" w:color="auto" w:fill="auto"/>
            <w:vAlign w:val="center"/>
            <w:hideMark/>
          </w:tcPr>
          <w:p w:rsidR="00B3020C" w:rsidRPr="00141AA6" w:rsidP="00160703" w14:paraId="20D62147" w14:textId="77777777">
            <w:pPr>
              <w:widowControl/>
              <w:autoSpaceDE/>
              <w:autoSpaceDN/>
              <w:adjustRightInd/>
              <w:jc w:val="center"/>
              <w:rPr>
                <w:rFonts w:ascii="Times New Roman" w:hAnsi="Times New Roman"/>
                <w:color w:val="000000"/>
                <w:sz w:val="22"/>
                <w:szCs w:val="22"/>
              </w:rPr>
            </w:pPr>
            <w:r w:rsidRPr="00141AA6">
              <w:rPr>
                <w:rFonts w:ascii="Times New Roman" w:hAnsi="Times New Roman"/>
                <w:color w:val="000000"/>
                <w:sz w:val="22"/>
                <w:szCs w:val="22"/>
              </w:rPr>
              <w:t>80</w:t>
            </w:r>
          </w:p>
        </w:tc>
        <w:tc>
          <w:tcPr>
            <w:tcW w:w="397" w:type="dxa"/>
            <w:tcBorders>
              <w:top w:val="single" w:sz="4" w:space="0" w:color="auto"/>
              <w:left w:val="nil"/>
              <w:bottom w:val="single" w:sz="4" w:space="0" w:color="auto"/>
              <w:right w:val="single" w:sz="4" w:space="0" w:color="auto"/>
            </w:tcBorders>
            <w:vAlign w:val="center"/>
          </w:tcPr>
          <w:p w:rsidR="00B3020C" w:rsidRPr="00160703" w:rsidP="00160703" w14:paraId="51C76BDF" w14:textId="77777777">
            <w:pPr>
              <w:widowControl/>
              <w:autoSpaceDE/>
              <w:autoSpaceDN/>
              <w:adjustRightInd/>
              <w:jc w:val="center"/>
              <w:rPr>
                <w:rFonts w:ascii="Times New Roman" w:hAnsi="Times New Roman"/>
                <w:color w:val="000000"/>
                <w:sz w:val="22"/>
                <w:szCs w:val="22"/>
              </w:rPr>
            </w:pPr>
            <w:r w:rsidRPr="00160703">
              <w:rPr>
                <w:rFonts w:ascii="Times New Roman" w:hAnsi="Times New Roman"/>
                <w:color w:val="000000"/>
                <w:sz w:val="22"/>
                <w:szCs w:val="22"/>
              </w:rPr>
              <w:t>=</w:t>
            </w:r>
          </w:p>
        </w:tc>
        <w:tc>
          <w:tcPr>
            <w:tcW w:w="1188" w:type="dxa"/>
            <w:tcBorders>
              <w:top w:val="nil"/>
              <w:left w:val="single" w:sz="4" w:space="0" w:color="auto"/>
              <w:bottom w:val="single" w:sz="4" w:space="0" w:color="auto"/>
              <w:right w:val="single" w:sz="4" w:space="0" w:color="auto"/>
            </w:tcBorders>
            <w:vAlign w:val="center"/>
          </w:tcPr>
          <w:p w:rsidR="00B3020C" w:rsidRPr="00141AA6" w:rsidP="00160703" w14:paraId="6A822400" w14:textId="77777777">
            <w:pPr>
              <w:widowControl/>
              <w:autoSpaceDE/>
              <w:autoSpaceDN/>
              <w:adjustRightInd/>
              <w:jc w:val="center"/>
              <w:rPr>
                <w:rFonts w:ascii="Times New Roman" w:hAnsi="Times New Roman"/>
                <w:color w:val="000000"/>
                <w:sz w:val="22"/>
                <w:szCs w:val="22"/>
              </w:rPr>
            </w:pPr>
            <w:r w:rsidRPr="00141AA6">
              <w:rPr>
                <w:rFonts w:ascii="Times New Roman" w:hAnsi="Times New Roman"/>
                <w:color w:val="000000"/>
                <w:sz w:val="22"/>
                <w:szCs w:val="22"/>
              </w:rPr>
              <w:t>$4,640.80</w:t>
            </w:r>
          </w:p>
        </w:tc>
        <w:tc>
          <w:tcPr>
            <w:tcW w:w="432" w:type="dxa"/>
            <w:tcBorders>
              <w:top w:val="nil"/>
              <w:left w:val="single" w:sz="4" w:space="0" w:color="auto"/>
              <w:bottom w:val="single" w:sz="4" w:space="0" w:color="auto"/>
              <w:right w:val="single" w:sz="4" w:space="0" w:color="auto"/>
            </w:tcBorders>
            <w:vAlign w:val="center"/>
          </w:tcPr>
          <w:p w:rsidR="00B3020C" w:rsidRPr="00160703" w:rsidP="00160703" w14:paraId="1DABF39C" w14:textId="77777777">
            <w:pPr>
              <w:widowControl/>
              <w:autoSpaceDE/>
              <w:autoSpaceDN/>
              <w:adjustRightInd/>
              <w:jc w:val="center"/>
              <w:rPr>
                <w:rFonts w:ascii="Times New Roman" w:hAnsi="Times New Roman"/>
                <w:color w:val="000000"/>
                <w:sz w:val="22"/>
                <w:szCs w:val="22"/>
              </w:rPr>
            </w:pPr>
            <w:r w:rsidRPr="00160703">
              <w:rPr>
                <w:rFonts w:ascii="Times New Roman" w:hAnsi="Times New Roman"/>
                <w:color w:val="000000"/>
                <w:sz w:val="22"/>
                <w:szCs w:val="22"/>
              </w:rPr>
              <w:t>*</w:t>
            </w:r>
          </w:p>
        </w:tc>
        <w:tc>
          <w:tcPr>
            <w:tcW w:w="1220" w:type="dxa"/>
            <w:tcBorders>
              <w:top w:val="nil"/>
              <w:left w:val="single" w:sz="4" w:space="0" w:color="auto"/>
              <w:bottom w:val="single" w:sz="4" w:space="0" w:color="auto"/>
              <w:right w:val="single" w:sz="4" w:space="0" w:color="auto"/>
            </w:tcBorders>
            <w:shd w:val="clear" w:color="auto" w:fill="auto"/>
            <w:vAlign w:val="center"/>
            <w:hideMark/>
          </w:tcPr>
          <w:p w:rsidR="00B3020C" w:rsidRPr="00141AA6" w:rsidP="00160703" w14:paraId="68AD78D1" w14:textId="77777777">
            <w:pPr>
              <w:widowControl/>
              <w:autoSpaceDE/>
              <w:autoSpaceDN/>
              <w:adjustRightInd/>
              <w:jc w:val="center"/>
              <w:rPr>
                <w:rFonts w:ascii="Times New Roman" w:hAnsi="Times New Roman"/>
                <w:color w:val="000000"/>
                <w:sz w:val="22"/>
                <w:szCs w:val="22"/>
              </w:rPr>
            </w:pPr>
            <w:r w:rsidRPr="00141AA6">
              <w:rPr>
                <w:rFonts w:ascii="Times New Roman" w:hAnsi="Times New Roman"/>
                <w:color w:val="000000"/>
                <w:sz w:val="22"/>
                <w:szCs w:val="22"/>
              </w:rPr>
              <w:t>1.4</w:t>
            </w:r>
          </w:p>
        </w:tc>
        <w:tc>
          <w:tcPr>
            <w:tcW w:w="270" w:type="dxa"/>
            <w:tcBorders>
              <w:top w:val="single" w:sz="4" w:space="0" w:color="auto"/>
              <w:left w:val="nil"/>
              <w:bottom w:val="single" w:sz="4" w:space="0" w:color="auto"/>
              <w:right w:val="single" w:sz="4" w:space="0" w:color="auto"/>
            </w:tcBorders>
            <w:vAlign w:val="center"/>
          </w:tcPr>
          <w:p w:rsidR="00B3020C" w:rsidRPr="00160703" w:rsidP="00160703" w14:paraId="6200DF43" w14:textId="77777777">
            <w:pPr>
              <w:widowControl/>
              <w:autoSpaceDE/>
              <w:autoSpaceDN/>
              <w:adjustRightInd/>
              <w:jc w:val="center"/>
              <w:rPr>
                <w:rFonts w:ascii="Times New Roman" w:hAnsi="Times New Roman"/>
                <w:color w:val="000000"/>
                <w:sz w:val="22"/>
                <w:szCs w:val="22"/>
              </w:rPr>
            </w:pPr>
            <w:r w:rsidRPr="00160703">
              <w:rPr>
                <w:rFonts w:ascii="Times New Roman" w:hAnsi="Times New Roman"/>
                <w:color w:val="000000"/>
                <w:sz w:val="22"/>
                <w:szCs w:val="22"/>
              </w:rPr>
              <w:t>=</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B3020C" w:rsidRPr="00141AA6" w:rsidP="00160703" w14:paraId="5681F869" w14:textId="77777777">
            <w:pPr>
              <w:widowControl/>
              <w:autoSpaceDE/>
              <w:autoSpaceDN/>
              <w:adjustRightInd/>
              <w:jc w:val="center"/>
              <w:rPr>
                <w:rFonts w:ascii="Times New Roman" w:hAnsi="Times New Roman"/>
                <w:color w:val="000000"/>
                <w:sz w:val="22"/>
                <w:szCs w:val="22"/>
              </w:rPr>
            </w:pPr>
            <w:r w:rsidRPr="00141AA6">
              <w:rPr>
                <w:rFonts w:ascii="Times New Roman" w:hAnsi="Times New Roman"/>
                <w:color w:val="000000"/>
                <w:sz w:val="22"/>
                <w:szCs w:val="22"/>
              </w:rPr>
              <w:t>$6,497.12</w:t>
            </w:r>
          </w:p>
        </w:tc>
      </w:tr>
      <w:bookmarkEnd w:id="3"/>
    </w:tbl>
    <w:p w:rsidR="00E11C50" w:rsidRPr="00FD2DA5" w14:paraId="1E1528D9" w14:textId="77777777">
      <w:pPr>
        <w:rPr>
          <w:rFonts w:ascii="Times New Roman" w:hAnsi="Times New Roman"/>
          <w:sz w:val="24"/>
          <w:szCs w:val="24"/>
        </w:rPr>
      </w:pPr>
    </w:p>
    <w:tbl>
      <w:tblPr>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639"/>
        <w:gridCol w:w="2970"/>
        <w:gridCol w:w="450"/>
        <w:gridCol w:w="2790"/>
      </w:tblGrid>
      <w:tr w14:paraId="45406DDB" w14:textId="77777777" w:rsidTr="00160703">
        <w:tblPrEx>
          <w:tblW w:w="85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5"/>
        </w:trPr>
        <w:tc>
          <w:tcPr>
            <w:tcW w:w="1701" w:type="dxa"/>
            <w:shd w:val="clear" w:color="auto" w:fill="D0CECE" w:themeFill="background2" w:themeFillShade="E6"/>
            <w:vAlign w:val="center"/>
          </w:tcPr>
          <w:p w:rsidR="00E11C50" w:rsidRPr="00160703" w:rsidP="00901B2B" w14:paraId="2CCCBE2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160703">
              <w:rPr>
                <w:rFonts w:ascii="Times New Roman" w:hAnsi="Times New Roman"/>
                <w:b/>
                <w:bCs/>
                <w:color w:val="auto"/>
                <w:sz w:val="22"/>
                <w:szCs w:val="22"/>
              </w:rPr>
              <w:t>Cooperative Agreement Cost</w:t>
            </w:r>
          </w:p>
        </w:tc>
        <w:tc>
          <w:tcPr>
            <w:tcW w:w="639" w:type="dxa"/>
            <w:shd w:val="clear" w:color="auto" w:fill="D0CECE" w:themeFill="background2" w:themeFillShade="E6"/>
            <w:vAlign w:val="center"/>
          </w:tcPr>
          <w:p w:rsidR="00E11C50" w:rsidRPr="00160703" w:rsidP="00901B2B" w14:paraId="45A70C1F"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2970" w:type="dxa"/>
            <w:shd w:val="clear" w:color="auto" w:fill="D0CECE" w:themeFill="background2" w:themeFillShade="E6"/>
            <w:vAlign w:val="center"/>
          </w:tcPr>
          <w:p w:rsidR="00E11C50" w:rsidRPr="00160703" w:rsidP="00901B2B" w14:paraId="3488DF13"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160703">
              <w:rPr>
                <w:rFonts w:ascii="Times New Roman" w:hAnsi="Times New Roman"/>
                <w:b/>
                <w:bCs/>
                <w:color w:val="auto"/>
                <w:sz w:val="22"/>
                <w:szCs w:val="22"/>
              </w:rPr>
              <w:t>Total Federal Staff Cost</w:t>
            </w:r>
          </w:p>
        </w:tc>
        <w:tc>
          <w:tcPr>
            <w:tcW w:w="450" w:type="dxa"/>
            <w:shd w:val="clear" w:color="auto" w:fill="D0CECE" w:themeFill="background2" w:themeFillShade="E6"/>
            <w:vAlign w:val="center"/>
          </w:tcPr>
          <w:p w:rsidR="00E11C50" w:rsidRPr="00160703" w:rsidP="00901B2B" w14:paraId="01E29F4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p>
        </w:tc>
        <w:tc>
          <w:tcPr>
            <w:tcW w:w="2790" w:type="dxa"/>
            <w:shd w:val="clear" w:color="auto" w:fill="D0CECE" w:themeFill="background2" w:themeFillShade="E6"/>
            <w:vAlign w:val="center"/>
          </w:tcPr>
          <w:p w:rsidR="00E11C50" w:rsidRPr="00160703" w:rsidP="00901B2B" w14:paraId="6E04B27E"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b/>
                <w:bCs/>
                <w:color w:val="auto"/>
                <w:sz w:val="22"/>
                <w:szCs w:val="22"/>
              </w:rPr>
            </w:pPr>
            <w:r w:rsidRPr="00160703">
              <w:rPr>
                <w:rFonts w:ascii="Times New Roman" w:hAnsi="Times New Roman"/>
                <w:b/>
                <w:bCs/>
                <w:color w:val="auto"/>
                <w:sz w:val="22"/>
                <w:szCs w:val="22"/>
              </w:rPr>
              <w:t>Total Cost to Federal Government</w:t>
            </w:r>
          </w:p>
        </w:tc>
      </w:tr>
      <w:tr w14:paraId="5DCA51D8" w14:textId="77777777" w:rsidTr="00160703">
        <w:tblPrEx>
          <w:tblW w:w="8550" w:type="dxa"/>
          <w:tblInd w:w="715" w:type="dxa"/>
          <w:tblLook w:val="04A0"/>
        </w:tblPrEx>
        <w:trPr>
          <w:trHeight w:val="177"/>
        </w:trPr>
        <w:tc>
          <w:tcPr>
            <w:tcW w:w="1701" w:type="dxa"/>
            <w:shd w:val="clear" w:color="auto" w:fill="auto"/>
            <w:vAlign w:val="center"/>
          </w:tcPr>
          <w:p w:rsidR="00E11C50" w:rsidRPr="00160703" w:rsidP="00901B2B" w14:paraId="53C3527C"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160703">
              <w:rPr>
                <w:rFonts w:ascii="Times New Roman" w:hAnsi="Times New Roman"/>
                <w:color w:val="auto"/>
                <w:sz w:val="22"/>
                <w:szCs w:val="22"/>
              </w:rPr>
              <w:t>$</w:t>
            </w:r>
            <w:r w:rsidRPr="00160703" w:rsidR="00E65D04">
              <w:rPr>
                <w:rFonts w:ascii="Times New Roman" w:hAnsi="Times New Roman"/>
                <w:color w:val="auto"/>
                <w:sz w:val="22"/>
                <w:szCs w:val="22"/>
              </w:rPr>
              <w:t>79,088</w:t>
            </w:r>
          </w:p>
        </w:tc>
        <w:tc>
          <w:tcPr>
            <w:tcW w:w="639" w:type="dxa"/>
            <w:shd w:val="clear" w:color="auto" w:fill="auto"/>
            <w:vAlign w:val="center"/>
          </w:tcPr>
          <w:p w:rsidR="00E11C50" w:rsidRPr="00160703" w:rsidP="00901B2B" w14:paraId="0740366B"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160703">
              <w:rPr>
                <w:rFonts w:ascii="Times New Roman" w:hAnsi="Times New Roman"/>
                <w:color w:val="auto"/>
                <w:sz w:val="22"/>
                <w:szCs w:val="22"/>
              </w:rPr>
              <w:t>+</w:t>
            </w:r>
          </w:p>
        </w:tc>
        <w:tc>
          <w:tcPr>
            <w:tcW w:w="2970" w:type="dxa"/>
            <w:shd w:val="clear" w:color="auto" w:fill="auto"/>
            <w:vAlign w:val="center"/>
          </w:tcPr>
          <w:p w:rsidR="00E11C50" w:rsidRPr="00160703" w:rsidP="00901B2B" w14:paraId="4574526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160703">
              <w:rPr>
                <w:rFonts w:ascii="Times New Roman" w:hAnsi="Times New Roman"/>
                <w:color w:val="auto"/>
                <w:sz w:val="22"/>
                <w:szCs w:val="22"/>
              </w:rPr>
              <w:t>$6,497.12</w:t>
            </w:r>
          </w:p>
        </w:tc>
        <w:tc>
          <w:tcPr>
            <w:tcW w:w="450" w:type="dxa"/>
            <w:shd w:val="clear" w:color="auto" w:fill="auto"/>
            <w:vAlign w:val="center"/>
          </w:tcPr>
          <w:p w:rsidR="00E11C50" w:rsidRPr="00160703" w:rsidP="00901B2B" w14:paraId="1A8A27B7"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160703">
              <w:rPr>
                <w:rFonts w:ascii="Times New Roman" w:hAnsi="Times New Roman"/>
                <w:color w:val="auto"/>
                <w:sz w:val="22"/>
                <w:szCs w:val="22"/>
              </w:rPr>
              <w:t>=</w:t>
            </w:r>
          </w:p>
        </w:tc>
        <w:tc>
          <w:tcPr>
            <w:tcW w:w="2790" w:type="dxa"/>
            <w:shd w:val="clear" w:color="auto" w:fill="auto"/>
            <w:vAlign w:val="center"/>
          </w:tcPr>
          <w:p w:rsidR="00E11C50" w:rsidRPr="00160703" w:rsidP="00901B2B" w14:paraId="4122595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sz w:val="22"/>
                <w:szCs w:val="22"/>
              </w:rPr>
            </w:pPr>
            <w:r w:rsidRPr="00160703">
              <w:rPr>
                <w:rFonts w:ascii="Times New Roman" w:hAnsi="Times New Roman"/>
                <w:color w:val="auto"/>
                <w:sz w:val="22"/>
                <w:szCs w:val="22"/>
              </w:rPr>
              <w:t>$85,585.12</w:t>
            </w:r>
          </w:p>
        </w:tc>
      </w:tr>
    </w:tbl>
    <w:p w:rsidR="00091301" w:rsidRPr="00EA1BFE" w:rsidP="00EA1BFE" w14:paraId="35B2B33F"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Explanation of Program Changes or Adjustments</w:t>
      </w:r>
    </w:p>
    <w:p w:rsidR="00CB0A47" w:rsidRPr="00B83CF0" w:rsidP="00160703" w14:paraId="23934152" w14:textId="77777777">
      <w:pPr>
        <w:spacing w:before="120"/>
        <w:ind w:left="720"/>
        <w:rPr>
          <w:rFonts w:ascii="Times New Roman" w:hAnsi="Times New Roman"/>
          <w:sz w:val="24"/>
          <w:szCs w:val="24"/>
        </w:rPr>
      </w:pPr>
      <w:r w:rsidRPr="00B83CF0">
        <w:rPr>
          <w:rFonts w:ascii="Times New Roman" w:hAnsi="Times New Roman"/>
          <w:sz w:val="24"/>
          <w:szCs w:val="24"/>
        </w:rPr>
        <w:t>Th</w:t>
      </w:r>
      <w:r w:rsidRPr="00B83CF0" w:rsidR="00533287">
        <w:rPr>
          <w:rFonts w:ascii="Times New Roman" w:hAnsi="Times New Roman"/>
          <w:sz w:val="24"/>
          <w:szCs w:val="24"/>
        </w:rPr>
        <w:t xml:space="preserve">e proposed </w:t>
      </w:r>
      <w:r w:rsidR="00E11C50">
        <w:rPr>
          <w:rFonts w:ascii="Times New Roman" w:hAnsi="Times New Roman"/>
          <w:sz w:val="24"/>
          <w:szCs w:val="24"/>
        </w:rPr>
        <w:t>collection is</w:t>
      </w:r>
      <w:r w:rsidRPr="00B83CF0">
        <w:rPr>
          <w:rFonts w:ascii="Times New Roman" w:hAnsi="Times New Roman"/>
          <w:sz w:val="24"/>
          <w:szCs w:val="24"/>
        </w:rPr>
        <w:t xml:space="preserve"> </w:t>
      </w:r>
      <w:r w:rsidR="00AD5990">
        <w:rPr>
          <w:rFonts w:ascii="Times New Roman" w:hAnsi="Times New Roman"/>
          <w:sz w:val="24"/>
          <w:szCs w:val="24"/>
        </w:rPr>
        <w:t xml:space="preserve">a </w:t>
      </w:r>
      <w:r w:rsidRPr="00B83CF0">
        <w:rPr>
          <w:rFonts w:ascii="Times New Roman" w:hAnsi="Times New Roman"/>
          <w:sz w:val="24"/>
          <w:szCs w:val="24"/>
        </w:rPr>
        <w:t>new information collectio</w:t>
      </w:r>
      <w:r w:rsidR="00E04839">
        <w:rPr>
          <w:rFonts w:ascii="Times New Roman" w:hAnsi="Times New Roman"/>
          <w:sz w:val="24"/>
          <w:szCs w:val="24"/>
        </w:rPr>
        <w:t xml:space="preserve">n </w:t>
      </w:r>
      <w:r w:rsidR="003B504B">
        <w:rPr>
          <w:rFonts w:ascii="Times New Roman" w:hAnsi="Times New Roman"/>
          <w:sz w:val="24"/>
          <w:szCs w:val="24"/>
        </w:rPr>
        <w:t xml:space="preserve">that </w:t>
      </w:r>
      <w:r w:rsidR="00E04839">
        <w:rPr>
          <w:rFonts w:ascii="Times New Roman" w:hAnsi="Times New Roman"/>
          <w:sz w:val="24"/>
          <w:szCs w:val="24"/>
        </w:rPr>
        <w:t xml:space="preserve">has </w:t>
      </w:r>
      <w:r w:rsidR="00AD5990">
        <w:rPr>
          <w:rFonts w:ascii="Times New Roman" w:hAnsi="Times New Roman"/>
          <w:sz w:val="24"/>
          <w:szCs w:val="24"/>
        </w:rPr>
        <w:t xml:space="preserve">a </w:t>
      </w:r>
      <w:r w:rsidR="00E04839">
        <w:rPr>
          <w:rFonts w:ascii="Times New Roman" w:hAnsi="Times New Roman"/>
          <w:sz w:val="24"/>
          <w:szCs w:val="24"/>
        </w:rPr>
        <w:t>public burden</w:t>
      </w:r>
      <w:r w:rsidR="00116B68">
        <w:rPr>
          <w:rFonts w:ascii="Times New Roman" w:hAnsi="Times New Roman"/>
          <w:sz w:val="24"/>
          <w:szCs w:val="24"/>
        </w:rPr>
        <w:t xml:space="preserve"> impact</w:t>
      </w:r>
      <w:r w:rsidRPr="00B83CF0">
        <w:rPr>
          <w:rFonts w:ascii="Times New Roman" w:hAnsi="Times New Roman"/>
          <w:sz w:val="24"/>
          <w:szCs w:val="24"/>
        </w:rPr>
        <w:t>.</w:t>
      </w:r>
      <w:r w:rsidR="00116B68">
        <w:rPr>
          <w:rFonts w:ascii="Times New Roman" w:hAnsi="Times New Roman"/>
          <w:sz w:val="24"/>
          <w:szCs w:val="24"/>
        </w:rPr>
        <w:t xml:space="preserve"> </w:t>
      </w:r>
      <w:r w:rsidRPr="00E36D1D" w:rsidR="00A85F3F">
        <w:rPr>
          <w:rFonts w:ascii="Times New Roman" w:hAnsi="Times New Roman"/>
          <w:sz w:val="24"/>
          <w:szCs w:val="24"/>
        </w:rPr>
        <w:t xml:space="preserve">An estimated </w:t>
      </w:r>
      <w:r w:rsidR="00A85F3F">
        <w:rPr>
          <w:rFonts w:ascii="Times New Roman" w:hAnsi="Times New Roman"/>
          <w:sz w:val="24"/>
          <w:szCs w:val="24"/>
        </w:rPr>
        <w:t>150</w:t>
      </w:r>
      <w:r w:rsidRPr="00E36D1D" w:rsidR="00A85F3F">
        <w:rPr>
          <w:rFonts w:ascii="Times New Roman" w:hAnsi="Times New Roman"/>
          <w:sz w:val="24"/>
          <w:szCs w:val="24"/>
        </w:rPr>
        <w:t xml:space="preserve"> potential respondents will take </w:t>
      </w:r>
      <w:r w:rsidR="00A85F3F">
        <w:rPr>
          <w:rFonts w:ascii="Times New Roman" w:hAnsi="Times New Roman"/>
          <w:sz w:val="24"/>
          <w:szCs w:val="24"/>
        </w:rPr>
        <w:t xml:space="preserve">an average of </w:t>
      </w:r>
      <w:r w:rsidRPr="00E36D1D" w:rsidR="00A85F3F">
        <w:rPr>
          <w:rFonts w:ascii="Times New Roman" w:hAnsi="Times New Roman"/>
          <w:sz w:val="24"/>
          <w:szCs w:val="24"/>
        </w:rPr>
        <w:t>15 minutes to review the survey and interview requests and choose whether or not to participate</w:t>
      </w:r>
      <w:r w:rsidR="00A85F3F">
        <w:rPr>
          <w:rFonts w:ascii="Times New Roman" w:hAnsi="Times New Roman"/>
          <w:sz w:val="24"/>
          <w:szCs w:val="24"/>
        </w:rPr>
        <w:t xml:space="preserve"> or to begin the survey and exit based on qualification questions. </w:t>
      </w:r>
      <w:r w:rsidR="009821AA">
        <w:rPr>
          <w:rFonts w:ascii="Times New Roman" w:hAnsi="Times New Roman"/>
          <w:sz w:val="24"/>
          <w:szCs w:val="24"/>
        </w:rPr>
        <w:t>Of these, only</w:t>
      </w:r>
      <w:r w:rsidR="00116B68">
        <w:rPr>
          <w:rFonts w:ascii="Times New Roman" w:hAnsi="Times New Roman"/>
          <w:sz w:val="24"/>
          <w:szCs w:val="24"/>
        </w:rPr>
        <w:t xml:space="preserve"> 50 respondents will take two (2) hours </w:t>
      </w:r>
      <w:r w:rsidR="00A7650A">
        <w:rPr>
          <w:rFonts w:ascii="Times New Roman" w:hAnsi="Times New Roman"/>
          <w:sz w:val="24"/>
          <w:szCs w:val="24"/>
        </w:rPr>
        <w:t xml:space="preserve">to </w:t>
      </w:r>
      <w:r w:rsidR="00116B68">
        <w:rPr>
          <w:rFonts w:ascii="Times New Roman" w:hAnsi="Times New Roman"/>
          <w:sz w:val="24"/>
          <w:szCs w:val="24"/>
        </w:rPr>
        <w:t xml:space="preserve">respond once to this collection. </w:t>
      </w:r>
      <w:r w:rsidRPr="00A43DC1" w:rsidR="00A43DC1">
        <w:rPr>
          <w:rFonts w:ascii="Times New Roman" w:hAnsi="Times New Roman"/>
          <w:sz w:val="24"/>
          <w:szCs w:val="24"/>
        </w:rPr>
        <w:t>Therefore, the total combined respondents and responses for this collection are 200, while the total combined burden hours associated with this collection is 137.5</w:t>
      </w:r>
      <w:r w:rsidR="00A85F3F">
        <w:rPr>
          <w:rFonts w:ascii="Times New Roman" w:hAnsi="Times New Roman"/>
          <w:sz w:val="24"/>
          <w:szCs w:val="24"/>
        </w:rPr>
        <w:t xml:space="preserve">. </w:t>
      </w:r>
      <w:r w:rsidR="00116B68">
        <w:rPr>
          <w:rFonts w:ascii="Times New Roman" w:hAnsi="Times New Roman"/>
          <w:sz w:val="24"/>
          <w:szCs w:val="24"/>
        </w:rPr>
        <w:t>Approximately 90% of this collection is full</w:t>
      </w:r>
      <w:r w:rsidR="00A06B94">
        <w:rPr>
          <w:rFonts w:ascii="Times New Roman" w:hAnsi="Times New Roman"/>
          <w:sz w:val="24"/>
          <w:szCs w:val="24"/>
        </w:rPr>
        <w:t>y</w:t>
      </w:r>
      <w:r w:rsidR="00116B68">
        <w:rPr>
          <w:rFonts w:ascii="Times New Roman" w:hAnsi="Times New Roman"/>
          <w:sz w:val="24"/>
          <w:szCs w:val="24"/>
        </w:rPr>
        <w:t xml:space="preserve"> electronic.</w:t>
      </w:r>
      <w:r w:rsidR="00E65D04">
        <w:rPr>
          <w:rFonts w:ascii="Times New Roman" w:hAnsi="Times New Roman"/>
          <w:sz w:val="24"/>
          <w:szCs w:val="24"/>
        </w:rPr>
        <w:t xml:space="preserve"> The remaining 10% </w:t>
      </w:r>
      <w:r w:rsidR="00A85F3F">
        <w:rPr>
          <w:rFonts w:ascii="Times New Roman" w:hAnsi="Times New Roman"/>
          <w:sz w:val="24"/>
          <w:szCs w:val="24"/>
        </w:rPr>
        <w:t>is</w:t>
      </w:r>
      <w:r w:rsidR="00E65D04">
        <w:rPr>
          <w:rFonts w:ascii="Times New Roman" w:hAnsi="Times New Roman"/>
          <w:sz w:val="24"/>
          <w:szCs w:val="24"/>
        </w:rPr>
        <w:t xml:space="preserve"> expected to include phone calls and </w:t>
      </w:r>
      <w:r w:rsidR="00044AA0">
        <w:rPr>
          <w:rFonts w:ascii="Times New Roman" w:hAnsi="Times New Roman"/>
          <w:sz w:val="24"/>
          <w:szCs w:val="24"/>
        </w:rPr>
        <w:t>online</w:t>
      </w:r>
      <w:r w:rsidR="00E65D04">
        <w:rPr>
          <w:rFonts w:ascii="Times New Roman" w:hAnsi="Times New Roman"/>
          <w:sz w:val="24"/>
          <w:szCs w:val="24"/>
        </w:rPr>
        <w:t xml:space="preserve"> </w:t>
      </w:r>
      <w:r w:rsidR="00E82582">
        <w:rPr>
          <w:rFonts w:ascii="Times New Roman" w:hAnsi="Times New Roman"/>
          <w:sz w:val="24"/>
          <w:szCs w:val="24"/>
        </w:rPr>
        <w:t xml:space="preserve">meetings </w:t>
      </w:r>
      <w:r w:rsidR="00E65D04">
        <w:rPr>
          <w:rFonts w:ascii="Times New Roman" w:hAnsi="Times New Roman"/>
          <w:sz w:val="24"/>
          <w:szCs w:val="24"/>
        </w:rPr>
        <w:t>expected to use the same time.</w:t>
      </w:r>
    </w:p>
    <w:p w:rsidR="00105F8E" w:rsidRPr="00B07D56" w:rsidP="00EA1BFE" w14:paraId="633D9A90" w14:textId="77777777">
      <w:pPr>
        <w:numPr>
          <w:ilvl w:val="0"/>
          <w:numId w:val="13"/>
        </w:numPr>
        <w:tabs>
          <w:tab w:val="left" w:pos="-1440"/>
          <w:tab w:val="left" w:pos="-720"/>
        </w:tabs>
        <w:spacing w:before="240"/>
        <w:rPr>
          <w:rFonts w:ascii="Times New Roman" w:hAnsi="Times New Roman"/>
          <w:b/>
          <w:sz w:val="24"/>
          <w:szCs w:val="24"/>
        </w:rPr>
      </w:pPr>
      <w:r w:rsidRPr="00D402EB">
        <w:rPr>
          <w:rFonts w:ascii="Times New Roman" w:hAnsi="Times New Roman"/>
          <w:b/>
          <w:sz w:val="24"/>
          <w:szCs w:val="24"/>
        </w:rPr>
        <w:t xml:space="preserve">Publication of </w:t>
      </w:r>
      <w:r w:rsidRPr="00D402EB" w:rsidR="00091301">
        <w:rPr>
          <w:rFonts w:ascii="Times New Roman" w:hAnsi="Times New Roman"/>
          <w:b/>
          <w:sz w:val="24"/>
          <w:szCs w:val="24"/>
        </w:rPr>
        <w:t>D</w:t>
      </w:r>
      <w:r w:rsidRPr="00D402EB">
        <w:rPr>
          <w:rFonts w:ascii="Times New Roman" w:hAnsi="Times New Roman"/>
          <w:b/>
          <w:sz w:val="24"/>
          <w:szCs w:val="24"/>
        </w:rPr>
        <w:t xml:space="preserve">ata </w:t>
      </w:r>
      <w:r w:rsidRPr="00D402EB" w:rsidR="00091301">
        <w:rPr>
          <w:rFonts w:ascii="Times New Roman" w:hAnsi="Times New Roman"/>
          <w:b/>
          <w:sz w:val="24"/>
          <w:szCs w:val="24"/>
        </w:rPr>
        <w:t>Collection Results</w:t>
      </w:r>
      <w:r w:rsidRPr="00B07D56" w:rsidR="008D34A3">
        <w:rPr>
          <w:rFonts w:ascii="Times New Roman" w:hAnsi="Times New Roman"/>
          <w:b/>
          <w:sz w:val="24"/>
          <w:szCs w:val="24"/>
        </w:rPr>
        <w:t xml:space="preserve"> </w:t>
      </w:r>
    </w:p>
    <w:p w:rsidR="00566043" w:rsidRPr="00FD2DA5" w:rsidP="00FD2DA5" w14:paraId="4D5F73DB" w14:textId="3B49A676">
      <w:pPr>
        <w:spacing w:before="120"/>
        <w:ind w:left="720"/>
        <w:rPr>
          <w:rFonts w:ascii="Times New Roman" w:hAnsi="Times New Roman"/>
          <w:sz w:val="24"/>
          <w:szCs w:val="24"/>
        </w:rPr>
      </w:pPr>
      <w:r w:rsidRPr="00FD2DA5">
        <w:rPr>
          <w:rFonts w:ascii="Times New Roman" w:hAnsi="Times New Roman"/>
          <w:sz w:val="24"/>
          <w:szCs w:val="24"/>
        </w:rPr>
        <w:t>The results of this survey will not be public.</w:t>
      </w:r>
      <w:r w:rsidRPr="00FD2DA5" w:rsidR="00E04839">
        <w:rPr>
          <w:rFonts w:ascii="Times New Roman" w:hAnsi="Times New Roman"/>
          <w:sz w:val="24"/>
          <w:szCs w:val="24"/>
        </w:rPr>
        <w:t xml:space="preserve"> </w:t>
      </w:r>
      <w:r w:rsidRPr="00FD2DA5">
        <w:rPr>
          <w:rFonts w:ascii="Times New Roman" w:hAnsi="Times New Roman"/>
          <w:sz w:val="24"/>
          <w:szCs w:val="24"/>
        </w:rPr>
        <w:t xml:space="preserve">The Building American Production Capacity for Electric Port Equipment and </w:t>
      </w:r>
      <w:r w:rsidR="005A0A6B">
        <w:rPr>
          <w:rFonts w:ascii="Times New Roman" w:hAnsi="Times New Roman"/>
          <w:sz w:val="24"/>
          <w:szCs w:val="24"/>
        </w:rPr>
        <w:t>O</w:t>
      </w:r>
      <w:r w:rsidRPr="00FD2DA5">
        <w:rPr>
          <w:rFonts w:ascii="Times New Roman" w:hAnsi="Times New Roman"/>
          <w:sz w:val="24"/>
          <w:szCs w:val="24"/>
        </w:rPr>
        <w:t xml:space="preserve">ther Port Infrastructure Items Final Report(s) will be issued to government agencies, business partners, and within MARAD.  The exercise </w:t>
      </w:r>
      <w:r w:rsidR="00E67E44">
        <w:rPr>
          <w:rFonts w:ascii="Times New Roman" w:hAnsi="Times New Roman"/>
          <w:sz w:val="24"/>
          <w:szCs w:val="24"/>
        </w:rPr>
        <w:t>is expected to begin in January</w:t>
      </w:r>
      <w:r w:rsidRPr="00FD2DA5" w:rsidR="00E67E44">
        <w:rPr>
          <w:rFonts w:ascii="Times New Roman" w:hAnsi="Times New Roman"/>
          <w:sz w:val="24"/>
          <w:szCs w:val="24"/>
        </w:rPr>
        <w:t xml:space="preserve"> </w:t>
      </w:r>
      <w:r w:rsidR="00E67E44">
        <w:rPr>
          <w:rFonts w:ascii="Times New Roman" w:hAnsi="Times New Roman"/>
          <w:sz w:val="24"/>
          <w:szCs w:val="24"/>
        </w:rPr>
        <w:t>2024</w:t>
      </w:r>
      <w:r w:rsidR="00E01FF7">
        <w:rPr>
          <w:rFonts w:ascii="Times New Roman" w:hAnsi="Times New Roman"/>
          <w:sz w:val="24"/>
          <w:szCs w:val="24"/>
        </w:rPr>
        <w:t>,</w:t>
      </w:r>
      <w:r w:rsidRPr="00FD2DA5">
        <w:rPr>
          <w:rFonts w:ascii="Times New Roman" w:hAnsi="Times New Roman"/>
          <w:sz w:val="24"/>
          <w:szCs w:val="24"/>
        </w:rPr>
        <w:t xml:space="preserve"> with the final report(s) estimated to be published by </w:t>
      </w:r>
      <w:r w:rsidR="00E67E44">
        <w:rPr>
          <w:rFonts w:ascii="Times New Roman" w:hAnsi="Times New Roman"/>
          <w:sz w:val="24"/>
          <w:szCs w:val="24"/>
        </w:rPr>
        <w:t>January 2025</w:t>
      </w:r>
      <w:r w:rsidRPr="00FD2DA5" w:rsidR="00E67E44">
        <w:rPr>
          <w:rFonts w:ascii="Times New Roman" w:hAnsi="Times New Roman"/>
          <w:sz w:val="24"/>
          <w:szCs w:val="24"/>
        </w:rPr>
        <w:t xml:space="preserve"> </w:t>
      </w:r>
      <w:r w:rsidRPr="00FD2DA5">
        <w:rPr>
          <w:rFonts w:ascii="Times New Roman" w:hAnsi="Times New Roman"/>
          <w:sz w:val="24"/>
          <w:szCs w:val="24"/>
        </w:rPr>
        <w:t>.</w:t>
      </w:r>
    </w:p>
    <w:p w:rsidR="008D27AB" w:rsidRPr="00EA1BFE" w:rsidP="00EA1BFE" w14:paraId="61EC87D3" w14:textId="77777777">
      <w:pPr>
        <w:numPr>
          <w:ilvl w:val="0"/>
          <w:numId w:val="13"/>
        </w:numPr>
        <w:tabs>
          <w:tab w:val="left" w:pos="-1440"/>
          <w:tab w:val="left" w:pos="-720"/>
        </w:tabs>
        <w:spacing w:before="240"/>
        <w:rPr>
          <w:rFonts w:ascii="Times New Roman" w:hAnsi="Times New Roman"/>
          <w:b/>
          <w:sz w:val="24"/>
          <w:szCs w:val="24"/>
        </w:rPr>
      </w:pPr>
      <w:r w:rsidRPr="00EA1BFE">
        <w:rPr>
          <w:rFonts w:ascii="Times New Roman" w:hAnsi="Times New Roman"/>
          <w:b/>
          <w:sz w:val="24"/>
          <w:szCs w:val="24"/>
        </w:rPr>
        <w:t>D</w:t>
      </w:r>
      <w:r w:rsidRPr="00EA1BFE" w:rsidR="0004749E">
        <w:rPr>
          <w:rFonts w:ascii="Times New Roman" w:hAnsi="Times New Roman"/>
          <w:b/>
          <w:sz w:val="24"/>
          <w:szCs w:val="24"/>
        </w:rPr>
        <w:t xml:space="preserve">isplaying </w:t>
      </w:r>
      <w:r w:rsidRPr="00EA1BFE">
        <w:rPr>
          <w:rFonts w:ascii="Times New Roman" w:hAnsi="Times New Roman"/>
          <w:b/>
          <w:sz w:val="24"/>
          <w:szCs w:val="24"/>
        </w:rPr>
        <w:t xml:space="preserve">of </w:t>
      </w:r>
      <w:r w:rsidRPr="00EA1BFE" w:rsidR="0004749E">
        <w:rPr>
          <w:rFonts w:ascii="Times New Roman" w:hAnsi="Times New Roman"/>
          <w:b/>
          <w:sz w:val="24"/>
          <w:szCs w:val="24"/>
        </w:rPr>
        <w:t xml:space="preserve">the </w:t>
      </w:r>
      <w:r w:rsidRPr="00EA1BFE">
        <w:rPr>
          <w:rFonts w:ascii="Times New Roman" w:hAnsi="Times New Roman"/>
          <w:b/>
          <w:sz w:val="24"/>
          <w:szCs w:val="24"/>
        </w:rPr>
        <w:t>OMB Expiration Date</w:t>
      </w:r>
    </w:p>
    <w:p w:rsidR="00F45438" w:rsidRPr="00FD2DA5" w:rsidP="00FD2DA5" w14:paraId="4A239FBD" w14:textId="77777777">
      <w:pPr>
        <w:spacing w:before="120"/>
        <w:ind w:left="720"/>
        <w:rPr>
          <w:rFonts w:ascii="Times New Roman" w:hAnsi="Times New Roman"/>
          <w:sz w:val="24"/>
          <w:szCs w:val="24"/>
        </w:rPr>
      </w:pPr>
      <w:r w:rsidRPr="00FD2DA5">
        <w:rPr>
          <w:rFonts w:ascii="Times New Roman" w:hAnsi="Times New Roman"/>
          <w:sz w:val="24"/>
          <w:szCs w:val="24"/>
        </w:rPr>
        <w:t>MARAD is not seeking</w:t>
      </w:r>
      <w:r w:rsidRPr="00FD2DA5" w:rsidR="008D27AB">
        <w:rPr>
          <w:rFonts w:ascii="Times New Roman" w:hAnsi="Times New Roman"/>
          <w:sz w:val="24"/>
          <w:szCs w:val="24"/>
        </w:rPr>
        <w:t xml:space="preserve"> approval to omit the OMB expiration date for this collection. </w:t>
      </w:r>
      <w:r w:rsidRPr="00FD2DA5">
        <w:rPr>
          <w:rFonts w:ascii="Times New Roman" w:hAnsi="Times New Roman"/>
          <w:sz w:val="24"/>
          <w:szCs w:val="24"/>
        </w:rPr>
        <w:t xml:space="preserve"> </w:t>
      </w:r>
    </w:p>
    <w:p w:rsidR="008D27AB" w:rsidRPr="00EA1BFE" w:rsidP="00EA1BFE" w14:paraId="53B3F9B0" w14:textId="77777777">
      <w:pPr>
        <w:numPr>
          <w:ilvl w:val="0"/>
          <w:numId w:val="13"/>
        </w:numPr>
        <w:tabs>
          <w:tab w:val="left" w:pos="-1440"/>
          <w:tab w:val="left" w:pos="-720"/>
        </w:tabs>
        <w:spacing w:before="240"/>
        <w:rPr>
          <w:rFonts w:ascii="Times New Roman" w:hAnsi="Times New Roman"/>
          <w:b/>
          <w:sz w:val="24"/>
          <w:szCs w:val="24"/>
        </w:rPr>
      </w:pPr>
      <w:r w:rsidRPr="00EA1BFE">
        <w:rPr>
          <w:rFonts w:ascii="Times New Roman" w:hAnsi="Times New Roman"/>
          <w:b/>
          <w:sz w:val="24"/>
          <w:szCs w:val="24"/>
        </w:rPr>
        <w:t xml:space="preserve">Exceptions to </w:t>
      </w:r>
      <w:r w:rsidRPr="00EA1BFE" w:rsidR="00E01FF7">
        <w:rPr>
          <w:rFonts w:ascii="Times New Roman" w:hAnsi="Times New Roman"/>
          <w:b/>
          <w:sz w:val="24"/>
          <w:szCs w:val="24"/>
        </w:rPr>
        <w:t>Certification Statement</w:t>
      </w:r>
    </w:p>
    <w:p w:rsidR="0040626B" w:rsidRPr="00FD2DA5" w:rsidP="00FD2DA5" w14:paraId="3A7EC196" w14:textId="77777777">
      <w:pPr>
        <w:spacing w:before="120"/>
        <w:ind w:left="720"/>
        <w:rPr>
          <w:rFonts w:ascii="Times New Roman" w:hAnsi="Times New Roman"/>
          <w:sz w:val="24"/>
          <w:szCs w:val="24"/>
        </w:rPr>
      </w:pPr>
      <w:r w:rsidRPr="00FD2DA5">
        <w:rPr>
          <w:rFonts w:ascii="Times New Roman" w:hAnsi="Times New Roman"/>
          <w:sz w:val="24"/>
          <w:szCs w:val="24"/>
        </w:rPr>
        <w:t xml:space="preserve">There are no exceptions to the </w:t>
      </w:r>
      <w:r w:rsidRPr="00FD2DA5" w:rsidR="00E04839">
        <w:rPr>
          <w:rFonts w:ascii="Times New Roman" w:hAnsi="Times New Roman"/>
          <w:sz w:val="24"/>
          <w:szCs w:val="24"/>
        </w:rPr>
        <w:t>c</w:t>
      </w:r>
      <w:r w:rsidRPr="00FD2DA5">
        <w:rPr>
          <w:rFonts w:ascii="Times New Roman" w:hAnsi="Times New Roman"/>
          <w:sz w:val="24"/>
          <w:szCs w:val="24"/>
        </w:rPr>
        <w:t xml:space="preserve">ertification </w:t>
      </w:r>
      <w:r w:rsidRPr="00FD2DA5" w:rsidR="008D27AB">
        <w:rPr>
          <w:rFonts w:ascii="Times New Roman" w:hAnsi="Times New Roman"/>
          <w:sz w:val="24"/>
          <w:szCs w:val="24"/>
        </w:rPr>
        <w:t>statement.</w:t>
      </w:r>
    </w:p>
    <w:sectPr w:rsidSect="00E852FE">
      <w:footerReference w:type="default" r:id="rId9"/>
      <w:footnotePr>
        <w:numRestart w:val="eachSect"/>
      </w:footnotePr>
      <w:endnotePr>
        <w:numFmt w:val="decimal"/>
      </w:endnotePr>
      <w:pgSz w:w="12240" w:h="15840" w:code="1"/>
      <w:pgMar w:top="1296" w:right="1440" w:bottom="1296" w:left="1440" w:header="720" w:footer="720" w:gutter="0"/>
      <w:pgNumType w:start="1"/>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665597296"/>
      <w:docPartObj>
        <w:docPartGallery w:val="Page Numbers (Bottom of Page)"/>
        <w:docPartUnique/>
      </w:docPartObj>
    </w:sdtPr>
    <w:sdtContent>
      <w:sdt>
        <w:sdtPr>
          <w:rPr>
            <w:rFonts w:ascii="Times New Roman" w:hAnsi="Times New Roman"/>
          </w:rPr>
          <w:id w:val="1728636285"/>
          <w:docPartObj>
            <w:docPartGallery w:val="Page Numbers (Top of Page)"/>
            <w:docPartUnique/>
          </w:docPartObj>
        </w:sdtPr>
        <w:sdtContent>
          <w:p w:rsidR="006C714E" w:rsidRPr="00E852FE" w:rsidP="00E852FE" w14:paraId="4D71E5BF" w14:textId="77777777">
            <w:pPr>
              <w:pStyle w:val="Footer"/>
              <w:pBdr>
                <w:top w:val="single" w:sz="4" w:space="1" w:color="auto"/>
              </w:pBdr>
              <w:jc w:val="center"/>
              <w:rPr>
                <w:rFonts w:ascii="Times New Roman" w:hAnsi="Times New Roman"/>
              </w:rPr>
            </w:pPr>
            <w:r w:rsidRPr="00E852FE">
              <w:rPr>
                <w:rFonts w:ascii="Times New Roman" w:hAnsi="Times New Roman"/>
              </w:rPr>
              <w:t xml:space="preserve">Page </w:t>
            </w:r>
            <w:r w:rsidRPr="00E852FE">
              <w:rPr>
                <w:rFonts w:ascii="Times New Roman" w:hAnsi="Times New Roman"/>
                <w:b/>
                <w:bCs/>
                <w:sz w:val="24"/>
                <w:szCs w:val="24"/>
              </w:rPr>
              <w:fldChar w:fldCharType="begin"/>
            </w:r>
            <w:r w:rsidRPr="00E852FE">
              <w:rPr>
                <w:rFonts w:ascii="Times New Roman" w:hAnsi="Times New Roman"/>
                <w:b/>
                <w:bCs/>
              </w:rPr>
              <w:instrText xml:space="preserve"> PAGE </w:instrText>
            </w:r>
            <w:r w:rsidRPr="00E852FE">
              <w:rPr>
                <w:rFonts w:ascii="Times New Roman" w:hAnsi="Times New Roman"/>
                <w:b/>
                <w:bCs/>
                <w:sz w:val="24"/>
                <w:szCs w:val="24"/>
              </w:rPr>
              <w:fldChar w:fldCharType="separate"/>
            </w:r>
            <w:r w:rsidRPr="00E852FE">
              <w:rPr>
                <w:rFonts w:ascii="Times New Roman" w:hAnsi="Times New Roman"/>
                <w:b/>
                <w:bCs/>
                <w:noProof/>
              </w:rPr>
              <w:t>2</w:t>
            </w:r>
            <w:r w:rsidRPr="00E852FE">
              <w:rPr>
                <w:rFonts w:ascii="Times New Roman" w:hAnsi="Times New Roman"/>
                <w:b/>
                <w:bCs/>
                <w:sz w:val="24"/>
                <w:szCs w:val="24"/>
              </w:rPr>
              <w:fldChar w:fldCharType="end"/>
            </w:r>
            <w:r w:rsidRPr="00E852FE">
              <w:rPr>
                <w:rFonts w:ascii="Times New Roman" w:hAnsi="Times New Roman"/>
              </w:rPr>
              <w:t xml:space="preserve"> of </w:t>
            </w:r>
            <w:r w:rsidRPr="00E852FE">
              <w:rPr>
                <w:rFonts w:ascii="Times New Roman" w:hAnsi="Times New Roman"/>
                <w:b/>
                <w:bCs/>
                <w:sz w:val="24"/>
                <w:szCs w:val="24"/>
              </w:rPr>
              <w:fldChar w:fldCharType="begin"/>
            </w:r>
            <w:r w:rsidRPr="00E852FE">
              <w:rPr>
                <w:rFonts w:ascii="Times New Roman" w:hAnsi="Times New Roman"/>
                <w:b/>
                <w:bCs/>
              </w:rPr>
              <w:instrText xml:space="preserve"> NUMPAGES  </w:instrText>
            </w:r>
            <w:r w:rsidRPr="00E852FE">
              <w:rPr>
                <w:rFonts w:ascii="Times New Roman" w:hAnsi="Times New Roman"/>
                <w:b/>
                <w:bCs/>
                <w:sz w:val="24"/>
                <w:szCs w:val="24"/>
              </w:rPr>
              <w:fldChar w:fldCharType="separate"/>
            </w:r>
            <w:r w:rsidRPr="00E852FE">
              <w:rPr>
                <w:rFonts w:ascii="Times New Roman" w:hAnsi="Times New Roman"/>
                <w:b/>
                <w:bCs/>
                <w:noProof/>
              </w:rPr>
              <w:t>2</w:t>
            </w:r>
            <w:r w:rsidRPr="00E852FE">
              <w:rPr>
                <w:rFonts w:ascii="Times New Roman" w:hAnsi="Times New Roman"/>
                <w:b/>
                <w:bCs/>
                <w:sz w:val="24"/>
                <w:szCs w:val="24"/>
              </w:rPr>
              <w:fldChar w:fldCharType="end"/>
            </w:r>
          </w:p>
        </w:sdtContent>
      </w:sdt>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9640D6"/>
    <w:multiLevelType w:val="hybridMultilevel"/>
    <w:tmpl w:val="82B6F98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701917"/>
    <w:multiLevelType w:val="hybridMultilevel"/>
    <w:tmpl w:val="8E12D5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1C623D"/>
    <w:multiLevelType w:val="hybridMultilevel"/>
    <w:tmpl w:val="11D6C21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E6974D1"/>
    <w:multiLevelType w:val="hybridMultilevel"/>
    <w:tmpl w:val="9670C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9641C9"/>
    <w:multiLevelType w:val="hybridMultilevel"/>
    <w:tmpl w:val="D638A60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30805249"/>
    <w:multiLevelType w:val="hybridMultilevel"/>
    <w:tmpl w:val="13980C08"/>
    <w:lvl w:ilvl="0">
      <w:start w:val="1"/>
      <w:numFmt w:val="decimal"/>
      <w:lvlText w:val="%1."/>
      <w:lvlJc w:val="left"/>
      <w:pPr>
        <w:ind w:left="720" w:hanging="360"/>
      </w:pPr>
      <w:rPr>
        <w:b/>
        <w:bCs/>
        <w:i w:val="0"/>
        <w:iCs w:val="0"/>
        <w:color w:val="000000"/>
        <w:sz w:val="24"/>
        <w:szCs w:val="24"/>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AF54D6"/>
    <w:multiLevelType w:val="hybridMultilevel"/>
    <w:tmpl w:val="CF7451B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91C1D3F"/>
    <w:multiLevelType w:val="hybridMultilevel"/>
    <w:tmpl w:val="10C0F5EE"/>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49E47D03"/>
    <w:multiLevelType w:val="hybridMultilevel"/>
    <w:tmpl w:val="32DEC9D0"/>
    <w:lvl w:ilvl="0">
      <w:start w:val="1"/>
      <w:numFmt w:val="upperLetter"/>
      <w:lvlText w:val="%1."/>
      <w:lvlJc w:val="left"/>
      <w:pPr>
        <w:ind w:left="360" w:hanging="360"/>
      </w:p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A777D25"/>
    <w:multiLevelType w:val="hybridMultilevel"/>
    <w:tmpl w:val="071AC10E"/>
    <w:lvl w:ilvl="0">
      <w:start w:val="1"/>
      <w:numFmt w:val="upperLetter"/>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7">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670D2337"/>
    <w:multiLevelType w:val="hybridMultilevel"/>
    <w:tmpl w:val="AD8438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16cid:durableId="351495990">
    <w:abstractNumId w:val="3"/>
  </w:num>
  <w:num w:numId="2" w16cid:durableId="1807746378">
    <w:abstractNumId w:val="7"/>
  </w:num>
  <w:num w:numId="3" w16cid:durableId="366831379">
    <w:abstractNumId w:val="8"/>
  </w:num>
  <w:num w:numId="4" w16cid:durableId="92407194">
    <w:abstractNumId w:val="19"/>
  </w:num>
  <w:num w:numId="5" w16cid:durableId="123085776">
    <w:abstractNumId w:val="17"/>
  </w:num>
  <w:num w:numId="6" w16cid:durableId="1891377500">
    <w:abstractNumId w:val="9"/>
  </w:num>
  <w:num w:numId="7" w16cid:durableId="1457522223">
    <w:abstractNumId w:val="16"/>
  </w:num>
  <w:num w:numId="8" w16cid:durableId="258567629">
    <w:abstractNumId w:val="12"/>
  </w:num>
  <w:num w:numId="9" w16cid:durableId="1383676793">
    <w:abstractNumId w:val="6"/>
  </w:num>
  <w:num w:numId="10" w16cid:durableId="558326056">
    <w:abstractNumId w:val="14"/>
  </w:num>
  <w:num w:numId="11" w16cid:durableId="193618379">
    <w:abstractNumId w:val="0"/>
  </w:num>
  <w:num w:numId="12" w16cid:durableId="289744111">
    <w:abstractNumId w:val="2"/>
  </w:num>
  <w:num w:numId="13" w16cid:durableId="1002129388">
    <w:abstractNumId w:val="10"/>
  </w:num>
  <w:num w:numId="14" w16cid:durableId="1435174165">
    <w:abstractNumId w:val="15"/>
  </w:num>
  <w:num w:numId="15" w16cid:durableId="1047684690">
    <w:abstractNumId w:val="5"/>
  </w:num>
  <w:num w:numId="16" w16cid:durableId="308412539">
    <w:abstractNumId w:val="13"/>
  </w:num>
  <w:num w:numId="17" w16cid:durableId="1990817708">
    <w:abstractNumId w:val="11"/>
  </w:num>
  <w:num w:numId="18" w16cid:durableId="1997218060">
    <w:abstractNumId w:val="18"/>
  </w:num>
  <w:num w:numId="19" w16cid:durableId="30501279">
    <w:abstractNumId w:val="1"/>
  </w:num>
  <w:num w:numId="20" w16cid:durableId="14330140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3188C"/>
    <w:rsid w:val="00044AA0"/>
    <w:rsid w:val="00044CA2"/>
    <w:rsid w:val="00046AA1"/>
    <w:rsid w:val="0004749E"/>
    <w:rsid w:val="00050C0E"/>
    <w:rsid w:val="00051C81"/>
    <w:rsid w:val="0005429E"/>
    <w:rsid w:val="000550E1"/>
    <w:rsid w:val="0008270D"/>
    <w:rsid w:val="000856E0"/>
    <w:rsid w:val="00085BB9"/>
    <w:rsid w:val="00086000"/>
    <w:rsid w:val="00091301"/>
    <w:rsid w:val="00091BEF"/>
    <w:rsid w:val="000A272A"/>
    <w:rsid w:val="000A51F3"/>
    <w:rsid w:val="000B5DF9"/>
    <w:rsid w:val="000B706A"/>
    <w:rsid w:val="000B73AE"/>
    <w:rsid w:val="000B7513"/>
    <w:rsid w:val="000C0714"/>
    <w:rsid w:val="000D2DCF"/>
    <w:rsid w:val="000D3C10"/>
    <w:rsid w:val="000E197F"/>
    <w:rsid w:val="000E35D6"/>
    <w:rsid w:val="000F4E32"/>
    <w:rsid w:val="000F747C"/>
    <w:rsid w:val="00103851"/>
    <w:rsid w:val="00105F8E"/>
    <w:rsid w:val="00116B68"/>
    <w:rsid w:val="00124E92"/>
    <w:rsid w:val="00127BC8"/>
    <w:rsid w:val="00136455"/>
    <w:rsid w:val="001405EC"/>
    <w:rsid w:val="00141AA6"/>
    <w:rsid w:val="00143449"/>
    <w:rsid w:val="001535B2"/>
    <w:rsid w:val="00154343"/>
    <w:rsid w:val="00155395"/>
    <w:rsid w:val="0015642C"/>
    <w:rsid w:val="001579F8"/>
    <w:rsid w:val="00160703"/>
    <w:rsid w:val="00171538"/>
    <w:rsid w:val="00174FDA"/>
    <w:rsid w:val="001757E7"/>
    <w:rsid w:val="001970F2"/>
    <w:rsid w:val="001B65F3"/>
    <w:rsid w:val="001B7908"/>
    <w:rsid w:val="001C69A4"/>
    <w:rsid w:val="001D0C2F"/>
    <w:rsid w:val="001D1261"/>
    <w:rsid w:val="001D39AA"/>
    <w:rsid w:val="001F6A11"/>
    <w:rsid w:val="00202DB8"/>
    <w:rsid w:val="00213E4D"/>
    <w:rsid w:val="00230842"/>
    <w:rsid w:val="00232C27"/>
    <w:rsid w:val="00233AE5"/>
    <w:rsid w:val="002354EC"/>
    <w:rsid w:val="00242560"/>
    <w:rsid w:val="00243763"/>
    <w:rsid w:val="002513E9"/>
    <w:rsid w:val="00251B02"/>
    <w:rsid w:val="0025614C"/>
    <w:rsid w:val="002607E0"/>
    <w:rsid w:val="002607F4"/>
    <w:rsid w:val="00277166"/>
    <w:rsid w:val="0029190B"/>
    <w:rsid w:val="00294BE6"/>
    <w:rsid w:val="00294FDF"/>
    <w:rsid w:val="00295788"/>
    <w:rsid w:val="00297F9B"/>
    <w:rsid w:val="002B333E"/>
    <w:rsid w:val="002B6AC2"/>
    <w:rsid w:val="002C1470"/>
    <w:rsid w:val="002C7A88"/>
    <w:rsid w:val="002D141A"/>
    <w:rsid w:val="002D32DE"/>
    <w:rsid w:val="002D6AE5"/>
    <w:rsid w:val="002E38C0"/>
    <w:rsid w:val="00305D99"/>
    <w:rsid w:val="00305E1C"/>
    <w:rsid w:val="00317FF9"/>
    <w:rsid w:val="00331FE6"/>
    <w:rsid w:val="003716B8"/>
    <w:rsid w:val="00372565"/>
    <w:rsid w:val="00377E86"/>
    <w:rsid w:val="003851F7"/>
    <w:rsid w:val="003B0144"/>
    <w:rsid w:val="003B07E2"/>
    <w:rsid w:val="003B504B"/>
    <w:rsid w:val="003B568A"/>
    <w:rsid w:val="003B7B78"/>
    <w:rsid w:val="003C52E8"/>
    <w:rsid w:val="003D0557"/>
    <w:rsid w:val="003D682F"/>
    <w:rsid w:val="003E0B42"/>
    <w:rsid w:val="003F0607"/>
    <w:rsid w:val="003F726F"/>
    <w:rsid w:val="004025E1"/>
    <w:rsid w:val="0040626B"/>
    <w:rsid w:val="00435511"/>
    <w:rsid w:val="0043798A"/>
    <w:rsid w:val="00445312"/>
    <w:rsid w:val="00446046"/>
    <w:rsid w:val="0045208B"/>
    <w:rsid w:val="00460C5A"/>
    <w:rsid w:val="00470720"/>
    <w:rsid w:val="00476E6A"/>
    <w:rsid w:val="00487460"/>
    <w:rsid w:val="0049476A"/>
    <w:rsid w:val="004F15F0"/>
    <w:rsid w:val="004F7A46"/>
    <w:rsid w:val="0051230A"/>
    <w:rsid w:val="00521F2D"/>
    <w:rsid w:val="00522694"/>
    <w:rsid w:val="00533287"/>
    <w:rsid w:val="005436C2"/>
    <w:rsid w:val="00545C82"/>
    <w:rsid w:val="00554A62"/>
    <w:rsid w:val="00560E90"/>
    <w:rsid w:val="005655DF"/>
    <w:rsid w:val="00566043"/>
    <w:rsid w:val="00566452"/>
    <w:rsid w:val="00566625"/>
    <w:rsid w:val="00573F92"/>
    <w:rsid w:val="005751F4"/>
    <w:rsid w:val="0057531E"/>
    <w:rsid w:val="005865C3"/>
    <w:rsid w:val="00596C68"/>
    <w:rsid w:val="005A0A6B"/>
    <w:rsid w:val="005A5705"/>
    <w:rsid w:val="005B742F"/>
    <w:rsid w:val="005C6390"/>
    <w:rsid w:val="005D06CF"/>
    <w:rsid w:val="005D4AE6"/>
    <w:rsid w:val="005E2151"/>
    <w:rsid w:val="005E229B"/>
    <w:rsid w:val="005E3A0E"/>
    <w:rsid w:val="00603BF6"/>
    <w:rsid w:val="006063AB"/>
    <w:rsid w:val="00617AD7"/>
    <w:rsid w:val="00631510"/>
    <w:rsid w:val="00632C5E"/>
    <w:rsid w:val="00635227"/>
    <w:rsid w:val="0063576B"/>
    <w:rsid w:val="00655C9E"/>
    <w:rsid w:val="00663A07"/>
    <w:rsid w:val="00666915"/>
    <w:rsid w:val="00667711"/>
    <w:rsid w:val="00674C05"/>
    <w:rsid w:val="006752FD"/>
    <w:rsid w:val="006761C2"/>
    <w:rsid w:val="00681D19"/>
    <w:rsid w:val="006962BD"/>
    <w:rsid w:val="00696836"/>
    <w:rsid w:val="0069732F"/>
    <w:rsid w:val="006B29F3"/>
    <w:rsid w:val="006B7523"/>
    <w:rsid w:val="006C49F7"/>
    <w:rsid w:val="006C50DF"/>
    <w:rsid w:val="006C714E"/>
    <w:rsid w:val="006E0380"/>
    <w:rsid w:val="006E5158"/>
    <w:rsid w:val="006F1829"/>
    <w:rsid w:val="006F2465"/>
    <w:rsid w:val="007036A6"/>
    <w:rsid w:val="007126CC"/>
    <w:rsid w:val="00722B73"/>
    <w:rsid w:val="00722E7F"/>
    <w:rsid w:val="00724AA8"/>
    <w:rsid w:val="0072630B"/>
    <w:rsid w:val="00726788"/>
    <w:rsid w:val="00727371"/>
    <w:rsid w:val="00737963"/>
    <w:rsid w:val="00762542"/>
    <w:rsid w:val="00774712"/>
    <w:rsid w:val="00781A6E"/>
    <w:rsid w:val="007A412B"/>
    <w:rsid w:val="007B006E"/>
    <w:rsid w:val="007D5478"/>
    <w:rsid w:val="007E48FA"/>
    <w:rsid w:val="007E5AED"/>
    <w:rsid w:val="007F1A4D"/>
    <w:rsid w:val="007F61F1"/>
    <w:rsid w:val="0080484F"/>
    <w:rsid w:val="008119BB"/>
    <w:rsid w:val="00824546"/>
    <w:rsid w:val="00830F5D"/>
    <w:rsid w:val="008313CD"/>
    <w:rsid w:val="008366DA"/>
    <w:rsid w:val="00846253"/>
    <w:rsid w:val="00851FC1"/>
    <w:rsid w:val="0085298C"/>
    <w:rsid w:val="00865895"/>
    <w:rsid w:val="0087051F"/>
    <w:rsid w:val="008763CE"/>
    <w:rsid w:val="008A34DA"/>
    <w:rsid w:val="008A613B"/>
    <w:rsid w:val="008B10E8"/>
    <w:rsid w:val="008B1EC5"/>
    <w:rsid w:val="008B7BFB"/>
    <w:rsid w:val="008C5732"/>
    <w:rsid w:val="008C5E7D"/>
    <w:rsid w:val="008D27AB"/>
    <w:rsid w:val="008D34A3"/>
    <w:rsid w:val="008D6E78"/>
    <w:rsid w:val="008D7F11"/>
    <w:rsid w:val="008F2CDB"/>
    <w:rsid w:val="00901164"/>
    <w:rsid w:val="00901B2B"/>
    <w:rsid w:val="00902DFA"/>
    <w:rsid w:val="00907D92"/>
    <w:rsid w:val="00925D32"/>
    <w:rsid w:val="009278C7"/>
    <w:rsid w:val="00940C75"/>
    <w:rsid w:val="00941259"/>
    <w:rsid w:val="009474B1"/>
    <w:rsid w:val="00955D21"/>
    <w:rsid w:val="00957AEB"/>
    <w:rsid w:val="00961422"/>
    <w:rsid w:val="00970B66"/>
    <w:rsid w:val="009757CE"/>
    <w:rsid w:val="00980E10"/>
    <w:rsid w:val="009821AA"/>
    <w:rsid w:val="00986CFF"/>
    <w:rsid w:val="009A1EFB"/>
    <w:rsid w:val="009A4F34"/>
    <w:rsid w:val="009A6FD5"/>
    <w:rsid w:val="009C3F56"/>
    <w:rsid w:val="009C5B07"/>
    <w:rsid w:val="009C6A9A"/>
    <w:rsid w:val="009D0C3B"/>
    <w:rsid w:val="009D3260"/>
    <w:rsid w:val="009D4F72"/>
    <w:rsid w:val="009E078B"/>
    <w:rsid w:val="009E7DEC"/>
    <w:rsid w:val="009F3B85"/>
    <w:rsid w:val="009F44C5"/>
    <w:rsid w:val="009F56A8"/>
    <w:rsid w:val="009F5F5F"/>
    <w:rsid w:val="00A009C8"/>
    <w:rsid w:val="00A0186F"/>
    <w:rsid w:val="00A06B94"/>
    <w:rsid w:val="00A20FF0"/>
    <w:rsid w:val="00A2282B"/>
    <w:rsid w:val="00A237A7"/>
    <w:rsid w:val="00A31314"/>
    <w:rsid w:val="00A31433"/>
    <w:rsid w:val="00A32E81"/>
    <w:rsid w:val="00A43DC1"/>
    <w:rsid w:val="00A47504"/>
    <w:rsid w:val="00A60979"/>
    <w:rsid w:val="00A60EAB"/>
    <w:rsid w:val="00A60F51"/>
    <w:rsid w:val="00A62854"/>
    <w:rsid w:val="00A70782"/>
    <w:rsid w:val="00A72E59"/>
    <w:rsid w:val="00A74222"/>
    <w:rsid w:val="00A7650A"/>
    <w:rsid w:val="00A85F3F"/>
    <w:rsid w:val="00A87E8C"/>
    <w:rsid w:val="00A928AA"/>
    <w:rsid w:val="00AA5650"/>
    <w:rsid w:val="00AC7DD2"/>
    <w:rsid w:val="00AC7F26"/>
    <w:rsid w:val="00AD4F51"/>
    <w:rsid w:val="00AD5990"/>
    <w:rsid w:val="00AE1893"/>
    <w:rsid w:val="00AE7AE1"/>
    <w:rsid w:val="00AF3882"/>
    <w:rsid w:val="00AF6B4F"/>
    <w:rsid w:val="00B008A9"/>
    <w:rsid w:val="00B02A1C"/>
    <w:rsid w:val="00B050F8"/>
    <w:rsid w:val="00B07D56"/>
    <w:rsid w:val="00B22478"/>
    <w:rsid w:val="00B3020C"/>
    <w:rsid w:val="00B33626"/>
    <w:rsid w:val="00B36971"/>
    <w:rsid w:val="00B42737"/>
    <w:rsid w:val="00B427BC"/>
    <w:rsid w:val="00B42A03"/>
    <w:rsid w:val="00B570B5"/>
    <w:rsid w:val="00B607E3"/>
    <w:rsid w:val="00B609F4"/>
    <w:rsid w:val="00B75564"/>
    <w:rsid w:val="00B83CF0"/>
    <w:rsid w:val="00B84244"/>
    <w:rsid w:val="00B9290E"/>
    <w:rsid w:val="00BA2089"/>
    <w:rsid w:val="00BB3A24"/>
    <w:rsid w:val="00BE1A30"/>
    <w:rsid w:val="00C13679"/>
    <w:rsid w:val="00C178E4"/>
    <w:rsid w:val="00C32928"/>
    <w:rsid w:val="00C412DD"/>
    <w:rsid w:val="00C44D41"/>
    <w:rsid w:val="00C53B09"/>
    <w:rsid w:val="00C5623A"/>
    <w:rsid w:val="00C57528"/>
    <w:rsid w:val="00C76C82"/>
    <w:rsid w:val="00C80502"/>
    <w:rsid w:val="00C826DB"/>
    <w:rsid w:val="00C93546"/>
    <w:rsid w:val="00C96ADF"/>
    <w:rsid w:val="00CA4600"/>
    <w:rsid w:val="00CA6839"/>
    <w:rsid w:val="00CA6F5D"/>
    <w:rsid w:val="00CB0A47"/>
    <w:rsid w:val="00CB42AC"/>
    <w:rsid w:val="00CC09D5"/>
    <w:rsid w:val="00CC759E"/>
    <w:rsid w:val="00CD371E"/>
    <w:rsid w:val="00CD7543"/>
    <w:rsid w:val="00CE056E"/>
    <w:rsid w:val="00CE1135"/>
    <w:rsid w:val="00CE3705"/>
    <w:rsid w:val="00CE65AB"/>
    <w:rsid w:val="00CF3156"/>
    <w:rsid w:val="00CF77BA"/>
    <w:rsid w:val="00D00889"/>
    <w:rsid w:val="00D02A0C"/>
    <w:rsid w:val="00D1002B"/>
    <w:rsid w:val="00D30D83"/>
    <w:rsid w:val="00D35541"/>
    <w:rsid w:val="00D3709F"/>
    <w:rsid w:val="00D402EB"/>
    <w:rsid w:val="00D42578"/>
    <w:rsid w:val="00D508E8"/>
    <w:rsid w:val="00D554FD"/>
    <w:rsid w:val="00D6011D"/>
    <w:rsid w:val="00D6119F"/>
    <w:rsid w:val="00D66060"/>
    <w:rsid w:val="00D77ABD"/>
    <w:rsid w:val="00D84D85"/>
    <w:rsid w:val="00D86BF3"/>
    <w:rsid w:val="00D917B0"/>
    <w:rsid w:val="00DA0E0A"/>
    <w:rsid w:val="00DA3E2B"/>
    <w:rsid w:val="00DA7AA2"/>
    <w:rsid w:val="00DB64B2"/>
    <w:rsid w:val="00DB7813"/>
    <w:rsid w:val="00DE0FDF"/>
    <w:rsid w:val="00DF2F8C"/>
    <w:rsid w:val="00DF3C81"/>
    <w:rsid w:val="00E009DA"/>
    <w:rsid w:val="00E01FF7"/>
    <w:rsid w:val="00E04839"/>
    <w:rsid w:val="00E076D9"/>
    <w:rsid w:val="00E11C50"/>
    <w:rsid w:val="00E15ACE"/>
    <w:rsid w:val="00E24907"/>
    <w:rsid w:val="00E24B13"/>
    <w:rsid w:val="00E256B7"/>
    <w:rsid w:val="00E36D1D"/>
    <w:rsid w:val="00E40C29"/>
    <w:rsid w:val="00E440B6"/>
    <w:rsid w:val="00E46B8D"/>
    <w:rsid w:val="00E60A26"/>
    <w:rsid w:val="00E636F4"/>
    <w:rsid w:val="00E64793"/>
    <w:rsid w:val="00E65D04"/>
    <w:rsid w:val="00E67E44"/>
    <w:rsid w:val="00E756B7"/>
    <w:rsid w:val="00E82582"/>
    <w:rsid w:val="00E852FE"/>
    <w:rsid w:val="00E96095"/>
    <w:rsid w:val="00EA0554"/>
    <w:rsid w:val="00EA1BFE"/>
    <w:rsid w:val="00EA7CC8"/>
    <w:rsid w:val="00EC3962"/>
    <w:rsid w:val="00EC5AA4"/>
    <w:rsid w:val="00ED0F6C"/>
    <w:rsid w:val="00ED49D1"/>
    <w:rsid w:val="00F046A8"/>
    <w:rsid w:val="00F04B6B"/>
    <w:rsid w:val="00F2344C"/>
    <w:rsid w:val="00F256F1"/>
    <w:rsid w:val="00F25E07"/>
    <w:rsid w:val="00F305D1"/>
    <w:rsid w:val="00F32B51"/>
    <w:rsid w:val="00F3355B"/>
    <w:rsid w:val="00F369BC"/>
    <w:rsid w:val="00F36E28"/>
    <w:rsid w:val="00F42135"/>
    <w:rsid w:val="00F45438"/>
    <w:rsid w:val="00F53FB7"/>
    <w:rsid w:val="00F61574"/>
    <w:rsid w:val="00F62DD6"/>
    <w:rsid w:val="00F82F38"/>
    <w:rsid w:val="00F85D93"/>
    <w:rsid w:val="00F92057"/>
    <w:rsid w:val="00F962E0"/>
    <w:rsid w:val="00FA153C"/>
    <w:rsid w:val="00FA5DAB"/>
    <w:rsid w:val="00FA6C49"/>
    <w:rsid w:val="00FC04A3"/>
    <w:rsid w:val="00FC58CD"/>
    <w:rsid w:val="00FD0478"/>
    <w:rsid w:val="00FD2DA5"/>
    <w:rsid w:val="00FE3F3C"/>
    <w:rsid w:val="00FE603B"/>
    <w:rsid w:val="00FE79C7"/>
    <w:rsid w:val="00FF068A"/>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338E2060"/>
  <w15:chartTrackingRefBased/>
  <w15:docId w15:val="{6547F90E-78A9-4037-9ECC-A0C038EF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DC1"/>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character" w:styleId="CommentReference">
    <w:name w:val="annotation reference"/>
    <w:rsid w:val="001535B2"/>
    <w:rPr>
      <w:sz w:val="16"/>
      <w:szCs w:val="16"/>
    </w:rPr>
  </w:style>
  <w:style w:type="paragraph" w:styleId="CommentText">
    <w:name w:val="annotation text"/>
    <w:basedOn w:val="Normal"/>
    <w:link w:val="CommentTextChar"/>
    <w:rsid w:val="001535B2"/>
  </w:style>
  <w:style w:type="character" w:customStyle="1" w:styleId="CommentTextChar">
    <w:name w:val="Comment Text Char"/>
    <w:link w:val="CommentText"/>
    <w:rsid w:val="001535B2"/>
    <w:rPr>
      <w:rFonts w:ascii="Letter Gothic 12cpi" w:hAnsi="Letter Gothic 12cpi"/>
    </w:rPr>
  </w:style>
  <w:style w:type="paragraph" w:styleId="CommentSubject">
    <w:name w:val="annotation subject"/>
    <w:basedOn w:val="CommentText"/>
    <w:next w:val="CommentText"/>
    <w:link w:val="CommentSubjectChar"/>
    <w:rsid w:val="001535B2"/>
    <w:rPr>
      <w:b/>
      <w:bCs/>
    </w:rPr>
  </w:style>
  <w:style w:type="character" w:customStyle="1" w:styleId="CommentSubjectChar">
    <w:name w:val="Comment Subject Char"/>
    <w:link w:val="CommentSubject"/>
    <w:rsid w:val="001535B2"/>
    <w:rPr>
      <w:rFonts w:ascii="Letter Gothic 12cpi" w:hAnsi="Letter Gothic 12cpi"/>
      <w:b/>
      <w:bCs/>
    </w:rPr>
  </w:style>
  <w:style w:type="paragraph" w:styleId="BalloonText">
    <w:name w:val="Balloon Text"/>
    <w:basedOn w:val="Normal"/>
    <w:link w:val="BalloonTextChar"/>
    <w:rsid w:val="001535B2"/>
    <w:rPr>
      <w:rFonts w:ascii="Segoe UI" w:hAnsi="Segoe UI" w:cs="Segoe UI"/>
      <w:sz w:val="18"/>
      <w:szCs w:val="18"/>
    </w:rPr>
  </w:style>
  <w:style w:type="character" w:customStyle="1" w:styleId="BalloonTextChar">
    <w:name w:val="Balloon Text Char"/>
    <w:link w:val="BalloonText"/>
    <w:rsid w:val="001535B2"/>
    <w:rPr>
      <w:rFonts w:ascii="Segoe UI" w:hAnsi="Segoe UI" w:cs="Segoe UI"/>
      <w:sz w:val="18"/>
      <w:szCs w:val="18"/>
    </w:rPr>
  </w:style>
  <w:style w:type="character" w:styleId="UnresolvedMention">
    <w:name w:val="Unresolved Mention"/>
    <w:uiPriority w:val="99"/>
    <w:semiHidden/>
    <w:unhideWhenUsed/>
    <w:rsid w:val="007B006E"/>
    <w:rPr>
      <w:color w:val="605E5C"/>
      <w:shd w:val="clear" w:color="auto" w:fill="E1DFDD"/>
    </w:rPr>
  </w:style>
  <w:style w:type="character" w:styleId="FollowedHyperlink">
    <w:name w:val="FollowedHyperlink"/>
    <w:rsid w:val="00C96ADF"/>
    <w:rPr>
      <w:color w:val="954F72"/>
      <w:u w:val="single"/>
    </w:rPr>
  </w:style>
  <w:style w:type="table" w:styleId="TableGrid">
    <w:name w:val="Table Grid"/>
    <w:basedOn w:val="TableNormal"/>
    <w:rsid w:val="0092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1A30"/>
    <w:rPr>
      <w:rFonts w:ascii="Letter Gothic 12cpi" w:hAnsi="Letter Gothic 12cpi"/>
    </w:rPr>
  </w:style>
  <w:style w:type="paragraph" w:styleId="ListParagraph">
    <w:name w:val="List Paragraph"/>
    <w:basedOn w:val="Normal"/>
    <w:uiPriority w:val="34"/>
    <w:qFormat/>
    <w:rsid w:val="00213E4D"/>
    <w:pPr>
      <w:ind w:left="720"/>
      <w:contextualSpacing/>
    </w:pPr>
  </w:style>
  <w:style w:type="paragraph" w:styleId="Caption">
    <w:name w:val="caption"/>
    <w:basedOn w:val="Normal"/>
    <w:next w:val="Normal"/>
    <w:semiHidden/>
    <w:unhideWhenUsed/>
    <w:qFormat/>
    <w:rsid w:val="00E65D04"/>
    <w:pPr>
      <w:spacing w:after="200"/>
    </w:pPr>
    <w:rPr>
      <w:i/>
      <w:iCs/>
      <w:color w:val="44546A" w:themeColor="text2"/>
      <w:sz w:val="18"/>
      <w:szCs w:val="18"/>
    </w:rPr>
  </w:style>
  <w:style w:type="character" w:customStyle="1" w:styleId="BodyText3Char">
    <w:name w:val="Body Text 3 Char"/>
    <w:basedOn w:val="DefaultParagraphFont"/>
    <w:link w:val="BodyText3"/>
    <w:rsid w:val="007D5478"/>
    <w:rPr>
      <w:rFonts w:ascii="Letter Gothic 12cpi" w:hAnsi="Letter Gothic 12cpi"/>
      <w:color w:val="FF0000"/>
      <w:sz w:val="24"/>
      <w:szCs w:val="24"/>
    </w:rPr>
  </w:style>
  <w:style w:type="character" w:customStyle="1" w:styleId="FooterChar">
    <w:name w:val="Footer Char"/>
    <w:basedOn w:val="DefaultParagraphFont"/>
    <w:link w:val="Footer"/>
    <w:uiPriority w:val="99"/>
    <w:rsid w:val="00EA1BFE"/>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transportation.gov/dot-strategic-plan" TargetMode="External" /><Relationship Id="rId6" Type="http://schemas.openxmlformats.org/officeDocument/2006/relationships/hyperlink" Target="https://www.bls.gov/oes/current/oes530000.htm" TargetMode="External" /><Relationship Id="rId7" Type="http://schemas.openxmlformats.org/officeDocument/2006/relationships/image" Target="media/image1.emf" /><Relationship Id="rId8" Type="http://schemas.openxmlformats.org/officeDocument/2006/relationships/hyperlink" Target="https://www.opm.gov/policy-data-oversight/pay-leave/salaries-wages/salary-tables/22Tables/html/DCB_h.aspx"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4E475-3D9D-4132-B8BA-0B1B7C071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Author</cp:lastModifiedBy>
  <cp:revision>4</cp:revision>
  <cp:lastPrinted>2007-03-23T22:09:00Z</cp:lastPrinted>
  <dcterms:created xsi:type="dcterms:W3CDTF">2023-12-07T20:54:00Z</dcterms:created>
  <dcterms:modified xsi:type="dcterms:W3CDTF">2023-12-07T21:18:00Z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9bdbef4e321d5085745d79ccb917bc815bebc236f0ae9bd4f23ece5b00fe13af</vt:lpwstr>
  </property>
</Properties>
</file>