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68D33E0">
      <w:pPr>
        <w:tabs>
          <w:tab w:val="left" w:pos="1080"/>
        </w:tabs>
        <w:ind w:left="1080" w:hanging="1080"/>
      </w:pPr>
      <w:r w:rsidRPr="004E0796">
        <w:rPr>
          <w:b/>
          <w:bCs/>
        </w:rPr>
        <w:t>From:</w:t>
      </w:r>
      <w:r w:rsidRPr="004E0796">
        <w:tab/>
      </w:r>
      <w:r w:rsidR="004F3F5F">
        <w:t>Peter Edelman</w:t>
      </w:r>
    </w:p>
    <w:p w:rsidR="0005680D" w:rsidP="0005680D" w14:paraId="48DB0716" w14:textId="5DE400B9">
      <w:pPr>
        <w:tabs>
          <w:tab w:val="left" w:pos="1080"/>
        </w:tabs>
        <w:ind w:left="1080" w:hanging="1080"/>
      </w:pPr>
      <w:r>
        <w:rPr>
          <w:b/>
          <w:bCs/>
        </w:rPr>
        <w:tab/>
      </w:r>
      <w:r w:rsidR="004F3F5F">
        <w:t>Office of Community Services (OCS)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F9AC46E">
      <w:pPr>
        <w:tabs>
          <w:tab w:val="left" w:pos="1080"/>
        </w:tabs>
      </w:pPr>
      <w:r w:rsidRPr="004E0796">
        <w:rPr>
          <w:b/>
          <w:bCs/>
        </w:rPr>
        <w:t>Date:</w:t>
      </w:r>
      <w:r w:rsidRPr="004E0796">
        <w:tab/>
      </w:r>
      <w:r w:rsidR="00951A2A">
        <w:fldChar w:fldCharType="begin"/>
      </w:r>
      <w:r w:rsidR="00951A2A">
        <w:instrText xml:space="preserve"> DATE \@ "MMMM d, yyyy" </w:instrText>
      </w:r>
      <w:r w:rsidR="00951A2A">
        <w:fldChar w:fldCharType="separate"/>
      </w:r>
      <w:r w:rsidR="003676BB">
        <w:rPr>
          <w:noProof/>
        </w:rPr>
        <w:t>July 16, 2024</w:t>
      </w:r>
      <w:r w:rsidR="00951A2A">
        <w:fldChar w:fldCharType="end"/>
      </w:r>
    </w:p>
    <w:p w:rsidR="0005680D" w:rsidRPr="004E0796" w:rsidP="0005680D" w14:paraId="7B991363" w14:textId="77777777">
      <w:pPr>
        <w:tabs>
          <w:tab w:val="left" w:pos="1080"/>
        </w:tabs>
      </w:pPr>
    </w:p>
    <w:p w:rsidR="0005680D" w:rsidP="0005680D" w14:paraId="3A89B6CD" w14:textId="3B3AE3D8">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4B0A1E" w:rsidR="00951A2A">
        <w:rPr>
          <w:i/>
          <w:iCs/>
        </w:rPr>
        <w:t>Low Income Home Energy Assistance Program (LIHEAP) Carryout and Reallotment Report</w:t>
      </w:r>
      <w:r w:rsidRPr="004B0A1E">
        <w:rPr>
          <w:i/>
          <w:iCs/>
        </w:rPr>
        <w:t xml:space="preserve"> (OMB #0970-0</w:t>
      </w:r>
      <w:r w:rsidRPr="004B0A1E" w:rsidR="00951A2A">
        <w:rPr>
          <w:i/>
          <w:iCs/>
        </w:rPr>
        <w:t>106</w:t>
      </w:r>
      <w:r w:rsidRPr="004B0A1E">
        <w:rPr>
          <w:i/>
          <w:iCs/>
        </w:rPr>
        <w:t>)</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1C44E1A">
      <w:r>
        <w:t xml:space="preserve">This memo requests approval of </w:t>
      </w:r>
      <w:r>
        <w:t>nonsubstantive</w:t>
      </w:r>
      <w:r>
        <w:t xml:space="preserve"> changes to the approved information collection, </w:t>
      </w:r>
      <w:r w:rsidRPr="004B0A1E" w:rsidR="00951A2A">
        <w:rPr>
          <w:i/>
          <w:iCs/>
        </w:rPr>
        <w:t>Low Income Home Energy Assistance Program (LIHEAP) Carryout and Reallotment Report (OMB #0970-0106)</w:t>
      </w:r>
      <w:r>
        <w:t>.</w:t>
      </w:r>
    </w:p>
    <w:p w:rsidR="0005680D" w:rsidP="00BF696B" w14:paraId="6BF529D8" w14:textId="77777777"/>
    <w:p w:rsidR="0005680D" w:rsidP="00BF696B" w14:paraId="37532181" w14:textId="77777777">
      <w:pPr>
        <w:spacing w:after="120"/>
      </w:pPr>
      <w:r>
        <w:rPr>
          <w:b/>
          <w:i/>
        </w:rPr>
        <w:t>Background</w:t>
      </w:r>
    </w:p>
    <w:p w:rsidR="0015066D" w:rsidP="0003095B" w14:paraId="3FEFA7F4" w14:textId="79A550FF">
      <w:r>
        <w:t>The federal Low Income Home Energy Assistance Program (LIHEAP) statute requires the Department of Health and Human Services (HHS) to collect data annually from all LIHEAP grant recipients regarding the status of obligated and unobligated funding (42 U.S.C. § 8626).  The amount held available from a prior fiscal year shall not exceed 10 percent of the funds awarded for that fiscal year (42 U.S.C. § 826(b)(2)(B)), with the excess reallotted in the following fiscal year among that year’s LIHEAP grant recipients (42 U.S.C. § 8626(b)(1)(C)).</w:t>
      </w:r>
    </w:p>
    <w:p w:rsidR="0015066D" w:rsidP="0003095B" w14:paraId="680B206B" w14:textId="77777777"/>
    <w:p w:rsidR="0015066D" w:rsidP="0003095B" w14:paraId="0DE78E7A" w14:textId="10BBCBC4">
      <w:r>
        <w:t>The federal HHS block grant regulations further require that the Carryover and Reallotment Report (Carryover Report) must contain the following information:  (1) The amount of funds that the grant recipient requests to hold available for obligation in the following fiscal year; (2) A statement of the reasons that this amount to remain available will not be used in the fiscal year for which it was allotted;  (3) A description of the types of assistance to be provided with the amount held available; and (4) The amount of funds, if any, to be subject to reallotment.  See 45 C.F.R. § 96.81.</w:t>
      </w:r>
    </w:p>
    <w:p w:rsidR="0015066D" w:rsidP="0003095B" w14:paraId="07519D7D" w14:textId="77777777">
      <w:bookmarkStart w:id="0" w:name="_Hlk172031926"/>
    </w:p>
    <w:p w:rsidR="009A4C41" w:rsidP="0003095B" w14:paraId="4253C3E6" w14:textId="1C9A7989">
      <w:pPr>
        <w:widowControl/>
        <w:tabs>
          <w:tab w:val="num" w:pos="360"/>
        </w:tabs>
        <w:suppressAutoHyphens w:val="0"/>
      </w:pPr>
      <w:bookmarkStart w:id="1" w:name="_Hlk172031756"/>
      <w:r w:rsidRPr="005539B1">
        <w:t>OMB most recently approved the Carryover Report in June 2022 for three years. The form as approved includes three lines that cover unobligations from the following sources:  (1) regular LIHEAP funds; (2) supplemental funds from the Infrastructure Investments and Jobs Appropriations Act (IIJA) [Public Law (P. L.) 117-58]; and (3) supplemental funds from other sources.</w:t>
      </w:r>
      <w:r>
        <w:t xml:space="preserve"> Since t</w:t>
      </w:r>
      <w:r w:rsidRPr="005539B1">
        <w:t>he lines for</w:t>
      </w:r>
      <w:r>
        <w:t xml:space="preserve"> these</w:t>
      </w:r>
      <w:r w:rsidRPr="005539B1">
        <w:t xml:space="preserve"> supplemental funds </w:t>
      </w:r>
      <w:r w:rsidR="00452BF6">
        <w:t xml:space="preserve">from other sources, </w:t>
      </w:r>
      <w:r w:rsidRPr="005539B1">
        <w:t xml:space="preserve">including </w:t>
      </w:r>
      <w:r w:rsidRPr="005539B1">
        <w:rPr>
          <w:i/>
          <w:iCs/>
        </w:rPr>
        <w:t>Coronavirus Aid, Relief, and Economic Security (CARES) Act (Public Law 116-136), American Rescue Plan Act (ARP) of 2021 (Public Law 117-2)</w:t>
      </w:r>
      <w:r w:rsidR="00452BF6">
        <w:rPr>
          <w:i/>
          <w:iCs/>
        </w:rPr>
        <w:t>,</w:t>
      </w:r>
      <w:r w:rsidRPr="005539B1">
        <w:rPr>
          <w:i/>
          <w:iCs/>
        </w:rPr>
        <w:t xml:space="preserve"> </w:t>
      </w:r>
      <w:r w:rsidRPr="005539B1">
        <w:t xml:space="preserve">are not available for obligation in Fiscal Year 2024 (FY24) </w:t>
      </w:r>
      <w:r>
        <w:t>they</w:t>
      </w:r>
      <w:r w:rsidRPr="005539B1">
        <w:t xml:space="preserve"> need to be removed prior to the next reporting period (planned to begin August 1, 2024). </w:t>
      </w:r>
    </w:p>
    <w:p w:rsidR="009A4C41" w:rsidP="0003095B" w14:paraId="450A2B58" w14:textId="77777777">
      <w:pPr>
        <w:widowControl/>
        <w:tabs>
          <w:tab w:val="num" w:pos="360"/>
        </w:tabs>
        <w:suppressAutoHyphens w:val="0"/>
      </w:pPr>
    </w:p>
    <w:p w:rsidR="009A4C41" w:rsidRPr="005539B1" w:rsidP="0003095B" w14:paraId="24C71A48" w14:textId="6D354B71">
      <w:pPr>
        <w:widowControl/>
        <w:tabs>
          <w:tab w:val="num" w:pos="360"/>
        </w:tabs>
        <w:suppressAutoHyphens w:val="0"/>
      </w:pPr>
      <w:r>
        <w:t xml:space="preserve">The addition of these lines for </w:t>
      </w:r>
      <w:r w:rsidR="00452BF6">
        <w:t xml:space="preserve">these </w:t>
      </w:r>
      <w:r>
        <w:t xml:space="preserve">supplemental funds </w:t>
      </w:r>
      <w:r w:rsidR="00452BF6">
        <w:t xml:space="preserve">was </w:t>
      </w:r>
      <w:r>
        <w:t xml:space="preserve">originally processed as </w:t>
      </w:r>
      <w:r>
        <w:t>nonsubstantive</w:t>
      </w:r>
      <w:r>
        <w:t xml:space="preserve"> changes. Similarly, this change request is to update the form, instructions, and </w:t>
      </w:r>
      <w:r>
        <w:t>burden estimates to reflect the removal of these lines. Minor updates were also made to the instructions for clarity, such as wording and punctuation.</w:t>
      </w:r>
    </w:p>
    <w:bookmarkEnd w:id="0"/>
    <w:bookmarkEnd w:id="1"/>
    <w:p w:rsidR="00EB63E4" w:rsidP="0003095B" w14:paraId="75E3FFA5" w14:textId="77777777"/>
    <w:p w:rsidR="0005680D" w:rsidP="00BF696B" w14:paraId="5CC77B63" w14:textId="77777777">
      <w:pPr>
        <w:spacing w:after="120"/>
        <w:rPr>
          <w:b/>
          <w:i/>
        </w:rPr>
      </w:pPr>
      <w:r w:rsidRPr="0005680D">
        <w:rPr>
          <w:b/>
          <w:i/>
        </w:rPr>
        <w:t>Overview of Requested Changes</w:t>
      </w:r>
    </w:p>
    <w:p w:rsidR="0005680D" w:rsidP="00BF696B" w14:paraId="6BD5720F" w14:textId="51D998F5">
      <w:r>
        <w:t>HHS’</w:t>
      </w:r>
      <w:r w:rsidR="00E96663">
        <w:t>s</w:t>
      </w:r>
      <w:r>
        <w:t xml:space="preserve"> Administration for Children and Families (ACF) seeks to revise this form to zero-out the third line </w:t>
      </w:r>
      <w:r w:rsidR="004A3F28">
        <w:t xml:space="preserve">(unobligations </w:t>
      </w:r>
      <w:r w:rsidR="008C0CED">
        <w:t xml:space="preserve">from </w:t>
      </w:r>
      <w:r w:rsidRPr="004A3F28" w:rsidR="004A3F28">
        <w:t>other sources</w:t>
      </w:r>
      <w:r w:rsidR="008C0CED">
        <w:t xml:space="preserve"> of </w:t>
      </w:r>
      <w:r w:rsidRPr="004A3F28" w:rsidR="008C0CED">
        <w:t>supplemental funds</w:t>
      </w:r>
      <w:r w:rsidR="004A3F28">
        <w:t>)</w:t>
      </w:r>
      <w:r w:rsidRPr="004A3F28" w:rsidR="004A3F28">
        <w:t xml:space="preserve"> </w:t>
      </w:r>
      <w:r>
        <w:t>and close it to user entry.  It also seeks to make minor changes to wording and punctuation.</w:t>
      </w:r>
    </w:p>
    <w:p w:rsidR="0073267E" w:rsidP="00BF696B" w14:paraId="7D73327C" w14:textId="77777777"/>
    <w:p w:rsidR="0073267E" w:rsidP="00BF696B" w14:paraId="7CCDC5A8" w14:textId="692579AA">
      <w:r>
        <w:t>ACF also seeks to accordingly revise the instructions associated with this form.</w:t>
      </w:r>
    </w:p>
    <w:p w:rsidR="0005680D" w:rsidP="00BF696B" w14:paraId="76859545" w14:textId="77777777"/>
    <w:p w:rsidR="009A4C41" w:rsidP="009A4C41" w14:paraId="5F2D0A62" w14:textId="21005D33">
      <w:pPr>
        <w:widowControl/>
        <w:tabs>
          <w:tab w:val="num" w:pos="360"/>
        </w:tabs>
      </w:pPr>
      <w:r>
        <w:t xml:space="preserve">Finally, for the version of the Carryover Report that was approved in July 2022, we </w:t>
      </w:r>
      <w:r w:rsidRPr="00F523CA">
        <w:t>estimate</w:t>
      </w:r>
      <w:r>
        <w:t>d</w:t>
      </w:r>
      <w:r w:rsidRPr="00F523CA">
        <w:t xml:space="preserve"> the total average burden to be 7 hours per respondent. This estimate combine</w:t>
      </w:r>
      <w:r>
        <w:t>d</w:t>
      </w:r>
      <w:r w:rsidRPr="00F523CA">
        <w:t xml:space="preserve"> (1) three hours per respondent </w:t>
      </w:r>
      <w:r>
        <w:t>for the standard lines</w:t>
      </w:r>
      <w:r w:rsidRPr="00F523CA">
        <w:t xml:space="preserve">; and (2) four additional hours per respondent to cover the breakouts of funds from </w:t>
      </w:r>
      <w:r w:rsidR="00452BF6">
        <w:t xml:space="preserve">non-IIJA </w:t>
      </w:r>
      <w:r w:rsidRPr="00F523CA">
        <w:t xml:space="preserve">supplemental appropriations.  </w:t>
      </w:r>
      <w:r>
        <w:t xml:space="preserve">With the removal of the </w:t>
      </w:r>
      <w:r w:rsidR="00452BF6">
        <w:t xml:space="preserve">non-IIJA </w:t>
      </w:r>
      <w:r>
        <w:t xml:space="preserve">supplemental appropriations lines, we are reverting to the previous estimate of an average of 3 hours per response. </w:t>
      </w:r>
    </w:p>
    <w:p w:rsidR="009A4C41" w:rsidRPr="00F523CA" w:rsidP="009A4C41" w14:paraId="3E3FD75B" w14:textId="77777777">
      <w:pPr>
        <w:widowControl/>
        <w:tabs>
          <w:tab w:val="num" w:pos="360"/>
        </w:tabs>
      </w:pPr>
    </w:p>
    <w:p w:rsidR="009A4C41" w:rsidP="00BF696B" w14:paraId="56EF7291" w14:textId="6623C0D2">
      <w:r>
        <w:t xml:space="preserve">Supporting </w:t>
      </w:r>
      <w:r>
        <w:t>Statement</w:t>
      </w:r>
      <w:r>
        <w:t xml:space="preserve"> A was updated to explain these updates and to update the burden section.</w:t>
      </w:r>
    </w:p>
    <w:p w:rsidR="009A4C41" w:rsidRPr="0005680D" w:rsidP="00BF696B" w14:paraId="5DCA6D0A" w14:textId="77777777"/>
    <w:p w:rsidR="0005680D" w:rsidP="00BF696B" w14:paraId="7DBC6097" w14:textId="77777777">
      <w:pPr>
        <w:spacing w:after="120"/>
        <w:rPr>
          <w:b/>
          <w:i/>
        </w:rPr>
      </w:pPr>
      <w:r>
        <w:rPr>
          <w:b/>
          <w:i/>
        </w:rPr>
        <w:t xml:space="preserve">Time Sensitivities </w:t>
      </w:r>
    </w:p>
    <w:p w:rsidR="00857D01" w:rsidRPr="00857D01" w:rsidP="00BF696B" w14:paraId="708D1C3C" w14:textId="4D2765BB">
      <w:pPr>
        <w:spacing w:after="120"/>
        <w:rPr>
          <w:bCs/>
          <w:iCs/>
        </w:rPr>
      </w:pPr>
      <w:r w:rsidRPr="00857D01">
        <w:rPr>
          <w:bCs/>
          <w:iCs/>
        </w:rPr>
        <w:t>This</w:t>
      </w:r>
      <w:r>
        <w:rPr>
          <w:bCs/>
          <w:iCs/>
        </w:rPr>
        <w:t xml:space="preserve"> approval is time-sensitive.  ACF seeks to open the form to user entry on </w:t>
      </w:r>
      <w:r w:rsidR="000A732C">
        <w:rPr>
          <w:bCs/>
          <w:iCs/>
        </w:rPr>
        <w:t>August 1</w:t>
      </w:r>
      <w:r>
        <w:rPr>
          <w:bCs/>
          <w:iCs/>
        </w:rPr>
        <w:t xml:space="preserve">, 2024.  It also seeks to announce this availability at that time.  This allows grant recipients to spend one month gathering and reporting the necessary information by the statutory deadline of August 1 </w:t>
      </w:r>
      <w:r w:rsidR="00E846AA">
        <w:rPr>
          <w:bCs/>
          <w:iCs/>
        </w:rPr>
        <w:t>[</w:t>
      </w:r>
      <w:r w:rsidRPr="00857D01">
        <w:rPr>
          <w:bCs/>
          <w:iCs/>
        </w:rPr>
        <w:t>42 U</w:t>
      </w:r>
      <w:r>
        <w:rPr>
          <w:bCs/>
          <w:iCs/>
        </w:rPr>
        <w:t>.</w:t>
      </w:r>
      <w:r w:rsidRPr="00857D01">
        <w:rPr>
          <w:bCs/>
          <w:iCs/>
        </w:rPr>
        <w:t>S</w:t>
      </w:r>
      <w:r>
        <w:rPr>
          <w:bCs/>
          <w:iCs/>
        </w:rPr>
        <w:t>.</w:t>
      </w:r>
      <w:r w:rsidRPr="00857D01">
        <w:rPr>
          <w:bCs/>
          <w:iCs/>
        </w:rPr>
        <w:t>C</w:t>
      </w:r>
      <w:r>
        <w:rPr>
          <w:bCs/>
          <w:iCs/>
        </w:rPr>
        <w:t>.</w:t>
      </w:r>
      <w:r w:rsidRPr="00857D01">
        <w:rPr>
          <w:bCs/>
          <w:iCs/>
        </w:rPr>
        <w:t xml:space="preserve"> </w:t>
      </w:r>
      <w:r>
        <w:t xml:space="preserve">§ </w:t>
      </w:r>
      <w:r w:rsidRPr="00857D01">
        <w:rPr>
          <w:bCs/>
          <w:iCs/>
        </w:rPr>
        <w:t>8626(a)(2)</w:t>
      </w:r>
      <w:r w:rsidR="00E846AA">
        <w:rPr>
          <w:bCs/>
          <w:iCs/>
        </w:rPr>
        <w:t>]</w:t>
      </w:r>
      <w:r>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095B"/>
    <w:rsid w:val="0005680D"/>
    <w:rsid w:val="000A732C"/>
    <w:rsid w:val="000F3C40"/>
    <w:rsid w:val="00116024"/>
    <w:rsid w:val="0015066D"/>
    <w:rsid w:val="001622FA"/>
    <w:rsid w:val="00201D4A"/>
    <w:rsid w:val="00204458"/>
    <w:rsid w:val="002F647C"/>
    <w:rsid w:val="003128CE"/>
    <w:rsid w:val="003676BB"/>
    <w:rsid w:val="003F01C3"/>
    <w:rsid w:val="00416E1B"/>
    <w:rsid w:val="00430033"/>
    <w:rsid w:val="00452BF6"/>
    <w:rsid w:val="004652D0"/>
    <w:rsid w:val="00477A52"/>
    <w:rsid w:val="004A3F28"/>
    <w:rsid w:val="004A7718"/>
    <w:rsid w:val="004A777C"/>
    <w:rsid w:val="004B0A1E"/>
    <w:rsid w:val="004E0796"/>
    <w:rsid w:val="004F3F5F"/>
    <w:rsid w:val="005539B1"/>
    <w:rsid w:val="005F29B4"/>
    <w:rsid w:val="006C6DFB"/>
    <w:rsid w:val="00715399"/>
    <w:rsid w:val="0073267E"/>
    <w:rsid w:val="00857D01"/>
    <w:rsid w:val="008C0CED"/>
    <w:rsid w:val="00951A2A"/>
    <w:rsid w:val="00995018"/>
    <w:rsid w:val="00995666"/>
    <w:rsid w:val="009A4C41"/>
    <w:rsid w:val="00A05CFC"/>
    <w:rsid w:val="00A44387"/>
    <w:rsid w:val="00B037F0"/>
    <w:rsid w:val="00B67418"/>
    <w:rsid w:val="00BC63CD"/>
    <w:rsid w:val="00BF696B"/>
    <w:rsid w:val="00CA24FD"/>
    <w:rsid w:val="00E525D4"/>
    <w:rsid w:val="00E846AA"/>
    <w:rsid w:val="00E96663"/>
    <w:rsid w:val="00EB63E4"/>
    <w:rsid w:val="00F523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E846AA"/>
    <w:rPr>
      <w:color w:val="0563C1" w:themeColor="hyperlink"/>
      <w:u w:val="single"/>
    </w:rPr>
  </w:style>
  <w:style w:type="character" w:styleId="UnresolvedMention">
    <w:name w:val="Unresolved Mention"/>
    <w:basedOn w:val="DefaultParagraphFont"/>
    <w:uiPriority w:val="99"/>
    <w:semiHidden/>
    <w:unhideWhenUsed/>
    <w:rsid w:val="00E846AA"/>
    <w:rPr>
      <w:color w:val="605E5C"/>
      <w:shd w:val="clear" w:color="auto" w:fill="E1DFDD"/>
    </w:rPr>
  </w:style>
  <w:style w:type="paragraph" w:styleId="Revision">
    <w:name w:val="Revision"/>
    <w:hidden/>
    <w:uiPriority w:val="99"/>
    <w:semiHidden/>
    <w:rsid w:val="002F647C"/>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9fd9e6-c86a-4755-9461-9f784f6b47c7">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Hard_x0020_Copy_x0020_Received_x0020_by_x0020_OD xmlns="529ba1de-83f7-4614-a33a-20d5c69b3234" xsi:nil="true"/>
    <Tracking_x0020_Number xmlns="529ba1de-83f7-4614-a33a-20d5c69b3234">9593</Tracking_x0020_Number>
    <Posted_x0020_Online_x0020_Date xmlns="529ba1de-83f7-4614-a33a-20d5c69b3234" xsi:nil="true"/>
    <Completed_x003f_ xmlns="529ba1de-83f7-4614-a33a-20d5c69b3234">No</Completed_x003f_>
    <Type_x0020_of_x0020_Doc xmlns="529ba1de-83f7-4614-a33a-20d5c69b3234">Action Transmittal</Type_x0020_of_x0020_Doc>
    <IconOverlay xmlns="http://schemas.microsoft.com/sharepoint/v4" xsi:nil="true"/>
    <Division xmlns="529ba1de-83f7-4614-a33a-20d5c69b3234">DEA</Division>
    <Due_x0020_Date xmlns="529ba1de-83f7-4614-a33a-20d5c69b3234" xsi:nil="true"/>
    <Program xmlns="529ba1de-83f7-4614-a33a-20d5c69b3234">LIHEAP</Program>
    <V3Comments xmlns="http://schemas.microsoft.com/sharepoint/v3">This is OPRE's non-substantive change form for CRR modifications</V3Comments>
    <Fiscal_x0020_Year xmlns="529ba1de-83f7-4614-a33a-20d5c69b3234">2024</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ET7ED2XPRZ62-62926946-9593</_dlc_DocId>
    <_dlc_DocIdUrl xmlns="9d9fd9e6-c86a-4755-9461-9f784f6b47c7">
      <Url>https://collaboration.acf.hhs.gov/offices/ocs/fota/DAP2/_layouts/15/DocIdRedir.aspx?ID=ET7ED2XPRZ62-62926946-9593</Url>
      <Description>ET7ED2XPRZ62-62926946-9593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purl.org/dc/terms/"/>
    <ds:schemaRef ds:uri="http://schemas.microsoft.com/office/infopath/2007/PartnerControls"/>
    <ds:schemaRef ds:uri="529ba1de-83f7-4614-a33a-20d5c69b3234"/>
    <ds:schemaRef ds:uri="http://schemas.openxmlformats.org/package/2006/metadata/core-properties"/>
    <ds:schemaRef ds:uri="http://schemas.microsoft.com/office/2006/documentManagement/types"/>
    <ds:schemaRef ds:uri="http://schemas.microsoft.com/sharepoint/v3"/>
    <ds:schemaRef ds:uri="http://schemas.microsoft.com/sharepoint/v4"/>
    <ds:schemaRef ds:uri="http://purl.org/dc/dcmitype/"/>
    <ds:schemaRef ds:uri="http://schemas.microsoft.com/office/2006/metadata/properties"/>
    <ds:schemaRef ds:uri="9d9fd9e6-c86a-4755-9461-9f784f6b47c7"/>
    <ds:schemaRef ds:uri="http://www.w3.org/XML/1998/namespace"/>
    <ds:schemaRef ds:uri="http://purl.org/dc/elements/1.1/"/>
  </ds:schemaRefs>
</ds:datastoreItem>
</file>

<file path=customXml/itemProps2.xml><?xml version="1.0" encoding="utf-8"?>
<ds:datastoreItem xmlns:ds="http://schemas.openxmlformats.org/officeDocument/2006/customXml" ds:itemID="{9471DE91-4B70-424E-A782-88C4E47D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FD78F-75B6-4C4A-86C1-CC7BEDE5BA7E}">
  <ds:schemaRefs>
    <ds:schemaRef ds:uri="http://schemas.microsoft.com/sharepoint/events"/>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2024-07-16T18:57:00Z</dcterms:created>
  <dcterms:modified xsi:type="dcterms:W3CDTF">2024-07-16T18:58:00Z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b06ae99e-6dd2-41cd-9aef-b412dff01e3a</vt:lpwstr>
  </property>
  <property fmtid="{D5CDD505-2E9C-101B-9397-08002B2CF9AE}" pid="5" name="_docset_NoMedatataSyncRequired">
    <vt:lpwstr>False</vt:lpwstr>
  </property>
</Properties>
</file>