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864" w:rsidP="00A42C71" w14:paraId="3C8E2786" w14:textId="348F036A">
      <w:pPr>
        <w:pStyle w:val="ReportCover-Title"/>
        <w:jc w:val="center"/>
        <w:rPr>
          <w:rFonts w:eastAsia="Arial Unicode MS" w:asciiTheme="minorHAnsi" w:hAnsiTheme="minorHAnsi" w:cstheme="minorHAnsi"/>
          <w:noProof/>
          <w:color w:val="auto"/>
        </w:rPr>
      </w:pPr>
    </w:p>
    <w:p w:rsidR="00AE1864" w:rsidRPr="001A59B6" w:rsidP="00A42C71" w14:paraId="6D82DB2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8408D2" w:rsidP="008408D2" w14:paraId="1D2178C1" w14:textId="77777777">
      <w:pPr>
        <w:pStyle w:val="ReportCover-Title"/>
        <w:jc w:val="center"/>
        <w:rPr>
          <w:rFonts w:ascii="Arial" w:hAnsi="Arial" w:cs="Arial"/>
          <w:color w:val="auto"/>
        </w:rPr>
      </w:pPr>
      <w:r>
        <w:rPr>
          <w:rFonts w:ascii="Arial" w:eastAsia="Arial Unicode MS" w:hAnsi="Arial" w:cs="Arial"/>
          <w:noProof/>
          <w:color w:val="auto"/>
        </w:rPr>
        <w:t>The 2024 National Survey of Early Care and Education</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8408D2" w:rsidP="00A42C71" w14:paraId="3B1C155E" w14:textId="77777777">
      <w:pPr>
        <w:pStyle w:val="ReportCover-Title"/>
        <w:jc w:val="center"/>
        <w:rPr>
          <w:rFonts w:ascii="Arial" w:hAnsi="Arial" w:cs="Arial"/>
          <w:color w:val="auto"/>
          <w:sz w:val="32"/>
          <w:szCs w:val="32"/>
        </w:rPr>
      </w:pPr>
      <w:r w:rsidRPr="008408D2">
        <w:rPr>
          <w:rFonts w:ascii="Arial" w:hAnsi="Arial" w:cs="Arial"/>
          <w:color w:val="auto"/>
          <w:sz w:val="32"/>
          <w:szCs w:val="32"/>
        </w:rPr>
        <w:t>OMB Information Collection Request</w:t>
      </w:r>
    </w:p>
    <w:p w:rsidR="008408D2" w:rsidRPr="008408D2" w:rsidP="008408D2" w14:paraId="2DC5E3AF" w14:textId="77777777">
      <w:pPr>
        <w:pStyle w:val="ReportCover-Title"/>
        <w:jc w:val="center"/>
        <w:rPr>
          <w:rFonts w:ascii="Arial" w:hAnsi="Arial" w:cs="Arial"/>
          <w:sz w:val="32"/>
          <w:szCs w:val="32"/>
        </w:rPr>
      </w:pPr>
      <w:r w:rsidRPr="008408D2">
        <w:rPr>
          <w:rFonts w:ascii="Arial" w:hAnsi="Arial" w:cs="Arial"/>
          <w:color w:val="auto"/>
          <w:sz w:val="32"/>
          <w:szCs w:val="32"/>
        </w:rPr>
        <w:t xml:space="preserve">0970 - </w:t>
      </w:r>
      <w:r w:rsidRPr="008408D2">
        <w:rPr>
          <w:rFonts w:ascii="Arial" w:hAnsi="Arial" w:cs="Arial"/>
          <w:color w:val="auto"/>
          <w:sz w:val="32"/>
          <w:szCs w:val="32"/>
        </w:rPr>
        <w:t xml:space="preserve">0391 </w:t>
      </w:r>
    </w:p>
    <w:p w:rsidR="00A42C71" w:rsidRPr="001A59B6" w:rsidP="00A42C71" w14:paraId="3F6C890C" w14:textId="1BBC6EEB">
      <w:pPr>
        <w:pStyle w:val="ReportCover-Title"/>
        <w:jc w:val="center"/>
        <w:rPr>
          <w:rFonts w:asciiTheme="minorHAnsi" w:hAnsiTheme="minorHAnsi" w:cstheme="minorHAnsi"/>
          <w:color w:val="auto"/>
          <w:sz w:val="32"/>
          <w:szCs w:val="32"/>
        </w:rPr>
      </w:pP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8408D2" w:rsidP="008408D2" w14:paraId="0E5F18B4" w14:textId="6F34036F">
      <w:pPr>
        <w:pStyle w:val="ReportCover-Date"/>
        <w:spacing w:after="0"/>
        <w:jc w:val="center"/>
        <w:rPr>
          <w:rFonts w:ascii="Arial" w:hAnsi="Arial" w:cs="Arial"/>
          <w:color w:val="auto"/>
        </w:rPr>
      </w:pPr>
      <w:r w:rsidRPr="00744A0C">
        <w:rPr>
          <w:rFonts w:ascii="Arial" w:hAnsi="Arial" w:cs="Arial"/>
          <w:color w:val="auto"/>
        </w:rPr>
        <w:t xml:space="preserve">April </w:t>
      </w:r>
      <w:r w:rsidRPr="00744A0C" w:rsidR="00390011">
        <w:rPr>
          <w:rFonts w:ascii="Arial" w:hAnsi="Arial" w:cs="Arial"/>
          <w:color w:val="auto"/>
        </w:rPr>
        <w:t>2023</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P="008408D2" w14:paraId="48D9D0F9" w14:textId="3C39A6A0">
      <w:pPr>
        <w:pStyle w:val="ReportCover-Date"/>
        <w:spacing w:after="0"/>
        <w:rPr>
          <w:rFonts w:asciiTheme="minorHAnsi" w:hAnsiTheme="minorHAnsi" w:cstheme="minorHAnsi"/>
          <w:color w:val="auto"/>
        </w:rPr>
      </w:pPr>
    </w:p>
    <w:p w:rsidR="008408D2" w:rsidRPr="001A59B6" w:rsidP="008408D2" w14:paraId="0ABA0D83" w14:textId="77777777">
      <w:pPr>
        <w:pStyle w:val="ReportCover-Date"/>
        <w:spacing w:after="0"/>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8408D2" w:rsidP="008408D2" w14:paraId="0B7E670F" w14:textId="77777777">
      <w:pPr>
        <w:spacing w:after="0" w:line="240" w:lineRule="auto"/>
        <w:jc w:val="center"/>
        <w:rPr>
          <w:rFonts w:ascii="Arial" w:hAnsi="Arial" w:cs="Arial"/>
        </w:rPr>
      </w:pPr>
      <w:r>
        <w:rPr>
          <w:rFonts w:ascii="Arial" w:hAnsi="Arial" w:cs="Arial"/>
        </w:rPr>
        <w:t>Submitted By:</w:t>
      </w:r>
    </w:p>
    <w:p w:rsidR="008408D2" w:rsidP="008408D2" w14:paraId="0B446AE4" w14:textId="77777777">
      <w:pPr>
        <w:spacing w:after="0" w:line="240" w:lineRule="auto"/>
        <w:jc w:val="center"/>
        <w:rPr>
          <w:rFonts w:ascii="Arial" w:hAnsi="Arial" w:cs="Arial"/>
        </w:rPr>
      </w:pPr>
      <w:r>
        <w:rPr>
          <w:rFonts w:ascii="Arial" w:hAnsi="Arial" w:cs="Arial"/>
        </w:rPr>
        <w:t>Office of Planning, Research, and Evaluation</w:t>
      </w:r>
    </w:p>
    <w:p w:rsidR="008408D2" w:rsidP="008408D2" w14:paraId="5AC56865" w14:textId="77777777">
      <w:pPr>
        <w:spacing w:after="0" w:line="240" w:lineRule="auto"/>
        <w:jc w:val="center"/>
        <w:rPr>
          <w:rFonts w:ascii="Arial" w:hAnsi="Arial" w:cs="Arial"/>
        </w:rPr>
      </w:pPr>
      <w:r>
        <w:rPr>
          <w:rFonts w:ascii="Arial" w:hAnsi="Arial" w:cs="Arial"/>
        </w:rPr>
        <w:t xml:space="preserve">Administration for Children and Families </w:t>
      </w:r>
    </w:p>
    <w:p w:rsidR="008408D2" w:rsidP="008408D2" w14:paraId="6242D40A" w14:textId="77777777">
      <w:pPr>
        <w:spacing w:after="0" w:line="240" w:lineRule="auto"/>
        <w:jc w:val="center"/>
        <w:rPr>
          <w:rFonts w:ascii="Arial" w:hAnsi="Arial" w:cs="Arial"/>
        </w:rPr>
      </w:pPr>
      <w:r>
        <w:rPr>
          <w:rFonts w:ascii="Arial" w:hAnsi="Arial" w:cs="Arial"/>
        </w:rPr>
        <w:t>U.S. Department of Health and Human Services</w:t>
      </w:r>
    </w:p>
    <w:p w:rsidR="008408D2" w:rsidP="008408D2" w14:paraId="38CD6C4F" w14:textId="77777777">
      <w:pPr>
        <w:spacing w:after="0" w:line="240" w:lineRule="auto"/>
        <w:jc w:val="center"/>
        <w:rPr>
          <w:rFonts w:ascii="Arial" w:hAnsi="Arial" w:cs="Arial"/>
        </w:rPr>
      </w:pPr>
    </w:p>
    <w:p w:rsidR="008408D2" w:rsidP="008408D2" w14:paraId="3BC0E306" w14:textId="77777777">
      <w:pPr>
        <w:spacing w:after="0" w:line="240" w:lineRule="auto"/>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8408D2" w:rsidP="008408D2" w14:paraId="71D22C3A" w14:textId="77777777">
      <w:pPr>
        <w:spacing w:after="0" w:line="240" w:lineRule="auto"/>
        <w:jc w:val="center"/>
        <w:rPr>
          <w:rFonts w:ascii="Arial" w:hAnsi="Arial" w:cs="Arial"/>
        </w:rPr>
      </w:pPr>
      <w:r>
        <w:rPr>
          <w:rFonts w:ascii="Arial" w:hAnsi="Arial" w:cs="Arial"/>
        </w:rPr>
        <w:t>330 C Street, SW</w:t>
      </w:r>
    </w:p>
    <w:p w:rsidR="008408D2" w:rsidP="008408D2" w14:paraId="26F79F1D" w14:textId="77777777">
      <w:pPr>
        <w:spacing w:after="0" w:line="240" w:lineRule="auto"/>
        <w:jc w:val="center"/>
        <w:rPr>
          <w:rFonts w:ascii="Arial" w:hAnsi="Arial" w:cs="Arial"/>
        </w:rPr>
      </w:pPr>
      <w:r>
        <w:rPr>
          <w:rFonts w:ascii="Arial" w:hAnsi="Arial" w:cs="Arial"/>
        </w:rPr>
        <w:t>Washington, D.C. 20201</w:t>
      </w:r>
    </w:p>
    <w:p w:rsidR="008408D2" w:rsidP="008408D2" w14:paraId="049FE0B3" w14:textId="77777777">
      <w:pPr>
        <w:spacing w:after="0" w:line="240" w:lineRule="auto"/>
        <w:jc w:val="center"/>
        <w:rPr>
          <w:rFonts w:ascii="Arial" w:hAnsi="Arial" w:cs="Arial"/>
        </w:rPr>
      </w:pPr>
    </w:p>
    <w:p w:rsidR="008408D2" w:rsidP="008408D2" w14:paraId="047BD93F" w14:textId="77777777">
      <w:pPr>
        <w:spacing w:after="0" w:line="240" w:lineRule="auto"/>
        <w:jc w:val="center"/>
        <w:rPr>
          <w:rFonts w:ascii="Arial" w:hAnsi="Arial" w:cs="Arial"/>
        </w:rPr>
      </w:pPr>
      <w:r>
        <w:rPr>
          <w:rFonts w:ascii="Arial" w:hAnsi="Arial" w:cs="Arial"/>
        </w:rPr>
        <w:t>Project Officers: Ivelisse Martinez-Beck and Ann Rivera (OPRE)</w:t>
      </w:r>
    </w:p>
    <w:p w:rsidR="00E820B2" w:rsidP="00A42C71" w14:paraId="47EB70D9" w14:textId="77777777">
      <w:pPr>
        <w:spacing w:after="0" w:line="240" w:lineRule="auto"/>
        <w:jc w:val="center"/>
        <w:rPr>
          <w:rFonts w:cstheme="minorHAnsi"/>
          <w:b/>
        </w:rPr>
        <w:sectPr w:rsidSect="00E820B2">
          <w:headerReference w:type="default" r:id="rId9"/>
          <w:footerReference w:type="default" r:id="rId10"/>
          <w:pgSz w:w="12240" w:h="15840" w:code="1"/>
          <w:pgMar w:top="1440" w:right="1440" w:bottom="1440" w:left="1440" w:header="720" w:footer="720" w:gutter="0"/>
          <w:cols w:space="720"/>
          <w:titlePg/>
          <w:docGrid w:linePitch="360"/>
        </w:sectPr>
      </w:pPr>
    </w:p>
    <w:p w:rsidR="00A42C71" w:rsidRPr="001A59B6" w:rsidP="00BC6AEC" w14:paraId="45C49EBE" w14:textId="6E6361B7">
      <w:pPr>
        <w:pStyle w:val="Heading1"/>
      </w:pPr>
      <w:r w:rsidRPr="00BC6AEC">
        <w:t>Part</w:t>
      </w:r>
      <w:r w:rsidRPr="001A59B6">
        <w:t xml:space="preserve"> B</w:t>
      </w:r>
    </w:p>
    <w:p w:rsidR="00A42C71" w:rsidRPr="001A59B6" w:rsidP="00BC6AEC" w14:paraId="6D9C455E" w14:textId="77777777">
      <w:pPr>
        <w:pStyle w:val="Heading2"/>
      </w:pPr>
      <w:r w:rsidRPr="001A59B6">
        <w:t>B1.</w:t>
      </w:r>
      <w:r w:rsidRPr="001A59B6">
        <w:tab/>
      </w:r>
      <w:r w:rsidRPr="00BC6AEC">
        <w:t>Objectives</w:t>
      </w:r>
    </w:p>
    <w:p w:rsidR="00E37D56" w:rsidRPr="00BC6AEC" w:rsidP="00BC6AEC" w14:paraId="1A9B525A" w14:textId="4E3E61FB">
      <w:pPr>
        <w:pStyle w:val="Heading3"/>
      </w:pPr>
      <w:r w:rsidRPr="00BC6AEC">
        <w:t>Study Objectives</w:t>
      </w:r>
    </w:p>
    <w:p w:rsidR="00E37D56" w:rsidP="00E820B2" w14:paraId="795C1A73" w14:textId="4B45B5C7">
      <w:pPr>
        <w:pStyle w:val="BodyText"/>
      </w:pPr>
      <w:r>
        <w:t xml:space="preserve">The National Survey of Early Care and Education (NSECE) is designed to </w:t>
      </w:r>
      <w:r w:rsidR="00277466">
        <w:t xml:space="preserve">describe the landscape of early care and education (ECE) services in the </w:t>
      </w:r>
      <w:r w:rsidRPr="00E820B2" w:rsidR="00277466">
        <w:t>United</w:t>
      </w:r>
      <w:r w:rsidR="00277466">
        <w:t xml:space="preserve"> States and to </w:t>
      </w:r>
      <w:r>
        <w:t xml:space="preserve">support analyses of the association between the use of ECE services by </w:t>
      </w:r>
      <w:r w:rsidRPr="00E820B2">
        <w:t>families</w:t>
      </w:r>
      <w:r>
        <w:t xml:space="preserve"> and the availability of such services offered by providers. </w:t>
      </w:r>
      <w:bookmarkStart w:id="0" w:name="OLE_LINK12"/>
      <w:r w:rsidR="00BA1E68">
        <w:t xml:space="preserve">The Administration for Children and Families (ACF) has contracted with NORC at the University of Chicago to complete this work. </w:t>
      </w:r>
      <w:bookmarkEnd w:id="0"/>
      <w:r>
        <w:rPr>
          <w:szCs w:val="24"/>
        </w:rPr>
        <w:t>The three main objectives of the 2024 NSECE are:</w:t>
      </w:r>
    </w:p>
    <w:p w:rsidR="00E37D56" w:rsidRPr="00E820B2" w:rsidP="00E820B2" w14:paraId="5D6FA0B7" w14:textId="77777777">
      <w:pPr>
        <w:pStyle w:val="ListParagraph"/>
      </w:pPr>
      <w:bookmarkStart w:id="1" w:name="OLE_LINK2"/>
      <w:r w:rsidRPr="00E820B2">
        <w:t xml:space="preserve">to compare the supply of center-based providers, home-based providers (including unlisted home-based providers providing non-parental care for pay or for free), and the early childhood workforce from 2012 to </w:t>
      </w:r>
      <w:r w:rsidRPr="00E820B2">
        <w:t>2024;</w:t>
      </w:r>
      <w:r w:rsidRPr="00E820B2">
        <w:t xml:space="preserve"> </w:t>
      </w:r>
      <w:bookmarkEnd w:id="1"/>
    </w:p>
    <w:p w:rsidR="00E37D56" w:rsidP="00E820B2" w14:paraId="1E757EE6" w14:textId="77777777">
      <w:pPr>
        <w:pStyle w:val="ListParagraph"/>
      </w:pPr>
      <w:bookmarkStart w:id="2" w:name="OLE_LINK6"/>
      <w:r>
        <w:t xml:space="preserve">to understand the characteristics, schedules, preferences, and choices of non-parental care among households with children and how these may have changed in this 12-year period; and </w:t>
      </w:r>
    </w:p>
    <w:p w:rsidR="00E37D56" w:rsidP="00E820B2" w14:paraId="1C91FF0B" w14:textId="77777777">
      <w:pPr>
        <w:pStyle w:val="ListParagraph"/>
      </w:pPr>
      <w:bookmarkStart w:id="3" w:name="OLE_LINK7"/>
      <w:bookmarkEnd w:id="2"/>
      <w:r>
        <w:t>to document how the field of ECE responded to policy initiatives during the period between 2012 and 2024, including changes in supply and demand during the COVID-19 pandemic starting in 2020</w:t>
      </w:r>
      <w:bookmarkEnd w:id="3"/>
      <w:r>
        <w:t>.</w:t>
      </w:r>
    </w:p>
    <w:p w:rsidR="00A42C71" w:rsidRPr="00E37D56" w:rsidP="00E820B2" w14:paraId="5329D960" w14:textId="4E5ED496">
      <w:pPr>
        <w:pStyle w:val="BodyText"/>
      </w:pPr>
      <w:r>
        <w:t>To support these objectives, the 2024 NSECE will collect information through a set of four inter-related surveys on (1) ECE</w:t>
      </w:r>
      <w:r w:rsidR="00390011">
        <w:t xml:space="preserve"> </w:t>
      </w:r>
      <w:r>
        <w:t xml:space="preserve">services available (supply) to families with children ages birth through 5 years, not yet in kindergarten; (2) characteristics of the workforce providing these </w:t>
      </w:r>
      <w:r w:rsidR="00277466">
        <w:t>ECE</w:t>
      </w:r>
      <w:r>
        <w:t xml:space="preserve"> services; and (3) households with children under age 13</w:t>
      </w:r>
      <w:r w:rsidR="00FE29E5">
        <w:t>.</w:t>
      </w:r>
      <w:r w:rsidR="00D568E8">
        <w:t xml:space="preserve"> </w:t>
      </w:r>
      <w:r>
        <w:t xml:space="preserve">The local nature of ECE usage </w:t>
      </w:r>
      <w:r w:rsidR="00277466">
        <w:t>necessitates</w:t>
      </w:r>
      <w:r>
        <w:t xml:space="preserve"> collecting and analyzing data in matched geographic areas.</w:t>
      </w:r>
      <w:bookmarkStart w:id="4" w:name="OLE_LINK31"/>
      <w:r>
        <w:t xml:space="preserve"> In order to strengthen the tie between the use and provision of ECE services and to support the main objectives of the 2024 NSECE, we propose a sampling approach in which sampled units from all four surveys are co-located in small geographic areas. </w:t>
      </w:r>
      <w:bookmarkEnd w:id="4"/>
      <w:r>
        <w:t xml:space="preserve"> </w:t>
      </w:r>
    </w:p>
    <w:p w:rsidR="00A42C71" w:rsidRPr="00A766E6" w:rsidP="00D457B3" w14:paraId="4037E45E" w14:textId="5818E60D">
      <w:pPr>
        <w:pStyle w:val="Heading3"/>
      </w:pPr>
      <w:r w:rsidRPr="001A59B6">
        <w:t xml:space="preserve">Generalizability of Results </w:t>
      </w:r>
    </w:p>
    <w:p w:rsidR="00E37D56" w:rsidP="00E820B2" w14:paraId="75F38205" w14:textId="1E155922">
      <w:pPr>
        <w:pStyle w:val="BodyText"/>
      </w:pPr>
      <w:r>
        <w:t xml:space="preserve">The NSECE’s household survey component is intended to produce nationally representative estimates of </w:t>
      </w:r>
      <w:r w:rsidR="00390011">
        <w:t>ECE</w:t>
      </w:r>
      <w:r>
        <w:t xml:space="preserve"> usage by all families in the United States with age eligible children (</w:t>
      </w:r>
      <w:r w:rsidR="00E43DA8">
        <w:t>under 13 years</w:t>
      </w:r>
      <w:r>
        <w:t>). Survey results are therefore generalizable to two populations: the population of all households with eligible children, and the population of all children under 13. The household survey is also intended to produce nationally representative estimates of the characteristics of individuals who do not appear on state or national lists of ECE providers but do care at least 5 hours per week in a home-based setting for children of eligible age who are not their own. These providers are referred to as unlisted home-based providers (UHBs).</w:t>
      </w:r>
    </w:p>
    <w:p w:rsidR="00E37D56" w:rsidP="00E820B2" w14:paraId="5C1EB352" w14:textId="328ECCFD">
      <w:pPr>
        <w:pStyle w:val="BodyText"/>
      </w:pPr>
      <w:r>
        <w:t xml:space="preserve">The NSECE’s </w:t>
      </w:r>
      <w:r w:rsidR="000463A5">
        <w:t xml:space="preserve">ECE </w:t>
      </w:r>
      <w:r>
        <w:t>provider survey component is intended to produce nationally</w:t>
      </w:r>
      <w:r w:rsidR="000836F1">
        <w:t>-</w:t>
      </w:r>
      <w:r>
        <w:t>representative estimates of the characteristics of the following groups of providers</w:t>
      </w:r>
      <w:r w:rsidR="007B05C7">
        <w:t xml:space="preserve"> or workforce members</w:t>
      </w:r>
      <w:r>
        <w:t>:</w:t>
      </w:r>
    </w:p>
    <w:p w:rsidR="00E37D56" w:rsidRPr="00E820B2" w:rsidP="00E820B2" w14:paraId="20D24022" w14:textId="77777777">
      <w:pPr>
        <w:pStyle w:val="ListParagraph"/>
      </w:pPr>
      <w:r w:rsidRPr="00E820B2">
        <w:t>individuals who provided paid care for children under the age of 13 in a residential setting as of 2024 (Home-based Providers</w:t>
      </w:r>
      <w:r w:rsidRPr="00E820B2">
        <w:t>);</w:t>
      </w:r>
      <w:r w:rsidRPr="00E820B2">
        <w:t xml:space="preserve"> </w:t>
      </w:r>
    </w:p>
    <w:p w:rsidR="00E37D56" w:rsidRPr="00E820B2" w:rsidP="00E820B2" w14:paraId="3CF32F0B" w14:textId="77777777">
      <w:pPr>
        <w:pStyle w:val="ListParagraph"/>
      </w:pPr>
      <w:r w:rsidRPr="00E820B2">
        <w:t xml:space="preserve">providers of care to children ages 0 through 5 years of age (not yet in kindergarten) in a non-residential setting as of 2024 (Center-based Providers); and </w:t>
      </w:r>
    </w:p>
    <w:p w:rsidR="00E37D56" w:rsidP="00E820B2" w14:paraId="586098E7" w14:textId="0F0FC167">
      <w:pPr>
        <w:pStyle w:val="ListParagraph"/>
      </w:pPr>
      <w:r w:rsidRPr="00E820B2">
        <w:t xml:space="preserve">individuals employed in center-based </w:t>
      </w:r>
      <w:r w:rsidRPr="00E820B2">
        <w:t>child care</w:t>
      </w:r>
      <w:r w:rsidRPr="00E820B2">
        <w:t xml:space="preserve"> programs working directly with children </w:t>
      </w:r>
      <w:r w:rsidRPr="00E820B2" w:rsidR="007B05C7">
        <w:t>age 5 and under</w:t>
      </w:r>
      <w:r w:rsidR="007B05C7">
        <w:t xml:space="preserve">, not yet in kindergarten, </w:t>
      </w:r>
      <w:r>
        <w:t>in classrooms as of 2024 (</w:t>
      </w:r>
      <w:r w:rsidR="000836F1">
        <w:t>workforce</w:t>
      </w:r>
      <w:r w:rsidR="00FF4302">
        <w:t xml:space="preserve"> </w:t>
      </w:r>
      <w:r w:rsidR="00E760D9">
        <w:t>[</w:t>
      </w:r>
      <w:r w:rsidR="00FF4302">
        <w:t>classroom staff</w:t>
      </w:r>
      <w:r w:rsidR="00E760D9">
        <w:t>]</w:t>
      </w:r>
      <w:r>
        <w:t>).</w:t>
      </w:r>
    </w:p>
    <w:p w:rsidR="00E37D56" w:rsidP="00D457B3" w14:paraId="2601560B" w14:textId="7B8D4BE1">
      <w:pPr>
        <w:pStyle w:val="Heading3"/>
      </w:pPr>
      <w:r>
        <w:t xml:space="preserve">Appropriateness of Study Design and Methods for Planned Uses </w:t>
      </w:r>
    </w:p>
    <w:p w:rsidR="00EA25CC" w:rsidP="00E820B2" w14:paraId="2FDAFC78" w14:textId="18084A06">
      <w:pPr>
        <w:pStyle w:val="BodyText"/>
        <w:rPr>
          <w:i/>
        </w:rPr>
      </w:pPr>
      <w:r>
        <w:t xml:space="preserve">The NSECE’s design ensures that nationally representative samples </w:t>
      </w:r>
      <w:r w:rsidR="007B05C7">
        <w:t xml:space="preserve">are created </w:t>
      </w:r>
      <w:r w:rsidR="00442ED7">
        <w:t>for</w:t>
      </w:r>
      <w:r>
        <w:t xml:space="preserve"> households that </w:t>
      </w:r>
      <w:r w:rsidR="007B05C7">
        <w:t xml:space="preserve">could </w:t>
      </w:r>
      <w:r>
        <w:t>utilize ECE services</w:t>
      </w:r>
      <w:r w:rsidR="00442ED7">
        <w:t>,</w:t>
      </w:r>
      <w:r>
        <w:t xml:space="preserve"> </w:t>
      </w:r>
      <w:r w:rsidR="007B05C7">
        <w:t xml:space="preserve">ECE </w:t>
      </w:r>
      <w:r>
        <w:t>providers (both listed and unlisted)</w:t>
      </w:r>
      <w:r w:rsidR="00442ED7">
        <w:t>, and workforce who are working in the center</w:t>
      </w:r>
      <w:r w:rsidR="000E2C13">
        <w:t>-</w:t>
      </w:r>
      <w:r w:rsidR="00442ED7">
        <w:t>based classrooms</w:t>
      </w:r>
      <w:r>
        <w:t xml:space="preserve">. Use of area sampling for both the household and provider samples allows us to document the interaction of supply and demand for ECE in local communities, while simultaneously capturing data that efficiently construct national estimates. Finally, the creation of sampling weights ensures that unbiased survey estimates of household and provider characteristics can be </w:t>
      </w:r>
      <w:r w:rsidR="00277466">
        <w:t>produced</w:t>
      </w:r>
      <w:r>
        <w:t>.</w:t>
      </w:r>
    </w:p>
    <w:p w:rsidR="00E37D56" w:rsidP="00E820B2" w14:paraId="1C4EAA35" w14:textId="77777777">
      <w:pPr>
        <w:pStyle w:val="BodyText"/>
        <w:rPr>
          <w:b/>
          <w:i/>
          <w:strike/>
        </w:rPr>
      </w:pPr>
      <w: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BC6AEC" w14:paraId="0A71D7FD" w14:textId="77777777">
      <w:pPr>
        <w:pStyle w:val="Heading2"/>
      </w:pPr>
      <w:r w:rsidRPr="001A59B6">
        <w:t>B2.</w:t>
      </w:r>
      <w:r w:rsidRPr="001A59B6">
        <w:tab/>
        <w:t>Methods and Design</w:t>
      </w:r>
    </w:p>
    <w:p w:rsidR="00E37D56" w:rsidP="00D457B3" w14:paraId="066ED536" w14:textId="77777777">
      <w:pPr>
        <w:pStyle w:val="Heading3"/>
      </w:pPr>
      <w:r>
        <w:t xml:space="preserve">Target Population  </w:t>
      </w:r>
    </w:p>
    <w:p w:rsidR="00E37D56" w:rsidP="00E820B2" w14:paraId="64F628B8" w14:textId="33DC245A">
      <w:pPr>
        <w:pStyle w:val="BodyText"/>
      </w:pPr>
      <w:bookmarkStart w:id="5" w:name="OLE_LINK40"/>
      <w:r>
        <w:t>The target population for the 2024 NSECE’s household survey component is households with at least one child below the age of 13. There are an estimated 28.9 million such households in the US (source: ACS PUMS 5-year data, 2020 vintage). Because households with children</w:t>
      </w:r>
      <w:r w:rsidR="00277466">
        <w:t xml:space="preserve"> that have low</w:t>
      </w:r>
      <w:r w:rsidR="0046279D">
        <w:t xml:space="preserve"> </w:t>
      </w:r>
      <w:r w:rsidR="00277466">
        <w:t>income</w:t>
      </w:r>
      <w:r w:rsidR="009724E7">
        <w:t>s</w:t>
      </w:r>
      <w:r>
        <w:t xml:space="preserve"> are of great interest to researchers and policy makers this subpopulation will be oversampled by the NSECE. There are an estimated 7 million households with eligible children and household incomes below $40,000 (source: source: ACS PUMS 5-year data, 2020 vintage). In line with the target population</w:t>
      </w:r>
      <w:r w:rsidR="00277466">
        <w:t>,</w:t>
      </w:r>
      <w:r>
        <w:t xml:space="preserve"> the ultimate sampling unit is the household.</w:t>
      </w:r>
    </w:p>
    <w:bookmarkEnd w:id="5"/>
    <w:p w:rsidR="00E37D56" w:rsidP="00E820B2" w14:paraId="553246A3" w14:textId="4ED1936D">
      <w:pPr>
        <w:pStyle w:val="BodyText"/>
      </w:pPr>
      <w:r>
        <w:t xml:space="preserve">The 2024 NSECE’s provider survey component targets three distinct populations, as described in Section B1. Based on figures from the 2019 NSECE, estimated population sizes are </w:t>
      </w:r>
      <w:r w:rsidR="002B5379">
        <w:t>5</w:t>
      </w:r>
      <w:r>
        <w:t>.</w:t>
      </w:r>
      <w:r w:rsidR="002B5379">
        <w:t>2</w:t>
      </w:r>
      <w:r>
        <w:t xml:space="preserve"> million individuals for </w:t>
      </w:r>
      <w:r w:rsidR="002B5379">
        <w:t xml:space="preserve">listed and unlisted </w:t>
      </w:r>
      <w:r>
        <w:t>Home-based Providers; 121,000 programs for Center-based Providers; and 1.</w:t>
      </w:r>
      <w:r w:rsidR="002B5379">
        <w:t>3</w:t>
      </w:r>
      <w:r w:rsidR="007B05C7">
        <w:t>6</w:t>
      </w:r>
      <w:r>
        <w:t xml:space="preserve"> million individuals for Center-based </w:t>
      </w:r>
      <w:r w:rsidR="00334FC7">
        <w:t>Workforce</w:t>
      </w:r>
      <w:r w:rsidR="00DD7A5C">
        <w:t xml:space="preserve"> (Classroom Staff)</w:t>
      </w:r>
      <w:r>
        <w:t>. In addition, the NSECE distinguishes between two types of paid Home-based Providers: (</w:t>
      </w:r>
      <w:r>
        <w:t>i</w:t>
      </w:r>
      <w:r>
        <w:t xml:space="preserve">) listed Home-based Providers, who are licensed, license-exempt, registered, regulated, and otherwise listed home-based ECE providers identified from state or national administrative lists, and (ii) unlisted Home-based Providers, who do not appear on any administrative lists and are identified from the household screener in the NSECE survey. Of the estimated </w:t>
      </w:r>
      <w:r w:rsidR="002B5379">
        <w:t>5</w:t>
      </w:r>
      <w:r>
        <w:t>.</w:t>
      </w:r>
      <w:r w:rsidR="002B5379">
        <w:t>2</w:t>
      </w:r>
      <w:r>
        <w:t xml:space="preserve"> million Home-based Providers, about 91,000 were listed Home-based Providers, about 1,050,000 were </w:t>
      </w:r>
      <w:r w:rsidR="002B5379">
        <w:t xml:space="preserve">paid </w:t>
      </w:r>
      <w:r>
        <w:t>unlisted Providers</w:t>
      </w:r>
      <w:r w:rsidR="002B5379">
        <w:t>, and about 4,030,000 were unpaid unlisted Home-based Providers</w:t>
      </w:r>
      <w:r>
        <w:t>.</w:t>
      </w:r>
    </w:p>
    <w:p w:rsidR="00E37D56" w:rsidP="00D457B3" w14:paraId="3DC61AB0" w14:textId="77777777">
      <w:pPr>
        <w:pStyle w:val="Heading3"/>
      </w:pPr>
      <w:r>
        <w:t>Sampling and Site Selection</w:t>
      </w:r>
    </w:p>
    <w:p w:rsidR="00E37D56" w:rsidP="00E820B2" w14:paraId="71830FA3" w14:textId="40FCACCD">
      <w:pPr>
        <w:pStyle w:val="BodyText"/>
      </w:pPr>
      <w:r>
        <w:t>The household survey sample will be selected in three stages. In the first stage, 217 primary sampling units (PSUs) which are either individual counties or groups of smaller counties in each of the 50 states and the District of Columbia will be selected; the sampling frame for this stage is a list of all counties in the US with relevant county level Census data. In the second stage</w:t>
      </w:r>
      <w:r w:rsidR="00D92CBF">
        <w:t>,</w:t>
      </w:r>
      <w:r>
        <w:t xml:space="preserve"> 741 secondary sampling units (SSUs) which are either individual census tracts or groups of small census tracts will be selected within selected PSUs; the frame for this stage will be created from the most up-to-date list of Census tracts within all selected PSUs along with relevant tract level Census data. In the third and final stage</w:t>
      </w:r>
      <w:r w:rsidR="00637D12">
        <w:t>,</w:t>
      </w:r>
      <w:r>
        <w:t xml:space="preserve"> household addresses will be selected and then screened for the presence of eligible children and/or individuals who provide care to children who are not their own at least 5 hours per week. The sampling frame for the third stage sample will be an instance of the United States Postal Service (USPS) computerized delivery sequence file (CDSF) provided by NORC’s vendor. </w:t>
      </w:r>
      <w:bookmarkStart w:id="6" w:name="OLE_LINK3"/>
      <w:r>
        <w:t xml:space="preserve">The target final sample size is 10,000 survey completes from eligible households, of which </w:t>
      </w:r>
      <w:r w:rsidR="007B05C7">
        <w:t xml:space="preserve">at least </w:t>
      </w:r>
      <w:r>
        <w:t>4,</w:t>
      </w:r>
      <w:r w:rsidR="007B05C7">
        <w:t>0</w:t>
      </w:r>
      <w:r>
        <w:t xml:space="preserve">00 are households </w:t>
      </w:r>
      <w:bookmarkEnd w:id="6"/>
      <w:r>
        <w:t xml:space="preserve">with incomes below $40,000. The </w:t>
      </w:r>
      <w:r w:rsidR="00414A0E">
        <w:t>household</w:t>
      </w:r>
      <w:r>
        <w:t xml:space="preserve"> survey is also projected to provide approximately 1,200 </w:t>
      </w:r>
      <w:r w:rsidR="00442ED7">
        <w:t xml:space="preserve">additional </w:t>
      </w:r>
      <w:r>
        <w:t>survey completes from unlisted home-based providers</w:t>
      </w:r>
    </w:p>
    <w:p w:rsidR="00E37D56" w:rsidP="00E820B2" w14:paraId="16145AB2" w14:textId="20660A9A">
      <w:pPr>
        <w:pStyle w:val="BodyText"/>
      </w:pPr>
      <w:r>
        <w:t>The sampling frame for the listed provider survey</w:t>
      </w:r>
      <w:r w:rsidR="00414A0E">
        <w:t>s (center-based provider survey and home-based provider survey for listed providers)</w:t>
      </w:r>
      <w:r>
        <w:t xml:space="preserve"> will be constructed by gathering state-level lists of center-based and home-based providers from the relevant state agencies. This effort will include obtaining publicly available online administrative lists and having individualized follow-up conversations with state administrators based on the publicly available information. We will supplement these with national lists of ECE providers, for example, lists from the Office of Head Start, the accreditation list from the National Association for the Education of Young Children, and ECE provider lists maintained by federal agencies such as the Department of Defense and the General Services Administration. An important supplemental source will be a commercially available list of all K-8</w:t>
      </w:r>
      <w:r>
        <w:rPr>
          <w:vertAlign w:val="superscript"/>
        </w:rPr>
        <w:t>th</w:t>
      </w:r>
      <w:r>
        <w:t xml:space="preserve"> grade elementary schools in the country; many of these locations potentially have early childhood programs that do not appear on state lists.</w:t>
      </w:r>
    </w:p>
    <w:p w:rsidR="00E37D56" w:rsidP="00E820B2" w14:paraId="51F5ED4B" w14:textId="4089A4F4">
      <w:pPr>
        <w:pStyle w:val="BodyText"/>
      </w:pPr>
      <w:r>
        <w:t xml:space="preserve">The listed provider sample will also </w:t>
      </w:r>
      <w:r w:rsidR="007607C4">
        <w:t xml:space="preserve">be </w:t>
      </w:r>
      <w:r>
        <w:t>selected in three stages.</w:t>
      </w:r>
      <w:r w:rsidR="00D568E8">
        <w:t xml:space="preserve"> </w:t>
      </w:r>
      <w:r>
        <w:t>The PSUs are the same as those selected for the household survey.</w:t>
      </w:r>
      <w:r w:rsidR="00D568E8">
        <w:t xml:space="preserve"> </w:t>
      </w:r>
      <w:r>
        <w:t>The SSUs are larger in area but geographically connected to household SSUs.</w:t>
      </w:r>
      <w:r w:rsidR="00D568E8">
        <w:t xml:space="preserve"> </w:t>
      </w:r>
      <w:r>
        <w:t>In the third stage, a sample of physical locations where at least one eligible provider is located will be selected from each selected SSU.</w:t>
      </w:r>
      <w:bookmarkStart w:id="7" w:name="OLE_LINK4"/>
      <w:r w:rsidR="00D568E8">
        <w:t xml:space="preserve"> </w:t>
      </w:r>
      <w:r>
        <w:t>The target final sample size is 1</w:t>
      </w:r>
      <w:r w:rsidR="003075A8">
        <w:t>2</w:t>
      </w:r>
      <w:r>
        <w:t>,</w:t>
      </w:r>
      <w:r w:rsidR="003075A8">
        <w:t>76</w:t>
      </w:r>
      <w:r>
        <w:t>0 survey completes</w:t>
      </w:r>
      <w:bookmarkEnd w:id="7"/>
      <w:r>
        <w:t xml:space="preserve">, of which </w:t>
      </w:r>
      <w:r w:rsidR="00D70BC2">
        <w:t xml:space="preserve">about </w:t>
      </w:r>
      <w:r w:rsidR="003075A8">
        <w:t>8</w:t>
      </w:r>
      <w:r>
        <w:t>,</w:t>
      </w:r>
      <w:r w:rsidR="003075A8">
        <w:t>4</w:t>
      </w:r>
      <w:r>
        <w:t>00 are center-based providers, and 4,</w:t>
      </w:r>
      <w:r w:rsidR="003075A8">
        <w:t>36</w:t>
      </w:r>
      <w:r>
        <w:t>0 are listed home-based providers.</w:t>
      </w:r>
    </w:p>
    <w:p w:rsidR="00E37D56" w:rsidP="00E820B2" w14:paraId="45A352A3" w14:textId="59D65B4B">
      <w:pPr>
        <w:pStyle w:val="BodyText"/>
        <w:rPr>
          <w:rFonts w:ascii="Times New Roman" w:hAnsi="Times New Roman" w:cs="Times New Roman"/>
          <w:sz w:val="24"/>
          <w:szCs w:val="24"/>
        </w:rPr>
      </w:pPr>
      <w:r>
        <w:t xml:space="preserve">The center-based provider </w:t>
      </w:r>
      <w:r w:rsidR="00334FC7">
        <w:t xml:space="preserve">screener and </w:t>
      </w:r>
      <w:r>
        <w:t xml:space="preserve">questionnaire includes questions about a randomly selected classroom or group within the program. The respondent is then asked to enumerate all personnel who are primarily assigned to that classroom. For the </w:t>
      </w:r>
      <w:r w:rsidR="007428D2">
        <w:t>workforce (</w:t>
      </w:r>
      <w:r>
        <w:t>classroom staf</w:t>
      </w:r>
      <w:r w:rsidR="007428D2">
        <w:t>f</w:t>
      </w:r>
      <w:r>
        <w:t xml:space="preserve">) survey, we will randomly select at least one staff member from among those enumerated as belonging to the randomly selected classroom. The target final sample size is </w:t>
      </w:r>
      <w:r w:rsidR="00D70BC2">
        <w:t xml:space="preserve">about </w:t>
      </w:r>
      <w:r w:rsidR="003075A8">
        <w:t>7</w:t>
      </w:r>
      <w:r>
        <w:t>,</w:t>
      </w:r>
      <w:r w:rsidR="003075A8">
        <w:t>42</w:t>
      </w:r>
      <w:r>
        <w:t>0 survey completes.</w:t>
      </w:r>
      <w:r>
        <w:rPr>
          <w:rFonts w:ascii="Times New Roman" w:hAnsi="Times New Roman" w:cs="Times New Roman"/>
          <w:sz w:val="24"/>
          <w:szCs w:val="24"/>
        </w:rPr>
        <w:t xml:space="preserve"> </w:t>
      </w:r>
    </w:p>
    <w:p w:rsidR="00A42C71" w:rsidRPr="001A59B6" w:rsidP="00D457B3" w14:paraId="39D4A6AF" w14:textId="77777777">
      <w:pPr>
        <w:pStyle w:val="Heading2"/>
      </w:pPr>
      <w:r w:rsidRPr="001A59B6">
        <w:t>B3.</w:t>
      </w:r>
      <w:r w:rsidRPr="001A59B6">
        <w:tab/>
        <w:t>Design of Data Collection Instruments</w:t>
      </w:r>
    </w:p>
    <w:p w:rsidR="00A42C71" w:rsidRPr="001A59B6" w:rsidP="00D457B3" w14:paraId="2E0B6BE8" w14:textId="33BFAB4B">
      <w:pPr>
        <w:pStyle w:val="Heading3"/>
      </w:pPr>
      <w:r w:rsidRPr="001A59B6">
        <w:t>Development of Data Collection Instruments</w:t>
      </w:r>
    </w:p>
    <w:p w:rsidR="00814266" w:rsidRPr="00814266" w:rsidP="00E820B2" w14:paraId="2A04A759" w14:textId="29A5D06C">
      <w:pPr>
        <w:pStyle w:val="BodyText"/>
      </w:pPr>
      <w:bookmarkStart w:id="8" w:name="OLE_LINK1"/>
      <w:r w:rsidRPr="00814266">
        <w:t xml:space="preserve">The majority of items proposed for the four questionnaires come from other studies that have successfully fielded the items to understand ECE supply or with comparable populations, especially including the 2019 and 2012 NSECE instruments themselves. In addition, we received feedback on the submitted questionnaires from several individuals who have conducted surveys with ECE provider populations (regarding the appropriateness of questionnaire design for collecting high quality data), as well as from ACF program staff (regarding the relevance of questionnaire design to achieve the agency’s objectives and meet the data analyses goals). We also conducted cognitive interviews with members of the target populations to understand issues such as ability to recall requested information or to populate </w:t>
      </w:r>
      <w:r w:rsidRPr="00814266" w:rsidR="00D75390">
        <w:t>code frames</w:t>
      </w:r>
      <w:r w:rsidRPr="00814266">
        <w:t xml:space="preserve"> within the questionnaire.</w:t>
      </w:r>
      <w:r w:rsidRPr="00004079" w:rsidR="00004079">
        <w:rPr>
          <w:bCs/>
        </w:rPr>
        <w:t xml:space="preserve"> </w:t>
      </w:r>
      <w:r w:rsidR="00004079">
        <w:rPr>
          <w:bCs/>
        </w:rPr>
        <w:t>Through these consultation efforts, the study team did not request the same information from more than 9 individuals and therefore the Paperwork Reduction Act was not implicated by these activities.</w:t>
      </w:r>
    </w:p>
    <w:p w:rsidR="00814266" w:rsidRPr="00117B10" w:rsidP="00E820B2" w14:paraId="5C611BE3" w14:textId="724730EB">
      <w:pPr>
        <w:pStyle w:val="BodyText"/>
        <w:rPr>
          <w:color w:val="242424"/>
          <w:sz w:val="21"/>
          <w:szCs w:val="21"/>
        </w:rPr>
      </w:pPr>
      <w:r w:rsidRPr="00814266">
        <w:t xml:space="preserve">The design takes a multi-layered approach to identifying and minimizing measurement error, beginning with using well-tested questions with high-quality benchmarking data wherever possible. This ensures that questions are functioning as anticipated and that collected data can be compared with other sources, including the 2012 and 2019 NSECE data, as well as </w:t>
      </w:r>
      <w:r w:rsidRPr="00117B10" w:rsidR="009C0BC0">
        <w:rPr>
          <w:color w:val="242424"/>
        </w:rPr>
        <w:t>other large scale economic, education and social surveys</w:t>
      </w:r>
      <w:r w:rsidRPr="00B204D9" w:rsidR="00B204D9">
        <w:rPr>
          <w:color w:val="242424"/>
        </w:rPr>
        <w:t xml:space="preserve"> (e.g., </w:t>
      </w:r>
      <w:r w:rsidRPr="00117B10" w:rsidR="00B204D9">
        <w:rPr>
          <w:color w:val="242424"/>
        </w:rPr>
        <w:t>Federal Reserve Board’s Survey of Household Economics and Decision</w:t>
      </w:r>
      <w:r w:rsidR="00EA56F7">
        <w:rPr>
          <w:color w:val="242424"/>
        </w:rPr>
        <w:t>-</w:t>
      </w:r>
      <w:r w:rsidRPr="00117B10" w:rsidR="00B204D9">
        <w:rPr>
          <w:color w:val="242424"/>
        </w:rPr>
        <w:t>making, National Household Education Survey, 2019</w:t>
      </w:r>
      <w:r w:rsidRPr="00B204D9" w:rsidR="00B204D9">
        <w:rPr>
          <w:color w:val="242424"/>
        </w:rPr>
        <w:t>)</w:t>
      </w:r>
      <w:r w:rsidRPr="00117B10" w:rsidR="009C0BC0">
        <w:rPr>
          <w:color w:val="242424"/>
        </w:rPr>
        <w:t xml:space="preserve">, and </w:t>
      </w:r>
      <w:r w:rsidRPr="00B204D9" w:rsidR="009C0BC0">
        <w:rPr>
          <w:color w:val="242424"/>
        </w:rPr>
        <w:t>other</w:t>
      </w:r>
      <w:r w:rsidRPr="00117B10" w:rsidR="009C0BC0">
        <w:rPr>
          <w:color w:val="242424"/>
        </w:rPr>
        <w:t xml:space="preserve"> ECE provider and workforce </w:t>
      </w:r>
      <w:r w:rsidR="00DD7A5C">
        <w:rPr>
          <w:color w:val="242424"/>
        </w:rPr>
        <w:t xml:space="preserve">(classroom staff) </w:t>
      </w:r>
      <w:r w:rsidRPr="00117B10" w:rsidR="009C0BC0">
        <w:rPr>
          <w:color w:val="242424"/>
        </w:rPr>
        <w:t>surveys fielded at national and state levels</w:t>
      </w:r>
      <w:r w:rsidRPr="00B204D9" w:rsidR="009C0BC0">
        <w:rPr>
          <w:color w:val="242424"/>
        </w:rPr>
        <w:t xml:space="preserve"> (e.g., </w:t>
      </w:r>
      <w:r w:rsidRPr="00117B10" w:rsidR="009C0BC0">
        <w:rPr>
          <w:color w:val="242424"/>
        </w:rPr>
        <w:t>The Massachusetts Early Education and Care Workforce Survey and The State of Minnesota’s Formerly Licensed Child Care Provider Survey</w:t>
      </w:r>
      <w:r w:rsidR="00B204D9">
        <w:rPr>
          <w:color w:val="242424"/>
        </w:rPr>
        <w:t>)</w:t>
      </w:r>
      <w:r w:rsidRPr="00B204D9">
        <w:t>.</w:t>
      </w:r>
      <w:r w:rsidRPr="00814266">
        <w:t xml:space="preserve"> Questionnaire functioning will be monitored during data collection for evidence of respondent miscomprehension, such as misplaced decimals, high incidence of break-offs at individual items, or unusual distributions on key variables. We will also monitor data collection for evidence of systematic patterns of non-response, and for internal consistency of responses.</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5"/>
        <w:gridCol w:w="4675"/>
      </w:tblGrid>
      <w:tr w14:paraId="2D0AA414" w14:textId="77777777" w:rsidTr="00A64E2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675" w:type="dxa"/>
            <w:hideMark/>
          </w:tcPr>
          <w:p w:rsidR="00814266" w:rsidRPr="00A664BC" w:rsidP="00A664BC" w14:paraId="52200E64" w14:textId="77777777">
            <w:pPr>
              <w:pStyle w:val="TableHeader"/>
              <w:rPr>
                <w:b w:val="0"/>
                <w:bCs w:val="0"/>
              </w:rPr>
            </w:pPr>
            <w:r w:rsidRPr="00A664BC">
              <w:rPr>
                <w:bCs w:val="0"/>
              </w:rPr>
              <w:t>Study Objective</w:t>
            </w:r>
          </w:p>
        </w:tc>
        <w:tc>
          <w:tcPr>
            <w:tcW w:w="4675" w:type="dxa"/>
            <w:hideMark/>
          </w:tcPr>
          <w:p w:rsidR="00814266" w:rsidRPr="00A664BC" w:rsidP="00A664BC" w14:paraId="32D4E965" w14:textId="77777777">
            <w:pPr>
              <w:pStyle w:val="TableHeader"/>
              <w:rPr>
                <w:b w:val="0"/>
                <w:bCs w:val="0"/>
              </w:rPr>
            </w:pPr>
            <w:r w:rsidRPr="00A664BC">
              <w:rPr>
                <w:bCs w:val="0"/>
              </w:rPr>
              <w:t>Instrument</w:t>
            </w:r>
          </w:p>
        </w:tc>
      </w:tr>
      <w:tr w14:paraId="78CF4A26" w14:textId="77777777" w:rsidTr="00A64E2D">
        <w:tblPrEx>
          <w:tblW w:w="0" w:type="auto"/>
          <w:tblLayout w:type="fixed"/>
          <w:tblLook w:val="04A0"/>
        </w:tblPrEx>
        <w:tc>
          <w:tcPr>
            <w:tcW w:w="4675" w:type="dxa"/>
          </w:tcPr>
          <w:p w:rsidR="00814266" w:rsidRPr="00B854D9" w:rsidP="00B854D9" w14:paraId="0C456BAF" w14:textId="0ED20D2B">
            <w:pPr>
              <w:pStyle w:val="TableText"/>
            </w:pPr>
            <w:r w:rsidRPr="00B854D9">
              <w:t xml:space="preserve">to compare the supply of center-based providers, home-based providers (including unlisted home-based providers providing non-parental care for pay or for free), and the early childhood workforce from 2012 to 2024; </w:t>
            </w:r>
          </w:p>
        </w:tc>
        <w:tc>
          <w:tcPr>
            <w:tcW w:w="4675" w:type="dxa"/>
          </w:tcPr>
          <w:p w:rsidR="00814266" w:rsidRPr="00B854D9" w:rsidP="00B854D9" w14:paraId="5E40D8F0" w14:textId="32F80E78">
            <w:pPr>
              <w:pStyle w:val="TableText"/>
            </w:pPr>
            <w:bookmarkStart w:id="9" w:name="OLE_LINK35"/>
            <w:r w:rsidRPr="00B854D9">
              <w:t xml:space="preserve">2024 NSECE </w:t>
            </w:r>
            <w:r w:rsidRPr="00B854D9" w:rsidR="00662150">
              <w:t>Center-based</w:t>
            </w:r>
            <w:r w:rsidRPr="00B854D9">
              <w:t xml:space="preserve"> Provider</w:t>
            </w:r>
            <w:r w:rsidRPr="00B854D9" w:rsidR="009F05F5">
              <w:t xml:space="preserve"> </w:t>
            </w:r>
            <w:r w:rsidRPr="00B854D9">
              <w:t xml:space="preserve">Screener and Questionnaire </w:t>
            </w:r>
            <w:r w:rsidRPr="00B854D9" w:rsidR="004336ED">
              <w:t>(Instruments</w:t>
            </w:r>
            <w:r w:rsidRPr="00B854D9" w:rsidR="009F05F5">
              <w:t xml:space="preserve"> 3 and </w:t>
            </w:r>
            <w:r w:rsidR="004336ED">
              <w:t>3S</w:t>
            </w:r>
            <w:r w:rsidRPr="00B854D9" w:rsidR="009F05F5">
              <w:t>)</w:t>
            </w:r>
            <w:r w:rsidRPr="00B854D9">
              <w:t>, 2024 NSECE</w:t>
            </w:r>
            <w:r w:rsidRPr="00B854D9" w:rsidR="00662150">
              <w:t xml:space="preserve"> </w:t>
            </w:r>
            <w:r w:rsidRPr="00B854D9">
              <w:t>H</w:t>
            </w:r>
            <w:r w:rsidRPr="00B854D9" w:rsidR="00662150">
              <w:t xml:space="preserve">ome-based </w:t>
            </w:r>
            <w:r w:rsidRPr="00B854D9">
              <w:t>P</w:t>
            </w:r>
            <w:r w:rsidRPr="00B854D9" w:rsidR="00662150">
              <w:t xml:space="preserve">rovider </w:t>
            </w:r>
            <w:r w:rsidRPr="00B854D9">
              <w:t>Screener and Q</w:t>
            </w:r>
            <w:r w:rsidRPr="00B854D9" w:rsidR="00117B10">
              <w:t>uestionnaire</w:t>
            </w:r>
            <w:r w:rsidRPr="00B854D9" w:rsidR="009F05F5">
              <w:t xml:space="preserve"> </w:t>
            </w:r>
            <w:r w:rsidRPr="00B854D9" w:rsidR="004336ED">
              <w:t>(Instruments</w:t>
            </w:r>
            <w:r w:rsidRPr="00B854D9" w:rsidR="009F05F5">
              <w:t xml:space="preserve"> 2 and </w:t>
            </w:r>
            <w:r w:rsidR="004336ED">
              <w:t>2S</w:t>
            </w:r>
            <w:r w:rsidRPr="00B854D9" w:rsidR="009F05F5">
              <w:t>)</w:t>
            </w:r>
            <w:r w:rsidRPr="00B854D9" w:rsidR="00414A0E">
              <w:t xml:space="preserve">, and </w:t>
            </w:r>
            <w:r w:rsidRPr="00B854D9">
              <w:t>2024 NSECE W</w:t>
            </w:r>
            <w:r w:rsidRPr="00B854D9" w:rsidR="00414A0E">
              <w:t>orkforce</w:t>
            </w:r>
            <w:r w:rsidRPr="00B854D9">
              <w:t xml:space="preserve"> (Classroom Staff)</w:t>
            </w:r>
            <w:r w:rsidRPr="00B854D9" w:rsidR="00414A0E">
              <w:t xml:space="preserve"> </w:t>
            </w:r>
            <w:r w:rsidRPr="00B854D9">
              <w:t>Q</w:t>
            </w:r>
            <w:r w:rsidRPr="00B854D9" w:rsidR="00117B10">
              <w:t>uestionnaire</w:t>
            </w:r>
            <w:r w:rsidRPr="00B854D9" w:rsidR="009F05F5">
              <w:t xml:space="preserve"> (Instrument</w:t>
            </w:r>
            <w:r w:rsidRPr="00B854D9" w:rsidR="00E760D9">
              <w:t>s</w:t>
            </w:r>
            <w:r w:rsidRPr="00B854D9" w:rsidR="009F05F5">
              <w:t xml:space="preserve"> 4 and </w:t>
            </w:r>
            <w:r w:rsidR="004336ED">
              <w:t>4S</w:t>
            </w:r>
            <w:r w:rsidRPr="00B854D9" w:rsidR="009F05F5">
              <w:t>)</w:t>
            </w:r>
            <w:bookmarkEnd w:id="9"/>
          </w:p>
        </w:tc>
      </w:tr>
      <w:tr w14:paraId="5987B3A6" w14:textId="77777777" w:rsidTr="00A64E2D">
        <w:tblPrEx>
          <w:tblW w:w="0" w:type="auto"/>
          <w:tblLayout w:type="fixed"/>
          <w:tblLook w:val="04A0"/>
        </w:tblPrEx>
        <w:tc>
          <w:tcPr>
            <w:tcW w:w="4675" w:type="dxa"/>
          </w:tcPr>
          <w:p w:rsidR="00814266" w:rsidRPr="00B854D9" w:rsidP="00B854D9" w14:paraId="435C8146" w14:textId="2B4FE42B">
            <w:pPr>
              <w:pStyle w:val="TableText"/>
            </w:pPr>
            <w:r w:rsidRPr="00B854D9">
              <w:t xml:space="preserve">to understand the characteristics, schedules, preferences, and choices of non-parental care among households with children </w:t>
            </w:r>
            <w:r w:rsidRPr="00B854D9" w:rsidR="00323F88">
              <w:t xml:space="preserve">under age 13-years </w:t>
            </w:r>
            <w:r w:rsidRPr="00B854D9">
              <w:t xml:space="preserve">and how these may have changed in this 12-year period; and </w:t>
            </w:r>
          </w:p>
        </w:tc>
        <w:tc>
          <w:tcPr>
            <w:tcW w:w="4675" w:type="dxa"/>
          </w:tcPr>
          <w:p w:rsidR="00814266" w:rsidRPr="00B854D9" w:rsidP="00B854D9" w14:paraId="4ED842CE" w14:textId="4D9225AF">
            <w:pPr>
              <w:pStyle w:val="TableText"/>
            </w:pPr>
            <w:bookmarkStart w:id="10" w:name="OLE_LINK34"/>
            <w:r w:rsidRPr="00B854D9">
              <w:t xml:space="preserve">2024 NSECE </w:t>
            </w:r>
            <w:r w:rsidRPr="00B854D9" w:rsidR="00662150">
              <w:t xml:space="preserve">Household </w:t>
            </w:r>
            <w:r w:rsidRPr="00B854D9">
              <w:t>Screener and Questionnaire (Instruments 1 and</w:t>
            </w:r>
            <w:r w:rsidRPr="00B854D9" w:rsidR="006B30C5">
              <w:t xml:space="preserve"> </w:t>
            </w:r>
            <w:r w:rsidR="004336ED">
              <w:t>1S</w:t>
            </w:r>
            <w:r w:rsidRPr="00B854D9">
              <w:t>)</w:t>
            </w:r>
            <w:bookmarkEnd w:id="10"/>
          </w:p>
        </w:tc>
      </w:tr>
      <w:tr w14:paraId="24E1F39E" w14:textId="77777777" w:rsidTr="00A64E2D">
        <w:tblPrEx>
          <w:tblW w:w="0" w:type="auto"/>
          <w:tblLayout w:type="fixed"/>
          <w:tblLook w:val="04A0"/>
        </w:tblPrEx>
        <w:tc>
          <w:tcPr>
            <w:tcW w:w="4675" w:type="dxa"/>
          </w:tcPr>
          <w:p w:rsidR="00814266" w:rsidRPr="00B854D9" w:rsidP="00B854D9" w14:paraId="4603C6D7" w14:textId="195CF494">
            <w:pPr>
              <w:pStyle w:val="TableText"/>
            </w:pPr>
            <w:r w:rsidRPr="00B854D9">
              <w:t>to document how the field of ECE responded to policy initiatives during the period between 2012 and 2024, including changes in supply and demand during the COVID-19 pandemic starting in 2020</w:t>
            </w:r>
          </w:p>
        </w:tc>
        <w:tc>
          <w:tcPr>
            <w:tcW w:w="4675" w:type="dxa"/>
          </w:tcPr>
          <w:p w:rsidR="00814266" w:rsidRPr="00B854D9" w:rsidP="00B854D9" w14:paraId="19EFF04A" w14:textId="01F849D0">
            <w:pPr>
              <w:pStyle w:val="TableText"/>
            </w:pPr>
            <w:r w:rsidRPr="00B854D9">
              <w:t>2024 NSECE Household Screener and Questionnaire (Instruments 1 and</w:t>
            </w:r>
            <w:r w:rsidRPr="00B854D9" w:rsidR="008551FF">
              <w:t xml:space="preserve"> </w:t>
            </w:r>
            <w:r w:rsidR="004336ED">
              <w:t>1S</w:t>
            </w:r>
            <w:r w:rsidRPr="00B854D9">
              <w:t>), 2024 NSECE Center-based Provider Screener and Questionnaire (Instrument</w:t>
            </w:r>
            <w:r w:rsidRPr="00B854D9" w:rsidR="008551FF">
              <w:t>s</w:t>
            </w:r>
            <w:r w:rsidRPr="00B854D9">
              <w:t xml:space="preserve"> 3 and </w:t>
            </w:r>
            <w:r w:rsidR="004336ED">
              <w:t>3S</w:t>
            </w:r>
            <w:r w:rsidRPr="00B854D9">
              <w:t>), 2024 NSECE Home-based Provider Screener and Questionnaire (Instrument</w:t>
            </w:r>
            <w:r w:rsidRPr="00B854D9" w:rsidR="008551FF">
              <w:t>s</w:t>
            </w:r>
            <w:r w:rsidRPr="00B854D9">
              <w:t xml:space="preserve"> 2 and </w:t>
            </w:r>
            <w:r w:rsidR="004336ED">
              <w:t>2S</w:t>
            </w:r>
            <w:r w:rsidRPr="00B854D9">
              <w:t xml:space="preserve">), and 2024 NSECE Workforce (Classroom Staff) Questionnaire </w:t>
            </w:r>
            <w:r w:rsidRPr="00B854D9" w:rsidR="004336ED">
              <w:t>(Instruments</w:t>
            </w:r>
            <w:r w:rsidRPr="00B854D9">
              <w:t xml:space="preserve"> 4 and </w:t>
            </w:r>
            <w:r w:rsidR="004336ED">
              <w:t>4S</w:t>
            </w:r>
            <w:r w:rsidRPr="00B854D9">
              <w:t>)</w:t>
            </w:r>
          </w:p>
        </w:tc>
      </w:tr>
    </w:tbl>
    <w:p w:rsidR="00A42C71" w:rsidRPr="001A59B6" w:rsidP="00A42C71" w14:paraId="309ACF0F" w14:textId="77777777">
      <w:pPr>
        <w:autoSpaceDE w:val="0"/>
        <w:autoSpaceDN w:val="0"/>
        <w:adjustRightInd w:val="0"/>
        <w:spacing w:after="0" w:line="240" w:lineRule="atLeast"/>
        <w:rPr>
          <w:rFonts w:eastAsia="Times New Roman" w:cstheme="minorHAnsi"/>
          <w:color w:val="000000"/>
        </w:rPr>
      </w:pPr>
    </w:p>
    <w:p w:rsidR="00A42C71" w:rsidRPr="001A59B6" w:rsidP="00D457B3" w14:paraId="3E0643E6" w14:textId="77777777">
      <w:pPr>
        <w:pStyle w:val="Heading2"/>
      </w:pPr>
      <w:r w:rsidRPr="001A59B6">
        <w:t xml:space="preserve">B4. </w:t>
      </w:r>
      <w:r w:rsidRPr="001A59B6">
        <w:tab/>
        <w:t>Collection of Data and Quality Control</w:t>
      </w:r>
    </w:p>
    <w:p w:rsidR="00814266" w:rsidP="00E820B2" w14:paraId="648D4293" w14:textId="28BB7E6E">
      <w:pPr>
        <w:pStyle w:val="BodyText"/>
      </w:pPr>
      <w:r>
        <w:t xml:space="preserve">NORC at the University of Chicago, a contractor, will be collecting data from households, center-based providers, home-based providers (listed and unlisted), and </w:t>
      </w:r>
      <w:r w:rsidR="005477D3">
        <w:t>workforce (</w:t>
      </w:r>
      <w:r>
        <w:t>classroom staff</w:t>
      </w:r>
      <w:r w:rsidR="005477D3">
        <w:t>)</w:t>
      </w:r>
      <w:r w:rsidR="00414A0E">
        <w:t>.</w:t>
      </w:r>
      <w:r>
        <w:t xml:space="preserve"> Below we describe the proposed contacting approach</w:t>
      </w:r>
      <w:r w:rsidR="007607C4">
        <w:t>,</w:t>
      </w:r>
      <w:r>
        <w:t xml:space="preserve"> which is </w:t>
      </w:r>
      <w:r w:rsidR="000C4B65">
        <w:t xml:space="preserve">informed by and </w:t>
      </w:r>
      <w:r>
        <w:t xml:space="preserve">similar to the one we employed successfully in the 2012 and 2019 NSECE data collection efforts. We will use a multi-mode contacting approach that attempts to complete as many questionnaires in the most </w:t>
      </w:r>
      <w:r w:rsidR="00D568E8">
        <w:t>cost-efficient</w:t>
      </w:r>
      <w:r>
        <w:t xml:space="preserve"> mode possible resorting to higher-cost modes, such as field interviewer phone and in-person completion, to address nonresponse in later stages. The multi-mode approach has two primary benefits: 1) it saves costs by exploiting lower-cost modes, and 2) it improves response rates by offering respondents a range of participation options that better accommodate their preferences including timing, mode, contact with interviewers, and other data collection factors.</w:t>
      </w:r>
    </w:p>
    <w:p w:rsidR="003C03D0" w:rsidP="00E820B2" w14:paraId="7F14C6B4" w14:textId="2D34508F">
      <w:pPr>
        <w:pStyle w:val="BodyText"/>
      </w:pPr>
      <w:r>
        <w:t xml:space="preserve">For the </w:t>
      </w:r>
      <w:r w:rsidR="00334FC7">
        <w:t>h</w:t>
      </w:r>
      <w:r>
        <w:t xml:space="preserve">ousehold </w:t>
      </w:r>
      <w:r w:rsidR="00334FC7">
        <w:t>s</w:t>
      </w:r>
      <w:r>
        <w:t>urvey, the</w:t>
      </w:r>
      <w:r>
        <w:t xml:space="preserve"> screener questionnaire will be available for completion online or through a paper-and-pencil self-administered questionnaire in both English and Spanish.</w:t>
      </w:r>
      <w:r w:rsidR="00D568E8">
        <w:t xml:space="preserve"> </w:t>
      </w:r>
      <w:r>
        <w:t xml:space="preserve">Households will receive an initial series of three mailings to encourage completion of the screener before field interviewers begin outreach in January 2024. These include a survey invitation letter, a thank you/reminder postcard sent a week later, and a follow-up letter, mailed two weeks after the postcard. </w:t>
      </w:r>
      <w:r w:rsidR="001A4486">
        <w:t>In January</w:t>
      </w:r>
      <w:r w:rsidR="007607C4">
        <w:t>,</w:t>
      </w:r>
      <w:r w:rsidR="001A4486">
        <w:t xml:space="preserve"> all cases that have not screened as ineligible will be assigned to field interviewers. </w:t>
      </w:r>
      <w:r>
        <w:t xml:space="preserve">A new set of mailings will be sent in January 2024 to households that screened in as eligible and those households that did not respond to our earlier requests. These letters will inform households that a field interviewer will be contacting them soon to assist them in completing the </w:t>
      </w:r>
      <w:r>
        <w:t xml:space="preserve">screener (if needed) and the </w:t>
      </w:r>
      <w:r>
        <w:t>survey. If a household is also eligible for the unlisted home-based provider survey, the interviewer will prompt for completion for that as well.</w:t>
      </w:r>
      <w:r w:rsidR="001A4486">
        <w:t xml:space="preserve"> Additional mailings and emails may be sent during data collection to address common reasons for refusal or other barriers to participation</w:t>
      </w:r>
      <w:r w:rsidR="00052048">
        <w:t xml:space="preserve">. (See Appendix A and </w:t>
      </w:r>
      <w:r w:rsidR="00B02B42">
        <w:t>A-S</w:t>
      </w:r>
      <w:r w:rsidR="00052048">
        <w:t xml:space="preserve"> for Household Respondent Contact Materials).</w:t>
      </w:r>
    </w:p>
    <w:p w:rsidR="00814266" w:rsidP="00E820B2" w14:paraId="4A12A3E3" w14:textId="2F39DA4F">
      <w:pPr>
        <w:pStyle w:val="BodyText"/>
      </w:pPr>
      <w:r>
        <w:t>The home-based provider, center-based provider, and workforce</w:t>
      </w:r>
      <w:r w:rsidR="005477D3">
        <w:t xml:space="preserve"> (classroom staff)</w:t>
      </w:r>
      <w:r>
        <w:t xml:space="preserve"> questionnaires </w:t>
      </w:r>
      <w:r>
        <w:t>will be programmed for completion online by the respondent or by phone or in</w:t>
      </w:r>
      <w:r>
        <w:t xml:space="preserve"> </w:t>
      </w:r>
      <w:r>
        <w:t>person with an interviewer. The home-based and workforce</w:t>
      </w:r>
      <w:r w:rsidR="005477D3">
        <w:t xml:space="preserve"> (classroom staff)</w:t>
      </w:r>
      <w:r>
        <w:t xml:space="preserve"> questionnaires will be available in English or Spanish. Providers and classroom staff will generally be contacted first by mail and email (when available). </w:t>
      </w:r>
    </w:p>
    <w:p w:rsidR="00814266" w:rsidP="00E820B2" w14:paraId="48262A22" w14:textId="69692AB2">
      <w:pPr>
        <w:pStyle w:val="BodyText"/>
      </w:pPr>
      <w:r>
        <w:t xml:space="preserve">The initial outreach series will consist of three contacts: </w:t>
      </w:r>
      <w:bookmarkStart w:id="11" w:name="OLE_LINK9"/>
      <w:r>
        <w:t xml:space="preserve">a survey invitation letter or email, a thank you/reminder postcard sent a week later, and a follow-up letter, mailed two weeks after the postcard. </w:t>
      </w:r>
      <w:bookmarkEnd w:id="11"/>
      <w:r>
        <w:t>These contacts will explain the purpose of the study and invite providers and classroom staff to complete the questionnaire online. If a survey is completed during these initial weeks, that case is pulled out of future mailings. After the initial contacts, field interviewers will follow up with providers and classroom staff by phone and in</w:t>
      </w:r>
      <w:r w:rsidR="001A4486">
        <w:t xml:space="preserve"> </w:t>
      </w:r>
      <w:r>
        <w:t>person as necessary</w:t>
      </w:r>
      <w:r w:rsidR="00052048">
        <w:t>.</w:t>
      </w:r>
      <w:r>
        <w:t xml:space="preserve"> </w:t>
      </w:r>
      <w:r w:rsidR="00052048">
        <w:t xml:space="preserve">(See Appendix </w:t>
      </w:r>
      <w:r w:rsidR="00B02B42">
        <w:t>C</w:t>
      </w:r>
      <w:r w:rsidR="00052048">
        <w:t xml:space="preserve"> and </w:t>
      </w:r>
      <w:r w:rsidR="00B02B42">
        <w:t>C-S</w:t>
      </w:r>
      <w:r w:rsidR="00052048">
        <w:t xml:space="preserve"> for Unlisted Home-based Provider Survey Contact Materials, Appendix </w:t>
      </w:r>
      <w:r w:rsidR="00B02B42">
        <w:t>D</w:t>
      </w:r>
      <w:r w:rsidR="00052048">
        <w:t xml:space="preserve"> and </w:t>
      </w:r>
      <w:r w:rsidR="00B02B42">
        <w:t>D-S</w:t>
      </w:r>
      <w:r w:rsidR="00052048">
        <w:t xml:space="preserve"> for Listed Home-based Provider Survey Contact Materials, Appendix </w:t>
      </w:r>
      <w:r w:rsidR="00B02B42">
        <w:t>F</w:t>
      </w:r>
      <w:r w:rsidR="00052048">
        <w:t xml:space="preserve"> and </w:t>
      </w:r>
      <w:r w:rsidR="00B02B42">
        <w:t>F-S</w:t>
      </w:r>
      <w:r w:rsidR="00052048">
        <w:t xml:space="preserve"> for Center-based Provider Contact Materials and Appendix </w:t>
      </w:r>
      <w:r w:rsidR="004336ED">
        <w:t>H</w:t>
      </w:r>
      <w:r w:rsidR="00052048">
        <w:t xml:space="preserve"> and </w:t>
      </w:r>
      <w:r w:rsidR="004336ED">
        <w:t>H-S</w:t>
      </w:r>
      <w:r w:rsidR="00052048">
        <w:t xml:space="preserve"> for Workforce </w:t>
      </w:r>
      <w:r w:rsidR="005477D3">
        <w:t xml:space="preserve">(Classroom Staff) </w:t>
      </w:r>
      <w:r w:rsidR="00052048">
        <w:t xml:space="preserve">Respondent Contact Materials). </w:t>
      </w:r>
    </w:p>
    <w:p w:rsidR="00814266" w:rsidP="00E820B2" w14:paraId="7B2B3F0D" w14:textId="393E6690">
      <w:pPr>
        <w:pStyle w:val="BodyText"/>
      </w:pPr>
      <w:r>
        <w:t>Interviewers will answer questions about the study, encourage people to complete the survey, and provide any technical assistance that respondents may need to access and complete the online questionnaire. Interviewers will also be able to complete the interview by phone or in</w:t>
      </w:r>
      <w:r w:rsidR="001A4486">
        <w:t xml:space="preserve"> </w:t>
      </w:r>
      <w:r>
        <w:t xml:space="preserve">person if needed. If a field interviewer is already at a center and completes the survey, </w:t>
      </w:r>
      <w:r w:rsidR="009F05F5">
        <w:t>they</w:t>
      </w:r>
      <w:r>
        <w:t xml:space="preserve"> will attempt to also complete the workforce </w:t>
      </w:r>
      <w:r w:rsidR="00DD7A5C">
        <w:t xml:space="preserve">(classroom staff) </w:t>
      </w:r>
      <w:r>
        <w:t xml:space="preserve">survey in person if possible. If this occurs, no mailings will be sent to the sampled workforce member. </w:t>
      </w:r>
      <w:bookmarkStart w:id="12" w:name="OLE_LINK10"/>
      <w:r>
        <w:t>Additional mailings and emails may be sent during data collection to address common reasons for refusal or other barriers to participation.</w:t>
      </w:r>
      <w:bookmarkEnd w:id="12"/>
    </w:p>
    <w:p w:rsidR="00814266" w:rsidP="00D457B3" w14:paraId="6F22DB1F" w14:textId="77777777">
      <w:pPr>
        <w:pStyle w:val="Heading2"/>
      </w:pPr>
      <w:r>
        <w:t>Data Collection Monitoring</w:t>
      </w:r>
    </w:p>
    <w:p w:rsidR="00814266" w:rsidP="00E820B2" w14:paraId="273D197E" w14:textId="3D24BB94">
      <w:pPr>
        <w:pStyle w:val="BodyText"/>
      </w:pPr>
      <w:r>
        <w:t>A</w:t>
      </w:r>
      <w:r>
        <w:rPr>
          <w:spacing w:val="-1"/>
        </w:rPr>
        <w:t xml:space="preserve"> series</w:t>
      </w:r>
      <w:r>
        <w:t xml:space="preserve"> </w:t>
      </w:r>
      <w:r>
        <w:rPr>
          <w:spacing w:val="-1"/>
        </w:rPr>
        <w:t>of</w:t>
      </w:r>
      <w:r>
        <w:rPr>
          <w:spacing w:val="50"/>
        </w:rPr>
        <w:t xml:space="preserve"> </w:t>
      </w:r>
      <w:r>
        <w:rPr>
          <w:spacing w:val="-1"/>
        </w:rPr>
        <w:t>consistency and</w:t>
      </w:r>
      <w:r>
        <w:t xml:space="preserve"> </w:t>
      </w:r>
      <w:r>
        <w:rPr>
          <w:spacing w:val="-1"/>
        </w:rPr>
        <w:t>range</w:t>
      </w:r>
      <w:r>
        <w:t xml:space="preserve"> </w:t>
      </w:r>
      <w:r>
        <w:rPr>
          <w:spacing w:val="-1"/>
        </w:rPr>
        <w:t>checks will be</w:t>
      </w:r>
      <w:r>
        <w:t xml:space="preserve"> </w:t>
      </w:r>
      <w:r>
        <w:rPr>
          <w:spacing w:val="-1"/>
        </w:rPr>
        <w:t>built</w:t>
      </w:r>
      <w:r>
        <w:t xml:space="preserve"> </w:t>
      </w:r>
      <w:r>
        <w:rPr>
          <w:spacing w:val="-1"/>
        </w:rPr>
        <w:t>into the</w:t>
      </w:r>
      <w:r>
        <w:t xml:space="preserve"> </w:t>
      </w:r>
      <w:r>
        <w:rPr>
          <w:spacing w:val="-1"/>
        </w:rPr>
        <w:t>questionnaires</w:t>
      </w:r>
      <w:r>
        <w:t xml:space="preserve"> to </w:t>
      </w:r>
      <w:r>
        <w:rPr>
          <w:spacing w:val="-1"/>
        </w:rPr>
        <w:t>prevent invalid</w:t>
      </w:r>
      <w:r>
        <w:t xml:space="preserve"> </w:t>
      </w:r>
      <w:r>
        <w:rPr>
          <w:spacing w:val="-1"/>
        </w:rPr>
        <w:t>responses from being</w:t>
      </w:r>
      <w:r>
        <w:t xml:space="preserve"> </w:t>
      </w:r>
      <w:r>
        <w:rPr>
          <w:spacing w:val="-1"/>
        </w:rPr>
        <w:t>recorded.</w:t>
      </w:r>
      <w:r w:rsidR="00D568E8">
        <w:rPr>
          <w:spacing w:val="-1"/>
        </w:rPr>
        <w:t xml:space="preserve"> </w:t>
      </w:r>
      <w:r>
        <w:t xml:space="preserve">The data collection team will thoroughly test programmed questionnaires prior to the start of data collection. This testing will include a review of the data to confirm that responses are being recorded as expected. Throughout data collection, we monitor the functioning of the questionnaire to detect potential technical issues and possible misinterpretation of questions by respondents. </w:t>
      </w:r>
      <w:r>
        <w:rPr>
          <w:spacing w:val="-1"/>
        </w:rPr>
        <w:t xml:space="preserve">We will produce regular data quality assurance reports that collate questionnaire data across variables of high analytic value to help identify such issues and allow us to take corrective action. </w:t>
      </w:r>
    </w:p>
    <w:p w:rsidR="00814266" w:rsidP="00E820B2" w14:paraId="6E07B988" w14:textId="15DAAD3A">
      <w:pPr>
        <w:pStyle w:val="BodyText"/>
      </w:pPr>
      <w:r>
        <w:t xml:space="preserve">In addition to questionnaire functioning, </w:t>
      </w:r>
      <w:r w:rsidR="00BF2857">
        <w:t xml:space="preserve">the project </w:t>
      </w:r>
      <w:r>
        <w:t xml:space="preserve">monitors data collection progress carefully throughout the field period to achieve good response rates and representative data. Daily production reports will show how data collection is progressing across each sample and enable us to identify problem areas and take remedial action quickly when needed. These reports will also allow us to monitor completion rates by sample subgroups in order to protect against bias in the sample. When we detect that a subgroup is completing surveys at lower rates, we will adjust our field procedures to boost completion among that group. </w:t>
      </w:r>
    </w:p>
    <w:p w:rsidR="00814266" w:rsidRPr="00814266" w:rsidP="00E820B2" w14:paraId="7FEC825D" w14:textId="49D3FB02">
      <w:pPr>
        <w:pStyle w:val="BodyText"/>
      </w:pPr>
      <w:r w:rsidRPr="00814266">
        <w:t xml:space="preserve">To monitor field interviewer performance specifically, the </w:t>
      </w:r>
      <w:r w:rsidR="00BF2857">
        <w:t>project</w:t>
      </w:r>
      <w:r w:rsidRPr="00814266">
        <w:t xml:space="preserve"> will develop a series of performance metrics built from multiple data sources (e.g., item non-response rates, questionnaire completion rates, case prompting rates). These metrics, produced weekly, show where interviewers are deviating from the norm on key performance measures, thereby revealing areas where re-training or special coaching may be needed. </w:t>
      </w:r>
      <w:r w:rsidR="00B204D9">
        <w:t>The project will supplement the</w:t>
      </w:r>
      <w:r w:rsidR="00CC547D">
        <w:t>se</w:t>
      </w:r>
      <w:r w:rsidR="00B204D9">
        <w:t xml:space="preserve"> metrics with computer-assisted recorded interviewing (CARI). </w:t>
      </w:r>
      <w:r w:rsidR="00CC547D">
        <w:t xml:space="preserve">The project will listen to </w:t>
      </w:r>
      <w:r w:rsidR="00B204D9">
        <w:t>CARI recordings</w:t>
      </w:r>
      <w:r w:rsidR="00CC547D">
        <w:t xml:space="preserve"> to validate interviews and ensure that key questionnaire items are being administered consistently across interviewers.  </w:t>
      </w:r>
    </w:p>
    <w:p w:rsidR="00A42C71" w:rsidRPr="001A59B6" w:rsidP="00D457B3" w14:paraId="040C23CA" w14:textId="77777777">
      <w:pPr>
        <w:pStyle w:val="Heading2"/>
      </w:pPr>
      <w:r w:rsidRPr="001A59B6">
        <w:t>B5.</w:t>
      </w:r>
      <w:r w:rsidRPr="001A59B6">
        <w:tab/>
        <w:t>Response Rates and Potential Nonresponse Bias</w:t>
      </w:r>
    </w:p>
    <w:p w:rsidR="00E37D56" w:rsidP="00D457B3" w14:paraId="08C52C66" w14:textId="77777777">
      <w:pPr>
        <w:pStyle w:val="Heading3"/>
      </w:pPr>
      <w:r>
        <w:t>Response Rates</w:t>
      </w:r>
    </w:p>
    <w:p w:rsidR="00E37D56" w:rsidP="00E820B2" w14:paraId="66EAA974" w14:textId="71225A60">
      <w:pPr>
        <w:pStyle w:val="BodyText"/>
      </w:pPr>
      <w:r>
        <w:t>As a measure of data quality, response rates are calculated for multiple stages of data collection, including both the completion rate for the household/provider eligibility screener and the interview completion rate of selected households/providers</w:t>
      </w:r>
      <w:r w:rsidR="008B4B67">
        <w:t>/workforce</w:t>
      </w:r>
      <w:r>
        <w:t>. The screener completion rate is calculated as the number of households/providers that completed a screener or for which eligibility/non-eligibility was determined divided by the total number of households/providers selected. In turn, the interview completion rate is the number of eligible households/</w:t>
      </w:r>
      <w:bookmarkStart w:id="13" w:name="OLE_LINK13"/>
      <w:r w:rsidR="009E42E4">
        <w:t>unlisted home-based</w:t>
      </w:r>
      <w:r w:rsidR="008B4B67">
        <w:t xml:space="preserve"> and </w:t>
      </w:r>
      <w:r w:rsidR="009E42E4">
        <w:t xml:space="preserve">listed </w:t>
      </w:r>
      <w:bookmarkEnd w:id="13"/>
      <w:r>
        <w:t xml:space="preserve">providers that </w:t>
      </w:r>
      <w:r>
        <w:t>completed an interview divided by the number of eligible households/</w:t>
      </w:r>
      <w:r w:rsidR="009E42E4">
        <w:t>unlisted home-based</w:t>
      </w:r>
      <w:r w:rsidR="008B4B67">
        <w:t xml:space="preserve"> and</w:t>
      </w:r>
      <w:r w:rsidR="009E42E4">
        <w:t xml:space="preserve"> listed </w:t>
      </w:r>
      <w:r>
        <w:t xml:space="preserve">providers. </w:t>
      </w:r>
      <w:r w:rsidR="008B4B67">
        <w:t xml:space="preserve">Workforce survey interview completion rate is the number of workforce survey completes divided by the number of eligible workforce sample. </w:t>
      </w:r>
      <w:r>
        <w:t xml:space="preserve">Based on prior experience with fielding the NSECE in 2012 and 2019 we </w:t>
      </w:r>
      <w:bookmarkStart w:id="14" w:name="OLE_LINK5"/>
      <w:r>
        <w:t>anticipate an 85% screener completion rate</w:t>
      </w:r>
      <w:r w:rsidR="009E42E4">
        <w:t xml:space="preserve"> for both households and unlisted home-based providers</w:t>
      </w:r>
      <w:r>
        <w:t xml:space="preserve"> and a 75% interview completion rate for </w:t>
      </w:r>
      <w:bookmarkEnd w:id="14"/>
      <w:r>
        <w:t xml:space="preserve">households </w:t>
      </w:r>
      <w:r w:rsidR="009E42E4">
        <w:t>and 60% interview completion rate for unlisted home-based providers</w:t>
      </w:r>
      <w:r w:rsidR="008B4B67">
        <w:t>;</w:t>
      </w:r>
      <w:r w:rsidR="009E42E4">
        <w:t xml:space="preserve"> </w:t>
      </w:r>
      <w:r>
        <w:t>and anticipate an 87% screener completion rate</w:t>
      </w:r>
      <w:r w:rsidR="008B4B67">
        <w:t>,</w:t>
      </w:r>
      <w:r>
        <w:t xml:space="preserve"> a 70% interview completion rate for listed providers</w:t>
      </w:r>
      <w:r w:rsidR="008B4B67">
        <w:t>, and 74% interview completion rate for workforce</w:t>
      </w:r>
      <w:r>
        <w:t>.</w:t>
      </w:r>
      <w:r w:rsidR="008B4B67">
        <w:t xml:space="preserve"> </w:t>
      </w:r>
    </w:p>
    <w:p w:rsidR="00E37D56" w:rsidP="00D457B3" w14:paraId="1649CAFB" w14:textId="77777777">
      <w:pPr>
        <w:pStyle w:val="Heading3"/>
      </w:pPr>
      <w:r>
        <w:t>NonResponse</w:t>
      </w:r>
    </w:p>
    <w:p w:rsidR="00DE264C" w:rsidP="00E820B2" w14:paraId="1BB7CC51" w14:textId="453CF1A9">
      <w:pPr>
        <w:pStyle w:val="BodyText"/>
      </w:pPr>
      <w:r>
        <w:t>Sub-group response rates will be monitored throughout data collection for all samples to identify potential non-response bias.</w:t>
      </w:r>
      <w:r w:rsidR="00D568E8">
        <w:t xml:space="preserve"> </w:t>
      </w:r>
      <w:r>
        <w:t>Written and interviewer outreach will be increased to address disparities in participation, especially for subgroups of particular analytic interest.</w:t>
      </w:r>
    </w:p>
    <w:p w:rsidR="00DE264C" w:rsidRPr="00E37D56" w:rsidP="00E820B2" w14:paraId="68114B30" w14:textId="02F0045A">
      <w:pPr>
        <w:pStyle w:val="BodyText"/>
      </w:pPr>
      <w:r>
        <w:t>Unit non-response in the household/provider survey will be handled by weight adjustments. Where possible</w:t>
      </w:r>
      <w:r w:rsidR="007607C4">
        <w:t>,</w:t>
      </w:r>
      <w:r>
        <w:t xml:space="preserve"> item non-response will be handled via imputation. The exact method of imputation chosen will vary by data item based on prior research regarding the most appropriate method.</w:t>
      </w:r>
    </w:p>
    <w:p w:rsidR="00A42C71" w:rsidRPr="001A59B6" w:rsidP="00D457B3" w14:paraId="4E6826E7" w14:textId="581BF877">
      <w:pPr>
        <w:pStyle w:val="Heading2"/>
      </w:pPr>
      <w:r w:rsidRPr="001A59B6">
        <w:t>B6.</w:t>
      </w:r>
      <w:r w:rsidR="00E820B2">
        <w:tab/>
      </w:r>
      <w:r w:rsidRPr="001A59B6">
        <w:t xml:space="preserve">Production of Estimates and Projections </w:t>
      </w:r>
    </w:p>
    <w:p w:rsidR="00E37D56" w:rsidP="00E820B2" w14:paraId="1C57BEE2" w14:textId="4DF1FCE0">
      <w:pPr>
        <w:pStyle w:val="BodyText"/>
      </w:pPr>
      <w:r>
        <w:t>The household survey data will be used to generate nationally representative estimates of families’ child</w:t>
      </w:r>
      <w:r w:rsidR="007607C4">
        <w:t xml:space="preserve"> </w:t>
      </w:r>
      <w:r>
        <w:t xml:space="preserve">care usage, both for internal use by </w:t>
      </w:r>
      <w:r w:rsidR="007607C4">
        <w:t xml:space="preserve">ACF </w:t>
      </w:r>
      <w:r>
        <w:t>and by the broader research community and public. To produce unbiased, nationally representative estimates, survey weights will be created. Because estimates for both household and child characteristics are desired, weights will be created both for households and for individual children with eligible age within selected households.</w:t>
      </w:r>
    </w:p>
    <w:p w:rsidR="00E37D56" w:rsidP="00E820B2" w14:paraId="6D42A01E" w14:textId="577EFBB5">
      <w:pPr>
        <w:pStyle w:val="BodyText"/>
      </w:pPr>
      <w:r>
        <w:t>Household</w:t>
      </w:r>
      <w:r w:rsidR="007607C4">
        <w:t>-</w:t>
      </w:r>
      <w:r>
        <w:t xml:space="preserve"> and child</w:t>
      </w:r>
      <w:r w:rsidR="007607C4">
        <w:t>-</w:t>
      </w:r>
      <w:r>
        <w:t>level base weights will be created from the household’s selection probability at each stage of sampling. These base weights are adjusted to account for eligibility and non-response. After eligibility and non-response adjustment, the weights are then calibrated to control totals for children under 13 within cells defined by state, MSA status (MSA or not MSA), race ethnicity, age group (0-4 and 5-12), and sex (male/female). The control totals will be derived from ACS Public Use Microsample (PUMS) data. This calibration step ensures that the estimated number of children under 13 within these cells will align with reliable Census totals. As a final step, large weight values will be truncated to reduce the influence of extreme weights on standard errors.</w:t>
      </w:r>
    </w:p>
    <w:p w:rsidR="00E37D56" w:rsidP="00E820B2" w14:paraId="5FCCFB9C" w14:textId="1280E037">
      <w:pPr>
        <w:pStyle w:val="BodyText"/>
      </w:pPr>
      <w:r>
        <w:t>Survey weights for UHBs will be produced in a manner similar to the household survey weights. Base weights will be created from a household’s probability of selection in each stage of sampling, and subsequently adjusted for eligibility, non-response, and the selection of only one UHB in selected households with more than one eligible UHB provider. Because there are no known control totals for the number of unlisted home-based providers</w:t>
      </w:r>
      <w:r w:rsidR="003A758E">
        <w:t>,</w:t>
      </w:r>
      <w:r>
        <w:t xml:space="preserve"> no calibration step is performed.</w:t>
      </w:r>
    </w:p>
    <w:p w:rsidR="00E37D56" w:rsidP="00E820B2" w14:paraId="2ECE8298" w14:textId="77777777">
      <w:pPr>
        <w:pStyle w:val="BodyText"/>
      </w:pPr>
      <w:r>
        <w:t xml:space="preserve">Estimates from the provider survey component are intended to be generalizable to the three groups of ECE providers described in section B1. Sampling weights will be based on the selection probabilities at each sampling stage, with adjustments made for eligibility and non-response. Use of the sampling </w:t>
      </w:r>
      <w:r>
        <w:t xml:space="preserve">weights will enable unbiased estimation of the descriptive statistics for each of the three populations of providers. </w:t>
      </w:r>
    </w:p>
    <w:p w:rsidR="00A42C71" w:rsidRPr="001A59B6" w:rsidP="00E820B2" w14:paraId="0CA94563" w14:textId="4B404ECA">
      <w:pPr>
        <w:pStyle w:val="BodyText"/>
      </w:pPr>
      <w:r>
        <w:t>When producing estimates from NSECE data, sampling variances are estimated using the Taylor series method as an estimate of sampling error.</w:t>
      </w:r>
      <w:r w:rsidR="00D568E8">
        <w:t xml:space="preserve"> </w:t>
      </w:r>
      <w:r>
        <w:t>Strata and cluster variables will be used in conjunction with the sampling weights to produce design-based standard errors.</w:t>
      </w:r>
      <w:r w:rsidR="00D568E8">
        <w:t xml:space="preserve"> </w:t>
      </w:r>
      <w:r>
        <w:t>In addition to published estimates, we will also produce public use files that contain survey weights, stratum and cluster identifiers, and survey data. In order to protect confidentiality, all geographic identifiers will be removed, and some variables will be recoded (e.g., by top-coding of income variable). Users will also be provided with instructions on the appropriate use of survey weights and the calculation of standard errors in standard statistical software packages such as SAS™ and Stata™.</w:t>
      </w:r>
    </w:p>
    <w:p w:rsidR="00A42C71" w:rsidRPr="001A59B6" w:rsidP="00D457B3" w14:paraId="5A639760" w14:textId="53107650">
      <w:pPr>
        <w:pStyle w:val="Heading2"/>
      </w:pPr>
      <w:bookmarkStart w:id="15" w:name="OLE_LINK8"/>
      <w:r w:rsidRPr="001A59B6">
        <w:t>B7.</w:t>
      </w:r>
      <w:r w:rsidR="00E820B2">
        <w:tab/>
      </w:r>
      <w:r w:rsidRPr="001A59B6">
        <w:t>Data Handling and Analysis</w:t>
      </w:r>
    </w:p>
    <w:bookmarkEnd w:id="15"/>
    <w:p w:rsidR="00E37D56" w:rsidP="00D457B3" w14:paraId="75161410" w14:textId="77777777">
      <w:pPr>
        <w:pStyle w:val="Heading3"/>
      </w:pPr>
      <w:r>
        <w:t>Data Handling</w:t>
      </w:r>
    </w:p>
    <w:p w:rsidR="00E37D56" w:rsidP="00E820B2" w14:paraId="6B0C91BC" w14:textId="7D1B773E">
      <w:pPr>
        <w:pStyle w:val="BodyText"/>
      </w:pPr>
      <w:r>
        <w:t xml:space="preserve">Procedures to minimize errors in the data begin with designing questionnaires which will collect accurate </w:t>
      </w:r>
      <w:r>
        <w:t>data</w:t>
      </w:r>
      <w:r>
        <w:t xml:space="preserve"> and which have skip patterns that minimize situations where respondents are unable to navigate appropriately. Questionnaire programming builds on this through techniques such as ranges for numeric items, presenting in words any numbers entered, and the inability of data entry of invalid codes for fixed-coded items.</w:t>
      </w:r>
      <w:r w:rsidR="00D568E8">
        <w:t xml:space="preserve"> </w:t>
      </w:r>
      <w:r>
        <w:t>Coding of verbatim responses undergoes 100 percent double</w:t>
      </w:r>
      <w:r w:rsidR="009C46CA">
        <w:t>-</w:t>
      </w:r>
      <w:r>
        <w:t xml:space="preserve">blind coding with reconciliation, and error rates exceeding 3 percent trigger a second round of more expert coding. Variable creation and analysis also have strict quality assurance protocols with review at a </w:t>
      </w:r>
      <w:r>
        <w:t>specifications</w:t>
      </w:r>
      <w:r>
        <w:t xml:space="preserve"> development stage, review of statistical programming code, and then verification of analytic output (including against comparison data when available).</w:t>
      </w:r>
    </w:p>
    <w:p w:rsidR="00E37D56" w:rsidP="00E820B2" w14:paraId="182BD963" w14:textId="5E55630F">
      <w:pPr>
        <w:pStyle w:val="BodyText"/>
      </w:pPr>
      <w:r>
        <w:t>The NSECE data files are developed with a strong commitment to transparency.</w:t>
      </w:r>
      <w:r w:rsidR="00D568E8">
        <w:t xml:space="preserve"> </w:t>
      </w:r>
      <w:r>
        <w:t>Raw data, prior to any edits or imputation are always available to interested data users, potentially through restricted use mechanisms provided by the agency.</w:t>
      </w:r>
      <w:r w:rsidR="00D568E8">
        <w:t xml:space="preserve"> </w:t>
      </w:r>
      <w:r>
        <w:t>If editing or imputation are elected for specific variables, the contributions of those edits or imputations are easily visible to data users who might wish to critique or replicate the edits.</w:t>
      </w:r>
      <w:r w:rsidR="00D568E8">
        <w:t xml:space="preserve"> </w:t>
      </w:r>
      <w:r>
        <w:t>We will not impute raw data (such as reports of income</w:t>
      </w:r>
      <w:r w:rsidR="008551FF">
        <w:t>) but</w:t>
      </w:r>
      <w:r>
        <w:t xml:space="preserve"> may impute created variables (such as estimated </w:t>
      </w:r>
      <w:r w:rsidR="003A758E">
        <w:t>household</w:t>
      </w:r>
      <w:r>
        <w:t xml:space="preserve"> income to poverty ratio) for completeness.</w:t>
      </w:r>
    </w:p>
    <w:p w:rsidR="00E37D56" w:rsidP="00D457B3" w14:paraId="4E94DE80" w14:textId="77777777">
      <w:pPr>
        <w:pStyle w:val="Heading3"/>
      </w:pPr>
      <w:r>
        <w:t>Data Analysis</w:t>
      </w:r>
    </w:p>
    <w:p w:rsidR="00E37D56" w:rsidP="00E820B2" w14:paraId="4028C498" w14:textId="05D77F15">
      <w:pPr>
        <w:pStyle w:val="BodyText"/>
        <w:rPr>
          <w:rFonts w:eastAsia="Times New Roman" w:cstheme="minorHAnsi"/>
          <w:bCs/>
          <w:color w:val="000000"/>
        </w:rPr>
      </w:pPr>
      <w:r>
        <w:rPr>
          <w:rFonts w:eastAsia="Times New Roman" w:cstheme="minorHAnsi"/>
          <w:bCs/>
          <w:color w:val="000000"/>
        </w:rPr>
        <w:t xml:space="preserve">The 2024 NSECE </w:t>
      </w:r>
      <w:r w:rsidR="007E3D6C">
        <w:rPr>
          <w:rFonts w:eastAsia="Times New Roman" w:cstheme="minorHAnsi"/>
          <w:bCs/>
          <w:color w:val="000000"/>
        </w:rPr>
        <w:t xml:space="preserve">will be pre-registered with Clinical Trials. The 2024 NSECE </w:t>
      </w:r>
      <w:r>
        <w:rPr>
          <w:rFonts w:eastAsia="Times New Roman" w:cstheme="minorHAnsi"/>
          <w:bCs/>
          <w:color w:val="000000"/>
        </w:rPr>
        <w:t>analyses will focus on the following</w:t>
      </w:r>
      <w:r w:rsidR="009C46CA">
        <w:rPr>
          <w:rFonts w:eastAsia="Times New Roman" w:cstheme="minorHAnsi"/>
          <w:bCs/>
          <w:color w:val="000000"/>
        </w:rPr>
        <w:t>:</w:t>
      </w:r>
      <w:r>
        <w:t xml:space="preserve"> 1) understanding how the supply of </w:t>
      </w:r>
      <w:r w:rsidR="003A758E">
        <w:t>c</w:t>
      </w:r>
      <w:r>
        <w:t xml:space="preserve">enter-based providers, </w:t>
      </w:r>
      <w:r w:rsidR="003A758E">
        <w:t>h</w:t>
      </w:r>
      <w:r>
        <w:t xml:space="preserve">ome-based providers, and the early childhood workforce </w:t>
      </w:r>
      <w:r w:rsidR="003A758E">
        <w:t xml:space="preserve">changed </w:t>
      </w:r>
      <w:r>
        <w:t>from 2012 to 2024; 2) understanding the characteristics, schedules, preferences, and choices of non-parental care among households with children and how these may have changed in this 12-year period; and 3) documenting how providers, the workforce, and households have responded to policy developments that were implemented during this 12-year period.</w:t>
      </w:r>
      <w:r>
        <w:rPr>
          <w:rFonts w:eastAsia="Times New Roman" w:cstheme="minorHAnsi"/>
          <w:bCs/>
          <w:color w:val="000000"/>
        </w:rPr>
        <w:t xml:space="preserve"> A number of analyses will thus compare statistics generated from the same or similar survey items that were fielded in the 2012 NSECE and 2019 NSECE. Such items may describe </w:t>
      </w:r>
      <w:r w:rsidR="00E43DA8">
        <w:rPr>
          <w:rFonts w:eastAsia="Times New Roman" w:cstheme="minorHAnsi"/>
          <w:bCs/>
          <w:color w:val="000000"/>
        </w:rPr>
        <w:t xml:space="preserve">supply </w:t>
      </w:r>
      <w:r>
        <w:rPr>
          <w:rFonts w:eastAsia="Times New Roman" w:cstheme="minorHAnsi"/>
          <w:bCs/>
          <w:color w:val="000000"/>
        </w:rPr>
        <w:t xml:space="preserve">characteristics, such as whether a </w:t>
      </w:r>
      <w:r w:rsidR="00E43DA8">
        <w:rPr>
          <w:rFonts w:eastAsia="Times New Roman" w:cstheme="minorHAnsi"/>
          <w:bCs/>
          <w:color w:val="000000"/>
        </w:rPr>
        <w:t xml:space="preserve">provider </w:t>
      </w:r>
      <w:r>
        <w:rPr>
          <w:rFonts w:eastAsia="Times New Roman" w:cstheme="minorHAnsi"/>
          <w:bCs/>
          <w:color w:val="000000"/>
        </w:rPr>
        <w:t xml:space="preserve">was in operation or the number and ages of children served, or </w:t>
      </w:r>
      <w:r w:rsidR="00E43DA8">
        <w:rPr>
          <w:rFonts w:eastAsia="Times New Roman" w:cstheme="minorHAnsi"/>
          <w:bCs/>
          <w:color w:val="000000"/>
        </w:rPr>
        <w:t xml:space="preserve">household or child </w:t>
      </w:r>
      <w:r>
        <w:rPr>
          <w:rFonts w:eastAsia="Times New Roman" w:cstheme="minorHAnsi"/>
          <w:bCs/>
          <w:color w:val="000000"/>
        </w:rPr>
        <w:t xml:space="preserve">characteristics, such as </w:t>
      </w:r>
      <w:r w:rsidR="00E43DA8">
        <w:rPr>
          <w:rFonts w:eastAsia="Times New Roman" w:cstheme="minorHAnsi"/>
          <w:bCs/>
          <w:color w:val="000000"/>
        </w:rPr>
        <w:t>household</w:t>
      </w:r>
      <w:r>
        <w:rPr>
          <w:rFonts w:eastAsia="Times New Roman" w:cstheme="minorHAnsi"/>
          <w:bCs/>
          <w:color w:val="000000"/>
        </w:rPr>
        <w:t xml:space="preserve"> income or </w:t>
      </w:r>
      <w:r w:rsidR="00E43DA8">
        <w:rPr>
          <w:rFonts w:eastAsia="Times New Roman" w:cstheme="minorHAnsi"/>
          <w:bCs/>
          <w:color w:val="000000"/>
        </w:rPr>
        <w:t>participation in regular ECE</w:t>
      </w:r>
      <w:r>
        <w:rPr>
          <w:rFonts w:eastAsia="Times New Roman" w:cstheme="minorHAnsi"/>
          <w:bCs/>
          <w:color w:val="000000"/>
        </w:rPr>
        <w:t xml:space="preserve">. </w:t>
      </w:r>
    </w:p>
    <w:p w:rsidR="00E37D56" w:rsidP="00E820B2" w14:paraId="2EAF4122" w14:textId="79069F0E">
      <w:pPr>
        <w:pStyle w:val="BodyText"/>
      </w:pPr>
      <w:r>
        <w:t xml:space="preserve">In addition, the 2024 NSECE will introduce new items to </w:t>
      </w:r>
      <w:r w:rsidR="00BF399A">
        <w:t xml:space="preserve">address recent research developments or to </w:t>
      </w:r>
      <w:r>
        <w:t xml:space="preserve">track the financial, administrative, and operational experiences of providers </w:t>
      </w:r>
      <w:r w:rsidR="00E43DA8">
        <w:t xml:space="preserve">or households </w:t>
      </w:r>
      <w:r>
        <w:t>that came about as a result of the legislative responses to the pandemic</w:t>
      </w:r>
      <w:r w:rsidR="00E43DA8">
        <w:t xml:space="preserve"> or other major economic events</w:t>
      </w:r>
      <w:r>
        <w:t>. Because the main analytic objective is descriptive in nature, statistics will be focused on weighted frequencies, means, and proportions.</w:t>
      </w:r>
      <w:r w:rsidR="003244CC">
        <w:t xml:space="preserve"> </w:t>
      </w:r>
    </w:p>
    <w:p w:rsidR="00E37D56" w:rsidP="00D457B3" w14:paraId="249A96C9" w14:textId="77777777">
      <w:pPr>
        <w:pStyle w:val="Heading3"/>
      </w:pPr>
      <w:r>
        <w:t>Data Use</w:t>
      </w:r>
    </w:p>
    <w:p w:rsidR="00B723AF" w:rsidP="00E820B2" w14:paraId="4F68EFC7" w14:textId="0CC61217">
      <w:pPr>
        <w:pStyle w:val="BodyText"/>
      </w:pPr>
      <w:r>
        <w:t>The NSECE has established a deep library of tools for data users and others to understand how to properly interpret, analyze</w:t>
      </w:r>
      <w:r w:rsidR="003A758E">
        <w:t>,</w:t>
      </w:r>
      <w:r>
        <w:t xml:space="preserve"> and evaluate information from the </w:t>
      </w:r>
      <w:r w:rsidR="00E1477E">
        <w:t xml:space="preserve">previous </w:t>
      </w:r>
      <w:r>
        <w:t>collection</w:t>
      </w:r>
      <w:r w:rsidR="00E1477E">
        <w:t>s</w:t>
      </w:r>
      <w:r>
        <w:t>. These include user guides, tutorials on how best to use the data, and analytic products that describe key findings.</w:t>
      </w:r>
      <w:r w:rsidR="00D568E8">
        <w:t xml:space="preserve"> </w:t>
      </w:r>
      <w:r>
        <w:t xml:space="preserve">All materials </w:t>
      </w:r>
      <w:r w:rsidR="00E1477E">
        <w:t xml:space="preserve">for the 2024 NSECE </w:t>
      </w:r>
      <w:r>
        <w:t>will be posted on the Child and Family Data Archive funded by ACF, in conjunction with existing NSECE materials.</w:t>
      </w:r>
      <w:r w:rsidR="00155F11">
        <w:t xml:space="preserve"> As of November 2022, there have been more than 110 publications produced by researchers outside the NSECE project team</w:t>
      </w:r>
      <w:r w:rsidR="007E6E93">
        <w:t xml:space="preserve"> using data from the 2012 and 2019 NSECE</w:t>
      </w:r>
      <w:r w:rsidR="00155F11">
        <w:t>.</w:t>
      </w:r>
      <w:r>
        <w:rPr>
          <w:rStyle w:val="FootnoteReference"/>
          <w:rFonts w:eastAsia="Times New Roman" w:cstheme="minorHAnsi"/>
        </w:rPr>
        <w:footnoteReference w:id="3"/>
      </w:r>
    </w:p>
    <w:p w:rsidR="00B723AF" w:rsidP="00E820B2" w14:paraId="081BE871" w14:textId="0994312D">
      <w:pPr>
        <w:pStyle w:val="BodyText"/>
        <w:rPr>
          <w:rFonts w:ascii="Times New Roman" w:hAnsi="Times New Roman" w:cs="Times New Roman"/>
          <w:sz w:val="24"/>
          <w:szCs w:val="24"/>
        </w:rPr>
      </w:pPr>
      <w:r>
        <w:t>ACF expects to publish up to 20 analytic products within 4 years of the data collection period, highlighting key analytic findings, demonstrating the primary topical areas of coverage within the data, and addressing areas of information priority for the agency. We expect analyses will be completed linking other data sources, such as linking American Community Survey data to examine ECE availability and use in communities with different rates of poverty and/or urbanicity. Because NSECE data are broadly available to the research community, not all uses of the data can be anticipated at this time.</w:t>
      </w:r>
      <w:r w:rsidR="00D568E8">
        <w:t xml:space="preserve"> </w:t>
      </w:r>
      <w:r>
        <w:t>Some analysts have used 2012 and 2019 NSECE data to conduct quasi-experimental analyses or analyses using multivariate modeling and estimation techniques.</w:t>
      </w:r>
      <w:r>
        <w:rPr>
          <w:rFonts w:ascii="Times New Roman" w:hAnsi="Times New Roman" w:cs="Times New Roman"/>
          <w:sz w:val="24"/>
          <w:szCs w:val="24"/>
        </w:rPr>
        <w:t xml:space="preserve"> </w:t>
      </w:r>
    </w:p>
    <w:p w:rsidR="00A42C71" w:rsidRPr="001A59B6" w:rsidP="00D457B3" w14:paraId="1C0321C0" w14:textId="43A80E83">
      <w:pPr>
        <w:pStyle w:val="Heading2"/>
      </w:pPr>
      <w:r w:rsidRPr="001A59B6">
        <w:t>B8.</w:t>
      </w:r>
      <w:r w:rsidR="00E820B2">
        <w:tab/>
      </w:r>
      <w:r w:rsidRPr="001A59B6">
        <w:t xml:space="preserve">Contact Persons  </w:t>
      </w:r>
    </w:p>
    <w:p w:rsidR="00A42C71" w:rsidRPr="00E37D56" w:rsidP="00E820B2" w14:paraId="0D8125A9" w14:textId="4E790E1F">
      <w:pPr>
        <w:pStyle w:val="BodyText"/>
      </w:pPr>
      <w:r>
        <w:t xml:space="preserve">Don Jang, Chief Statistician </w:t>
      </w:r>
      <w:hyperlink r:id="rId11" w:history="1">
        <w:r>
          <w:rPr>
            <w:rStyle w:val="Hyperlink"/>
            <w:rFonts w:cstheme="minorHAnsi"/>
          </w:rPr>
          <w:t>Jang-Don@norc.org</w:t>
        </w:r>
      </w:hyperlink>
      <w:r>
        <w:t xml:space="preserve"> can answer questions about statistical aspects of the survey.</w:t>
      </w:r>
      <w:r w:rsidR="00D568E8">
        <w:t xml:space="preserve"> </w:t>
      </w:r>
      <w:r>
        <w:t xml:space="preserve">A Rupa Datta, Senior Fellow </w:t>
      </w:r>
      <w:hyperlink r:id="rId12" w:history="1">
        <w:r w:rsidRPr="000C0762">
          <w:rPr>
            <w:rStyle w:val="Hyperlink"/>
            <w:rFonts w:cstheme="minorHAnsi"/>
          </w:rPr>
          <w:t>Datta-Rupa@norc.uchicago.edu</w:t>
        </w:r>
      </w:hyperlink>
      <w:r>
        <w:t xml:space="preserve"> will supervise the collection, processing and analysis of data for OPRE.</w:t>
      </w:r>
      <w:r w:rsidR="00D568E8">
        <w:t xml:space="preserve"> </w:t>
      </w:r>
      <w:r>
        <w:t xml:space="preserve">Jang and Datta both work at NORC at the University of Chicago, the contractor for the 2024 NSECE. </w:t>
      </w:r>
    </w:p>
    <w:p w:rsidR="00D26B52" w:rsidRPr="001A59B6" w:rsidP="00D457B3" w14:paraId="4C313A53" w14:textId="7017E0A9">
      <w:pPr>
        <w:pStyle w:val="Heading2"/>
      </w:pPr>
      <w:r w:rsidRPr="001A59B6">
        <w:t>Attachments</w:t>
      </w:r>
    </w:p>
    <w:p w:rsidR="007346DB" w:rsidP="00E820B2" w14:paraId="4C0B83BD" w14:textId="2141A104">
      <w:pPr>
        <w:pStyle w:val="BodyText"/>
      </w:pPr>
      <w:bookmarkStart w:id="16" w:name="OLE_LINK73"/>
      <w:bookmarkStart w:id="17" w:name="OLE_LINK11"/>
      <w:r>
        <w:t xml:space="preserve">Instrument 1 2024 NSECE Household </w:t>
      </w:r>
      <w:bookmarkStart w:id="18" w:name="OLE_LINK72"/>
      <w:r>
        <w:t xml:space="preserve">Screener and </w:t>
      </w:r>
      <w:bookmarkEnd w:id="18"/>
      <w:r>
        <w:t xml:space="preserve">Questionnaire </w:t>
      </w:r>
    </w:p>
    <w:p w:rsidR="00B02B42" w:rsidP="00E820B2" w14:paraId="6FBED50E" w14:textId="6DCADFBB">
      <w:pPr>
        <w:pStyle w:val="BodyText"/>
      </w:pPr>
      <w:r>
        <w:t xml:space="preserve">Instrument 1S 2024 NSECE Household Screener and Questionnaire </w:t>
      </w:r>
      <w:r w:rsidR="00E15E7E">
        <w:t>(Spanish)</w:t>
      </w:r>
    </w:p>
    <w:p w:rsidR="007346DB" w:rsidP="00E820B2" w14:paraId="70C9B449" w14:textId="1AF5FB80">
      <w:pPr>
        <w:pStyle w:val="BodyText"/>
      </w:pPr>
      <w:r>
        <w:t xml:space="preserve">Instrument 2 2024 NSECE Home-based Provider Screener and Questionnaire </w:t>
      </w:r>
    </w:p>
    <w:p w:rsidR="00B02B42" w:rsidP="00E820B2" w14:paraId="251F563C" w14:textId="2A086607">
      <w:pPr>
        <w:pStyle w:val="BodyText"/>
      </w:pPr>
      <w:r>
        <w:t xml:space="preserve">Instrument 2S 2024 NSECE Home-based Provider Screener and Questionnaire </w:t>
      </w:r>
      <w:r w:rsidR="00E15E7E">
        <w:t>(Spanish)</w:t>
      </w:r>
    </w:p>
    <w:p w:rsidR="007346DB" w:rsidP="00E820B2" w14:paraId="0516516E" w14:textId="69BE2CFF">
      <w:pPr>
        <w:pStyle w:val="BodyText"/>
      </w:pPr>
      <w:r>
        <w:t xml:space="preserve">Instrument 3 2024 NSECE Center-based Provider Screener and Questionnaire </w:t>
      </w:r>
    </w:p>
    <w:p w:rsidR="00B02B42" w:rsidP="00E820B2" w14:paraId="0B6868F9" w14:textId="5CFB7D13">
      <w:pPr>
        <w:pStyle w:val="BodyText"/>
      </w:pPr>
      <w:r>
        <w:t>Instrument 3S 2024 NSECE Center-based Provider Screener and Questionnaire</w:t>
      </w:r>
      <w:r w:rsidR="00E15E7E">
        <w:t xml:space="preserve"> (Spanish)</w:t>
      </w:r>
    </w:p>
    <w:p w:rsidR="007346DB" w:rsidP="00E820B2" w14:paraId="443E94A5" w14:textId="3FD12820">
      <w:pPr>
        <w:pStyle w:val="BodyText"/>
      </w:pPr>
      <w:bookmarkStart w:id="19" w:name="OLE_LINK89"/>
      <w:r>
        <w:t xml:space="preserve">Instrument 4 2024 NSECE Workforce (Classroom Staff) Questionnaire </w:t>
      </w:r>
    </w:p>
    <w:bookmarkEnd w:id="19"/>
    <w:p w:rsidR="00B02B42" w:rsidP="00E820B2" w14:paraId="1F705BDC" w14:textId="799E7281">
      <w:pPr>
        <w:pStyle w:val="BodyText"/>
      </w:pPr>
      <w:r>
        <w:t xml:space="preserve">Instrument 4S 2024 NSECE Workforce (Classroom Staff) Questionnaire </w:t>
      </w:r>
      <w:r w:rsidR="00E15E7E">
        <w:t>(Spanish)</w:t>
      </w:r>
    </w:p>
    <w:bookmarkEnd w:id="16"/>
    <w:p w:rsidR="00A60698" w:rsidRPr="008408D2" w:rsidP="00E820B2" w14:paraId="534A8D73" w14:textId="14D46A3F">
      <w:pPr>
        <w:pStyle w:val="BodyText"/>
      </w:pPr>
      <w:r w:rsidRPr="008408D2">
        <w:t>Appendix A 2024 NSECE Household Respondent</w:t>
      </w:r>
      <w:r w:rsidR="00E70E89">
        <w:t xml:space="preserve"> </w:t>
      </w:r>
      <w:r w:rsidRPr="008408D2">
        <w:t xml:space="preserve">Contact Materials </w:t>
      </w:r>
    </w:p>
    <w:p w:rsidR="00A60698" w:rsidRPr="008408D2" w:rsidP="00E820B2" w14:paraId="6E214D57" w14:textId="7D8FDA93">
      <w:pPr>
        <w:pStyle w:val="BodyText"/>
      </w:pPr>
      <w:r w:rsidRPr="008408D2">
        <w:t xml:space="preserve">Appendix </w:t>
      </w:r>
      <w:r w:rsidR="00B02B42">
        <w:t>A-S</w:t>
      </w:r>
      <w:r w:rsidRPr="008408D2">
        <w:t xml:space="preserve"> 2024 NSECE Household Respondent Contact Materials </w:t>
      </w:r>
      <w:r w:rsidR="00E15E7E">
        <w:t>(Spanish)</w:t>
      </w:r>
    </w:p>
    <w:p w:rsidR="00A60698" w:rsidRPr="008408D2" w:rsidP="00E820B2" w14:paraId="0EA0F746" w14:textId="12C1424D">
      <w:pPr>
        <w:pStyle w:val="BodyText"/>
      </w:pPr>
      <w:r w:rsidRPr="008408D2">
        <w:t xml:space="preserve">Appendix </w:t>
      </w:r>
      <w:r w:rsidR="00B02B42">
        <w:t>B</w:t>
      </w:r>
      <w:r w:rsidRPr="008408D2">
        <w:t xml:space="preserve"> 2024 NSECE Household Questionnaire Items - Overview and Comparison</w:t>
      </w:r>
    </w:p>
    <w:p w:rsidR="00A60698" w:rsidRPr="008408D2" w:rsidP="00E820B2" w14:paraId="503AE4DD" w14:textId="30A211C3">
      <w:pPr>
        <w:pStyle w:val="BodyText"/>
      </w:pPr>
      <w:r w:rsidRPr="008408D2">
        <w:t xml:space="preserve">Appendix </w:t>
      </w:r>
      <w:r w:rsidR="00B02B42">
        <w:t>C</w:t>
      </w:r>
      <w:r w:rsidRPr="008408D2">
        <w:t xml:space="preserve"> 2024 NSECE Unlisted Home-based Provider Survey Contact Materials </w:t>
      </w:r>
    </w:p>
    <w:p w:rsidR="00A60698" w:rsidRPr="008408D2" w:rsidP="00E820B2" w14:paraId="7E6AC11B" w14:textId="3B4F9A3F">
      <w:pPr>
        <w:pStyle w:val="BodyText"/>
      </w:pPr>
      <w:r w:rsidRPr="008408D2">
        <w:t xml:space="preserve">Appendix </w:t>
      </w:r>
      <w:r w:rsidR="00B02B42">
        <w:t>C-S</w:t>
      </w:r>
      <w:r w:rsidRPr="008408D2">
        <w:t xml:space="preserve"> 2024 NSECE Unlisted Home-based Provider Survey Contact Materials </w:t>
      </w:r>
      <w:r w:rsidR="00E15E7E">
        <w:t>(Spanish)</w:t>
      </w:r>
    </w:p>
    <w:p w:rsidR="00A60698" w:rsidRPr="008408D2" w:rsidP="00E820B2" w14:paraId="607F2C4E" w14:textId="7ED3ED34">
      <w:pPr>
        <w:pStyle w:val="BodyText"/>
      </w:pPr>
      <w:r w:rsidRPr="008408D2">
        <w:t xml:space="preserve">Appendix </w:t>
      </w:r>
      <w:r w:rsidR="00B02B42">
        <w:t>D</w:t>
      </w:r>
      <w:r w:rsidRPr="008408D2">
        <w:t xml:space="preserve"> 2024 NSECE Listed Home-based Provider Survey Contact Materials </w:t>
      </w:r>
    </w:p>
    <w:p w:rsidR="00A60698" w:rsidRPr="008408D2" w:rsidP="00E820B2" w14:paraId="09D3A426" w14:textId="633B5431">
      <w:pPr>
        <w:pStyle w:val="BodyText"/>
      </w:pPr>
      <w:r w:rsidRPr="008408D2">
        <w:t xml:space="preserve">Appendix </w:t>
      </w:r>
      <w:r w:rsidR="00B02B42">
        <w:t>D-S</w:t>
      </w:r>
      <w:r w:rsidRPr="008408D2">
        <w:t xml:space="preserve"> 2024 NSECE Listed Home-based Provider Survey Contact Materials </w:t>
      </w:r>
      <w:r w:rsidR="00E15E7E">
        <w:t>(Spanish)</w:t>
      </w:r>
    </w:p>
    <w:p w:rsidR="00A60698" w:rsidRPr="008408D2" w:rsidP="00E820B2" w14:paraId="174D0A4B" w14:textId="7619BDF4">
      <w:pPr>
        <w:pStyle w:val="BodyText"/>
      </w:pPr>
      <w:r w:rsidRPr="008408D2">
        <w:t xml:space="preserve">Appendix </w:t>
      </w:r>
      <w:r w:rsidR="00B02B42">
        <w:t>E</w:t>
      </w:r>
      <w:r w:rsidRPr="008408D2">
        <w:t xml:space="preserve"> 2024 NSECE Home-based Provider Questionnaire Items - Overview and Comparison</w:t>
      </w:r>
    </w:p>
    <w:p w:rsidR="00A60698" w:rsidRPr="008408D2" w:rsidP="00E820B2" w14:paraId="0190937A" w14:textId="15022895">
      <w:pPr>
        <w:pStyle w:val="BodyText"/>
      </w:pPr>
      <w:r w:rsidRPr="008408D2">
        <w:t xml:space="preserve">Appendix </w:t>
      </w:r>
      <w:r w:rsidR="00B02B42">
        <w:t>F</w:t>
      </w:r>
      <w:r w:rsidRPr="008408D2">
        <w:t xml:space="preserve"> 2024 NSECE Center-based Provider Survey Contact Materials </w:t>
      </w:r>
    </w:p>
    <w:p w:rsidR="00A60698" w:rsidRPr="008408D2" w:rsidP="00E820B2" w14:paraId="22765396" w14:textId="17EA6171">
      <w:pPr>
        <w:pStyle w:val="BodyText"/>
      </w:pPr>
      <w:r w:rsidRPr="008408D2">
        <w:t xml:space="preserve">Appendix </w:t>
      </w:r>
      <w:r w:rsidR="00B02B42">
        <w:t>F-S</w:t>
      </w:r>
      <w:r w:rsidRPr="008408D2">
        <w:t xml:space="preserve"> 2024 NSECE Center-based Provider Survey Contact Materials </w:t>
      </w:r>
      <w:r w:rsidR="00E15E7E">
        <w:t>(Spanish)</w:t>
      </w:r>
    </w:p>
    <w:p w:rsidR="00A60698" w:rsidRPr="008408D2" w:rsidP="00E820B2" w14:paraId="30717809" w14:textId="15A8E0A7">
      <w:pPr>
        <w:pStyle w:val="BodyText"/>
      </w:pPr>
      <w:r w:rsidRPr="008408D2">
        <w:t xml:space="preserve">Appendix </w:t>
      </w:r>
      <w:r w:rsidR="00B02B42">
        <w:t>G</w:t>
      </w:r>
      <w:r w:rsidRPr="008408D2">
        <w:t xml:space="preserve"> 2024 NSECE Center-based </w:t>
      </w:r>
      <w:r w:rsidR="00455DBC">
        <w:t xml:space="preserve">Provider </w:t>
      </w:r>
      <w:r w:rsidRPr="008408D2">
        <w:t>Questionnaire Items - Overview and Comparison</w:t>
      </w:r>
    </w:p>
    <w:p w:rsidR="00A60698" w:rsidRPr="008408D2" w:rsidP="00E820B2" w14:paraId="0C16CEBF" w14:textId="634BED3A">
      <w:pPr>
        <w:pStyle w:val="BodyText"/>
      </w:pPr>
      <w:r w:rsidRPr="008408D2">
        <w:t xml:space="preserve">Appendix </w:t>
      </w:r>
      <w:r w:rsidR="00B02B42">
        <w:t>H</w:t>
      </w:r>
      <w:r w:rsidRPr="008408D2">
        <w:t xml:space="preserve"> 2024 NSECE Workforce </w:t>
      </w:r>
      <w:r w:rsidR="00E70E89">
        <w:t xml:space="preserve">(Classroom Staff) </w:t>
      </w:r>
      <w:r w:rsidRPr="008408D2">
        <w:t xml:space="preserve">Survey Respondent Contact Materials </w:t>
      </w:r>
    </w:p>
    <w:p w:rsidR="00A60698" w:rsidRPr="008408D2" w:rsidP="00E820B2" w14:paraId="62062C92" w14:textId="00EEBB74">
      <w:pPr>
        <w:pStyle w:val="BodyText"/>
      </w:pPr>
      <w:r w:rsidRPr="008408D2">
        <w:t xml:space="preserve">Appendix </w:t>
      </w:r>
      <w:r w:rsidR="00B02B42">
        <w:t>H-S</w:t>
      </w:r>
      <w:r w:rsidRPr="008408D2">
        <w:t xml:space="preserve"> 2024 NSECE Workforce </w:t>
      </w:r>
      <w:r w:rsidR="00E70E89">
        <w:t xml:space="preserve">(Classroom Staff) </w:t>
      </w:r>
      <w:r w:rsidRPr="008408D2">
        <w:t xml:space="preserve">Survey Respondent Contact Materials </w:t>
      </w:r>
      <w:r w:rsidR="00E15E7E">
        <w:t>(Spanish)</w:t>
      </w:r>
    </w:p>
    <w:p w:rsidR="00A60698" w:rsidRPr="008408D2" w:rsidP="00E820B2" w14:paraId="21E8C18F" w14:textId="6199F4BB">
      <w:pPr>
        <w:pStyle w:val="BodyText"/>
      </w:pPr>
      <w:r w:rsidRPr="008408D2">
        <w:t xml:space="preserve">Appendix </w:t>
      </w:r>
      <w:r w:rsidR="00B02B42">
        <w:t>I</w:t>
      </w:r>
      <w:r w:rsidRPr="008408D2">
        <w:t xml:space="preserve"> 2024 NSECE Workforce </w:t>
      </w:r>
      <w:r w:rsidR="00E70E89">
        <w:t xml:space="preserve">(Classroom Staff) </w:t>
      </w:r>
      <w:r w:rsidRPr="008408D2">
        <w:t>Questionnaire Items - Overview and Comparison</w:t>
      </w:r>
    </w:p>
    <w:p w:rsidR="00A60698" w:rsidRPr="008408D2" w:rsidP="00E820B2" w14:paraId="795644F1" w14:textId="62BD2D92">
      <w:pPr>
        <w:pStyle w:val="BodyText"/>
      </w:pPr>
      <w:r w:rsidRPr="008408D2">
        <w:t xml:space="preserve">Appendix </w:t>
      </w:r>
      <w:r w:rsidR="00B02B42">
        <w:t>J</w:t>
      </w:r>
      <w:r w:rsidRPr="008408D2">
        <w:t xml:space="preserve"> 2024 NSECE Field Materials </w:t>
      </w:r>
      <w:r w:rsidR="00E70E89">
        <w:t xml:space="preserve">for Contacting Respondents </w:t>
      </w:r>
    </w:p>
    <w:p w:rsidR="00A60698" w:rsidRPr="008408D2" w:rsidP="00E820B2" w14:paraId="7D9FC204" w14:textId="649094BC">
      <w:pPr>
        <w:pStyle w:val="BodyText"/>
      </w:pPr>
      <w:r w:rsidRPr="008408D2">
        <w:t xml:space="preserve">Appendix </w:t>
      </w:r>
      <w:r w:rsidR="00B02B42">
        <w:t>J-S</w:t>
      </w:r>
      <w:r w:rsidRPr="008408D2">
        <w:t xml:space="preserve"> 2024 NSECE Field Materials</w:t>
      </w:r>
      <w:r w:rsidR="00E70E89">
        <w:t xml:space="preserve"> for Contacting Respondents</w:t>
      </w:r>
      <w:r w:rsidRPr="008408D2">
        <w:t xml:space="preserve"> </w:t>
      </w:r>
      <w:r w:rsidR="00E15E7E">
        <w:t>(Spanish)</w:t>
      </w:r>
    </w:p>
    <w:p w:rsidR="00A60698" w:rsidRPr="008408D2" w:rsidP="00E820B2" w14:paraId="74E30604" w14:textId="19A6CA23">
      <w:pPr>
        <w:pStyle w:val="BodyText"/>
      </w:pPr>
      <w:r w:rsidRPr="008408D2">
        <w:t xml:space="preserve">Appendix </w:t>
      </w:r>
      <w:r w:rsidR="00B02B42">
        <w:t>K</w:t>
      </w:r>
      <w:r w:rsidRPr="008408D2">
        <w:t xml:space="preserve"> 2024 NSECE General Research Review Board Materials</w:t>
      </w:r>
    </w:p>
    <w:p w:rsidR="00A60698" w:rsidRPr="008408D2" w:rsidP="00E820B2" w14:paraId="446ABD51" w14:textId="2EA57263">
      <w:pPr>
        <w:pStyle w:val="BodyText"/>
      </w:pPr>
      <w:r w:rsidRPr="008408D2">
        <w:t xml:space="preserve">Appendix </w:t>
      </w:r>
      <w:r w:rsidR="00B02B42">
        <w:t>L</w:t>
      </w:r>
      <w:r w:rsidRPr="008408D2">
        <w:t xml:space="preserve"> 2024 NSECE Research Questions</w:t>
      </w:r>
    </w:p>
    <w:bookmarkEnd w:id="17"/>
    <w:p w:rsidR="006B67F6" w:rsidP="006B67F6" w14:paraId="703BFBDA" w14:textId="06E09EC1">
      <w:pPr>
        <w:spacing w:after="0"/>
      </w:pPr>
      <w:r>
        <w:t xml:space="preserve">Appendix </w:t>
      </w:r>
      <w:r w:rsidR="00B02B42">
        <w:t>M</w:t>
      </w:r>
      <w:r>
        <w:t xml:space="preserve"> 2024 NSECE Public Comment</w:t>
      </w:r>
    </w:p>
    <w:p w:rsidR="00A60698" w:rsidRPr="006B53F1" w:rsidP="008408D2" w14:paraId="4BB9B03C" w14:textId="77777777"/>
    <w:sectPr w:rsidSect="00561451">
      <w:pgSz w:w="12240" w:h="15840" w:code="1"/>
      <w:pgMar w:top="1440" w:right="1440" w:bottom="1440" w:left="1440" w:header="50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rsidP="00E820B2" w14:paraId="04723F22" w14:textId="0DA9A84D">
        <w:pPr>
          <w:pStyle w:val="Footer"/>
          <w:jc w:val="right"/>
        </w:pPr>
        <w:r>
          <w:fldChar w:fldCharType="begin"/>
        </w:r>
        <w:r>
          <w:instrText xml:space="preserve"> PAGE   \* MERGEFORMAT </w:instrText>
        </w:r>
        <w:r>
          <w:fldChar w:fldCharType="separate"/>
        </w:r>
        <w:r w:rsidR="00057B62">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09A1" w:rsidP="0004063C" w14:paraId="1DF218C0" w14:textId="77777777">
      <w:pPr>
        <w:spacing w:after="0" w:line="240" w:lineRule="auto"/>
      </w:pPr>
      <w:r>
        <w:separator/>
      </w:r>
    </w:p>
  </w:footnote>
  <w:footnote w:type="continuationSeparator" w:id="1">
    <w:p w:rsidR="002909A1" w:rsidP="0004063C" w14:paraId="4B3669B8" w14:textId="77777777">
      <w:pPr>
        <w:spacing w:after="0" w:line="240" w:lineRule="auto"/>
      </w:pPr>
      <w:r>
        <w:continuationSeparator/>
      </w:r>
    </w:p>
  </w:footnote>
  <w:footnote w:type="continuationNotice" w:id="2">
    <w:p w:rsidR="002909A1" w14:paraId="0B719D5A" w14:textId="77777777">
      <w:pPr>
        <w:spacing w:after="0" w:line="240" w:lineRule="auto"/>
      </w:pPr>
    </w:p>
  </w:footnote>
  <w:footnote w:id="3">
    <w:p w:rsidR="00155F11" w14:paraId="04B9ED4F" w14:textId="1CB63286">
      <w:pPr>
        <w:pStyle w:val="FootnoteText"/>
      </w:pPr>
      <w:r>
        <w:rPr>
          <w:rStyle w:val="FootnoteReference"/>
        </w:rPr>
        <w:footnoteRef/>
      </w:r>
      <w:r>
        <w:t xml:space="preserve"> See the NSECE available at Research Connections.org: </w:t>
      </w:r>
      <w:r w:rsidRPr="00155F11">
        <w:t>https://researchconnections.org/sites/default/files/146221.pdf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561451" w14:paraId="2A4DFED1" w14:textId="2EF09578">
    <w:pPr>
      <w:pStyle w:val="Header"/>
    </w:pPr>
    <w:r w:rsidRPr="000D7D44">
      <w:t xml:space="preserve">Research, </w:t>
    </w:r>
    <w:r>
      <w:t xml:space="preserve">Public Health </w:t>
    </w:r>
    <w:r w:rsidRPr="000D7D44">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6902848"/>
    <w:lvl w:ilvl="0">
      <w:start w:val="1"/>
      <w:numFmt w:val="decimal"/>
      <w:lvlText w:val="%1."/>
      <w:lvlJc w:val="left"/>
      <w:pPr>
        <w:tabs>
          <w:tab w:val="num" w:pos="1800"/>
        </w:tabs>
        <w:ind w:left="1800" w:hanging="360"/>
      </w:pPr>
    </w:lvl>
  </w:abstractNum>
  <w:abstractNum w:abstractNumId="1">
    <w:nsid w:val="FFFFFF7D"/>
    <w:multiLevelType w:val="singleLevel"/>
    <w:tmpl w:val="A4B2C2E0"/>
    <w:lvl w:ilvl="0">
      <w:start w:val="1"/>
      <w:numFmt w:val="decimal"/>
      <w:lvlText w:val="%1."/>
      <w:lvlJc w:val="left"/>
      <w:pPr>
        <w:tabs>
          <w:tab w:val="num" w:pos="1440"/>
        </w:tabs>
        <w:ind w:left="1440" w:hanging="360"/>
      </w:pPr>
    </w:lvl>
  </w:abstractNum>
  <w:abstractNum w:abstractNumId="2">
    <w:nsid w:val="FFFFFF7E"/>
    <w:multiLevelType w:val="singleLevel"/>
    <w:tmpl w:val="8C089C1E"/>
    <w:lvl w:ilvl="0">
      <w:start w:val="1"/>
      <w:numFmt w:val="decimal"/>
      <w:lvlText w:val="%1."/>
      <w:lvlJc w:val="left"/>
      <w:pPr>
        <w:tabs>
          <w:tab w:val="num" w:pos="1080"/>
        </w:tabs>
        <w:ind w:left="1080" w:hanging="360"/>
      </w:pPr>
    </w:lvl>
  </w:abstractNum>
  <w:abstractNum w:abstractNumId="3">
    <w:nsid w:val="FFFFFF7F"/>
    <w:multiLevelType w:val="singleLevel"/>
    <w:tmpl w:val="A28C7448"/>
    <w:lvl w:ilvl="0">
      <w:start w:val="1"/>
      <w:numFmt w:val="decimal"/>
      <w:lvlText w:val="%1."/>
      <w:lvlJc w:val="left"/>
      <w:pPr>
        <w:tabs>
          <w:tab w:val="num" w:pos="720"/>
        </w:tabs>
        <w:ind w:left="720" w:hanging="360"/>
      </w:pPr>
    </w:lvl>
  </w:abstractNum>
  <w:abstractNum w:abstractNumId="4">
    <w:nsid w:val="FFFFFF80"/>
    <w:multiLevelType w:val="singleLevel"/>
    <w:tmpl w:val="2794C9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9FC2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78AC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668F4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752F5AE"/>
    <w:lvl w:ilvl="0">
      <w:start w:val="1"/>
      <w:numFmt w:val="decimal"/>
      <w:lvlText w:val="%1."/>
      <w:lvlJc w:val="left"/>
      <w:pPr>
        <w:tabs>
          <w:tab w:val="num" w:pos="360"/>
        </w:tabs>
        <w:ind w:left="360" w:hanging="360"/>
      </w:pPr>
    </w:lvl>
  </w:abstractNum>
  <w:abstractNum w:abstractNumId="9">
    <w:nsid w:val="FFFFFF89"/>
    <w:multiLevelType w:val="singleLevel"/>
    <w:tmpl w:val="05DC1AA2"/>
    <w:lvl w:ilvl="0">
      <w:start w:val="1"/>
      <w:numFmt w:val="bullet"/>
      <w:lvlText w:val=""/>
      <w:lvlJc w:val="left"/>
      <w:pPr>
        <w:tabs>
          <w:tab w:val="num" w:pos="360"/>
        </w:tabs>
        <w:ind w:left="360" w:hanging="360"/>
      </w:pPr>
      <w:rPr>
        <w:rFonts w:ascii="Symbol" w:hAnsi="Symbol" w:hint="default"/>
      </w:rPr>
    </w:lvl>
  </w:abstractNum>
  <w:abstractNum w:abstractNumId="1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991352"/>
    <w:multiLevelType w:val="multilevel"/>
    <w:tmpl w:val="AE4E7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A808B2"/>
    <w:multiLevelType w:val="hybridMultilevel"/>
    <w:tmpl w:val="B3A2CF1A"/>
    <w:lvl w:ilvl="0">
      <w:start w:val="0"/>
      <w:numFmt w:val="bullet"/>
      <w:lvlText w:val="•"/>
      <w:lvlJc w:val="left"/>
      <w:pPr>
        <w:ind w:left="1080" w:hanging="72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5">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DF5DBF"/>
    <w:multiLevelType w:val="hybridMultilevel"/>
    <w:tmpl w:val="7542E476"/>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9728474">
    <w:abstractNumId w:val="16"/>
  </w:num>
  <w:num w:numId="2" w16cid:durableId="633491019">
    <w:abstractNumId w:val="28"/>
  </w:num>
  <w:num w:numId="3" w16cid:durableId="152139814">
    <w:abstractNumId w:val="14"/>
  </w:num>
  <w:num w:numId="4" w16cid:durableId="1194077391">
    <w:abstractNumId w:val="34"/>
  </w:num>
  <w:num w:numId="5" w16cid:durableId="235357004">
    <w:abstractNumId w:val="24"/>
  </w:num>
  <w:num w:numId="6" w16cid:durableId="911231641">
    <w:abstractNumId w:val="40"/>
  </w:num>
  <w:num w:numId="7" w16cid:durableId="1284068840">
    <w:abstractNumId w:val="13"/>
  </w:num>
  <w:num w:numId="8" w16cid:durableId="2123645939">
    <w:abstractNumId w:val="20"/>
  </w:num>
  <w:num w:numId="9" w16cid:durableId="2136556771">
    <w:abstractNumId w:val="23"/>
  </w:num>
  <w:num w:numId="10" w16cid:durableId="817234827">
    <w:abstractNumId w:val="39"/>
  </w:num>
  <w:num w:numId="11" w16cid:durableId="1734888183">
    <w:abstractNumId w:val="42"/>
  </w:num>
  <w:num w:numId="12" w16cid:durableId="138421971">
    <w:abstractNumId w:val="36"/>
  </w:num>
  <w:num w:numId="13" w16cid:durableId="1364557209">
    <w:abstractNumId w:val="33"/>
  </w:num>
  <w:num w:numId="14" w16cid:durableId="779569816">
    <w:abstractNumId w:val="37"/>
  </w:num>
  <w:num w:numId="15" w16cid:durableId="77750270">
    <w:abstractNumId w:val="25"/>
  </w:num>
  <w:num w:numId="16" w16cid:durableId="990059787">
    <w:abstractNumId w:val="32"/>
  </w:num>
  <w:num w:numId="17" w16cid:durableId="715465873">
    <w:abstractNumId w:val="22"/>
  </w:num>
  <w:num w:numId="18" w16cid:durableId="1200775024">
    <w:abstractNumId w:val="18"/>
  </w:num>
  <w:num w:numId="19" w16cid:durableId="2008358333">
    <w:abstractNumId w:val="17"/>
  </w:num>
  <w:num w:numId="20" w16cid:durableId="735663230">
    <w:abstractNumId w:val="30"/>
  </w:num>
  <w:num w:numId="21" w16cid:durableId="1862165893">
    <w:abstractNumId w:val="10"/>
  </w:num>
  <w:num w:numId="22" w16cid:durableId="1319115287">
    <w:abstractNumId w:val="11"/>
  </w:num>
  <w:num w:numId="23" w16cid:durableId="570383544">
    <w:abstractNumId w:val="26"/>
  </w:num>
  <w:num w:numId="24" w16cid:durableId="2137327449">
    <w:abstractNumId w:val="12"/>
  </w:num>
  <w:num w:numId="25" w16cid:durableId="1458404931">
    <w:abstractNumId w:val="21"/>
  </w:num>
  <w:num w:numId="26" w16cid:durableId="287319864">
    <w:abstractNumId w:val="29"/>
  </w:num>
  <w:num w:numId="27" w16cid:durableId="586310341">
    <w:abstractNumId w:val="41"/>
  </w:num>
  <w:num w:numId="28" w16cid:durableId="225650822">
    <w:abstractNumId w:val="35"/>
  </w:num>
  <w:num w:numId="29" w16cid:durableId="1483425544">
    <w:abstractNumId w:val="27"/>
  </w:num>
  <w:num w:numId="30" w16cid:durableId="705639200">
    <w:abstractNumId w:val="31"/>
  </w:num>
  <w:num w:numId="31" w16cid:durableId="175972349">
    <w:abstractNumId w:val="38"/>
  </w:num>
  <w:num w:numId="32" w16cid:durableId="1384207043">
    <w:abstractNumId w:val="19"/>
  </w:num>
  <w:num w:numId="33" w16cid:durableId="1407000212">
    <w:abstractNumId w:val="29"/>
  </w:num>
  <w:num w:numId="34" w16cid:durableId="1575822502">
    <w:abstractNumId w:val="41"/>
  </w:num>
  <w:num w:numId="35" w16cid:durableId="1514106896">
    <w:abstractNumId w:val="35"/>
  </w:num>
  <w:num w:numId="36" w16cid:durableId="277833617">
    <w:abstractNumId w:val="38"/>
  </w:num>
  <w:num w:numId="37" w16cid:durableId="549269359">
    <w:abstractNumId w:val="15"/>
  </w:num>
  <w:num w:numId="38" w16cid:durableId="649401754">
    <w:abstractNumId w:val="9"/>
  </w:num>
  <w:num w:numId="39" w16cid:durableId="540166218">
    <w:abstractNumId w:val="7"/>
  </w:num>
  <w:num w:numId="40" w16cid:durableId="592206633">
    <w:abstractNumId w:val="6"/>
  </w:num>
  <w:num w:numId="41" w16cid:durableId="1662811215">
    <w:abstractNumId w:val="5"/>
  </w:num>
  <w:num w:numId="42" w16cid:durableId="985401429">
    <w:abstractNumId w:val="4"/>
  </w:num>
  <w:num w:numId="43" w16cid:durableId="1262647524">
    <w:abstractNumId w:val="8"/>
  </w:num>
  <w:num w:numId="44" w16cid:durableId="982386794">
    <w:abstractNumId w:val="3"/>
  </w:num>
  <w:num w:numId="45" w16cid:durableId="727193440">
    <w:abstractNumId w:val="2"/>
  </w:num>
  <w:num w:numId="46" w16cid:durableId="846747919">
    <w:abstractNumId w:val="1"/>
  </w:num>
  <w:num w:numId="47" w16cid:durableId="45371210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79"/>
    <w:rsid w:val="00011235"/>
    <w:rsid w:val="00011E65"/>
    <w:rsid w:val="0001255D"/>
    <w:rsid w:val="00027E79"/>
    <w:rsid w:val="0004063C"/>
    <w:rsid w:val="0004247F"/>
    <w:rsid w:val="000463A5"/>
    <w:rsid w:val="00052048"/>
    <w:rsid w:val="0005709F"/>
    <w:rsid w:val="00057B62"/>
    <w:rsid w:val="00062AFB"/>
    <w:rsid w:val="00063F67"/>
    <w:rsid w:val="000655DD"/>
    <w:rsid w:val="00071F79"/>
    <w:rsid w:val="0007251B"/>
    <w:rsid w:val="0007295F"/>
    <w:rsid w:val="000733A5"/>
    <w:rsid w:val="00082C5B"/>
    <w:rsid w:val="00082E38"/>
    <w:rsid w:val="00083227"/>
    <w:rsid w:val="000836F1"/>
    <w:rsid w:val="00086CBE"/>
    <w:rsid w:val="00090812"/>
    <w:rsid w:val="000921F0"/>
    <w:rsid w:val="00097560"/>
    <w:rsid w:val="000A012A"/>
    <w:rsid w:val="000C0762"/>
    <w:rsid w:val="000C4B65"/>
    <w:rsid w:val="000D4E9A"/>
    <w:rsid w:val="000D7D44"/>
    <w:rsid w:val="000E2C13"/>
    <w:rsid w:val="000F00B1"/>
    <w:rsid w:val="000F1E4A"/>
    <w:rsid w:val="00100D34"/>
    <w:rsid w:val="0010118B"/>
    <w:rsid w:val="00103EFD"/>
    <w:rsid w:val="00107D87"/>
    <w:rsid w:val="00117B10"/>
    <w:rsid w:val="001253F4"/>
    <w:rsid w:val="00155F11"/>
    <w:rsid w:val="001562D2"/>
    <w:rsid w:val="00157482"/>
    <w:rsid w:val="00163B5D"/>
    <w:rsid w:val="001707D8"/>
    <w:rsid w:val="00196A24"/>
    <w:rsid w:val="001A4486"/>
    <w:rsid w:val="001A59B6"/>
    <w:rsid w:val="001B0A76"/>
    <w:rsid w:val="001B3136"/>
    <w:rsid w:val="001F57F5"/>
    <w:rsid w:val="0020401C"/>
    <w:rsid w:val="0020629A"/>
    <w:rsid w:val="00206E11"/>
    <w:rsid w:val="00206FE3"/>
    <w:rsid w:val="00207554"/>
    <w:rsid w:val="00211261"/>
    <w:rsid w:val="002517BB"/>
    <w:rsid w:val="00256E24"/>
    <w:rsid w:val="00265491"/>
    <w:rsid w:val="00276CE2"/>
    <w:rsid w:val="00277466"/>
    <w:rsid w:val="00287AF1"/>
    <w:rsid w:val="002909A1"/>
    <w:rsid w:val="002A41C6"/>
    <w:rsid w:val="002B5379"/>
    <w:rsid w:val="002B785B"/>
    <w:rsid w:val="002D4926"/>
    <w:rsid w:val="002E2339"/>
    <w:rsid w:val="002E6CCF"/>
    <w:rsid w:val="002F33D0"/>
    <w:rsid w:val="00300722"/>
    <w:rsid w:val="0030316D"/>
    <w:rsid w:val="003075A8"/>
    <w:rsid w:val="00323F88"/>
    <w:rsid w:val="003244CC"/>
    <w:rsid w:val="00324F97"/>
    <w:rsid w:val="0032751A"/>
    <w:rsid w:val="00334FC7"/>
    <w:rsid w:val="003414CD"/>
    <w:rsid w:val="003576A8"/>
    <w:rsid w:val="00373D2F"/>
    <w:rsid w:val="00390011"/>
    <w:rsid w:val="00390F85"/>
    <w:rsid w:val="003A758E"/>
    <w:rsid w:val="003A7774"/>
    <w:rsid w:val="003C03D0"/>
    <w:rsid w:val="003C7358"/>
    <w:rsid w:val="003E61F6"/>
    <w:rsid w:val="003F277D"/>
    <w:rsid w:val="003F6DEF"/>
    <w:rsid w:val="00407537"/>
    <w:rsid w:val="00414A0E"/>
    <w:rsid w:val="004165BD"/>
    <w:rsid w:val="0042220D"/>
    <w:rsid w:val="004336ED"/>
    <w:rsid w:val="0043377A"/>
    <w:rsid w:val="00437489"/>
    <w:rsid w:val="004379B6"/>
    <w:rsid w:val="00442ED7"/>
    <w:rsid w:val="0044428E"/>
    <w:rsid w:val="00446465"/>
    <w:rsid w:val="00455AD8"/>
    <w:rsid w:val="00455DBC"/>
    <w:rsid w:val="00460D54"/>
    <w:rsid w:val="00461D3E"/>
    <w:rsid w:val="0046279D"/>
    <w:rsid w:val="004706CC"/>
    <w:rsid w:val="00474FED"/>
    <w:rsid w:val="004A3222"/>
    <w:rsid w:val="004B75AC"/>
    <w:rsid w:val="004C28AE"/>
    <w:rsid w:val="004C2DB2"/>
    <w:rsid w:val="004C3644"/>
    <w:rsid w:val="004D12DD"/>
    <w:rsid w:val="004E1CDA"/>
    <w:rsid w:val="004E4792"/>
    <w:rsid w:val="004E5778"/>
    <w:rsid w:val="004E7ED8"/>
    <w:rsid w:val="0050376D"/>
    <w:rsid w:val="00512C25"/>
    <w:rsid w:val="005302CB"/>
    <w:rsid w:val="00533FDB"/>
    <w:rsid w:val="00544E96"/>
    <w:rsid w:val="005477D3"/>
    <w:rsid w:val="0055434C"/>
    <w:rsid w:val="00561451"/>
    <w:rsid w:val="00591283"/>
    <w:rsid w:val="005A61CE"/>
    <w:rsid w:val="005A7E5A"/>
    <w:rsid w:val="005B1285"/>
    <w:rsid w:val="005B1410"/>
    <w:rsid w:val="005C3E15"/>
    <w:rsid w:val="005D4A40"/>
    <w:rsid w:val="005E493B"/>
    <w:rsid w:val="005F2951"/>
    <w:rsid w:val="00602F63"/>
    <w:rsid w:val="00611CCA"/>
    <w:rsid w:val="00624DDC"/>
    <w:rsid w:val="006253B6"/>
    <w:rsid w:val="006257ED"/>
    <w:rsid w:val="0062686E"/>
    <w:rsid w:val="00630B30"/>
    <w:rsid w:val="00637D12"/>
    <w:rsid w:val="006416D9"/>
    <w:rsid w:val="00651FF6"/>
    <w:rsid w:val="00662150"/>
    <w:rsid w:val="0068303E"/>
    <w:rsid w:val="0068383E"/>
    <w:rsid w:val="006A4D02"/>
    <w:rsid w:val="006B1BF9"/>
    <w:rsid w:val="006B30C5"/>
    <w:rsid w:val="006B31DA"/>
    <w:rsid w:val="006B53F1"/>
    <w:rsid w:val="006B6037"/>
    <w:rsid w:val="006B67F6"/>
    <w:rsid w:val="006B6E12"/>
    <w:rsid w:val="006C0E56"/>
    <w:rsid w:val="006E4F82"/>
    <w:rsid w:val="00716419"/>
    <w:rsid w:val="00717BDC"/>
    <w:rsid w:val="00723A28"/>
    <w:rsid w:val="007267EE"/>
    <w:rsid w:val="007346DB"/>
    <w:rsid w:val="00736B62"/>
    <w:rsid w:val="007428D2"/>
    <w:rsid w:val="00744A0C"/>
    <w:rsid w:val="00754D83"/>
    <w:rsid w:val="007607C4"/>
    <w:rsid w:val="00764C85"/>
    <w:rsid w:val="007733D5"/>
    <w:rsid w:val="00787686"/>
    <w:rsid w:val="00793E3E"/>
    <w:rsid w:val="00795969"/>
    <w:rsid w:val="007A29C5"/>
    <w:rsid w:val="007B05C7"/>
    <w:rsid w:val="007C7B4B"/>
    <w:rsid w:val="007E3D6C"/>
    <w:rsid w:val="007E4857"/>
    <w:rsid w:val="007E6E93"/>
    <w:rsid w:val="007F1344"/>
    <w:rsid w:val="007F3B91"/>
    <w:rsid w:val="007F551E"/>
    <w:rsid w:val="00811057"/>
    <w:rsid w:val="00814266"/>
    <w:rsid w:val="00823428"/>
    <w:rsid w:val="008369BA"/>
    <w:rsid w:val="008408D2"/>
    <w:rsid w:val="00840D32"/>
    <w:rsid w:val="00843933"/>
    <w:rsid w:val="0084670F"/>
    <w:rsid w:val="008551FF"/>
    <w:rsid w:val="00864C1F"/>
    <w:rsid w:val="00870FA1"/>
    <w:rsid w:val="00874ADA"/>
    <w:rsid w:val="00875220"/>
    <w:rsid w:val="00882111"/>
    <w:rsid w:val="0088359D"/>
    <w:rsid w:val="00891CD9"/>
    <w:rsid w:val="008B4B67"/>
    <w:rsid w:val="008C23A4"/>
    <w:rsid w:val="008E0239"/>
    <w:rsid w:val="008E4718"/>
    <w:rsid w:val="008F2446"/>
    <w:rsid w:val="00901040"/>
    <w:rsid w:val="00923F25"/>
    <w:rsid w:val="00936C95"/>
    <w:rsid w:val="00963503"/>
    <w:rsid w:val="00965DBD"/>
    <w:rsid w:val="00971944"/>
    <w:rsid w:val="009724E7"/>
    <w:rsid w:val="00974693"/>
    <w:rsid w:val="009803EA"/>
    <w:rsid w:val="009815C6"/>
    <w:rsid w:val="009912A0"/>
    <w:rsid w:val="00996201"/>
    <w:rsid w:val="00997FD4"/>
    <w:rsid w:val="009A39E1"/>
    <w:rsid w:val="009A3AD8"/>
    <w:rsid w:val="009A6EE8"/>
    <w:rsid w:val="009B0F58"/>
    <w:rsid w:val="009C0BC0"/>
    <w:rsid w:val="009C1124"/>
    <w:rsid w:val="009C3380"/>
    <w:rsid w:val="009C3B3D"/>
    <w:rsid w:val="009C46CA"/>
    <w:rsid w:val="009E0A7E"/>
    <w:rsid w:val="009E2935"/>
    <w:rsid w:val="009E42E4"/>
    <w:rsid w:val="009E7E38"/>
    <w:rsid w:val="009F05F5"/>
    <w:rsid w:val="009F265B"/>
    <w:rsid w:val="009F482C"/>
    <w:rsid w:val="009F68DB"/>
    <w:rsid w:val="00A0248D"/>
    <w:rsid w:val="00A03E3F"/>
    <w:rsid w:val="00A1108E"/>
    <w:rsid w:val="00A27CD0"/>
    <w:rsid w:val="00A362B6"/>
    <w:rsid w:val="00A42C71"/>
    <w:rsid w:val="00A43528"/>
    <w:rsid w:val="00A60698"/>
    <w:rsid w:val="00A64E2D"/>
    <w:rsid w:val="00A664BC"/>
    <w:rsid w:val="00A67DFF"/>
    <w:rsid w:val="00A71475"/>
    <w:rsid w:val="00A714DC"/>
    <w:rsid w:val="00A7179C"/>
    <w:rsid w:val="00A761CB"/>
    <w:rsid w:val="00A766E6"/>
    <w:rsid w:val="00A85701"/>
    <w:rsid w:val="00AD3261"/>
    <w:rsid w:val="00AD4355"/>
    <w:rsid w:val="00AE1864"/>
    <w:rsid w:val="00AE3F5F"/>
    <w:rsid w:val="00B0023B"/>
    <w:rsid w:val="00B02B42"/>
    <w:rsid w:val="00B13DC4"/>
    <w:rsid w:val="00B17B7C"/>
    <w:rsid w:val="00B204D9"/>
    <w:rsid w:val="00B231E4"/>
    <w:rsid w:val="00B23277"/>
    <w:rsid w:val="00B245AD"/>
    <w:rsid w:val="00B4182B"/>
    <w:rsid w:val="00B55E54"/>
    <w:rsid w:val="00B56589"/>
    <w:rsid w:val="00B64D05"/>
    <w:rsid w:val="00B671A4"/>
    <w:rsid w:val="00B70460"/>
    <w:rsid w:val="00B723AF"/>
    <w:rsid w:val="00B72C64"/>
    <w:rsid w:val="00B854D9"/>
    <w:rsid w:val="00B87B3F"/>
    <w:rsid w:val="00B9441B"/>
    <w:rsid w:val="00B95ADD"/>
    <w:rsid w:val="00BA1E68"/>
    <w:rsid w:val="00BA5034"/>
    <w:rsid w:val="00BB4BF8"/>
    <w:rsid w:val="00BC6AEC"/>
    <w:rsid w:val="00BC74E1"/>
    <w:rsid w:val="00BD702B"/>
    <w:rsid w:val="00BD7B78"/>
    <w:rsid w:val="00BE45BC"/>
    <w:rsid w:val="00BE773B"/>
    <w:rsid w:val="00BF2857"/>
    <w:rsid w:val="00BF3438"/>
    <w:rsid w:val="00BF399A"/>
    <w:rsid w:val="00C05352"/>
    <w:rsid w:val="00C14B7E"/>
    <w:rsid w:val="00C32404"/>
    <w:rsid w:val="00C32C8A"/>
    <w:rsid w:val="00C6189C"/>
    <w:rsid w:val="00C73360"/>
    <w:rsid w:val="00C8176F"/>
    <w:rsid w:val="00C86CB2"/>
    <w:rsid w:val="00C91C71"/>
    <w:rsid w:val="00C95126"/>
    <w:rsid w:val="00CA72A5"/>
    <w:rsid w:val="00CC07BF"/>
    <w:rsid w:val="00CC4651"/>
    <w:rsid w:val="00CC547D"/>
    <w:rsid w:val="00CC6120"/>
    <w:rsid w:val="00CE018E"/>
    <w:rsid w:val="00CE7A4A"/>
    <w:rsid w:val="00CF1653"/>
    <w:rsid w:val="00D04C57"/>
    <w:rsid w:val="00D1343F"/>
    <w:rsid w:val="00D13AA8"/>
    <w:rsid w:val="00D239B5"/>
    <w:rsid w:val="00D26B52"/>
    <w:rsid w:val="00D32605"/>
    <w:rsid w:val="00D32B72"/>
    <w:rsid w:val="00D4033C"/>
    <w:rsid w:val="00D45504"/>
    <w:rsid w:val="00D457B3"/>
    <w:rsid w:val="00D5346A"/>
    <w:rsid w:val="00D55767"/>
    <w:rsid w:val="00D568E8"/>
    <w:rsid w:val="00D70BC2"/>
    <w:rsid w:val="00D71BA0"/>
    <w:rsid w:val="00D749DF"/>
    <w:rsid w:val="00D75390"/>
    <w:rsid w:val="00D81DE6"/>
    <w:rsid w:val="00D82755"/>
    <w:rsid w:val="00D82E67"/>
    <w:rsid w:val="00D831AC"/>
    <w:rsid w:val="00D87E56"/>
    <w:rsid w:val="00D92CBF"/>
    <w:rsid w:val="00D92DC9"/>
    <w:rsid w:val="00D95E35"/>
    <w:rsid w:val="00D97926"/>
    <w:rsid w:val="00DA3557"/>
    <w:rsid w:val="00DA4701"/>
    <w:rsid w:val="00DB23F8"/>
    <w:rsid w:val="00DB36BA"/>
    <w:rsid w:val="00DC0C7C"/>
    <w:rsid w:val="00DC65F2"/>
    <w:rsid w:val="00DC7876"/>
    <w:rsid w:val="00DC7DD5"/>
    <w:rsid w:val="00DD26CD"/>
    <w:rsid w:val="00DD7A5C"/>
    <w:rsid w:val="00DE264C"/>
    <w:rsid w:val="00DE3ED7"/>
    <w:rsid w:val="00DF1291"/>
    <w:rsid w:val="00E1392C"/>
    <w:rsid w:val="00E13E9E"/>
    <w:rsid w:val="00E1477E"/>
    <w:rsid w:val="00E15E7E"/>
    <w:rsid w:val="00E22AC6"/>
    <w:rsid w:val="00E24830"/>
    <w:rsid w:val="00E318A6"/>
    <w:rsid w:val="00E37D56"/>
    <w:rsid w:val="00E41C62"/>
    <w:rsid w:val="00E41EE9"/>
    <w:rsid w:val="00E43DA8"/>
    <w:rsid w:val="00E461D4"/>
    <w:rsid w:val="00E62285"/>
    <w:rsid w:val="00E62819"/>
    <w:rsid w:val="00E70E89"/>
    <w:rsid w:val="00E71E25"/>
    <w:rsid w:val="00E760D9"/>
    <w:rsid w:val="00E820B2"/>
    <w:rsid w:val="00E9045F"/>
    <w:rsid w:val="00EA0D4F"/>
    <w:rsid w:val="00EA25CC"/>
    <w:rsid w:val="00EA405B"/>
    <w:rsid w:val="00EA56F7"/>
    <w:rsid w:val="00EB1EC8"/>
    <w:rsid w:val="00EB4C26"/>
    <w:rsid w:val="00EB6134"/>
    <w:rsid w:val="00EC1A6C"/>
    <w:rsid w:val="00EC4A12"/>
    <w:rsid w:val="00ED7509"/>
    <w:rsid w:val="00EE38AF"/>
    <w:rsid w:val="00EF254B"/>
    <w:rsid w:val="00EF4D85"/>
    <w:rsid w:val="00EF4FF2"/>
    <w:rsid w:val="00F071DE"/>
    <w:rsid w:val="00F31FD5"/>
    <w:rsid w:val="00F42246"/>
    <w:rsid w:val="00F74630"/>
    <w:rsid w:val="00F8391C"/>
    <w:rsid w:val="00F9122A"/>
    <w:rsid w:val="00FA6D2C"/>
    <w:rsid w:val="00FB28AD"/>
    <w:rsid w:val="00FB5BF6"/>
    <w:rsid w:val="00FC779A"/>
    <w:rsid w:val="00FE29E5"/>
    <w:rsid w:val="00FF4302"/>
    <w:rsid w:val="00FF5C51"/>
    <w:rsid w:val="778E82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0B2"/>
  </w:style>
  <w:style w:type="paragraph" w:styleId="Heading1">
    <w:name w:val="heading 1"/>
    <w:basedOn w:val="Normal"/>
    <w:next w:val="Normal"/>
    <w:link w:val="Heading1Char"/>
    <w:uiPriority w:val="9"/>
    <w:qFormat/>
    <w:rsid w:val="00BC6AEC"/>
    <w:pPr>
      <w:spacing w:after="360"/>
      <w:jc w:val="center"/>
      <w:outlineLvl w:val="0"/>
    </w:pPr>
    <w:rPr>
      <w:rFonts w:cstheme="minorHAnsi"/>
      <w:b/>
      <w:sz w:val="32"/>
      <w:szCs w:val="32"/>
    </w:rPr>
  </w:style>
  <w:style w:type="paragraph" w:styleId="Heading2">
    <w:name w:val="heading 2"/>
    <w:basedOn w:val="Heading1"/>
    <w:next w:val="Normal"/>
    <w:link w:val="Heading2Char"/>
    <w:uiPriority w:val="9"/>
    <w:unhideWhenUsed/>
    <w:qFormat/>
    <w:rsid w:val="00BC6AEC"/>
    <w:pPr>
      <w:keepNext/>
      <w:keepLines/>
      <w:spacing w:after="120"/>
      <w:jc w:val="left"/>
      <w:outlineLvl w:val="1"/>
    </w:pPr>
    <w:rPr>
      <w:sz w:val="22"/>
    </w:rPr>
  </w:style>
  <w:style w:type="paragraph" w:styleId="Heading3">
    <w:name w:val="heading 3"/>
    <w:basedOn w:val="Heading2"/>
    <w:next w:val="Normal"/>
    <w:link w:val="Heading3Char"/>
    <w:uiPriority w:val="9"/>
    <w:unhideWhenUsed/>
    <w:qFormat/>
    <w:rsid w:val="00BC6AEC"/>
    <w:pPr>
      <w:spacing w:before="120"/>
      <w:outlineLvl w:val="2"/>
    </w:pPr>
    <w:rPr>
      <w:b w:val="0"/>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20B2"/>
    <w:pPr>
      <w:numPr>
        <w:numId w:val="31"/>
      </w:numPr>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561451"/>
    <w:pPr>
      <w:spacing w:after="0" w:line="240" w:lineRule="auto"/>
      <w:jc w:val="center"/>
    </w:pPr>
    <w:rPr>
      <w:b/>
    </w:rPr>
  </w:style>
  <w:style w:type="character" w:customStyle="1" w:styleId="HeaderChar">
    <w:name w:val="Header Char"/>
    <w:basedOn w:val="DefaultParagraphFont"/>
    <w:link w:val="Header"/>
    <w:uiPriority w:val="99"/>
    <w:rsid w:val="00561451"/>
    <w:rPr>
      <w:b/>
    </w:rPr>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E820B2"/>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E37D56"/>
    <w:rPr>
      <w:color w:val="605E5C"/>
      <w:shd w:val="clear" w:color="auto" w:fill="E1DFDD"/>
    </w:rPr>
  </w:style>
  <w:style w:type="character" w:styleId="UnresolvedMention">
    <w:name w:val="Unresolved Mention"/>
    <w:basedOn w:val="DefaultParagraphFont"/>
    <w:uiPriority w:val="99"/>
    <w:semiHidden/>
    <w:unhideWhenUsed/>
    <w:rsid w:val="00B723AF"/>
    <w:rPr>
      <w:color w:val="605E5C"/>
      <w:shd w:val="clear" w:color="auto" w:fill="E1DFDD"/>
    </w:rPr>
  </w:style>
  <w:style w:type="paragraph" w:styleId="BodyText">
    <w:name w:val="Body Text"/>
    <w:basedOn w:val="Normal"/>
    <w:link w:val="BodyTextChar"/>
    <w:uiPriority w:val="99"/>
    <w:unhideWhenUsed/>
    <w:rsid w:val="00E820B2"/>
  </w:style>
  <w:style w:type="character" w:customStyle="1" w:styleId="BodyTextChar">
    <w:name w:val="Body Text Char"/>
    <w:basedOn w:val="DefaultParagraphFont"/>
    <w:link w:val="BodyText"/>
    <w:uiPriority w:val="99"/>
    <w:rsid w:val="00E820B2"/>
  </w:style>
  <w:style w:type="character" w:customStyle="1" w:styleId="Heading1Char">
    <w:name w:val="Heading 1 Char"/>
    <w:basedOn w:val="DefaultParagraphFont"/>
    <w:link w:val="Heading1"/>
    <w:uiPriority w:val="9"/>
    <w:rsid w:val="00BC6AEC"/>
    <w:rPr>
      <w:rFonts w:cstheme="minorHAnsi"/>
      <w:b/>
      <w:sz w:val="32"/>
      <w:szCs w:val="32"/>
    </w:rPr>
  </w:style>
  <w:style w:type="character" w:customStyle="1" w:styleId="Heading2Char">
    <w:name w:val="Heading 2 Char"/>
    <w:basedOn w:val="DefaultParagraphFont"/>
    <w:link w:val="Heading2"/>
    <w:uiPriority w:val="9"/>
    <w:rsid w:val="00BC6AEC"/>
    <w:rPr>
      <w:rFonts w:cstheme="minorHAnsi"/>
      <w:b/>
      <w:szCs w:val="32"/>
    </w:rPr>
  </w:style>
  <w:style w:type="character" w:customStyle="1" w:styleId="Heading3Char">
    <w:name w:val="Heading 3 Char"/>
    <w:basedOn w:val="DefaultParagraphFont"/>
    <w:link w:val="Heading3"/>
    <w:uiPriority w:val="9"/>
    <w:rsid w:val="00BC6AEC"/>
    <w:rPr>
      <w:rFonts w:cstheme="minorHAnsi"/>
      <w:bCs/>
      <w:i/>
      <w:iCs/>
      <w:szCs w:val="32"/>
    </w:rPr>
  </w:style>
  <w:style w:type="paragraph" w:customStyle="1" w:styleId="TableText">
    <w:name w:val="Table Text"/>
    <w:basedOn w:val="Normal"/>
    <w:qFormat/>
    <w:rsid w:val="00B854D9"/>
    <w:pPr>
      <w:autoSpaceDE w:val="0"/>
      <w:autoSpaceDN w:val="0"/>
      <w:adjustRightInd w:val="0"/>
      <w:spacing w:after="0" w:line="240" w:lineRule="auto"/>
    </w:pPr>
    <w:rPr>
      <w:rFonts w:eastAsia="Times New Roman" w:cstheme="minorHAnsi"/>
      <w:color w:val="000000"/>
      <w:sz w:val="20"/>
      <w:szCs w:val="20"/>
    </w:rPr>
  </w:style>
  <w:style w:type="paragraph" w:customStyle="1" w:styleId="TableHeader">
    <w:name w:val="Table Header"/>
    <w:basedOn w:val="Normal"/>
    <w:qFormat/>
    <w:rsid w:val="00A664BC"/>
    <w:pPr>
      <w:autoSpaceDE w:val="0"/>
      <w:autoSpaceDN w:val="0"/>
      <w:adjustRightInd w:val="0"/>
      <w:spacing w:after="0" w:line="240" w:lineRule="atLeast"/>
      <w:jc w:val="center"/>
    </w:pPr>
    <w:rPr>
      <w:rFonts w:cstheme="minorHAnsi"/>
      <w:b/>
      <w:bCs/>
      <w:color w:val="000000"/>
      <w:sz w:val="20"/>
    </w:rPr>
  </w:style>
  <w:style w:type="table" w:customStyle="1" w:styleId="NSECETable">
    <w:name w:val="NSECE Table"/>
    <w:basedOn w:val="TableNormal"/>
    <w:uiPriority w:val="99"/>
    <w:rsid w:val="00A664B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Pr>
    <w:tblStylePr w:type="firstRow">
      <w:rPr>
        <w:rFonts w:asciiTheme="minorHAnsi" w:hAnsiTheme="minorHAnsi"/>
        <w:b/>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mailto:Jang-Don@norc.org" TargetMode="External" /><Relationship Id="rId12" Type="http://schemas.openxmlformats.org/officeDocument/2006/relationships/hyperlink" Target="mailto:Datta-Rupa@norc.uchicago.edu"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EC27-C098-476D-83FF-05B61045C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purl.org/dc/terms/"/>
    <ds:schemaRef ds:uri="http://schemas.openxmlformats.org/package/2006/metadata/core-properties"/>
    <ds:schemaRef ds:uri="89664619-ff97-4e0c-b760-e9680ea4c38e"/>
    <ds:schemaRef ds:uri="http://schemas.microsoft.com/office/2006/documentManagement/types"/>
    <ds:schemaRef ds:uri="http://purl.org/dc/elements/1.1/"/>
    <ds:schemaRef ds:uri="http://schemas.microsoft.com/office/2006/metadata/properties"/>
    <ds:schemaRef ds:uri="b6b5aa21-9292-42ac-8e0a-92c6899f210e"/>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82EA590-0E9B-4991-8457-E7BEBF29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4649</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Greenia</dc:creator>
  <cp:lastModifiedBy>Erika Greenia (she/her)</cp:lastModifiedBy>
  <cp:revision>3</cp:revision>
  <dcterms:created xsi:type="dcterms:W3CDTF">2023-04-27T18:10:00Z</dcterms:created>
  <dcterms:modified xsi:type="dcterms:W3CDTF">2023-04-27T18:11:00Z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