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17D">
      <w:bookmarkStart w:id="0" w:name="_GoBack"/>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r w:rsidR="00CF43EC">
        <w:t>Tourangeau</w:t>
      </w:r>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t>Singer &amp; Ye, 2013</w:t>
      </w:r>
      <w:r w:rsidR="00115C8B">
        <w:t xml:space="preserve">; Stewart &amp; </w:t>
      </w:r>
      <w:r w:rsidR="00115C8B">
        <w:t>Shamdasani</w:t>
      </w:r>
      <w:r w:rsidR="00115C8B">
        <w:t>, 2015</w:t>
      </w:r>
      <w:r>
        <w:t>).</w:t>
      </w:r>
    </w:p>
    <w:p w:rsidR="00E00A6B">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w:t>
      </w:r>
      <w:r w:rsidR="004C5B09">
        <w:t>can</w:t>
      </w:r>
      <w:r w:rsidR="004C5B09">
        <w:t xml:space="preserve">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t>As such, we use the government-wide incentive rate of $75 for a 90-minute focus group and $40 for a 60-minute interview</w:t>
      </w:r>
      <w:r w:rsidR="00FD0F1D">
        <w:t>.</w:t>
      </w:r>
      <w:r w:rsidR="00716809">
        <w:t xml:space="preserve">  </w:t>
      </w:r>
    </w:p>
    <w:p w:rsidR="00CC317D">
      <w:pPr>
        <w:rPr>
          <w:b/>
          <w:u w:val="single"/>
        </w:rPr>
      </w:pPr>
      <w:r w:rsidRPr="00CC317D">
        <w:rPr>
          <w:b/>
          <w:u w:val="single"/>
        </w:rPr>
        <w:t>References</w:t>
      </w:r>
    </w:p>
    <w:p w:rsidR="006B51D9">
      <w:r>
        <w:t xml:space="preserve">David MC and Ware RS (2014).  Meta-analysis of randomized controlled trials supports the use of incentives for inducing response to electronic health surveys.  </w:t>
      </w:r>
      <w:r w:rsidRPr="006B51D9">
        <w:rPr>
          <w:b/>
        </w:rPr>
        <w:t xml:space="preserve">J </w:t>
      </w:r>
      <w:r w:rsidRPr="006B51D9">
        <w:rPr>
          <w:b/>
        </w:rPr>
        <w:t>Clin</w:t>
      </w:r>
      <w:r w:rsidRPr="006B51D9">
        <w:rPr>
          <w:b/>
        </w:rPr>
        <w:t xml:space="preserve"> </w:t>
      </w:r>
      <w:r w:rsidRPr="006B51D9">
        <w:rPr>
          <w:b/>
        </w:rPr>
        <w:t>Epidem</w:t>
      </w:r>
      <w:r w:rsidRPr="006B51D9">
        <w:rPr>
          <w:b/>
        </w:rPr>
        <w:t>,</w:t>
      </w:r>
      <w:r>
        <w:t xml:space="preserve"> 67(11), 1210-1221.</w:t>
      </w:r>
    </w:p>
    <w:p w:rsidR="002A06E5">
      <w:r>
        <w:t xml:space="preserve">Massey D and </w:t>
      </w:r>
      <w:r>
        <w:t>Tourangeau</w:t>
      </w:r>
      <w:r>
        <w:t xml:space="preserve"> R (2013). New challenges to social measurement.  </w:t>
      </w:r>
      <w:r>
        <w:rPr>
          <w:b/>
          <w:i/>
          <w:iCs/>
        </w:rPr>
        <w:t xml:space="preserve">Ann Am </w:t>
      </w:r>
      <w:r>
        <w:rPr>
          <w:b/>
          <w:i/>
          <w:iCs/>
        </w:rPr>
        <w:t>Acad</w:t>
      </w:r>
      <w:r>
        <w:rPr>
          <w:b/>
          <w:i/>
          <w:iCs/>
        </w:rPr>
        <w:t xml:space="preserve"> Pol </w:t>
      </w:r>
      <w:r>
        <w:rPr>
          <w:b/>
          <w:i/>
          <w:iCs/>
        </w:rPr>
        <w:t>Soc</w:t>
      </w:r>
      <w:r>
        <w:rPr>
          <w:b/>
          <w:i/>
          <w:iCs/>
        </w:rPr>
        <w:t xml:space="preserve"> </w:t>
      </w:r>
      <w:r>
        <w:rPr>
          <w:b/>
          <w:i/>
          <w:iCs/>
        </w:rPr>
        <w:t>Sci</w:t>
      </w:r>
      <w:r>
        <w:rPr>
          <w:b/>
          <w:i/>
          <w:iCs/>
        </w:rPr>
        <w:t>,</w:t>
      </w:r>
      <w:r w:rsidRPr="002A06E5">
        <w:t xml:space="preserve"> 645(1): 6–22.</w:t>
      </w:r>
    </w:p>
    <w:p w:rsidR="002A06E5" w:rsidP="002A06E5">
      <w:r>
        <w:t xml:space="preserve">Singer E and Ye C (2013).  The use and effects of incentives in surveys. </w:t>
      </w:r>
      <w:r w:rsidRPr="002A06E5">
        <w:rPr>
          <w:b/>
          <w:i/>
          <w:iCs/>
        </w:rPr>
        <w:t xml:space="preserve">Ann Am </w:t>
      </w:r>
      <w:r w:rsidRPr="002A06E5">
        <w:rPr>
          <w:b/>
          <w:i/>
          <w:iCs/>
        </w:rPr>
        <w:t>Acad</w:t>
      </w:r>
      <w:r w:rsidRPr="002A06E5">
        <w:rPr>
          <w:b/>
          <w:i/>
          <w:iCs/>
        </w:rPr>
        <w:t xml:space="preserve"> Pol </w:t>
      </w:r>
      <w:r w:rsidRPr="002A06E5">
        <w:rPr>
          <w:b/>
          <w:i/>
          <w:iCs/>
        </w:rPr>
        <w:t>Soc</w:t>
      </w:r>
      <w:r w:rsidRPr="002A06E5">
        <w:rPr>
          <w:b/>
          <w:i/>
          <w:iCs/>
        </w:rPr>
        <w:t xml:space="preserve"> </w:t>
      </w:r>
      <w:r w:rsidRPr="002A06E5">
        <w:rPr>
          <w:b/>
          <w:i/>
          <w:iCs/>
        </w:rPr>
        <w:t>Sci</w:t>
      </w:r>
      <w:r w:rsidRPr="002A06E5">
        <w:rPr>
          <w:b/>
          <w:i/>
          <w:iCs/>
        </w:rPr>
        <w:t>,</w:t>
      </w:r>
      <w:r>
        <w:t xml:space="preserve"> 645(1): 112-141</w:t>
      </w:r>
      <w:r w:rsidRPr="002A06E5">
        <w:t>.</w:t>
      </w:r>
    </w:p>
    <w:p w:rsidR="008207B0" w:rsidP="002A06E5">
      <w:r>
        <w:t xml:space="preserve">Stewart DW and </w:t>
      </w:r>
      <w:r>
        <w:t>Shamdasani</w:t>
      </w:r>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P="002A06E5">
      <w:r>
        <w:t xml:space="preserve">Yancey AK, Ortega AN, and Kumanyika SK (2006).  Effective recruitment and retention of minority research participants.  </w:t>
      </w:r>
      <w:r w:rsidRPr="003D4E28">
        <w:rPr>
          <w:b/>
        </w:rPr>
        <w:t>Ann Rev Public Health</w:t>
      </w:r>
      <w:r>
        <w:t>, 27, 1-28.</w:t>
      </w:r>
    </w:p>
    <w:p w:rsidR="002A06E5" w:rsidRPr="002A06E5"/>
    <w:p w:rsidR="008161BE">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163BD8"/>
    <w:rsid w:val="002A06E5"/>
    <w:rsid w:val="00326439"/>
    <w:rsid w:val="0033711F"/>
    <w:rsid w:val="003D4E28"/>
    <w:rsid w:val="004C5B09"/>
    <w:rsid w:val="005D405D"/>
    <w:rsid w:val="006B51D9"/>
    <w:rsid w:val="00716809"/>
    <w:rsid w:val="00731009"/>
    <w:rsid w:val="00732EA9"/>
    <w:rsid w:val="00781EB2"/>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60409"/>
    <w:rsid w:val="00CC317D"/>
    <w:rsid w:val="00CF43EC"/>
    <w:rsid w:val="00D82369"/>
    <w:rsid w:val="00E00A6B"/>
    <w:rsid w:val="00E766B9"/>
    <w:rsid w:val="00E8182B"/>
    <w:rsid w:val="00E876C4"/>
    <w:rsid w:val="00ED2962"/>
    <w:rsid w:val="00FC245A"/>
    <w:rsid w:val="00FD0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ECB547D-5E6E-4B9F-820B-D74B9E4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Parham, William N. (CMS/OSORA)</cp:lastModifiedBy>
  <cp:revision>2</cp:revision>
  <dcterms:created xsi:type="dcterms:W3CDTF">2020-11-19T17:25:00Z</dcterms:created>
  <dcterms:modified xsi:type="dcterms:W3CDTF">2020-11-19T17:25:00Z</dcterms:modified>
</cp:coreProperties>
</file>