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spacing w:before="73"/>
        <w:ind w:left="20" w:right="0" w:firstLine="0"/>
        <w:jc w:val="center"/>
        <w:rPr>
          <w:b/>
          <w:sz w:val="28"/>
        </w:rPr>
      </w:pPr>
      <w:bookmarkStart w:id="0" w:name="{Insert contact information here}"/>
      <w:bookmarkEnd w:id="0"/>
      <w:r>
        <w:rPr>
          <w:b/>
          <w:sz w:val="28"/>
        </w:rPr>
        <w:t>{Insert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contact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information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here}</w:t>
      </w:r>
    </w:p>
    <w:p>
      <w:pPr>
        <w:pStyle w:val="Title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423954</wp:posOffset>
                </wp:positionV>
                <wp:extent cx="617855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78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" w="6178550" stroke="1">
                              <a:moveTo>
                                <a:pt x="0" y="0"/>
                              </a:moveTo>
                              <a:lnTo>
                                <a:pt x="6178550" y="635"/>
                              </a:lnTo>
                            </a:path>
                          </a:pathLst>
                        </a:custGeom>
                        <a:ln w="253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5" style="mso-position-horizontal-relative:page;position:absolute;z-index:251659264" from="73.5pt,33.4pt" to="560pt,33.45pt" stroked="t" strokecolor="black" strokeweight="2pt">
                <v:stroke dashstyle="solid"/>
              </v:line>
            </w:pict>
          </mc:Fallback>
        </mc:AlternateContent>
      </w:r>
      <w:bookmarkStart w:id="1" w:name="Explicación detallada de no cobertura"/>
      <w:bookmarkEnd w:id="1"/>
      <w:r>
        <w:t>Explicación</w:t>
      </w:r>
      <w:r>
        <w:rPr>
          <w:spacing w:val="-11"/>
        </w:rPr>
        <w:t xml:space="preserve"> </w:t>
      </w:r>
      <w:r>
        <w:t>detallada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rPr>
          <w:spacing w:val="-2"/>
        </w:rPr>
        <w:t>cobertura</w:t>
      </w:r>
    </w:p>
    <w:p>
      <w:pPr>
        <w:pStyle w:val="BodyText"/>
        <w:spacing w:before="149"/>
        <w:ind w:left="273"/>
      </w:pPr>
      <w:r>
        <w:rPr>
          <w:spacing w:val="-2"/>
        </w:rPr>
        <w:t>Fecha:</w:t>
      </w:r>
    </w:p>
    <w:p>
      <w:pPr>
        <w:pStyle w:val="BodyText"/>
        <w:spacing w:before="267"/>
      </w:pPr>
    </w:p>
    <w:p>
      <w:pPr>
        <w:pStyle w:val="BodyText"/>
        <w:tabs>
          <w:tab w:val="left" w:pos="5390"/>
        </w:tabs>
        <w:ind w:left="273"/>
      </w:pP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paciente:</w:t>
      </w:r>
      <w:r>
        <w:tab/>
        <w:t>Número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paciente:</w:t>
      </w:r>
    </w:p>
    <w:p>
      <w:pPr>
        <w:pStyle w:val="BodyText"/>
        <w:spacing w:before="178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282699</wp:posOffset>
                </wp:positionV>
                <wp:extent cx="60579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057900" stroke="1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width:477pt;height:0.1pt;margin-top:22.26pt;margin-left:1in;mso-position-horizontal-relative:page;mso-wrap-distance-left:0;mso-wrap-distance-right:0;position:absolute;z-index:-251655168" coordorigin="1440,445" coordsize="9540,0" path="m1440,445l10980,445e" filled="f" stroked="t" strokecolor="black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spacing w:before="264" w:line="218" w:lineRule="auto"/>
        <w:ind w:left="120" w:right="142"/>
      </w:pPr>
      <w:bookmarkStart w:id="2" w:name="Este aviso explica por qué su proveedor "/>
      <w:bookmarkEnd w:id="2"/>
      <w:r>
        <w:t xml:space="preserve">Este aviso explica por qué su proveedor y/o plan de salud decidió que debe finalizar la cobertura de Medicare para sus servicios actuales. </w:t>
      </w:r>
      <w:r>
        <w:rPr>
          <w:b/>
          <w:i/>
        </w:rPr>
        <w:t>Este aviso no es la decisión</w:t>
      </w:r>
      <w:r>
        <w:rPr>
          <w:b/>
          <w:i/>
        </w:rPr>
        <w:t xml:space="preserve"> sobre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apelación.</w:t>
      </w:r>
      <w:r>
        <w:rPr>
          <w:b/>
          <w:i/>
          <w:spacing w:val="4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decisión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apelación</w:t>
      </w:r>
      <w:r>
        <w:rPr>
          <w:spacing w:val="-4"/>
        </w:rPr>
        <w:t xml:space="preserve"> </w:t>
      </w:r>
      <w:r>
        <w:t>vendrá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Organización</w:t>
      </w:r>
      <w:r>
        <w:rPr>
          <w:spacing w:val="-4"/>
        </w:rPr>
        <w:t xml:space="preserve"> </w:t>
      </w:r>
      <w:r>
        <w:t>para el Mejoramiento de Calidad (QIO, por sus siglas en inglés).</w:t>
      </w:r>
    </w:p>
    <w:p>
      <w:pPr>
        <w:spacing w:before="218"/>
        <w:ind w:left="120" w:right="0" w:firstLine="0"/>
        <w:jc w:val="left"/>
        <w:rPr>
          <w:b/>
          <w:sz w:val="24"/>
        </w:rPr>
      </w:pPr>
      <w:bookmarkStart w:id="3" w:name="Por qué sus servicios ya no están cubier"/>
      <w:bookmarkEnd w:id="3"/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están</w:t>
      </w:r>
      <w:r>
        <w:rPr>
          <w:b/>
          <w:spacing w:val="-2"/>
          <w:sz w:val="24"/>
        </w:rPr>
        <w:t xml:space="preserve"> cubiertos</w:t>
      </w:r>
    </w:p>
    <w:p>
      <w:pPr>
        <w:pStyle w:val="BodyText"/>
        <w:spacing w:before="220" w:line="255" w:lineRule="exact"/>
        <w:ind w:left="120"/>
      </w:pPr>
      <w:bookmarkStart w:id="4" w:name="Revisamos su caso y decidimos que la cob"/>
      <w:bookmarkEnd w:id="4"/>
      <w:r>
        <w:t>Revisamos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decidimos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cobertura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="255" w:lineRule="exact"/>
        <w:ind w:left="120"/>
      </w:pPr>
      <w:r>
        <w:t>{insert</w:t>
      </w:r>
      <w:r>
        <w:rPr>
          <w:spacing w:val="-6"/>
        </w:rPr>
        <w:t xml:space="preserve"> </w:t>
      </w:r>
      <w:r>
        <w:t>type}</w:t>
      </w:r>
      <w:r>
        <w:rPr>
          <w:spacing w:val="-5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rPr>
          <w:spacing w:val="-2"/>
        </w:rPr>
        <w:t>finalizar.</w:t>
      </w:r>
    </w:p>
    <w:p>
      <w:pPr>
        <w:pStyle w:val="BodyText"/>
        <w:spacing w:before="238"/>
      </w:pPr>
    </w:p>
    <w:p>
      <w:pPr>
        <w:pStyle w:val="ListParagraph"/>
        <w:numPr>
          <w:ilvl w:val="0"/>
          <w:numId w:val="1"/>
        </w:numPr>
        <w:tabs>
          <w:tab w:val="left" w:pos="349"/>
        </w:tabs>
        <w:spacing w:before="0" w:after="0" w:line="240" w:lineRule="auto"/>
        <w:ind w:left="349" w:right="0" w:hanging="230"/>
        <w:jc w:val="left"/>
        <w:rPr>
          <w:b/>
          <w:sz w:val="22"/>
        </w:rPr>
      </w:pPr>
      <w:r>
        <w:rPr>
          <w:b/>
          <w:sz w:val="22"/>
        </w:rPr>
        <w:t>Los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hechos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que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se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utilizaron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tomar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esta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decisión: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val="left" w:pos="423"/>
        </w:tabs>
        <w:spacing w:before="0" w:after="0" w:line="240" w:lineRule="auto"/>
        <w:ind w:left="119" w:right="314" w:firstLine="74"/>
        <w:jc w:val="left"/>
        <w:rPr>
          <w:b/>
          <w:sz w:val="22"/>
        </w:rPr>
      </w:pPr>
      <w:r>
        <w:rPr>
          <w:b/>
          <w:sz w:val="22"/>
        </w:rPr>
        <w:t>Una explicación detallada de los motivos por los que sus servicios ya no están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cubiertos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y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reglas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cobertura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Medicare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utilizadas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para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tomar esta decisión: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val="left" w:pos="349"/>
        </w:tabs>
        <w:spacing w:before="0" w:after="0" w:line="240" w:lineRule="auto"/>
        <w:ind w:left="119" w:right="192" w:firstLine="0"/>
        <w:jc w:val="left"/>
        <w:rPr>
          <w:b/>
          <w:sz w:val="22"/>
        </w:rPr>
      </w:pPr>
      <w:r>
        <w:rPr>
          <w:b/>
          <w:sz w:val="22"/>
        </w:rPr>
        <w:t>Política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plan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específica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utilizada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para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tomar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decisión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(solo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planes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salud):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ind w:left="119" w:right="210"/>
      </w:pPr>
      <w:r>
        <w:t>Para</w:t>
      </w:r>
      <w:r>
        <w:rPr>
          <w:spacing w:val="-3"/>
        </w:rPr>
        <w:t xml:space="preserve"> </w:t>
      </w:r>
      <w:r>
        <w:t>obtener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reglas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directrices</w:t>
      </w:r>
      <w:r>
        <w:rPr>
          <w:spacing w:val="-2"/>
        </w:rPr>
        <w:t xml:space="preserve"> </w:t>
      </w:r>
      <w:r>
        <w:t>usadas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tomar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decisión,</w:t>
      </w:r>
      <w:r>
        <w:rPr>
          <w:spacing w:val="-1"/>
        </w:rPr>
        <w:t xml:space="preserve"> </w:t>
      </w:r>
      <w:r>
        <w:t>o una copia de los documentos enviados a la QIO, llámenos al {insert provider/plan toll-free telephone number}.</w:t>
      </w:r>
    </w:p>
    <w:p>
      <w:pPr>
        <w:spacing w:before="267"/>
        <w:ind w:left="119" w:right="216" w:firstLine="0"/>
        <w:jc w:val="left"/>
        <w:rPr>
          <w:sz w:val="17"/>
        </w:rPr>
      </w:pPr>
      <w:r>
        <w:rPr>
          <w:sz w:val="17"/>
        </w:rPr>
        <w:t>Usted tiene derecho a obtener su información en un formato accesible, como impresa en letras grandes, en Braille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2"/>
          <w:sz w:val="17"/>
        </w:rPr>
        <w:t xml:space="preserve"> </w:t>
      </w:r>
      <w:r>
        <w:rPr>
          <w:sz w:val="17"/>
        </w:rPr>
        <w:t>en</w:t>
      </w:r>
      <w:r>
        <w:rPr>
          <w:spacing w:val="-2"/>
          <w:sz w:val="17"/>
        </w:rPr>
        <w:t xml:space="preserve"> </w:t>
      </w:r>
      <w:r>
        <w:rPr>
          <w:sz w:val="17"/>
        </w:rPr>
        <w:t>audio.</w:t>
      </w:r>
      <w:r>
        <w:rPr>
          <w:spacing w:val="-2"/>
          <w:sz w:val="17"/>
        </w:rPr>
        <w:t xml:space="preserve"> </w:t>
      </w:r>
      <w:r>
        <w:rPr>
          <w:sz w:val="17"/>
        </w:rPr>
        <w:t>También</w:t>
      </w:r>
      <w:r>
        <w:rPr>
          <w:spacing w:val="-2"/>
          <w:sz w:val="17"/>
        </w:rPr>
        <w:t xml:space="preserve"> </w:t>
      </w:r>
      <w:r>
        <w:rPr>
          <w:sz w:val="17"/>
        </w:rPr>
        <w:t>tiene</w:t>
      </w:r>
      <w:r>
        <w:rPr>
          <w:spacing w:val="-3"/>
          <w:sz w:val="17"/>
        </w:rPr>
        <w:t xml:space="preserve"> </w:t>
      </w:r>
      <w:r>
        <w:rPr>
          <w:sz w:val="17"/>
        </w:rPr>
        <w:t>derecho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z w:val="17"/>
        </w:rPr>
        <w:t>presentar</w:t>
      </w:r>
      <w:r>
        <w:rPr>
          <w:spacing w:val="-3"/>
          <w:sz w:val="17"/>
        </w:rPr>
        <w:t xml:space="preserve"> </w:t>
      </w:r>
      <w:r>
        <w:rPr>
          <w:sz w:val="17"/>
        </w:rPr>
        <w:t>una</w:t>
      </w:r>
      <w:r>
        <w:rPr>
          <w:spacing w:val="-1"/>
          <w:sz w:val="17"/>
        </w:rPr>
        <w:t xml:space="preserve"> </w:t>
      </w:r>
      <w:r>
        <w:rPr>
          <w:sz w:val="17"/>
        </w:rPr>
        <w:t>queja</w:t>
      </w:r>
      <w:r>
        <w:rPr>
          <w:spacing w:val="-1"/>
          <w:sz w:val="17"/>
        </w:rPr>
        <w:t xml:space="preserve"> </w:t>
      </w:r>
      <w:r>
        <w:rPr>
          <w:sz w:val="17"/>
        </w:rPr>
        <w:t>si</w:t>
      </w:r>
      <w:r>
        <w:rPr>
          <w:spacing w:val="-3"/>
          <w:sz w:val="17"/>
        </w:rPr>
        <w:t xml:space="preserve"> </w:t>
      </w:r>
      <w:r>
        <w:rPr>
          <w:sz w:val="17"/>
        </w:rPr>
        <w:t>considera</w:t>
      </w:r>
      <w:r>
        <w:rPr>
          <w:spacing w:val="-1"/>
          <w:sz w:val="17"/>
        </w:rPr>
        <w:t xml:space="preserve"> </w:t>
      </w:r>
      <w:r>
        <w:rPr>
          <w:sz w:val="17"/>
        </w:rPr>
        <w:t>que</w:t>
      </w:r>
      <w:r>
        <w:rPr>
          <w:spacing w:val="-3"/>
          <w:sz w:val="17"/>
        </w:rPr>
        <w:t xml:space="preserve"> </w:t>
      </w:r>
      <w:r>
        <w:rPr>
          <w:sz w:val="17"/>
        </w:rPr>
        <w:t>se</w:t>
      </w:r>
      <w:r>
        <w:rPr>
          <w:spacing w:val="-3"/>
          <w:sz w:val="17"/>
        </w:rPr>
        <w:t xml:space="preserve"> </w:t>
      </w:r>
      <w:r>
        <w:rPr>
          <w:sz w:val="17"/>
        </w:rPr>
        <w:t>le</w:t>
      </w:r>
      <w:r>
        <w:rPr>
          <w:spacing w:val="-3"/>
          <w:sz w:val="17"/>
        </w:rPr>
        <w:t xml:space="preserve"> </w:t>
      </w:r>
      <w:r>
        <w:rPr>
          <w:sz w:val="17"/>
        </w:rPr>
        <w:t>ha</w:t>
      </w:r>
      <w:r>
        <w:rPr>
          <w:spacing w:val="-1"/>
          <w:sz w:val="17"/>
        </w:rPr>
        <w:t xml:space="preserve"> </w:t>
      </w:r>
      <w:r>
        <w:rPr>
          <w:sz w:val="17"/>
        </w:rPr>
        <w:t>discriminado.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Visite </w:t>
      </w:r>
      <w:hyperlink r:id="rId4">
        <w:r>
          <w:rPr>
            <w:sz w:val="17"/>
          </w:rPr>
          <w:t>Medicare.gov/about-us/accessibility-nondiscrimination-notice</w:t>
        </w:r>
      </w:hyperlink>
      <w:r>
        <w:rPr>
          <w:sz w:val="17"/>
        </w:rPr>
        <w:t xml:space="preserve"> o llame al 1-800-MEDICARE (1-800-633-4227) para obtener más información. Los usuarios de TTY pueden llamar al 1-877-486-2048.</w:t>
      </w:r>
    </w:p>
    <w:p>
      <w:pPr>
        <w:pStyle w:val="BodyText"/>
        <w:spacing w:before="58"/>
        <w:rPr>
          <w:sz w:val="17"/>
        </w:rPr>
      </w:pPr>
    </w:p>
    <w:p>
      <w:pPr>
        <w:tabs>
          <w:tab w:val="left" w:pos="5942"/>
        </w:tabs>
        <w:spacing w:before="0"/>
        <w:ind w:left="196" w:right="0" w:firstLine="0"/>
        <w:jc w:val="left"/>
        <w:rPr>
          <w:sz w:val="18"/>
        </w:rPr>
      </w:pPr>
      <w:r>
        <w:rPr>
          <w:sz w:val="18"/>
        </w:rPr>
        <w:t>Formulario</w:t>
      </w:r>
      <w:r>
        <w:rPr>
          <w:spacing w:val="-8"/>
          <w:sz w:val="18"/>
        </w:rPr>
        <w:t xml:space="preserve"> </w:t>
      </w:r>
      <w:r>
        <w:rPr>
          <w:sz w:val="18"/>
        </w:rPr>
        <w:t>CMS-10124-</w:t>
      </w:r>
      <w:r>
        <w:rPr>
          <w:spacing w:val="-4"/>
          <w:sz w:val="18"/>
        </w:rPr>
        <w:t>DENC</w:t>
      </w:r>
      <w:r>
        <w:rPr>
          <w:sz w:val="18"/>
        </w:rPr>
        <w:tab/>
        <w:t>Aprobación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OMB</w:t>
      </w:r>
      <w:r>
        <w:rPr>
          <w:spacing w:val="-3"/>
          <w:sz w:val="18"/>
        </w:rPr>
        <w:t xml:space="preserve"> </w:t>
      </w:r>
      <w:r>
        <w:rPr>
          <w:sz w:val="18"/>
        </w:rPr>
        <w:t>n.°</w:t>
      </w:r>
      <w:r>
        <w:rPr>
          <w:spacing w:val="-2"/>
          <w:sz w:val="18"/>
        </w:rPr>
        <w:t xml:space="preserve"> 0938–0953</w:t>
      </w:r>
    </w:p>
    <w:sectPr>
      <w:type w:val="continuous"/>
      <w:pgSz w:w="12240" w:h="15840"/>
      <w:pgMar w:top="1020" w:right="1160" w:bottom="280" w:left="132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Verdana">
    <w:altName w:val="Verdana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3EA998"/>
    <w:multiLevelType w:val="hybridMultilevel"/>
    <w:tmpl w:val="00000000"/>
    <w:lvl w:ilvl="0">
      <w:start w:val="0"/>
      <w:numFmt w:val="bullet"/>
      <w:lvlText w:val="•"/>
      <w:lvlJc w:val="left"/>
      <w:pPr>
        <w:ind w:left="120" w:hanging="23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4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48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2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76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0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4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8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32" w:hanging="23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22"/>
      <w:szCs w:val="22"/>
      <w:lang w:val="es-ES" w:eastAsia="en-US" w:bidi="ar-SA"/>
    </w:rPr>
  </w:style>
  <w:style w:type="paragraph" w:styleId="Title">
    <w:name w:val="Title"/>
    <w:basedOn w:val="Normal"/>
    <w:uiPriority w:val="1"/>
    <w:qFormat/>
    <w:pPr>
      <w:spacing w:before="186"/>
      <w:ind w:left="20" w:right="3"/>
      <w:jc w:val="center"/>
    </w:pPr>
    <w:rPr>
      <w:rFonts w:ascii="Verdana" w:eastAsia="Verdana" w:hAnsi="Verdana" w:cs="Verdana"/>
      <w:b/>
      <w:bCs/>
      <w:sz w:val="32"/>
      <w:szCs w:val="32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119" w:hanging="230"/>
    </w:pPr>
    <w:rPr>
      <w:rFonts w:ascii="Verdana" w:eastAsia="Verdana" w:hAnsi="Verdana" w:cs="Verdana"/>
      <w:lang w:val="es-E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s.medicare.gov/about-us/nondiscrimination/accessibility-nondiscrimination.htm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Explanation of Non-coverage</dc:title>
  <dc:subject>MA plan end of covered services notice</dc:subject>
  <cp:keywords>MA, end of coverage notice, non-coverage notice, detailed explanation</cp:keywords>
  <cp:revision>0</cp:revision>
  <dcterms:created xsi:type="dcterms:W3CDTF">2024-07-13T02:01:27Z</dcterms:created>
  <dcterms:modified xsi:type="dcterms:W3CDTF">2024-07-13T02:01:27Z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2024-07-13T00:00:00Z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D:20240506161841</vt:lpwstr>
  </property>
  <property fmtid="{D5CDD505-2E9C-101B-9397-08002B2CF9AE}" pid="7" name="_NewReviewCycle">
    <vt:lpwstr/>
  </property>
</Properties>
</file>