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92B6C" w:rsidRPr="00952734" w:rsidP="00B92B6C" w14:paraId="7BB40C3E" w14:textId="06EDF6CD">
      <w:pPr>
        <w:spacing w:after="200" w:line="276" w:lineRule="auto"/>
        <w:rPr>
          <w:rFonts w:eastAsia="Calibri"/>
        </w:rPr>
      </w:pPr>
      <w:r w:rsidRPr="00B92B6C">
        <w:rPr>
          <w:rFonts w:eastAsia="Calibri"/>
          <w:b/>
        </w:rPr>
        <w:t>DATE:</w:t>
      </w:r>
      <w:r w:rsidRPr="00B92B6C">
        <w:rPr>
          <w:rFonts w:eastAsia="Calibri"/>
        </w:rPr>
        <w:tab/>
      </w:r>
      <w:r w:rsidRPr="00B92B6C">
        <w:rPr>
          <w:rFonts w:eastAsia="Calibri"/>
        </w:rPr>
        <w:tab/>
      </w:r>
      <w:r w:rsidRPr="00952734" w:rsidR="00A120FC">
        <w:rPr>
          <w:rFonts w:eastAsia="Calibri"/>
        </w:rPr>
        <w:fldChar w:fldCharType="begin"/>
      </w:r>
      <w:r w:rsidRPr="00952734" w:rsidR="00A120FC">
        <w:rPr>
          <w:rFonts w:eastAsia="Calibri"/>
        </w:rPr>
        <w:instrText xml:space="preserve"> DATE \@ "MMMM d, yyyy" </w:instrText>
      </w:r>
      <w:r w:rsidRPr="00952734" w:rsidR="00A120FC">
        <w:rPr>
          <w:rFonts w:eastAsia="Calibri"/>
        </w:rPr>
        <w:fldChar w:fldCharType="separate"/>
      </w:r>
      <w:r w:rsidR="003F4C18">
        <w:rPr>
          <w:rFonts w:eastAsia="Calibri"/>
          <w:noProof/>
        </w:rPr>
        <w:t>July 24, 2024</w:t>
      </w:r>
      <w:r w:rsidRPr="00952734" w:rsidR="00A120FC">
        <w:rPr>
          <w:rFonts w:eastAsia="Calibri"/>
        </w:rPr>
        <w:fldChar w:fldCharType="end"/>
      </w:r>
    </w:p>
    <w:p w:rsidR="00B92B6C" w:rsidRPr="00952734" w:rsidP="00B92B6C" w14:paraId="4546AFDE" w14:textId="20B972D0">
      <w:pPr>
        <w:spacing w:after="200" w:line="276" w:lineRule="auto"/>
        <w:rPr>
          <w:rFonts w:eastAsia="Calibri"/>
        </w:rPr>
      </w:pPr>
      <w:r w:rsidRPr="00952734">
        <w:rPr>
          <w:rFonts w:eastAsia="Calibri"/>
          <w:b/>
        </w:rPr>
        <w:t>TO:</w:t>
      </w:r>
      <w:r w:rsidRPr="00952734">
        <w:rPr>
          <w:rFonts w:eastAsia="Calibri"/>
        </w:rPr>
        <w:tab/>
      </w:r>
      <w:r w:rsidRPr="00952734">
        <w:rPr>
          <w:rFonts w:eastAsia="Calibri"/>
        </w:rPr>
        <w:tab/>
      </w:r>
      <w:r w:rsidRPr="00952734">
        <w:rPr>
          <w:rFonts w:eastAsia="Calibri"/>
        </w:rPr>
        <w:tab/>
      </w:r>
      <w:r w:rsidRPr="00952734" w:rsidR="00A120FC">
        <w:rPr>
          <w:rFonts w:eastAsia="Calibri"/>
        </w:rPr>
        <w:t>Daniel Cline, OMB Desk Officer</w:t>
      </w:r>
    </w:p>
    <w:p w:rsidR="00B92B6C" w:rsidRPr="00B92B6C" w:rsidP="002846C1" w14:paraId="77BC1D71" w14:textId="4E8DA55B">
      <w:pPr>
        <w:spacing w:after="200" w:line="276" w:lineRule="auto"/>
        <w:ind w:left="2160" w:hanging="2160"/>
        <w:rPr>
          <w:rFonts w:eastAsia="Calibri"/>
        </w:rPr>
      </w:pPr>
      <w:r w:rsidRPr="00952734">
        <w:rPr>
          <w:rFonts w:eastAsia="Calibri"/>
          <w:b/>
        </w:rPr>
        <w:t>FROM:</w:t>
      </w:r>
      <w:r w:rsidRPr="00952734">
        <w:rPr>
          <w:rFonts w:eastAsia="Calibri"/>
        </w:rPr>
        <w:tab/>
      </w:r>
      <w:r w:rsidR="00EA0AB7">
        <w:rPr>
          <w:rFonts w:eastAsia="Calibri"/>
        </w:rPr>
        <w:t>Joella Roland</w:t>
      </w:r>
      <w:r w:rsidRPr="00952734" w:rsidR="00A120FC">
        <w:rPr>
          <w:rFonts w:eastAsia="Calibri"/>
        </w:rPr>
        <w:t>, HRSA Inform</w:t>
      </w:r>
      <w:r w:rsidRPr="003173E7" w:rsidR="00A120FC">
        <w:rPr>
          <w:rFonts w:eastAsia="Calibri"/>
        </w:rPr>
        <w:t>ation Collection Clearance Officer</w:t>
      </w:r>
    </w:p>
    <w:p w:rsidR="00B92B6C" w:rsidRPr="00B92B6C" w:rsidP="00B92B6C" w14:paraId="06C26FDD" w14:textId="77777777">
      <w:pPr>
        <w:spacing w:after="200" w:line="276" w:lineRule="auto"/>
        <w:ind w:left="2160" w:hanging="2160"/>
        <w:rPr>
          <w:rFonts w:eastAsia="Calibri"/>
          <w:b/>
        </w:rPr>
      </w:pPr>
      <w:r w:rsidRPr="00B92B6C">
        <w:rPr>
          <w:rFonts w:eastAsia="Calibri"/>
          <w:b/>
        </w:rPr>
        <w:t>______________________________________________________________________________</w:t>
      </w:r>
    </w:p>
    <w:p w:rsidR="00B92B6C" w:rsidRPr="00B92B6C" w:rsidP="00B92B6C" w14:paraId="6C4A35D8" w14:textId="7FF20496">
      <w:pPr>
        <w:spacing w:after="200" w:line="276" w:lineRule="auto"/>
        <w:ind w:left="2160" w:hanging="2160"/>
        <w:rPr>
          <w:rFonts w:eastAsia="Calibri"/>
        </w:rPr>
      </w:pPr>
      <w:r w:rsidRPr="00B92B6C">
        <w:rPr>
          <w:rFonts w:eastAsia="Calibri"/>
          <w:b/>
        </w:rPr>
        <w:t>Request</w:t>
      </w:r>
      <w:r w:rsidRPr="00B92B6C">
        <w:rPr>
          <w:rFonts w:eastAsia="Calibri"/>
        </w:rPr>
        <w:t xml:space="preserve">: </w:t>
      </w:r>
      <w:r w:rsidRPr="00B92B6C">
        <w:rPr>
          <w:rFonts w:eastAsia="Calibri"/>
        </w:rPr>
        <w:tab/>
      </w:r>
      <w:r w:rsidRPr="003173E7" w:rsidR="00A120FC">
        <w:rPr>
          <w:rFonts w:eastAsia="Calibri"/>
        </w:rPr>
        <w:t>The Health Resources and Services Administration (HRSA) Division of Transplantation requests approval for non-substantive changes to the Stem Cell Therapeutic Outcomes Database (SCTOD) Collection (OMB 0915-0310 expiration date 08/31/2025).</w:t>
      </w:r>
    </w:p>
    <w:p w:rsidR="00952734" w:rsidRPr="003173E7" w:rsidP="00952734" w14:paraId="566D7C0E" w14:textId="07F6E61B">
      <w:pPr>
        <w:spacing w:after="200" w:line="276" w:lineRule="auto"/>
        <w:ind w:left="2160" w:hanging="2160"/>
        <w:rPr>
          <w:rFonts w:eastAsia="Calibri"/>
        </w:rPr>
      </w:pPr>
      <w:r w:rsidRPr="00B92B6C">
        <w:rPr>
          <w:rFonts w:eastAsia="Calibri"/>
          <w:b/>
        </w:rPr>
        <w:t>Purpose</w:t>
      </w:r>
      <w:r w:rsidRPr="00B92B6C">
        <w:rPr>
          <w:rFonts w:eastAsia="Calibri"/>
        </w:rPr>
        <w:t xml:space="preserve">: </w:t>
      </w:r>
      <w:r w:rsidRPr="00B92B6C">
        <w:rPr>
          <w:rFonts w:eastAsia="Calibri"/>
        </w:rPr>
        <w:tab/>
      </w:r>
      <w:r w:rsidRPr="003173E7">
        <w:rPr>
          <w:rFonts w:eastAsia="Calibri"/>
        </w:rPr>
        <w:t>The purpose of this request is to request minor revisions to the pre-transplant data collection to maintain current and effective data collection</w:t>
      </w:r>
      <w:r w:rsidR="00D72729">
        <w:rPr>
          <w:rFonts w:eastAsia="Calibri"/>
        </w:rPr>
        <w:t xml:space="preserve">. </w:t>
      </w:r>
      <w:r w:rsidRPr="003173E7">
        <w:rPr>
          <w:rFonts w:eastAsia="Calibri"/>
        </w:rPr>
        <w:t xml:space="preserve">This memo explains the changes and supporting rationale. </w:t>
      </w:r>
    </w:p>
    <w:p w:rsidR="002846C1" w:rsidP="002846C1" w14:paraId="782E67D4" w14:textId="1662303D">
      <w:pPr>
        <w:spacing w:after="200" w:line="276" w:lineRule="auto"/>
        <w:ind w:left="2160" w:hanging="2160"/>
        <w:rPr>
          <w:rFonts w:eastAsia="Calibri"/>
          <w:highlight w:val="yellow"/>
        </w:rPr>
      </w:pPr>
      <w:r w:rsidRPr="00C456A8">
        <w:rPr>
          <w:rFonts w:eastAsia="Calibri"/>
          <w:b/>
          <w:bCs/>
        </w:rPr>
        <w:t>Changes:</w:t>
      </w:r>
      <w:r>
        <w:rPr>
          <w:rFonts w:eastAsia="Calibri"/>
          <w:b/>
          <w:bCs/>
        </w:rPr>
        <w:tab/>
      </w:r>
      <w:r w:rsidR="00B8659A">
        <w:rPr>
          <w:rFonts w:eastAsia="Calibri"/>
        </w:rPr>
        <w:t xml:space="preserve">HRSA is requesting OMB approval to </w:t>
      </w:r>
      <w:r w:rsidR="00470A66">
        <w:rPr>
          <w:rFonts w:eastAsia="Calibri"/>
        </w:rPr>
        <w:t>make minor changes to the pre-transplant data collection. The request is to revise s</w:t>
      </w:r>
      <w:r w:rsidR="00F94AAF">
        <w:rPr>
          <w:rFonts w:eastAsia="Calibri"/>
        </w:rPr>
        <w:t>even</w:t>
      </w:r>
      <w:r w:rsidR="00D72729">
        <w:rPr>
          <w:rFonts w:eastAsia="Calibri"/>
        </w:rPr>
        <w:t xml:space="preserve"> </w:t>
      </w:r>
      <w:r w:rsidR="00EA0BAB">
        <w:rPr>
          <w:rFonts w:eastAsia="Calibri"/>
        </w:rPr>
        <w:t xml:space="preserve">pre-transplant variables to include updates </w:t>
      </w:r>
      <w:r w:rsidR="00EA0BAB">
        <w:rPr>
          <w:rStyle w:val="ui-provider"/>
        </w:rPr>
        <w:t xml:space="preserve">to the classifications of diseases </w:t>
      </w:r>
      <w:r w:rsidR="005B119E">
        <w:rPr>
          <w:rStyle w:val="ui-provider"/>
        </w:rPr>
        <w:t xml:space="preserve">found in response options </w:t>
      </w:r>
      <w:r w:rsidR="00D91F8D">
        <w:rPr>
          <w:rStyle w:val="ui-provider"/>
        </w:rPr>
        <w:t xml:space="preserve">as suggested </w:t>
      </w:r>
      <w:r w:rsidR="00EA0BAB">
        <w:rPr>
          <w:rStyle w:val="ui-provider"/>
        </w:rPr>
        <w:t xml:space="preserve">by the World Health Organization (or similar international consensus organizations) and reflect the </w:t>
      </w:r>
      <w:r w:rsidR="00EA0BAB">
        <w:rPr>
          <w:rFonts w:eastAsia="Calibri"/>
        </w:rPr>
        <w:t>feedback from experts in the transplant community.</w:t>
      </w:r>
      <w:r w:rsidR="00510C44">
        <w:rPr>
          <w:rFonts w:eastAsia="Calibri"/>
        </w:rPr>
        <w:t xml:space="preserve"> These changes include new response options, and updated disease nomenclature for existing response options.</w:t>
      </w:r>
      <w:r w:rsidR="00EA0BAB">
        <w:rPr>
          <w:rFonts w:eastAsia="Calibri"/>
        </w:rPr>
        <w:t xml:space="preserve"> While </w:t>
      </w:r>
      <w:r w:rsidR="0004370E">
        <w:rPr>
          <w:rFonts w:eastAsia="Calibri"/>
        </w:rPr>
        <w:t>we are adding some response options</w:t>
      </w:r>
      <w:r w:rsidR="00EA0BAB">
        <w:rPr>
          <w:rFonts w:eastAsia="Calibri"/>
        </w:rPr>
        <w:t xml:space="preserve">, the number </w:t>
      </w:r>
      <w:r w:rsidR="00380E82">
        <w:rPr>
          <w:rFonts w:eastAsia="Calibri"/>
        </w:rPr>
        <w:t xml:space="preserve">and content </w:t>
      </w:r>
      <w:r w:rsidR="00EA0BAB">
        <w:rPr>
          <w:rFonts w:eastAsia="Calibri"/>
        </w:rPr>
        <w:t xml:space="preserve">of questions </w:t>
      </w:r>
      <w:r w:rsidR="00A64EAE">
        <w:rPr>
          <w:rFonts w:eastAsia="Calibri"/>
        </w:rPr>
        <w:t xml:space="preserve">are </w:t>
      </w:r>
      <w:r w:rsidR="00EA0BAB">
        <w:rPr>
          <w:rFonts w:eastAsia="Calibri"/>
        </w:rPr>
        <w:t>not</w:t>
      </w:r>
      <w:r w:rsidR="00D91F8D">
        <w:rPr>
          <w:rFonts w:eastAsia="Calibri"/>
        </w:rPr>
        <w:t xml:space="preserve"> increasing</w:t>
      </w:r>
      <w:r w:rsidR="00EA0BAB">
        <w:rPr>
          <w:rFonts w:eastAsia="Calibri"/>
        </w:rPr>
        <w:t xml:space="preserve">. </w:t>
      </w:r>
      <w:r w:rsidR="00996B4A">
        <w:rPr>
          <w:rFonts w:eastAsia="Calibri"/>
        </w:rPr>
        <w:t>I</w:t>
      </w:r>
      <w:r w:rsidR="00EA0BAB">
        <w:rPr>
          <w:rFonts w:eastAsia="Calibri"/>
        </w:rPr>
        <w:t xml:space="preserve">ndividual respondents </w:t>
      </w:r>
      <w:r w:rsidR="00996B4A">
        <w:rPr>
          <w:rFonts w:eastAsia="Calibri"/>
        </w:rPr>
        <w:t xml:space="preserve">will </w:t>
      </w:r>
      <w:r w:rsidR="00EA0BAB">
        <w:rPr>
          <w:rFonts w:eastAsia="Calibri"/>
        </w:rPr>
        <w:t xml:space="preserve">only answer one or two of these questions with updated response options. </w:t>
      </w:r>
      <w:r w:rsidR="00996B4A">
        <w:rPr>
          <w:rFonts w:eastAsia="Calibri"/>
        </w:rPr>
        <w:t xml:space="preserve">The revised response options will </w:t>
      </w:r>
      <w:r w:rsidR="00DE6F3C">
        <w:rPr>
          <w:rFonts w:eastAsia="Calibri"/>
        </w:rPr>
        <w:t>lead to</w:t>
      </w:r>
      <w:r w:rsidR="00977BEB">
        <w:rPr>
          <w:rFonts w:eastAsia="Calibri"/>
        </w:rPr>
        <w:t xml:space="preserve"> more accurate information.</w:t>
      </w:r>
      <w:r w:rsidR="004F63D6">
        <w:rPr>
          <w:rFonts w:eastAsia="Calibri"/>
        </w:rPr>
        <w:t xml:space="preserve"> </w:t>
      </w:r>
      <w:r w:rsidRPr="002846C1">
        <w:rPr>
          <w:rFonts w:eastAsia="Calibri"/>
        </w:rPr>
        <w:t>See the “Change Summary” tab of Attachment 1, rows</w:t>
      </w:r>
      <w:r w:rsidR="00DB4CA8">
        <w:rPr>
          <w:rFonts w:eastAsia="Calibri"/>
        </w:rPr>
        <w:t xml:space="preserve"> 2-</w:t>
      </w:r>
      <w:r w:rsidR="00D91F8D">
        <w:rPr>
          <w:rFonts w:eastAsia="Calibri"/>
        </w:rPr>
        <w:t>8</w:t>
      </w:r>
      <w:r>
        <w:rPr>
          <w:rFonts w:eastAsia="Calibri"/>
        </w:rPr>
        <w:t>,</w:t>
      </w:r>
      <w:r w:rsidRPr="002846C1">
        <w:rPr>
          <w:rFonts w:eastAsia="Calibri"/>
        </w:rPr>
        <w:t xml:space="preserve"> for more details.</w:t>
      </w:r>
    </w:p>
    <w:p w:rsidR="00952734" w:rsidP="00DB4CA8" w14:paraId="73F78EB5" w14:textId="27471756">
      <w:pPr>
        <w:spacing w:after="200" w:line="276" w:lineRule="auto"/>
        <w:ind w:left="2160"/>
        <w:rPr>
          <w:rFonts w:eastAsia="Calibri"/>
        </w:rPr>
      </w:pPr>
      <w:r>
        <w:rPr>
          <w:rFonts w:eastAsia="Calibri"/>
        </w:rPr>
        <w:t>“</w:t>
      </w:r>
      <w:r w:rsidRPr="0004370E">
        <w:rPr>
          <w:rFonts w:eastAsia="Calibri"/>
        </w:rPr>
        <w:t>Specify Myelodysplastic syndrome, unclassifiable (MDS-U)</w:t>
      </w:r>
      <w:r>
        <w:rPr>
          <w:rFonts w:eastAsia="Calibri"/>
        </w:rPr>
        <w:t xml:space="preserve">” was asked twice </w:t>
      </w:r>
      <w:r w:rsidR="008D16BE">
        <w:rPr>
          <w:rFonts w:eastAsia="Calibri"/>
        </w:rPr>
        <w:t>during</w:t>
      </w:r>
      <w:r>
        <w:rPr>
          <w:rFonts w:eastAsia="Calibri"/>
        </w:rPr>
        <w:t xml:space="preserve"> pre-transplant </w:t>
      </w:r>
      <w:r w:rsidR="008D16BE">
        <w:rPr>
          <w:rFonts w:eastAsia="Calibri"/>
        </w:rPr>
        <w:t>information collection</w:t>
      </w:r>
      <w:r>
        <w:rPr>
          <w:rFonts w:eastAsia="Calibri"/>
        </w:rPr>
        <w:t xml:space="preserve">; the first time it </w:t>
      </w:r>
      <w:r w:rsidR="00A64EAE">
        <w:rPr>
          <w:rFonts w:eastAsia="Calibri"/>
        </w:rPr>
        <w:t xml:space="preserve">was </w:t>
      </w:r>
      <w:r>
        <w:rPr>
          <w:rFonts w:eastAsia="Calibri"/>
        </w:rPr>
        <w:t>asked in reference to the initial diagnosis of MDS</w:t>
      </w:r>
      <w:r w:rsidR="00A64EAE">
        <w:rPr>
          <w:rFonts w:eastAsia="Calibri"/>
        </w:rPr>
        <w:t>,</w:t>
      </w:r>
      <w:r>
        <w:rPr>
          <w:rFonts w:eastAsia="Calibri"/>
        </w:rPr>
        <w:t xml:space="preserve"> and the second time it </w:t>
      </w:r>
      <w:r w:rsidR="00A64EAE">
        <w:rPr>
          <w:rFonts w:eastAsia="Calibri"/>
        </w:rPr>
        <w:t xml:space="preserve">was </w:t>
      </w:r>
      <w:r>
        <w:rPr>
          <w:rFonts w:eastAsia="Calibri"/>
        </w:rPr>
        <w:t xml:space="preserve">asked in reference to </w:t>
      </w:r>
      <w:r w:rsidR="00D06184">
        <w:rPr>
          <w:rFonts w:eastAsia="Calibri"/>
        </w:rPr>
        <w:t xml:space="preserve">potentially </w:t>
      </w:r>
      <w:r>
        <w:rPr>
          <w:rFonts w:eastAsia="Calibri"/>
        </w:rPr>
        <w:t xml:space="preserve">transformed MDS. Both questions </w:t>
      </w:r>
      <w:r w:rsidRPr="002846C1" w:rsidR="002846C1">
        <w:rPr>
          <w:rFonts w:eastAsia="Calibri"/>
        </w:rPr>
        <w:t xml:space="preserve">will be removed from the form entirely. </w:t>
      </w:r>
      <w:r w:rsidR="00DB4CA8">
        <w:rPr>
          <w:rFonts w:eastAsia="Calibri"/>
        </w:rPr>
        <w:t xml:space="preserve">Per recommendations from </w:t>
      </w:r>
      <w:r w:rsidRPr="00DB4CA8" w:rsidR="00DB4CA8">
        <w:rPr>
          <w:rFonts w:eastAsia="Calibri"/>
        </w:rPr>
        <w:t>the World Health Organization (or similar international consensus organizations)</w:t>
      </w:r>
      <w:r w:rsidR="00A64EAE">
        <w:rPr>
          <w:rFonts w:eastAsia="Calibri"/>
        </w:rPr>
        <w:t>,</w:t>
      </w:r>
      <w:r w:rsidRPr="00DB4CA8" w:rsidR="00DB4CA8">
        <w:rPr>
          <w:rFonts w:eastAsia="Calibri"/>
        </w:rPr>
        <w:t xml:space="preserve"> </w:t>
      </w:r>
      <w:r w:rsidR="007849CC">
        <w:rPr>
          <w:rFonts w:eastAsia="Calibri"/>
        </w:rPr>
        <w:t>this disease categorization is obsolete</w:t>
      </w:r>
      <w:r w:rsidR="00DB4CA8">
        <w:rPr>
          <w:rFonts w:eastAsia="Calibri"/>
        </w:rPr>
        <w:t xml:space="preserve">. </w:t>
      </w:r>
      <w:bookmarkStart w:id="0" w:name="_Hlk169191594"/>
      <w:r w:rsidRPr="002846C1" w:rsidR="00D72729">
        <w:rPr>
          <w:rFonts w:eastAsia="Calibri"/>
        </w:rPr>
        <w:t xml:space="preserve">See </w:t>
      </w:r>
      <w:r w:rsidRPr="002846C1" w:rsidR="00EA0BAB">
        <w:rPr>
          <w:rFonts w:eastAsia="Calibri"/>
        </w:rPr>
        <w:t xml:space="preserve">the “Change Summary” tab of </w:t>
      </w:r>
      <w:r w:rsidRPr="002846C1" w:rsidR="00D72729">
        <w:rPr>
          <w:rFonts w:eastAsia="Calibri"/>
        </w:rPr>
        <w:t xml:space="preserve">Attachment </w:t>
      </w:r>
      <w:r w:rsidRPr="002846C1" w:rsidR="00EA0BAB">
        <w:rPr>
          <w:rFonts w:eastAsia="Calibri"/>
        </w:rPr>
        <w:t xml:space="preserve">1, rows </w:t>
      </w:r>
      <w:r w:rsidR="00DB4CA8">
        <w:rPr>
          <w:rFonts w:eastAsia="Calibri"/>
        </w:rPr>
        <w:t>9-10</w:t>
      </w:r>
      <w:r w:rsidRPr="002846C1" w:rsidR="00D72729">
        <w:rPr>
          <w:rFonts w:eastAsia="Calibri"/>
        </w:rPr>
        <w:t xml:space="preserve"> for more details.</w:t>
      </w:r>
      <w:r w:rsidRPr="00952734">
        <w:rPr>
          <w:rFonts w:eastAsia="Calibri"/>
        </w:rPr>
        <w:t xml:space="preserve"> </w:t>
      </w:r>
    </w:p>
    <w:bookmarkEnd w:id="0"/>
    <w:p w:rsidR="00B92B6C" w:rsidP="00952734" w14:paraId="007BD280" w14:textId="01B46175">
      <w:pPr>
        <w:spacing w:after="200" w:line="276" w:lineRule="auto"/>
        <w:ind w:left="2160" w:hanging="2160"/>
        <w:rPr>
          <w:rFonts w:eastAsia="Calibri"/>
        </w:rPr>
      </w:pPr>
      <w:r w:rsidRPr="003173E7">
        <w:rPr>
          <w:rFonts w:eastAsia="Calibri"/>
          <w:b/>
        </w:rPr>
        <w:t>Time Sensitivity</w:t>
      </w:r>
      <w:r w:rsidRPr="003173E7">
        <w:rPr>
          <w:rFonts w:eastAsia="Calibri"/>
        </w:rPr>
        <w:t xml:space="preserve">: </w:t>
      </w:r>
      <w:r w:rsidRPr="003173E7">
        <w:rPr>
          <w:rFonts w:eastAsia="Calibri"/>
        </w:rPr>
        <w:tab/>
        <w:t xml:space="preserve">The SCTOD data collection changes must be completed in a timely manner to fulfill C.W. Bill Young Cell Transplantation Program </w:t>
      </w:r>
      <w:r w:rsidRPr="003173E7">
        <w:rPr>
          <w:rFonts w:eastAsia="Calibri"/>
        </w:rPr>
        <w:t>requirements</w:t>
      </w:r>
      <w:r w:rsidR="00D72729">
        <w:rPr>
          <w:rFonts w:eastAsia="Calibri"/>
        </w:rPr>
        <w:t xml:space="preserve">. </w:t>
      </w:r>
      <w:r w:rsidRPr="003173E7">
        <w:rPr>
          <w:rFonts w:eastAsia="Calibri"/>
        </w:rPr>
        <w:t>These changes are considered non-substantive</w:t>
      </w:r>
      <w:r w:rsidR="00D72729">
        <w:rPr>
          <w:rFonts w:eastAsia="Calibri"/>
        </w:rPr>
        <w:t xml:space="preserve">. </w:t>
      </w:r>
      <w:r w:rsidRPr="003173E7">
        <w:rPr>
          <w:rFonts w:eastAsia="Calibri"/>
        </w:rPr>
        <w:t xml:space="preserve">Approval of these changes is needed </w:t>
      </w:r>
      <w:r w:rsidRPr="00671DE6">
        <w:rPr>
          <w:rFonts w:eastAsia="Calibri"/>
        </w:rPr>
        <w:t xml:space="preserve">by </w:t>
      </w:r>
      <w:r w:rsidRPr="00671DE6" w:rsidR="00671DE6">
        <w:rPr>
          <w:rFonts w:eastAsia="Calibri"/>
        </w:rPr>
        <w:t>August 15,</w:t>
      </w:r>
      <w:r w:rsidRPr="00671DE6">
        <w:rPr>
          <w:rFonts w:eastAsia="Calibri"/>
        </w:rPr>
        <w:t xml:space="preserve"> 202</w:t>
      </w:r>
      <w:r w:rsidRPr="00671DE6" w:rsidR="00BC56D6">
        <w:rPr>
          <w:rFonts w:eastAsia="Calibri"/>
        </w:rPr>
        <w:t>4</w:t>
      </w:r>
      <w:r w:rsidRPr="00671DE6">
        <w:rPr>
          <w:rFonts w:eastAsia="Calibri"/>
        </w:rPr>
        <w:t>, to implement</w:t>
      </w:r>
      <w:r w:rsidRPr="003173E7">
        <w:rPr>
          <w:rFonts w:eastAsia="Calibri"/>
        </w:rPr>
        <w:t xml:space="preserve"> </w:t>
      </w:r>
      <w:r w:rsidRPr="00952734">
        <w:rPr>
          <w:rFonts w:eastAsia="Calibri"/>
        </w:rPr>
        <w:t xml:space="preserve">the changes in the data collection system during the scheduled </w:t>
      </w:r>
      <w:r w:rsidR="002846C1">
        <w:rPr>
          <w:rFonts w:eastAsia="Calibri"/>
        </w:rPr>
        <w:t>Fall</w:t>
      </w:r>
      <w:r w:rsidRPr="00952734">
        <w:rPr>
          <w:rFonts w:eastAsia="Calibri"/>
        </w:rPr>
        <w:t xml:space="preserve"> 202</w:t>
      </w:r>
      <w:r w:rsidR="00BC56D6">
        <w:rPr>
          <w:rFonts w:eastAsia="Calibri"/>
        </w:rPr>
        <w:t>4</w:t>
      </w:r>
      <w:r w:rsidRPr="00952734">
        <w:rPr>
          <w:rFonts w:eastAsia="Calibri"/>
        </w:rPr>
        <w:t xml:space="preserve"> release</w:t>
      </w:r>
      <w:r w:rsidR="00D72729">
        <w:rPr>
          <w:rFonts w:eastAsia="Calibri"/>
        </w:rPr>
        <w:t xml:space="preserve">. </w:t>
      </w:r>
      <w:r w:rsidRPr="00952734">
        <w:rPr>
          <w:rFonts w:eastAsia="Calibri"/>
        </w:rPr>
        <w:t>If this timeline is not met, the next release of data collection forms is scheduled approximately three months later.</w:t>
      </w:r>
    </w:p>
    <w:p w:rsidR="000F0C78" w:rsidP="002846C1" w14:paraId="1A7A396D" w14:textId="6D570ABE">
      <w:pPr>
        <w:spacing w:after="200" w:line="276" w:lineRule="auto"/>
        <w:ind w:left="2160" w:hanging="2160"/>
        <w:rPr>
          <w:rFonts w:eastAsia="Calibri"/>
        </w:rPr>
      </w:pPr>
      <w:r w:rsidRPr="00B92B6C">
        <w:rPr>
          <w:rFonts w:eastAsia="Calibri"/>
          <w:b/>
        </w:rPr>
        <w:t>Burden:</w:t>
      </w:r>
      <w:r w:rsidRPr="00B92B6C">
        <w:rPr>
          <w:rFonts w:eastAsia="Calibri"/>
        </w:rPr>
        <w:tab/>
      </w:r>
      <w:r w:rsidRPr="003173E7">
        <w:rPr>
          <w:rFonts w:eastAsia="Calibri"/>
        </w:rPr>
        <w:t>The changes requested</w:t>
      </w:r>
      <w:r>
        <w:rPr>
          <w:rFonts w:eastAsia="Calibri"/>
        </w:rPr>
        <w:t xml:space="preserve"> to update disease classifications</w:t>
      </w:r>
      <w:r w:rsidR="00AE5F41">
        <w:rPr>
          <w:rFonts w:eastAsia="Calibri"/>
        </w:rPr>
        <w:t>/nomenclature</w:t>
      </w:r>
      <w:r>
        <w:rPr>
          <w:rFonts w:eastAsia="Calibri"/>
        </w:rPr>
        <w:t xml:space="preserve"> only affect response options for </w:t>
      </w:r>
      <w:r w:rsidR="00F94AAF">
        <w:rPr>
          <w:rFonts w:eastAsia="Calibri"/>
        </w:rPr>
        <w:t>seven</w:t>
      </w:r>
      <w:r>
        <w:rPr>
          <w:rFonts w:eastAsia="Calibri"/>
        </w:rPr>
        <w:t xml:space="preserve"> questions without the addition of new questions. </w:t>
      </w:r>
      <w:r w:rsidR="00AE5F41">
        <w:rPr>
          <w:rFonts w:eastAsia="Calibri"/>
        </w:rPr>
        <w:t>A</w:t>
      </w:r>
      <w:r w:rsidRPr="004D6E46" w:rsidR="00AE5F41">
        <w:rPr>
          <w:rFonts w:eastAsia="Calibri"/>
        </w:rPr>
        <w:t xml:space="preserve">lthough </w:t>
      </w:r>
      <w:r w:rsidRPr="004D6E46" w:rsidR="004D6E46">
        <w:rPr>
          <w:rFonts w:eastAsia="Calibri"/>
        </w:rPr>
        <w:t xml:space="preserve">response options were updated for </w:t>
      </w:r>
      <w:r w:rsidR="00F94AAF">
        <w:rPr>
          <w:rFonts w:eastAsia="Calibri"/>
        </w:rPr>
        <w:t>seven</w:t>
      </w:r>
      <w:r w:rsidRPr="004D6E46" w:rsidR="004D6E46">
        <w:rPr>
          <w:rFonts w:eastAsia="Calibri"/>
        </w:rPr>
        <w:t xml:space="preserve"> separate questions, individual respondents will only complete one or two of these questions depending upon the recipient's disease</w:t>
      </w:r>
      <w:r>
        <w:rPr>
          <w:rFonts w:eastAsia="Calibri"/>
        </w:rPr>
        <w:t xml:space="preserve">. </w:t>
      </w:r>
      <w:r w:rsidR="00F94AAF">
        <w:rPr>
          <w:rFonts w:eastAsia="Calibri"/>
        </w:rPr>
        <w:t xml:space="preserve">These changes may improve response accuracy and clarify the choices for respondents. They </w:t>
      </w:r>
      <w:r w:rsidR="00EA7C1C">
        <w:rPr>
          <w:rFonts w:eastAsia="Calibri"/>
        </w:rPr>
        <w:t xml:space="preserve">will reduce the need to provide </w:t>
      </w:r>
      <w:r w:rsidR="00A64EAE">
        <w:rPr>
          <w:rFonts w:eastAsia="Calibri"/>
        </w:rPr>
        <w:t>write-in</w:t>
      </w:r>
      <w:r w:rsidR="00DE6F3C">
        <w:rPr>
          <w:rFonts w:eastAsia="Calibri"/>
        </w:rPr>
        <w:t xml:space="preserve"> responses and will not</w:t>
      </w:r>
      <w:r w:rsidR="00F94AAF">
        <w:rPr>
          <w:rFonts w:eastAsia="Calibri"/>
        </w:rPr>
        <w:t xml:space="preserve"> affect </w:t>
      </w:r>
      <w:r w:rsidR="00A64EAE">
        <w:rPr>
          <w:rFonts w:eastAsia="Calibri"/>
        </w:rPr>
        <w:t xml:space="preserve">the </w:t>
      </w:r>
      <w:r w:rsidR="00F94AAF">
        <w:rPr>
          <w:rFonts w:eastAsia="Calibri"/>
        </w:rPr>
        <w:t xml:space="preserve">response burden. </w:t>
      </w:r>
      <w:r>
        <w:rPr>
          <w:rFonts w:eastAsia="Calibri"/>
        </w:rPr>
        <w:t>Therefore, the changes</w:t>
      </w:r>
      <w:r w:rsidRPr="003173E7">
        <w:rPr>
          <w:rFonts w:eastAsia="Calibri"/>
        </w:rPr>
        <w:t xml:space="preserve"> are non-substantive and do not substantially change the estimated reporting burden for patients with these indications.</w:t>
      </w:r>
    </w:p>
    <w:p w:rsidR="003462F4" w:rsidRPr="00B92B6C" w:rsidP="003462F4" w14:paraId="0B397300" w14:textId="50A1A8A9">
      <w:pPr>
        <w:spacing w:after="200" w:line="276" w:lineRule="auto"/>
        <w:ind w:left="2160"/>
        <w:rPr>
          <w:rFonts w:eastAsia="Calibri"/>
        </w:rPr>
      </w:pPr>
      <w:r w:rsidRPr="003462F4">
        <w:rPr>
          <w:rFonts w:eastAsia="Calibri"/>
        </w:rPr>
        <w:t>The removal of two questions is expected to reduce the burden slightly</w:t>
      </w:r>
      <w:r w:rsidR="003F4C18">
        <w:rPr>
          <w:rFonts w:eastAsia="Calibri"/>
        </w:rPr>
        <w:t>, but not significantly enough to adjust the burden hours</w:t>
      </w:r>
      <w:r w:rsidRPr="003462F4">
        <w:rPr>
          <w:rFonts w:eastAsia="Calibri"/>
        </w:rPr>
        <w:t>.</w:t>
      </w:r>
    </w:p>
    <w:p w:rsidR="003462F4" w:rsidP="003462F4" w14:paraId="792480E8" w14:textId="77777777">
      <w:pPr>
        <w:spacing w:after="200" w:line="276" w:lineRule="auto"/>
        <w:rPr>
          <w:rFonts w:eastAsia="Calibri"/>
          <w:b/>
        </w:rPr>
      </w:pPr>
      <w:r>
        <w:rPr>
          <w:rFonts w:eastAsia="Calibri"/>
          <w:b/>
        </w:rPr>
        <w:t xml:space="preserve">SUMMARY OF </w:t>
      </w:r>
      <w:r w:rsidRPr="00B92B6C">
        <w:rPr>
          <w:rFonts w:eastAsia="Calibri"/>
          <w:b/>
        </w:rPr>
        <w:t xml:space="preserve">PROPOSED </w:t>
      </w:r>
      <w:r>
        <w:rPr>
          <w:rFonts w:eastAsia="Calibri"/>
          <w:b/>
        </w:rPr>
        <w:t xml:space="preserve">NON-SUBSTANTIVE CHANGES </w:t>
      </w:r>
      <w:r w:rsidRPr="00B92B6C">
        <w:rPr>
          <w:rFonts w:eastAsia="Calibri"/>
          <w:b/>
        </w:rPr>
        <w:t xml:space="preserve">FOR STEM CELL THERAPEUTIC OUTCOMES DATABASE </w:t>
      </w:r>
      <w:r>
        <w:rPr>
          <w:rFonts w:eastAsia="Calibri"/>
          <w:b/>
        </w:rPr>
        <w:t xml:space="preserve">VARIBLES. </w:t>
      </w:r>
    </w:p>
    <w:p w:rsidR="003462F4" w:rsidP="003462F4" w14:paraId="087245D6" w14:textId="77777777">
      <w:pPr>
        <w:spacing w:after="200" w:line="276" w:lineRule="auto"/>
        <w:rPr>
          <w:rFonts w:eastAsia="Calibri"/>
          <w:bCs/>
        </w:rPr>
      </w:pPr>
      <w:r>
        <w:rPr>
          <w:rFonts w:eastAsia="Calibri"/>
          <w:b/>
        </w:rPr>
        <w:t xml:space="preserve">Details can be found in Attachment 1 (complete spreadsheet of data collection to support the SCTOD). Table 1 below shows the change in </w:t>
      </w:r>
      <w:r w:rsidRPr="00772F5D">
        <w:rPr>
          <w:rFonts w:eastAsia="Calibri"/>
          <w:b/>
          <w:color w:val="FF0000"/>
        </w:rPr>
        <w:t>red</w:t>
      </w:r>
      <w:r>
        <w:rPr>
          <w:rFonts w:eastAsia="Calibri"/>
          <w:b/>
        </w:rPr>
        <w:t xml:space="preserve">. </w:t>
      </w:r>
    </w:p>
    <w:tbl>
      <w:tblPr>
        <w:tblStyle w:val="TableGrid1"/>
        <w:tblW w:w="10800" w:type="dxa"/>
        <w:tblInd w:w="-725" w:type="dxa"/>
        <w:tblLook w:val="04A0"/>
      </w:tblPr>
      <w:tblGrid>
        <w:gridCol w:w="1019"/>
        <w:gridCol w:w="1440"/>
        <w:gridCol w:w="1548"/>
        <w:gridCol w:w="1422"/>
        <w:gridCol w:w="3780"/>
        <w:gridCol w:w="1591"/>
      </w:tblGrid>
      <w:tr w14:paraId="7C6CDFC5" w14:textId="77777777" w:rsidTr="009F244A">
        <w:tblPrEx>
          <w:tblW w:w="10800" w:type="dxa"/>
          <w:tblInd w:w="-725" w:type="dxa"/>
          <w:tblLook w:val="04A0"/>
        </w:tblPrEx>
        <w:trPr>
          <w:trHeight w:val="908"/>
        </w:trPr>
        <w:tc>
          <w:tcPr>
            <w:tcW w:w="1019" w:type="dxa"/>
            <w:shd w:val="clear" w:color="auto" w:fill="F2F2F2" w:themeFill="background1" w:themeFillShade="F2"/>
            <w:noWrap/>
            <w:hideMark/>
          </w:tcPr>
          <w:p w:rsidR="003462F4" w:rsidRPr="00EF5689" w:rsidP="009F244A" w14:paraId="2F8C44CA" w14:textId="77777777">
            <w:pPr>
              <w:spacing w:after="200" w:line="276" w:lineRule="auto"/>
              <w:rPr>
                <w:rFonts w:eastAsia="Calibri" w:asciiTheme="minorHAnsi" w:hAnsiTheme="minorHAnsi" w:cstheme="minorHAnsi"/>
                <w:b/>
                <w:sz w:val="16"/>
                <w:szCs w:val="16"/>
              </w:rPr>
            </w:pPr>
            <w:r w:rsidRPr="00EF5689">
              <w:rPr>
                <w:rFonts w:eastAsia="Calibri" w:asciiTheme="minorHAnsi" w:hAnsiTheme="minorHAnsi" w:cstheme="minorHAnsi"/>
                <w:b/>
                <w:sz w:val="16"/>
                <w:szCs w:val="16"/>
              </w:rPr>
              <w:t>Item ID</w:t>
            </w:r>
          </w:p>
        </w:tc>
        <w:tc>
          <w:tcPr>
            <w:tcW w:w="1440" w:type="dxa"/>
            <w:shd w:val="clear" w:color="auto" w:fill="F2F2F2" w:themeFill="background1" w:themeFillShade="F2"/>
            <w:noWrap/>
            <w:hideMark/>
          </w:tcPr>
          <w:p w:rsidR="003462F4" w:rsidRPr="00EF5689" w:rsidP="009F244A" w14:paraId="3337BC85" w14:textId="77777777">
            <w:pPr>
              <w:spacing w:after="200" w:line="276" w:lineRule="auto"/>
              <w:rPr>
                <w:rFonts w:eastAsia="Calibri" w:asciiTheme="minorHAnsi" w:hAnsiTheme="minorHAnsi" w:cstheme="minorHAnsi"/>
                <w:b/>
                <w:sz w:val="16"/>
                <w:szCs w:val="16"/>
              </w:rPr>
            </w:pPr>
            <w:r w:rsidRPr="00EF5689">
              <w:rPr>
                <w:rFonts w:eastAsia="Calibri" w:asciiTheme="minorHAnsi" w:hAnsiTheme="minorHAnsi" w:cstheme="minorHAnsi"/>
                <w:b/>
                <w:sz w:val="16"/>
                <w:szCs w:val="16"/>
              </w:rPr>
              <w:t>Information Collection Domain Sub-Type</w:t>
            </w:r>
          </w:p>
        </w:tc>
        <w:tc>
          <w:tcPr>
            <w:tcW w:w="1548" w:type="dxa"/>
            <w:shd w:val="clear" w:color="auto" w:fill="F2F2F2" w:themeFill="background1" w:themeFillShade="F2"/>
            <w:noWrap/>
            <w:hideMark/>
          </w:tcPr>
          <w:p w:rsidR="003462F4" w:rsidRPr="00EF5689" w:rsidP="009F244A" w14:paraId="7C480A90" w14:textId="77777777">
            <w:pPr>
              <w:spacing w:after="200" w:line="276" w:lineRule="auto"/>
              <w:rPr>
                <w:rFonts w:eastAsia="Calibri" w:asciiTheme="minorHAnsi" w:hAnsiTheme="minorHAnsi" w:cstheme="minorHAnsi"/>
                <w:b/>
                <w:sz w:val="16"/>
                <w:szCs w:val="16"/>
              </w:rPr>
            </w:pPr>
            <w:r w:rsidRPr="00EF5689">
              <w:rPr>
                <w:rFonts w:eastAsia="Calibri" w:asciiTheme="minorHAnsi" w:hAnsiTheme="minorHAnsi" w:cstheme="minorHAnsi"/>
                <w:b/>
                <w:sz w:val="16"/>
                <w:szCs w:val="16"/>
              </w:rPr>
              <w:t>Information Collection update:</w:t>
            </w:r>
          </w:p>
        </w:tc>
        <w:tc>
          <w:tcPr>
            <w:tcW w:w="1422" w:type="dxa"/>
            <w:shd w:val="clear" w:color="auto" w:fill="F2F2F2" w:themeFill="background1" w:themeFillShade="F2"/>
            <w:noWrap/>
            <w:hideMark/>
          </w:tcPr>
          <w:p w:rsidR="003462F4" w:rsidRPr="00EF5689" w:rsidP="009F244A" w14:paraId="72CA24C1" w14:textId="77777777">
            <w:pPr>
              <w:spacing w:after="200" w:line="276" w:lineRule="auto"/>
              <w:rPr>
                <w:rFonts w:eastAsia="Calibri" w:asciiTheme="minorHAnsi" w:hAnsiTheme="minorHAnsi" w:cstheme="minorHAnsi"/>
                <w:b/>
                <w:sz w:val="16"/>
                <w:szCs w:val="16"/>
              </w:rPr>
            </w:pPr>
            <w:r w:rsidRPr="00EF5689">
              <w:rPr>
                <w:rFonts w:eastAsia="Calibri" w:asciiTheme="minorHAnsi" w:hAnsiTheme="minorHAnsi" w:cstheme="minorHAnsi"/>
                <w:b/>
                <w:sz w:val="16"/>
                <w:szCs w:val="16"/>
              </w:rPr>
              <w:t>Proposed Information Collection Data Element (if applicable)</w:t>
            </w:r>
          </w:p>
        </w:tc>
        <w:tc>
          <w:tcPr>
            <w:tcW w:w="3780" w:type="dxa"/>
            <w:shd w:val="clear" w:color="auto" w:fill="F2F2F2" w:themeFill="background1" w:themeFillShade="F2"/>
            <w:noWrap/>
            <w:hideMark/>
          </w:tcPr>
          <w:p w:rsidR="003462F4" w:rsidRPr="00EF5689" w:rsidP="009F244A" w14:paraId="4FF0F66D" w14:textId="77777777">
            <w:pPr>
              <w:spacing w:after="200" w:line="276" w:lineRule="auto"/>
              <w:rPr>
                <w:rFonts w:eastAsia="Calibri" w:asciiTheme="minorHAnsi" w:hAnsiTheme="minorHAnsi" w:cstheme="minorHAnsi"/>
                <w:b/>
                <w:sz w:val="16"/>
                <w:szCs w:val="16"/>
              </w:rPr>
            </w:pPr>
            <w:r w:rsidRPr="00EF5689">
              <w:rPr>
                <w:rFonts w:eastAsia="Calibri" w:asciiTheme="minorHAnsi" w:hAnsiTheme="minorHAnsi" w:cstheme="minorHAnsi"/>
                <w:b/>
                <w:sz w:val="16"/>
                <w:szCs w:val="16"/>
              </w:rPr>
              <w:t>Proposed Information Collection Data Element Response Option(s)</w:t>
            </w:r>
          </w:p>
        </w:tc>
        <w:tc>
          <w:tcPr>
            <w:tcW w:w="1591" w:type="dxa"/>
            <w:shd w:val="clear" w:color="auto" w:fill="F2F2F2" w:themeFill="background1" w:themeFillShade="F2"/>
            <w:noWrap/>
            <w:hideMark/>
          </w:tcPr>
          <w:p w:rsidR="003462F4" w:rsidRPr="00EF5689" w:rsidP="009F244A" w14:paraId="6A2A863E" w14:textId="77777777">
            <w:pPr>
              <w:spacing w:after="200" w:line="276" w:lineRule="auto"/>
              <w:rPr>
                <w:rFonts w:eastAsia="Calibri" w:asciiTheme="minorHAnsi" w:hAnsiTheme="minorHAnsi" w:cstheme="minorHAnsi"/>
                <w:b/>
                <w:sz w:val="16"/>
                <w:szCs w:val="16"/>
              </w:rPr>
            </w:pPr>
            <w:r w:rsidRPr="00EF5689">
              <w:rPr>
                <w:rFonts w:eastAsia="Calibri" w:asciiTheme="minorHAnsi" w:hAnsiTheme="minorHAnsi" w:cstheme="minorHAnsi"/>
                <w:b/>
                <w:sz w:val="16"/>
                <w:szCs w:val="16"/>
              </w:rPr>
              <w:t>Rationale for Information Collection Update</w:t>
            </w:r>
          </w:p>
        </w:tc>
      </w:tr>
      <w:tr w14:paraId="31BE39C9" w14:textId="77777777" w:rsidTr="009F244A">
        <w:tblPrEx>
          <w:tblW w:w="10800" w:type="dxa"/>
          <w:tblInd w:w="-725" w:type="dxa"/>
          <w:tblLook w:val="04A0"/>
        </w:tblPrEx>
        <w:trPr>
          <w:trHeight w:val="548"/>
        </w:trPr>
        <w:tc>
          <w:tcPr>
            <w:tcW w:w="1019" w:type="dxa"/>
            <w:noWrap/>
          </w:tcPr>
          <w:p w:rsidR="003462F4" w:rsidRPr="003462F4" w:rsidP="003462F4" w14:paraId="77D1944E" w14:textId="199EF2C1">
            <w:pPr>
              <w:rPr>
                <w:rFonts w:asciiTheme="minorHAnsi" w:hAnsiTheme="minorHAnsi" w:cstheme="minorHAnsi"/>
                <w:color w:val="000000"/>
                <w:sz w:val="16"/>
                <w:szCs w:val="16"/>
              </w:rPr>
            </w:pPr>
            <w:r w:rsidRPr="003462F4">
              <w:rPr>
                <w:rFonts w:ascii="Calibri" w:hAnsi="Calibri" w:cs="Calibri"/>
                <w:color w:val="000000"/>
                <w:sz w:val="16"/>
                <w:szCs w:val="16"/>
              </w:rPr>
              <w:t>PRE044</w:t>
            </w:r>
          </w:p>
        </w:tc>
        <w:tc>
          <w:tcPr>
            <w:tcW w:w="1440" w:type="dxa"/>
          </w:tcPr>
          <w:p w:rsidR="003462F4" w:rsidRPr="003462F4" w:rsidP="003462F4" w14:paraId="55ABF3A8" w14:textId="01D3A0BF">
            <w:pPr>
              <w:rPr>
                <w:rFonts w:asciiTheme="minorHAnsi" w:hAnsiTheme="minorHAnsi" w:cstheme="minorHAnsi"/>
                <w:color w:val="000000"/>
                <w:sz w:val="16"/>
                <w:szCs w:val="16"/>
              </w:rPr>
            </w:pPr>
            <w:r w:rsidRPr="003462F4">
              <w:rPr>
                <w:rFonts w:ascii="Calibri" w:hAnsi="Calibri" w:cs="Calibri"/>
                <w:color w:val="000000"/>
                <w:sz w:val="16"/>
                <w:szCs w:val="16"/>
              </w:rPr>
              <w:t>Disease Classification</w:t>
            </w:r>
          </w:p>
        </w:tc>
        <w:tc>
          <w:tcPr>
            <w:tcW w:w="1548" w:type="dxa"/>
          </w:tcPr>
          <w:p w:rsidR="003462F4" w:rsidRPr="003462F4" w:rsidP="003462F4" w14:paraId="40AF586F" w14:textId="2ECA6F91">
            <w:pPr>
              <w:rPr>
                <w:rFonts w:asciiTheme="minorHAnsi" w:hAnsiTheme="minorHAnsi" w:cstheme="minorHAnsi"/>
                <w:color w:val="000000"/>
                <w:sz w:val="16"/>
                <w:szCs w:val="16"/>
              </w:rPr>
            </w:pPr>
            <w:r w:rsidRPr="003462F4">
              <w:rPr>
                <w:rFonts w:ascii="Calibri" w:hAnsi="Calibri" w:cs="Calibri"/>
                <w:color w:val="000000"/>
                <w:sz w:val="16"/>
                <w:szCs w:val="16"/>
              </w:rPr>
              <w:t>Change/Clarification of Response Options</w:t>
            </w:r>
          </w:p>
        </w:tc>
        <w:tc>
          <w:tcPr>
            <w:tcW w:w="1422" w:type="dxa"/>
          </w:tcPr>
          <w:p w:rsidR="003462F4" w:rsidRPr="003462F4" w:rsidP="003462F4" w14:paraId="21E08373" w14:textId="2726DFA7">
            <w:pPr>
              <w:rPr>
                <w:rFonts w:asciiTheme="minorHAnsi" w:hAnsiTheme="minorHAnsi" w:cstheme="minorHAnsi"/>
                <w:color w:val="000000"/>
                <w:sz w:val="16"/>
                <w:szCs w:val="16"/>
              </w:rPr>
            </w:pPr>
            <w:r w:rsidRPr="003462F4">
              <w:rPr>
                <w:rFonts w:ascii="Calibri" w:hAnsi="Calibri" w:cs="Calibri"/>
                <w:color w:val="000000"/>
                <w:sz w:val="16"/>
                <w:szCs w:val="16"/>
              </w:rPr>
              <w:t xml:space="preserve">Did AML transform from MDS or MPN? </w:t>
            </w:r>
          </w:p>
        </w:tc>
        <w:tc>
          <w:tcPr>
            <w:tcW w:w="3780" w:type="dxa"/>
          </w:tcPr>
          <w:p w:rsidR="003462F4" w:rsidRPr="003462F4" w:rsidP="003462F4" w14:paraId="3D1FA68C" w14:textId="195EC936">
            <w:pPr>
              <w:rPr>
                <w:rFonts w:asciiTheme="minorHAnsi" w:hAnsiTheme="minorHAnsi" w:cstheme="minorHAnsi"/>
                <w:color w:val="000000"/>
                <w:sz w:val="16"/>
                <w:szCs w:val="16"/>
              </w:rPr>
            </w:pPr>
            <w:r w:rsidRPr="003462F4">
              <w:rPr>
                <w:rFonts w:ascii="Calibri" w:hAnsi="Calibri" w:cs="Calibri"/>
                <w:color w:val="000000"/>
                <w:sz w:val="16"/>
                <w:szCs w:val="16"/>
              </w:rPr>
              <w:t>no,</w:t>
            </w:r>
            <w:r w:rsidRPr="003462F4">
              <w:rPr>
                <w:rFonts w:ascii="Calibri" w:hAnsi="Calibri" w:cs="Calibri"/>
                <w:color w:val="000000"/>
                <w:sz w:val="16"/>
                <w:szCs w:val="16"/>
              </w:rPr>
              <w:br/>
            </w:r>
            <w:r w:rsidRPr="003462F4">
              <w:rPr>
                <w:rFonts w:ascii="Calibri" w:hAnsi="Calibri" w:cs="Calibri"/>
                <w:strike/>
                <w:color w:val="FF0000"/>
                <w:sz w:val="16"/>
                <w:szCs w:val="16"/>
              </w:rPr>
              <w:t>yes</w:t>
            </w:r>
            <w:r w:rsidRPr="003462F4">
              <w:rPr>
                <w:rFonts w:ascii="Calibri" w:hAnsi="Calibri" w:cs="Calibri"/>
                <w:color w:val="000000"/>
                <w:sz w:val="16"/>
                <w:szCs w:val="16"/>
              </w:rPr>
              <w:br/>
            </w:r>
            <w:r w:rsidRPr="003462F4">
              <w:rPr>
                <w:rFonts w:ascii="Calibri" w:hAnsi="Calibri" w:cs="Calibri"/>
                <w:color w:val="FF0000"/>
                <w:sz w:val="16"/>
                <w:szCs w:val="16"/>
              </w:rPr>
              <w:t>yes, MDS-Also complete MDS Disease Classification questions</w:t>
            </w:r>
            <w:r w:rsidRPr="003462F4">
              <w:rPr>
                <w:rFonts w:ascii="Calibri" w:hAnsi="Calibri" w:cs="Calibri"/>
                <w:color w:val="FF0000"/>
                <w:sz w:val="16"/>
                <w:szCs w:val="16"/>
              </w:rPr>
              <w:br/>
              <w:t>yes, MPN- MPN Disease Classification questions</w:t>
            </w:r>
          </w:p>
        </w:tc>
        <w:tc>
          <w:tcPr>
            <w:tcW w:w="1591" w:type="dxa"/>
          </w:tcPr>
          <w:p w:rsidR="003462F4" w:rsidRPr="003462F4" w:rsidP="003462F4" w14:paraId="0245258D" w14:textId="6459D14A">
            <w:pPr>
              <w:rPr>
                <w:rFonts w:asciiTheme="minorHAnsi" w:hAnsiTheme="minorHAnsi" w:cstheme="minorHAnsi"/>
                <w:color w:val="000000"/>
                <w:sz w:val="16"/>
                <w:szCs w:val="16"/>
              </w:rPr>
            </w:pPr>
            <w:r w:rsidRPr="003462F4">
              <w:rPr>
                <w:rFonts w:ascii="Calibri" w:hAnsi="Calibri" w:cs="Calibri"/>
                <w:color w:val="000000"/>
                <w:sz w:val="16"/>
                <w:szCs w:val="16"/>
              </w:rPr>
              <w:t>Capture data accurately</w:t>
            </w:r>
          </w:p>
        </w:tc>
      </w:tr>
      <w:tr w14:paraId="5E73F7AB" w14:textId="77777777" w:rsidTr="009F244A">
        <w:tblPrEx>
          <w:tblW w:w="10800" w:type="dxa"/>
          <w:tblInd w:w="-725" w:type="dxa"/>
          <w:tblLook w:val="04A0"/>
        </w:tblPrEx>
        <w:trPr>
          <w:trHeight w:val="548"/>
        </w:trPr>
        <w:tc>
          <w:tcPr>
            <w:tcW w:w="1019" w:type="dxa"/>
            <w:noWrap/>
          </w:tcPr>
          <w:p w:rsidR="003462F4" w:rsidRPr="003462F4" w:rsidP="003462F4" w14:paraId="69BBAA43" w14:textId="642DE2DB">
            <w:pPr>
              <w:rPr>
                <w:rFonts w:asciiTheme="minorHAnsi" w:hAnsiTheme="minorHAnsi" w:cstheme="minorHAnsi"/>
                <w:color w:val="000000"/>
                <w:sz w:val="16"/>
                <w:szCs w:val="16"/>
              </w:rPr>
            </w:pPr>
            <w:r w:rsidRPr="003462F4">
              <w:rPr>
                <w:rFonts w:ascii="Calibri" w:hAnsi="Calibri" w:cs="Calibri"/>
                <w:color w:val="000000"/>
                <w:sz w:val="16"/>
                <w:szCs w:val="16"/>
              </w:rPr>
              <w:t>PRE047</w:t>
            </w:r>
          </w:p>
        </w:tc>
        <w:tc>
          <w:tcPr>
            <w:tcW w:w="1440" w:type="dxa"/>
          </w:tcPr>
          <w:p w:rsidR="003462F4" w:rsidRPr="003462F4" w:rsidP="003462F4" w14:paraId="5F7FBFCE" w14:textId="4F64C8C5">
            <w:pPr>
              <w:rPr>
                <w:rFonts w:asciiTheme="minorHAnsi" w:hAnsiTheme="minorHAnsi" w:cstheme="minorHAnsi"/>
                <w:color w:val="000000"/>
                <w:sz w:val="16"/>
                <w:szCs w:val="16"/>
              </w:rPr>
            </w:pPr>
            <w:r w:rsidRPr="003462F4">
              <w:rPr>
                <w:rFonts w:ascii="Calibri" w:hAnsi="Calibri" w:cs="Calibri"/>
                <w:color w:val="000000"/>
                <w:sz w:val="16"/>
                <w:szCs w:val="16"/>
              </w:rPr>
              <w:t>Disease Classification</w:t>
            </w:r>
          </w:p>
        </w:tc>
        <w:tc>
          <w:tcPr>
            <w:tcW w:w="1548" w:type="dxa"/>
          </w:tcPr>
          <w:p w:rsidR="003462F4" w:rsidRPr="003462F4" w:rsidP="003462F4" w14:paraId="42EE1827" w14:textId="687705E8">
            <w:pPr>
              <w:rPr>
                <w:rFonts w:asciiTheme="minorHAnsi" w:hAnsiTheme="minorHAnsi" w:cstheme="minorHAnsi"/>
                <w:color w:val="000000"/>
                <w:sz w:val="16"/>
                <w:szCs w:val="16"/>
              </w:rPr>
            </w:pPr>
            <w:r w:rsidRPr="003462F4">
              <w:rPr>
                <w:rFonts w:ascii="Calibri" w:hAnsi="Calibri" w:cs="Calibri"/>
                <w:color w:val="000000"/>
                <w:sz w:val="16"/>
                <w:szCs w:val="16"/>
              </w:rPr>
              <w:t>Change/Clarification of Response Options</w:t>
            </w:r>
          </w:p>
        </w:tc>
        <w:tc>
          <w:tcPr>
            <w:tcW w:w="1422" w:type="dxa"/>
          </w:tcPr>
          <w:p w:rsidR="003462F4" w:rsidRPr="003462F4" w:rsidP="003462F4" w14:paraId="43217399" w14:textId="392A750A">
            <w:pPr>
              <w:rPr>
                <w:rFonts w:asciiTheme="minorHAnsi" w:hAnsiTheme="minorHAnsi" w:cstheme="minorHAnsi"/>
                <w:color w:val="000000"/>
                <w:sz w:val="16"/>
                <w:szCs w:val="16"/>
              </w:rPr>
            </w:pPr>
            <w:r w:rsidRPr="003462F4">
              <w:rPr>
                <w:rFonts w:ascii="Calibri" w:hAnsi="Calibri" w:cs="Calibri"/>
                <w:color w:val="000000"/>
                <w:sz w:val="16"/>
                <w:szCs w:val="16"/>
              </w:rPr>
              <w:t>Specify condition</w:t>
            </w:r>
          </w:p>
        </w:tc>
        <w:tc>
          <w:tcPr>
            <w:tcW w:w="3780" w:type="dxa"/>
          </w:tcPr>
          <w:p w:rsidR="003462F4" w:rsidRPr="003462F4" w:rsidP="003462F4" w14:paraId="755C8FD7" w14:textId="5231BF71">
            <w:pPr>
              <w:rPr>
                <w:rFonts w:asciiTheme="minorHAnsi" w:hAnsiTheme="minorHAnsi" w:cstheme="minorHAnsi"/>
                <w:color w:val="000000"/>
                <w:sz w:val="16"/>
                <w:szCs w:val="16"/>
              </w:rPr>
            </w:pPr>
            <w:r w:rsidRPr="003462F4">
              <w:rPr>
                <w:rFonts w:ascii="Calibri" w:hAnsi="Calibri" w:cs="Calibri"/>
                <w:strike/>
                <w:color w:val="FF0000"/>
                <w:sz w:val="16"/>
                <w:szCs w:val="16"/>
              </w:rPr>
              <w:t>Bloom syndrome</w:t>
            </w:r>
            <w:r w:rsidRPr="003462F4">
              <w:rPr>
                <w:rFonts w:ascii="Calibri" w:hAnsi="Calibri" w:cs="Calibri"/>
                <w:color w:val="FF0000"/>
                <w:sz w:val="16"/>
                <w:szCs w:val="16"/>
              </w:rPr>
              <w:t>,</w:t>
            </w:r>
            <w:r w:rsidR="00A64EAE">
              <w:rPr>
                <w:rFonts w:ascii="Calibri" w:hAnsi="Calibri" w:cs="Calibri"/>
                <w:color w:val="FF0000"/>
                <w:sz w:val="16"/>
                <w:szCs w:val="16"/>
              </w:rPr>
              <w:t xml:space="preserve"> </w:t>
            </w:r>
            <w:r w:rsidRPr="003462F4">
              <w:rPr>
                <w:rFonts w:ascii="Calibri" w:hAnsi="Calibri" w:cs="Calibri"/>
                <w:color w:val="FF0000"/>
                <w:sz w:val="16"/>
                <w:szCs w:val="16"/>
              </w:rPr>
              <w:t>Biallelic germline BLM variant (Bloom syndrome)</w:t>
            </w:r>
            <w:r w:rsidRPr="003462F4">
              <w:rPr>
                <w:rFonts w:ascii="Calibri" w:hAnsi="Calibri" w:cs="Calibri"/>
                <w:color w:val="FF0000"/>
                <w:sz w:val="16"/>
                <w:szCs w:val="16"/>
              </w:rPr>
              <w:br/>
            </w:r>
            <w:r w:rsidRPr="003462F4">
              <w:rPr>
                <w:rFonts w:ascii="Calibri" w:hAnsi="Calibri" w:cs="Calibri"/>
                <w:strike/>
                <w:color w:val="FF0000"/>
                <w:sz w:val="16"/>
                <w:szCs w:val="16"/>
              </w:rPr>
              <w:t>Dyskeratosis congenita,</w:t>
            </w:r>
            <w:r w:rsidRPr="003462F4">
              <w:rPr>
                <w:rFonts w:ascii="Calibri" w:hAnsi="Calibri" w:cs="Calibri"/>
                <w:color w:val="FF0000"/>
                <w:sz w:val="16"/>
                <w:szCs w:val="16"/>
              </w:rPr>
              <w:t xml:space="preserve"> Telomere biology disorders (Dyskeratosis congenita and others)</w:t>
            </w:r>
            <w:r w:rsidRPr="003462F4">
              <w:rPr>
                <w:rFonts w:ascii="Calibri" w:hAnsi="Calibri" w:cs="Calibri"/>
                <w:color w:val="FF0000"/>
                <w:sz w:val="16"/>
                <w:szCs w:val="16"/>
              </w:rPr>
              <w:br/>
            </w:r>
            <w:r w:rsidRPr="003462F4">
              <w:rPr>
                <w:rFonts w:ascii="Calibri" w:hAnsi="Calibri" w:cs="Calibri"/>
                <w:color w:val="000000"/>
                <w:sz w:val="16"/>
                <w:szCs w:val="16"/>
              </w:rPr>
              <w:t>Down Syndrome,</w:t>
            </w:r>
            <w:r w:rsidRPr="003462F4">
              <w:rPr>
                <w:rFonts w:ascii="Calibri" w:hAnsi="Calibri" w:cs="Calibri"/>
                <w:color w:val="000000"/>
                <w:sz w:val="16"/>
                <w:szCs w:val="16"/>
              </w:rPr>
              <w:br/>
              <w:t xml:space="preserve">Fanconi anemia, </w:t>
            </w:r>
            <w:r w:rsidRPr="003462F4">
              <w:rPr>
                <w:rFonts w:ascii="Calibri" w:hAnsi="Calibri" w:cs="Calibri"/>
                <w:color w:val="000000"/>
                <w:sz w:val="16"/>
                <w:szCs w:val="16"/>
              </w:rPr>
              <w:br/>
            </w:r>
            <w:r w:rsidRPr="003462F4">
              <w:rPr>
                <w:rFonts w:ascii="Calibri" w:hAnsi="Calibri" w:cs="Calibri"/>
                <w:color w:val="FF0000"/>
                <w:sz w:val="16"/>
                <w:szCs w:val="16"/>
              </w:rPr>
              <w:t xml:space="preserve">Germline CEBPA variant (CEBPA-associated familial AML) </w:t>
            </w:r>
            <w:r w:rsidRPr="003462F4">
              <w:rPr>
                <w:rFonts w:ascii="Calibri" w:hAnsi="Calibri" w:cs="Calibri"/>
                <w:color w:val="FF0000"/>
                <w:sz w:val="16"/>
                <w:szCs w:val="16"/>
              </w:rPr>
              <w:br/>
              <w:t xml:space="preserve">Germline DDX41 variant </w:t>
            </w:r>
            <w:r w:rsidRPr="003462F4">
              <w:rPr>
                <w:rFonts w:ascii="Calibri" w:hAnsi="Calibri" w:cs="Calibri"/>
                <w:color w:val="FF0000"/>
                <w:sz w:val="16"/>
                <w:szCs w:val="16"/>
              </w:rPr>
              <w:br/>
              <w:t>Germline TP53 variant (Li-Fraumeni Syndrome)</w:t>
            </w:r>
            <w:r w:rsidRPr="003462F4">
              <w:rPr>
                <w:rFonts w:ascii="Calibri" w:hAnsi="Calibri" w:cs="Calibri"/>
                <w:color w:val="FF0000"/>
                <w:sz w:val="16"/>
                <w:szCs w:val="16"/>
              </w:rPr>
              <w:br/>
              <w:t>Germline RUNX1 variant (familial platelet disorder with associated myeloid malignancy, FPD-MM)</w:t>
            </w:r>
            <w:r w:rsidRPr="003462F4">
              <w:rPr>
                <w:rFonts w:ascii="Calibri" w:hAnsi="Calibri" w:cs="Calibri"/>
                <w:color w:val="FF0000"/>
                <w:sz w:val="16"/>
                <w:szCs w:val="16"/>
              </w:rPr>
              <w:br/>
              <w:t>Germline ANKRD26 variant (Thrombocytopenia 2)</w:t>
            </w:r>
            <w:r w:rsidRPr="003462F4">
              <w:rPr>
                <w:rFonts w:ascii="Calibri" w:hAnsi="Calibri" w:cs="Calibri"/>
                <w:color w:val="FF0000"/>
                <w:sz w:val="16"/>
                <w:szCs w:val="16"/>
              </w:rPr>
              <w:br/>
              <w:t>Germline ETV6 variant  (Thrombocytopenia 5)</w:t>
            </w:r>
            <w:r w:rsidRPr="003462F4">
              <w:rPr>
                <w:rFonts w:ascii="Calibri" w:hAnsi="Calibri" w:cs="Calibri"/>
                <w:color w:val="FF0000"/>
                <w:sz w:val="16"/>
                <w:szCs w:val="16"/>
              </w:rPr>
              <w:br/>
              <w:t>Germline GATA2 variant (GATA2-deficiency)</w:t>
            </w:r>
            <w:r w:rsidRPr="003462F4">
              <w:rPr>
                <w:rFonts w:ascii="Calibri" w:hAnsi="Calibri" w:cs="Calibri"/>
                <w:color w:val="FF0000"/>
                <w:sz w:val="16"/>
                <w:szCs w:val="16"/>
              </w:rPr>
              <w:br/>
            </w:r>
            <w:r w:rsidRPr="003462F4">
              <w:rPr>
                <w:rFonts w:ascii="Calibri" w:hAnsi="Calibri" w:cs="Calibri"/>
                <w:color w:val="FF0000"/>
                <w:sz w:val="16"/>
                <w:szCs w:val="16"/>
              </w:rPr>
              <w:t>Germline SAMD9 variant (MIRAGE Syndrome)</w:t>
            </w:r>
            <w:r w:rsidRPr="003462F4">
              <w:rPr>
                <w:rFonts w:ascii="Calibri" w:hAnsi="Calibri" w:cs="Calibri"/>
                <w:color w:val="FF0000"/>
                <w:sz w:val="16"/>
                <w:szCs w:val="16"/>
              </w:rPr>
              <w:br/>
              <w:t>Germline SAMD9L variant (SAMD9L-related Ataxia Pancytopenia Syndrome)</w:t>
            </w:r>
            <w:r w:rsidRPr="003462F4">
              <w:rPr>
                <w:rFonts w:ascii="Calibri" w:hAnsi="Calibri" w:cs="Calibri"/>
                <w:color w:val="FF0000"/>
                <w:sz w:val="16"/>
                <w:szCs w:val="16"/>
              </w:rPr>
              <w:br/>
              <w:t>RASopathies (Neurofibromatosis type 1, CBL syndrome, Noonan syndrome, Noonan syndrome-like disorders)</w:t>
            </w:r>
            <w:r w:rsidRPr="003462F4">
              <w:rPr>
                <w:rFonts w:ascii="Calibri" w:hAnsi="Calibri" w:cs="Calibri"/>
                <w:color w:val="FF0000"/>
                <w:sz w:val="16"/>
                <w:szCs w:val="16"/>
              </w:rPr>
              <w:br/>
              <w:t>Severe congenital neutropenia (SCN)</w:t>
            </w:r>
            <w:r w:rsidRPr="003462F4">
              <w:rPr>
                <w:rFonts w:ascii="Calibri" w:hAnsi="Calibri" w:cs="Calibri"/>
                <w:color w:val="FF0000"/>
                <w:sz w:val="16"/>
                <w:szCs w:val="16"/>
              </w:rPr>
              <w:br/>
            </w:r>
            <w:r w:rsidRPr="003462F4">
              <w:rPr>
                <w:rFonts w:ascii="Calibri" w:hAnsi="Calibri" w:cs="Calibri"/>
                <w:color w:val="000000"/>
                <w:sz w:val="16"/>
                <w:szCs w:val="16"/>
              </w:rPr>
              <w:t>Other condition</w:t>
            </w:r>
          </w:p>
        </w:tc>
        <w:tc>
          <w:tcPr>
            <w:tcW w:w="1591" w:type="dxa"/>
          </w:tcPr>
          <w:p w:rsidR="003462F4" w:rsidRPr="003462F4" w:rsidP="003462F4" w14:paraId="7B073472" w14:textId="3F440652">
            <w:pPr>
              <w:rPr>
                <w:rFonts w:asciiTheme="minorHAnsi" w:hAnsiTheme="minorHAnsi" w:cstheme="minorHAnsi"/>
                <w:color w:val="000000"/>
                <w:sz w:val="16"/>
                <w:szCs w:val="16"/>
              </w:rPr>
            </w:pPr>
            <w:r w:rsidRPr="003462F4">
              <w:rPr>
                <w:rFonts w:ascii="Calibri" w:hAnsi="Calibri" w:cs="Calibri"/>
                <w:color w:val="000000"/>
                <w:sz w:val="16"/>
                <w:szCs w:val="16"/>
              </w:rPr>
              <w:t xml:space="preserve">Be consistent with </w:t>
            </w:r>
            <w:r w:rsidR="00A64EAE">
              <w:rPr>
                <w:rFonts w:ascii="Calibri" w:hAnsi="Calibri" w:cs="Calibri"/>
                <w:color w:val="000000"/>
                <w:sz w:val="16"/>
                <w:szCs w:val="16"/>
              </w:rPr>
              <w:t xml:space="preserve">the </w:t>
            </w:r>
            <w:r w:rsidRPr="003462F4">
              <w:rPr>
                <w:rFonts w:ascii="Calibri" w:hAnsi="Calibri" w:cs="Calibri"/>
                <w:color w:val="000000"/>
                <w:sz w:val="16"/>
                <w:szCs w:val="16"/>
              </w:rPr>
              <w:t xml:space="preserve">current clinical </w:t>
            </w:r>
            <w:r w:rsidRPr="003462F4" w:rsidR="00A64EAE">
              <w:rPr>
                <w:rFonts w:ascii="Calibri" w:hAnsi="Calibri" w:cs="Calibri"/>
                <w:color w:val="000000"/>
                <w:sz w:val="16"/>
                <w:szCs w:val="16"/>
              </w:rPr>
              <w:t>landscape and</w:t>
            </w:r>
            <w:r w:rsidR="00A64EAE">
              <w:rPr>
                <w:rFonts w:ascii="Calibri" w:hAnsi="Calibri" w:cs="Calibri"/>
                <w:color w:val="000000"/>
                <w:sz w:val="16"/>
                <w:szCs w:val="16"/>
              </w:rPr>
              <w:t xml:space="preserve"> </w:t>
            </w:r>
            <w:r w:rsidRPr="003462F4">
              <w:rPr>
                <w:rFonts w:ascii="Calibri" w:hAnsi="Calibri" w:cs="Calibri"/>
                <w:color w:val="000000"/>
                <w:sz w:val="16"/>
                <w:szCs w:val="16"/>
              </w:rPr>
              <w:t>improve transplant outcome data</w:t>
            </w:r>
            <w:r w:rsidR="00A64EAE">
              <w:rPr>
                <w:rFonts w:ascii="Calibri" w:hAnsi="Calibri" w:cs="Calibri"/>
                <w:color w:val="000000"/>
                <w:sz w:val="16"/>
                <w:szCs w:val="16"/>
              </w:rPr>
              <w:t>.</w:t>
            </w:r>
          </w:p>
        </w:tc>
      </w:tr>
      <w:tr w14:paraId="5BF89985" w14:textId="77777777" w:rsidTr="009F244A">
        <w:tblPrEx>
          <w:tblW w:w="10800" w:type="dxa"/>
          <w:tblInd w:w="-725" w:type="dxa"/>
          <w:tblLook w:val="04A0"/>
        </w:tblPrEx>
        <w:trPr>
          <w:trHeight w:val="548"/>
        </w:trPr>
        <w:tc>
          <w:tcPr>
            <w:tcW w:w="1019" w:type="dxa"/>
            <w:noWrap/>
          </w:tcPr>
          <w:p w:rsidR="003462F4" w:rsidRPr="003462F4" w:rsidP="003462F4" w14:paraId="21F13783" w14:textId="29EB5F3A">
            <w:pPr>
              <w:rPr>
                <w:rFonts w:asciiTheme="minorHAnsi" w:hAnsiTheme="minorHAnsi" w:cstheme="minorHAnsi"/>
                <w:color w:val="000000"/>
                <w:sz w:val="16"/>
                <w:szCs w:val="16"/>
              </w:rPr>
            </w:pPr>
            <w:r w:rsidRPr="003462F4">
              <w:rPr>
                <w:rFonts w:ascii="Calibri" w:hAnsi="Calibri" w:cs="Calibri"/>
                <w:color w:val="000000"/>
                <w:sz w:val="16"/>
                <w:szCs w:val="16"/>
              </w:rPr>
              <w:t>PRE137</w:t>
            </w:r>
          </w:p>
        </w:tc>
        <w:tc>
          <w:tcPr>
            <w:tcW w:w="1440" w:type="dxa"/>
          </w:tcPr>
          <w:p w:rsidR="003462F4" w:rsidRPr="003462F4" w:rsidP="003462F4" w14:paraId="3DEB4EA4" w14:textId="45B0F628">
            <w:pPr>
              <w:rPr>
                <w:rFonts w:asciiTheme="minorHAnsi" w:hAnsiTheme="minorHAnsi" w:cstheme="minorHAnsi"/>
                <w:color w:val="000000"/>
                <w:sz w:val="16"/>
                <w:szCs w:val="16"/>
              </w:rPr>
            </w:pPr>
            <w:r w:rsidRPr="003462F4">
              <w:rPr>
                <w:rFonts w:ascii="Calibri" w:hAnsi="Calibri" w:cs="Calibri"/>
                <w:color w:val="000000"/>
                <w:sz w:val="16"/>
                <w:szCs w:val="16"/>
              </w:rPr>
              <w:t>Disease Classification</w:t>
            </w:r>
          </w:p>
        </w:tc>
        <w:tc>
          <w:tcPr>
            <w:tcW w:w="1548" w:type="dxa"/>
          </w:tcPr>
          <w:p w:rsidR="003462F4" w:rsidRPr="003462F4" w:rsidP="003462F4" w14:paraId="0734D04F" w14:textId="30E03E50">
            <w:pPr>
              <w:rPr>
                <w:rFonts w:asciiTheme="minorHAnsi" w:hAnsiTheme="minorHAnsi" w:cstheme="minorHAnsi"/>
                <w:color w:val="000000"/>
                <w:sz w:val="16"/>
                <w:szCs w:val="16"/>
              </w:rPr>
            </w:pPr>
            <w:r w:rsidRPr="003462F4">
              <w:rPr>
                <w:rFonts w:ascii="Calibri" w:hAnsi="Calibri" w:cs="Calibri"/>
                <w:color w:val="000000"/>
                <w:sz w:val="16"/>
                <w:szCs w:val="16"/>
              </w:rPr>
              <w:t>Change/Clarification of Response Options</w:t>
            </w:r>
          </w:p>
        </w:tc>
        <w:tc>
          <w:tcPr>
            <w:tcW w:w="1422" w:type="dxa"/>
          </w:tcPr>
          <w:p w:rsidR="003462F4" w:rsidRPr="003462F4" w:rsidP="003462F4" w14:paraId="10281B4D" w14:textId="25C35E7A">
            <w:pPr>
              <w:rPr>
                <w:rFonts w:asciiTheme="minorHAnsi" w:hAnsiTheme="minorHAnsi" w:cstheme="minorHAnsi"/>
                <w:color w:val="000000"/>
                <w:sz w:val="16"/>
                <w:szCs w:val="16"/>
              </w:rPr>
            </w:pPr>
            <w:r w:rsidRPr="003462F4">
              <w:rPr>
                <w:rFonts w:ascii="Calibri" w:hAnsi="Calibri" w:cs="Calibri"/>
                <w:color w:val="000000"/>
                <w:sz w:val="16"/>
                <w:szCs w:val="16"/>
              </w:rPr>
              <w:t>Specify condition</w:t>
            </w:r>
          </w:p>
        </w:tc>
        <w:tc>
          <w:tcPr>
            <w:tcW w:w="3780" w:type="dxa"/>
          </w:tcPr>
          <w:p w:rsidR="003462F4" w:rsidRPr="003462F4" w:rsidP="003462F4" w14:paraId="6DAC2014" w14:textId="5869AB29">
            <w:pPr>
              <w:rPr>
                <w:rFonts w:asciiTheme="minorHAnsi" w:hAnsiTheme="minorHAnsi" w:cstheme="minorHAnsi"/>
                <w:color w:val="000000"/>
                <w:sz w:val="16"/>
                <w:szCs w:val="16"/>
              </w:rPr>
            </w:pPr>
            <w:r w:rsidRPr="003462F4">
              <w:rPr>
                <w:rFonts w:ascii="Calibri" w:hAnsi="Calibri" w:cs="Calibri"/>
                <w:color w:val="000000"/>
                <w:sz w:val="16"/>
                <w:szCs w:val="16"/>
              </w:rPr>
              <w:t>Aplastic anemia</w:t>
            </w:r>
            <w:r w:rsidRPr="003462F4">
              <w:rPr>
                <w:rFonts w:ascii="Calibri" w:hAnsi="Calibri" w:cs="Calibri"/>
                <w:color w:val="000000"/>
                <w:sz w:val="16"/>
                <w:szCs w:val="16"/>
              </w:rPr>
              <w:br/>
            </w:r>
            <w:r w:rsidRPr="003462F4">
              <w:rPr>
                <w:rFonts w:ascii="Calibri" w:hAnsi="Calibri" w:cs="Calibri"/>
                <w:strike/>
                <w:color w:val="FF0000"/>
                <w:sz w:val="16"/>
                <w:szCs w:val="16"/>
              </w:rPr>
              <w:t xml:space="preserve">Bloom </w:t>
            </w:r>
            <w:r w:rsidRPr="003462F4" w:rsidR="00A64EAE">
              <w:rPr>
                <w:rFonts w:ascii="Calibri" w:hAnsi="Calibri" w:cs="Calibri"/>
                <w:strike/>
                <w:color w:val="FF0000"/>
                <w:sz w:val="16"/>
                <w:szCs w:val="16"/>
              </w:rPr>
              <w:t>syndrome</w:t>
            </w:r>
            <w:r w:rsidRPr="003462F4" w:rsidR="00A64EAE">
              <w:rPr>
                <w:rFonts w:ascii="Calibri" w:hAnsi="Calibri" w:cs="Calibri"/>
                <w:strike/>
                <w:color w:val="000000"/>
                <w:sz w:val="16"/>
                <w:szCs w:val="16"/>
              </w:rPr>
              <w:t>,</w:t>
            </w:r>
            <w:r w:rsidRPr="003462F4" w:rsidR="00A64EAE">
              <w:rPr>
                <w:rFonts w:ascii="Calibri" w:hAnsi="Calibri" w:cs="Calibri"/>
                <w:color w:val="FF0000"/>
                <w:sz w:val="16"/>
                <w:szCs w:val="16"/>
              </w:rPr>
              <w:t xml:space="preserve"> Biallelic</w:t>
            </w:r>
            <w:r w:rsidRPr="003462F4">
              <w:rPr>
                <w:rFonts w:ascii="Calibri" w:hAnsi="Calibri" w:cs="Calibri"/>
                <w:color w:val="FF0000"/>
                <w:sz w:val="16"/>
                <w:szCs w:val="16"/>
              </w:rPr>
              <w:t xml:space="preserve"> germline BLM variant (Bloom syndrome)</w:t>
            </w:r>
            <w:r w:rsidRPr="003462F4">
              <w:rPr>
                <w:rFonts w:ascii="Calibri" w:hAnsi="Calibri" w:cs="Calibri"/>
                <w:color w:val="000000"/>
                <w:sz w:val="16"/>
                <w:szCs w:val="16"/>
              </w:rPr>
              <w:br/>
              <w:t>,</w:t>
            </w:r>
            <w:r w:rsidR="00A64EAE">
              <w:rPr>
                <w:rFonts w:ascii="Calibri" w:hAnsi="Calibri" w:cs="Calibri"/>
                <w:color w:val="000000"/>
                <w:sz w:val="16"/>
                <w:szCs w:val="16"/>
              </w:rPr>
              <w:t xml:space="preserve"> </w:t>
            </w:r>
            <w:r w:rsidRPr="003462F4">
              <w:rPr>
                <w:rFonts w:ascii="Calibri" w:hAnsi="Calibri" w:cs="Calibri"/>
                <w:color w:val="000000"/>
                <w:sz w:val="16"/>
                <w:szCs w:val="16"/>
              </w:rPr>
              <w:t>Down Syndrome,</w:t>
            </w:r>
            <w:r w:rsidRPr="003462F4">
              <w:rPr>
                <w:rFonts w:ascii="Calibri" w:hAnsi="Calibri" w:cs="Calibri"/>
                <w:color w:val="000000"/>
                <w:sz w:val="16"/>
                <w:szCs w:val="16"/>
              </w:rPr>
              <w:br/>
              <w:t>Fanconi anemia,</w:t>
            </w:r>
            <w:r w:rsidRPr="003462F4">
              <w:rPr>
                <w:rFonts w:ascii="Calibri" w:hAnsi="Calibri" w:cs="Calibri"/>
                <w:color w:val="000000"/>
                <w:sz w:val="16"/>
                <w:szCs w:val="16"/>
              </w:rPr>
              <w:br/>
            </w:r>
            <w:r w:rsidRPr="003462F4">
              <w:rPr>
                <w:rFonts w:ascii="Calibri" w:hAnsi="Calibri" w:cs="Calibri"/>
                <w:color w:val="FF0000"/>
                <w:sz w:val="16"/>
                <w:szCs w:val="16"/>
              </w:rPr>
              <w:t xml:space="preserve">Germline DDX41 variant </w:t>
            </w:r>
            <w:r w:rsidRPr="003462F4">
              <w:rPr>
                <w:rFonts w:ascii="Calibri" w:hAnsi="Calibri" w:cs="Calibri"/>
                <w:color w:val="FF0000"/>
                <w:sz w:val="16"/>
                <w:szCs w:val="16"/>
              </w:rPr>
              <w:br/>
              <w:t>Germline TP53 variant (Li-Fraumeni Syndrome)</w:t>
            </w:r>
            <w:r w:rsidRPr="003462F4">
              <w:rPr>
                <w:rFonts w:ascii="Calibri" w:hAnsi="Calibri" w:cs="Calibri"/>
                <w:color w:val="FF0000"/>
                <w:sz w:val="16"/>
                <w:szCs w:val="16"/>
              </w:rPr>
              <w:br/>
              <w:t>Germline RUNX1 variant (familial platelet disorder with associated myeloid malignancy, FPD-MM)</w:t>
            </w:r>
            <w:r w:rsidRPr="003462F4">
              <w:rPr>
                <w:rFonts w:ascii="Calibri" w:hAnsi="Calibri" w:cs="Calibri"/>
                <w:color w:val="FF0000"/>
                <w:sz w:val="16"/>
                <w:szCs w:val="16"/>
              </w:rPr>
              <w:br/>
              <w:t>Germline ANKRD26 variant (Thrombocytopenia 2)</w:t>
            </w:r>
            <w:r w:rsidRPr="003462F4">
              <w:rPr>
                <w:rFonts w:ascii="Calibri" w:hAnsi="Calibri" w:cs="Calibri"/>
                <w:color w:val="FF0000"/>
                <w:sz w:val="16"/>
                <w:szCs w:val="16"/>
              </w:rPr>
              <w:br/>
              <w:t>Germline ETV6 variant (Thrombocytopenia 5)</w:t>
            </w:r>
            <w:r w:rsidRPr="003462F4">
              <w:rPr>
                <w:rFonts w:ascii="Calibri" w:hAnsi="Calibri" w:cs="Calibri"/>
                <w:color w:val="FF0000"/>
                <w:sz w:val="16"/>
                <w:szCs w:val="16"/>
              </w:rPr>
              <w:br/>
              <w:t>Germline PAX5 mutation</w:t>
            </w:r>
            <w:r w:rsidRPr="003462F4">
              <w:rPr>
                <w:rFonts w:ascii="Calibri" w:hAnsi="Calibri" w:cs="Calibri"/>
                <w:color w:val="FF0000"/>
                <w:sz w:val="16"/>
                <w:szCs w:val="16"/>
              </w:rPr>
              <w:br/>
              <w:t xml:space="preserve">Germline IKZF1 mutation </w:t>
            </w:r>
            <w:r w:rsidRPr="003462F4">
              <w:rPr>
                <w:rFonts w:ascii="Calibri" w:hAnsi="Calibri" w:cs="Calibri"/>
                <w:color w:val="FF0000"/>
                <w:sz w:val="16"/>
                <w:szCs w:val="16"/>
              </w:rPr>
              <w:br/>
            </w:r>
            <w:r w:rsidRPr="003462F4">
              <w:rPr>
                <w:rFonts w:ascii="Calibri" w:hAnsi="Calibri" w:cs="Calibri"/>
                <w:color w:val="000000"/>
                <w:sz w:val="16"/>
                <w:szCs w:val="16"/>
              </w:rPr>
              <w:t>Other condition</w:t>
            </w:r>
          </w:p>
        </w:tc>
        <w:tc>
          <w:tcPr>
            <w:tcW w:w="1591" w:type="dxa"/>
          </w:tcPr>
          <w:p w:rsidR="003462F4" w:rsidRPr="003462F4" w:rsidP="003462F4" w14:paraId="7F578790" w14:textId="68D82719">
            <w:pPr>
              <w:rPr>
                <w:rFonts w:asciiTheme="minorHAnsi" w:hAnsiTheme="minorHAnsi" w:cstheme="minorHAnsi"/>
                <w:color w:val="000000"/>
                <w:sz w:val="16"/>
                <w:szCs w:val="16"/>
              </w:rPr>
            </w:pPr>
            <w:r w:rsidRPr="003462F4">
              <w:rPr>
                <w:rFonts w:ascii="Calibri" w:hAnsi="Calibri" w:cs="Calibri"/>
                <w:color w:val="000000"/>
                <w:sz w:val="16"/>
                <w:szCs w:val="16"/>
              </w:rPr>
              <w:t xml:space="preserve">Be consistent with </w:t>
            </w:r>
            <w:r w:rsidR="00A64EAE">
              <w:rPr>
                <w:rFonts w:ascii="Calibri" w:hAnsi="Calibri" w:cs="Calibri"/>
                <w:color w:val="000000"/>
                <w:sz w:val="16"/>
                <w:szCs w:val="16"/>
              </w:rPr>
              <w:t xml:space="preserve">the </w:t>
            </w:r>
            <w:r w:rsidRPr="003462F4">
              <w:rPr>
                <w:rFonts w:ascii="Calibri" w:hAnsi="Calibri" w:cs="Calibri"/>
                <w:color w:val="000000"/>
                <w:sz w:val="16"/>
                <w:szCs w:val="16"/>
              </w:rPr>
              <w:t xml:space="preserve">current clinical </w:t>
            </w:r>
            <w:r w:rsidRPr="003462F4" w:rsidR="00A64EAE">
              <w:rPr>
                <w:rFonts w:ascii="Calibri" w:hAnsi="Calibri" w:cs="Calibri"/>
                <w:color w:val="000000"/>
                <w:sz w:val="16"/>
                <w:szCs w:val="16"/>
              </w:rPr>
              <w:t>landscape and</w:t>
            </w:r>
            <w:r w:rsidR="00A64EAE">
              <w:rPr>
                <w:rFonts w:ascii="Calibri" w:hAnsi="Calibri" w:cs="Calibri"/>
                <w:color w:val="000000"/>
                <w:sz w:val="16"/>
                <w:szCs w:val="16"/>
              </w:rPr>
              <w:t xml:space="preserve"> </w:t>
            </w:r>
            <w:r w:rsidRPr="003462F4">
              <w:rPr>
                <w:rFonts w:ascii="Calibri" w:hAnsi="Calibri" w:cs="Calibri"/>
                <w:color w:val="000000"/>
                <w:sz w:val="16"/>
                <w:szCs w:val="16"/>
              </w:rPr>
              <w:t>improve transplant outcome data</w:t>
            </w:r>
            <w:r w:rsidR="00A64EAE">
              <w:rPr>
                <w:rFonts w:ascii="Calibri" w:hAnsi="Calibri" w:cs="Calibri"/>
                <w:color w:val="000000"/>
                <w:sz w:val="16"/>
                <w:szCs w:val="16"/>
              </w:rPr>
              <w:t>.</w:t>
            </w:r>
          </w:p>
        </w:tc>
      </w:tr>
      <w:tr w14:paraId="748C380E" w14:textId="77777777" w:rsidTr="009F244A">
        <w:tblPrEx>
          <w:tblW w:w="10800" w:type="dxa"/>
          <w:tblInd w:w="-725" w:type="dxa"/>
          <w:tblLook w:val="04A0"/>
        </w:tblPrEx>
        <w:trPr>
          <w:trHeight w:val="548"/>
        </w:trPr>
        <w:tc>
          <w:tcPr>
            <w:tcW w:w="1019" w:type="dxa"/>
            <w:noWrap/>
          </w:tcPr>
          <w:p w:rsidR="003462F4" w:rsidRPr="003462F4" w:rsidP="003462F4" w14:paraId="6B26670B" w14:textId="57FB19AC">
            <w:pPr>
              <w:rPr>
                <w:rFonts w:asciiTheme="minorHAnsi" w:hAnsiTheme="minorHAnsi" w:cstheme="minorHAnsi"/>
                <w:color w:val="000000"/>
                <w:sz w:val="16"/>
                <w:szCs w:val="16"/>
              </w:rPr>
            </w:pPr>
            <w:r w:rsidRPr="003462F4">
              <w:rPr>
                <w:rFonts w:ascii="Calibri" w:hAnsi="Calibri" w:cs="Calibri"/>
                <w:color w:val="000000"/>
                <w:sz w:val="16"/>
                <w:szCs w:val="16"/>
              </w:rPr>
              <w:t>PRE222</w:t>
            </w:r>
          </w:p>
        </w:tc>
        <w:tc>
          <w:tcPr>
            <w:tcW w:w="1440" w:type="dxa"/>
          </w:tcPr>
          <w:p w:rsidR="003462F4" w:rsidRPr="003462F4" w:rsidP="003462F4" w14:paraId="3B4C0822" w14:textId="5714CE6C">
            <w:pPr>
              <w:rPr>
                <w:rFonts w:asciiTheme="minorHAnsi" w:hAnsiTheme="minorHAnsi" w:cstheme="minorHAnsi"/>
                <w:color w:val="000000"/>
                <w:sz w:val="16"/>
                <w:szCs w:val="16"/>
              </w:rPr>
            </w:pPr>
            <w:r w:rsidRPr="003462F4">
              <w:rPr>
                <w:rFonts w:ascii="Calibri" w:hAnsi="Calibri" w:cs="Calibri"/>
                <w:color w:val="000000"/>
                <w:sz w:val="16"/>
                <w:szCs w:val="16"/>
              </w:rPr>
              <w:t>Disease Classification</w:t>
            </w:r>
          </w:p>
        </w:tc>
        <w:tc>
          <w:tcPr>
            <w:tcW w:w="1548" w:type="dxa"/>
          </w:tcPr>
          <w:p w:rsidR="003462F4" w:rsidRPr="003462F4" w:rsidP="003462F4" w14:paraId="6EE0D2FF" w14:textId="543FF780">
            <w:pPr>
              <w:rPr>
                <w:rFonts w:asciiTheme="minorHAnsi" w:hAnsiTheme="minorHAnsi" w:cstheme="minorHAnsi"/>
                <w:color w:val="000000"/>
                <w:sz w:val="16"/>
                <w:szCs w:val="16"/>
              </w:rPr>
            </w:pPr>
            <w:r w:rsidRPr="003462F4">
              <w:rPr>
                <w:rFonts w:ascii="Calibri" w:hAnsi="Calibri" w:cs="Calibri"/>
                <w:color w:val="000000"/>
                <w:sz w:val="16"/>
                <w:szCs w:val="16"/>
              </w:rPr>
              <w:t>Change/Clarification of Information Requested and Response Option</w:t>
            </w:r>
          </w:p>
        </w:tc>
        <w:tc>
          <w:tcPr>
            <w:tcW w:w="1422" w:type="dxa"/>
          </w:tcPr>
          <w:p w:rsidR="003462F4" w:rsidRPr="003462F4" w:rsidP="003462F4" w14:paraId="420B67E3" w14:textId="3506C36A">
            <w:pPr>
              <w:rPr>
                <w:rFonts w:asciiTheme="minorHAnsi" w:hAnsiTheme="minorHAnsi" w:cstheme="minorHAnsi"/>
                <w:color w:val="000000"/>
                <w:sz w:val="16"/>
                <w:szCs w:val="16"/>
              </w:rPr>
            </w:pPr>
            <w:r w:rsidRPr="003462F4">
              <w:rPr>
                <w:rFonts w:ascii="Calibri" w:hAnsi="Calibri" w:cs="Calibri"/>
                <w:color w:val="000000"/>
                <w:sz w:val="16"/>
                <w:szCs w:val="16"/>
              </w:rPr>
              <w:t>Specify condition</w:t>
            </w:r>
          </w:p>
        </w:tc>
        <w:tc>
          <w:tcPr>
            <w:tcW w:w="3780" w:type="dxa"/>
          </w:tcPr>
          <w:p w:rsidR="003462F4" w:rsidRPr="003462F4" w:rsidP="003462F4" w14:paraId="4A9D54FE" w14:textId="691D65D0">
            <w:pPr>
              <w:rPr>
                <w:rFonts w:asciiTheme="minorHAnsi" w:hAnsiTheme="minorHAnsi" w:cstheme="minorHAnsi"/>
                <w:color w:val="000000"/>
                <w:sz w:val="16"/>
                <w:szCs w:val="16"/>
              </w:rPr>
            </w:pPr>
            <w:r w:rsidRPr="003462F4">
              <w:rPr>
                <w:rFonts w:ascii="Calibri" w:hAnsi="Calibri" w:cs="Calibri"/>
                <w:color w:val="000000"/>
                <w:sz w:val="16"/>
                <w:szCs w:val="16"/>
              </w:rPr>
              <w:t xml:space="preserve">Aplastic anemia, </w:t>
            </w:r>
            <w:r w:rsidRPr="003462F4">
              <w:rPr>
                <w:rFonts w:ascii="Calibri" w:hAnsi="Calibri" w:cs="Calibri"/>
                <w:color w:val="FF0000"/>
                <w:sz w:val="16"/>
                <w:szCs w:val="16"/>
              </w:rPr>
              <w:t xml:space="preserve">Germline CEBPA variant (CEBPA-associated familial AML), </w:t>
            </w:r>
            <w:r w:rsidRPr="003462F4">
              <w:rPr>
                <w:rFonts w:ascii="Calibri" w:hAnsi="Calibri" w:cs="Calibri"/>
                <w:color w:val="FF0000"/>
                <w:sz w:val="16"/>
                <w:szCs w:val="16"/>
              </w:rPr>
              <w:br/>
            </w:r>
            <w:r w:rsidRPr="003462F4">
              <w:rPr>
                <w:rFonts w:ascii="Calibri" w:hAnsi="Calibri" w:cs="Calibri"/>
                <w:strike/>
                <w:color w:val="FF0000"/>
                <w:sz w:val="16"/>
                <w:szCs w:val="16"/>
              </w:rPr>
              <w:t>DDX41-associated familial MDS,</w:t>
            </w:r>
            <w:r w:rsidRPr="003462F4">
              <w:rPr>
                <w:rFonts w:ascii="Calibri" w:hAnsi="Calibri" w:cs="Calibri"/>
                <w:color w:val="FF0000"/>
                <w:sz w:val="16"/>
                <w:szCs w:val="16"/>
              </w:rPr>
              <w:t xml:space="preserve"> Germline DDX41 variant </w:t>
            </w:r>
            <w:r w:rsidRPr="003462F4">
              <w:rPr>
                <w:rFonts w:ascii="Calibri" w:hAnsi="Calibri" w:cs="Calibri"/>
                <w:color w:val="000000"/>
                <w:sz w:val="16"/>
                <w:szCs w:val="16"/>
              </w:rPr>
              <w:br/>
              <w:t>Fanconi anemia,</w:t>
            </w:r>
            <w:r w:rsidRPr="003462F4">
              <w:rPr>
                <w:rFonts w:ascii="Calibri" w:hAnsi="Calibri" w:cs="Calibri"/>
                <w:color w:val="000000"/>
                <w:sz w:val="16"/>
                <w:szCs w:val="16"/>
              </w:rPr>
              <w:br/>
            </w:r>
            <w:r w:rsidRPr="003462F4">
              <w:rPr>
                <w:rFonts w:ascii="Calibri" w:hAnsi="Calibri" w:cs="Calibri"/>
                <w:strike/>
                <w:color w:val="FF0000"/>
                <w:sz w:val="16"/>
                <w:szCs w:val="16"/>
              </w:rPr>
              <w:t>GATA2 deficiency (including Emberger syndrome, MonoMac syndrome, DCML deficiency)</w:t>
            </w:r>
            <w:r w:rsidRPr="003462F4">
              <w:rPr>
                <w:rFonts w:ascii="Calibri" w:hAnsi="Calibri" w:cs="Calibri"/>
                <w:color w:val="000000"/>
                <w:sz w:val="16"/>
                <w:szCs w:val="16"/>
              </w:rPr>
              <w:t>,</w:t>
            </w:r>
            <w:r w:rsidRPr="003462F4">
              <w:rPr>
                <w:rFonts w:ascii="Calibri" w:hAnsi="Calibri" w:cs="Calibri"/>
                <w:color w:val="FF0000"/>
                <w:sz w:val="16"/>
                <w:szCs w:val="16"/>
              </w:rPr>
              <w:t>Germline GATA2 variant (GATA2-deficiency)</w:t>
            </w:r>
            <w:r w:rsidRPr="003462F4">
              <w:rPr>
                <w:rFonts w:ascii="Calibri" w:hAnsi="Calibri" w:cs="Calibri"/>
                <w:color w:val="000000"/>
                <w:sz w:val="16"/>
                <w:szCs w:val="16"/>
              </w:rPr>
              <w:br/>
            </w:r>
            <w:r w:rsidRPr="003462F4">
              <w:rPr>
                <w:rFonts w:ascii="Calibri" w:hAnsi="Calibri" w:cs="Calibri"/>
                <w:strike/>
                <w:color w:val="FF0000"/>
                <w:sz w:val="16"/>
                <w:szCs w:val="16"/>
              </w:rPr>
              <w:t>Li-Fraumeni Syndrome,</w:t>
            </w:r>
            <w:r w:rsidRPr="003462F4">
              <w:rPr>
                <w:rFonts w:ascii="Calibri" w:hAnsi="Calibri" w:cs="Calibri"/>
                <w:color w:val="FF0000"/>
                <w:sz w:val="16"/>
                <w:szCs w:val="16"/>
              </w:rPr>
              <w:t>Germline TP53 variant (Li-Fraumeni Syndrome)</w:t>
            </w:r>
            <w:r w:rsidRPr="003462F4">
              <w:rPr>
                <w:rFonts w:ascii="Calibri" w:hAnsi="Calibri" w:cs="Calibri"/>
                <w:color w:val="000000"/>
                <w:sz w:val="16"/>
                <w:szCs w:val="16"/>
              </w:rPr>
              <w:br/>
              <w:t>Other condition,</w:t>
            </w:r>
            <w:r w:rsidRPr="003462F4">
              <w:rPr>
                <w:rFonts w:ascii="Calibri" w:hAnsi="Calibri" w:cs="Calibri"/>
                <w:color w:val="000000"/>
                <w:sz w:val="16"/>
                <w:szCs w:val="16"/>
              </w:rPr>
              <w:br/>
              <w:t>Paroxysmal nocturnal hemoglobinuria,</w:t>
            </w:r>
            <w:r w:rsidRPr="003462F4">
              <w:rPr>
                <w:rFonts w:ascii="Calibri" w:hAnsi="Calibri" w:cs="Calibri"/>
                <w:color w:val="000000"/>
                <w:sz w:val="16"/>
                <w:szCs w:val="16"/>
              </w:rPr>
              <w:br/>
              <w:t>Diamond-Blackfan Anemia,</w:t>
            </w:r>
            <w:r w:rsidRPr="003462F4">
              <w:rPr>
                <w:rFonts w:ascii="Calibri" w:hAnsi="Calibri" w:cs="Calibri"/>
                <w:color w:val="000000"/>
                <w:sz w:val="16"/>
                <w:szCs w:val="16"/>
              </w:rPr>
              <w:br/>
            </w:r>
            <w:r w:rsidRPr="003462F4">
              <w:rPr>
                <w:rFonts w:ascii="Calibri" w:hAnsi="Calibri" w:cs="Calibri"/>
                <w:strike/>
                <w:color w:val="FF0000"/>
                <w:sz w:val="16"/>
                <w:szCs w:val="16"/>
              </w:rPr>
              <w:t>RUNX1 deficiency (previously “familial platelet disorder with propensity to myeloid malignancies”)</w:t>
            </w:r>
            <w:r w:rsidRPr="003462F4">
              <w:rPr>
                <w:rFonts w:ascii="Calibri" w:hAnsi="Calibri" w:cs="Calibri"/>
                <w:color w:val="FF0000"/>
                <w:sz w:val="16"/>
                <w:szCs w:val="16"/>
              </w:rPr>
              <w:t xml:space="preserve">,Germline RUNX1 variant </w:t>
            </w:r>
            <w:r w:rsidRPr="003462F4">
              <w:rPr>
                <w:rFonts w:ascii="Calibri" w:hAnsi="Calibri" w:cs="Calibri"/>
                <w:color w:val="FF0000"/>
                <w:sz w:val="16"/>
                <w:szCs w:val="16"/>
              </w:rPr>
              <w:br/>
            </w:r>
            <w:r w:rsidRPr="003462F4">
              <w:rPr>
                <w:rFonts w:ascii="Calibri" w:hAnsi="Calibri" w:cs="Calibri"/>
                <w:strike/>
                <w:color w:val="FF0000"/>
                <w:sz w:val="16"/>
                <w:szCs w:val="16"/>
              </w:rPr>
              <w:t>SAMD9- or SAMD9L-associated familial MDS,</w:t>
            </w:r>
            <w:r w:rsidRPr="003462F4">
              <w:rPr>
                <w:rFonts w:ascii="Calibri" w:hAnsi="Calibri" w:cs="Calibri"/>
                <w:strike/>
                <w:color w:val="FF0000"/>
                <w:sz w:val="16"/>
                <w:szCs w:val="16"/>
              </w:rPr>
              <w:br/>
            </w:r>
            <w:r w:rsidRPr="003462F4">
              <w:rPr>
                <w:rFonts w:ascii="Calibri" w:hAnsi="Calibri" w:cs="Calibri"/>
                <w:color w:val="000000"/>
                <w:sz w:val="16"/>
                <w:szCs w:val="16"/>
              </w:rPr>
              <w:t>Shwachman-Diamond Syndrome,</w:t>
            </w:r>
            <w:r w:rsidRPr="003462F4">
              <w:rPr>
                <w:rFonts w:ascii="Calibri" w:hAnsi="Calibri" w:cs="Calibri"/>
                <w:color w:val="000000"/>
                <w:sz w:val="16"/>
                <w:szCs w:val="16"/>
              </w:rPr>
              <w:br/>
              <w:t xml:space="preserve">Telomere biology disorder (including dyskeratosis congenita) </w:t>
            </w:r>
            <w:r w:rsidRPr="003462F4">
              <w:rPr>
                <w:rFonts w:ascii="Calibri" w:hAnsi="Calibri" w:cs="Calibri"/>
                <w:color w:val="000000"/>
                <w:sz w:val="16"/>
                <w:szCs w:val="16"/>
              </w:rPr>
              <w:br/>
            </w:r>
            <w:r w:rsidRPr="003462F4">
              <w:rPr>
                <w:rFonts w:ascii="Calibri" w:hAnsi="Calibri" w:cs="Calibri"/>
                <w:color w:val="FF0000"/>
                <w:sz w:val="16"/>
                <w:szCs w:val="16"/>
              </w:rPr>
              <w:t>Germline ANKRD26 variant (Thrombocytopenia 2)</w:t>
            </w:r>
            <w:r w:rsidRPr="003462F4">
              <w:rPr>
                <w:rFonts w:ascii="Calibri" w:hAnsi="Calibri" w:cs="Calibri"/>
                <w:color w:val="FF0000"/>
                <w:sz w:val="16"/>
                <w:szCs w:val="16"/>
              </w:rPr>
              <w:br/>
              <w:t>Germline ETV6 variant (Thrombocytopenia 5)</w:t>
            </w:r>
            <w:r w:rsidRPr="003462F4">
              <w:rPr>
                <w:rFonts w:ascii="Calibri" w:hAnsi="Calibri" w:cs="Calibri"/>
                <w:color w:val="000000"/>
                <w:sz w:val="16"/>
                <w:szCs w:val="16"/>
              </w:rPr>
              <w:br/>
            </w:r>
            <w:r w:rsidRPr="003462F4">
              <w:rPr>
                <w:rFonts w:ascii="Calibri" w:hAnsi="Calibri" w:cs="Calibri"/>
                <w:color w:val="FF0000"/>
                <w:sz w:val="16"/>
                <w:szCs w:val="16"/>
              </w:rPr>
              <w:t>SAMD9 variant (MIRAGE Syndrome)</w:t>
            </w:r>
            <w:r w:rsidRPr="003462F4">
              <w:rPr>
                <w:rFonts w:ascii="Calibri" w:hAnsi="Calibri" w:cs="Calibri"/>
                <w:color w:val="FF0000"/>
                <w:sz w:val="16"/>
                <w:szCs w:val="16"/>
              </w:rPr>
              <w:br/>
              <w:t>SAMD9L variant (SAMD9L-related Ataxia Pancytopenia Syndrome)</w:t>
            </w:r>
            <w:r w:rsidRPr="003462F4">
              <w:rPr>
                <w:rFonts w:ascii="Calibri" w:hAnsi="Calibri" w:cs="Calibri"/>
                <w:color w:val="FF0000"/>
                <w:sz w:val="16"/>
                <w:szCs w:val="16"/>
              </w:rPr>
              <w:br/>
              <w:t>Severe congenital neutropenia (SCN)</w:t>
            </w:r>
          </w:p>
        </w:tc>
        <w:tc>
          <w:tcPr>
            <w:tcW w:w="1591" w:type="dxa"/>
          </w:tcPr>
          <w:p w:rsidR="003462F4" w:rsidRPr="003462F4" w:rsidP="003462F4" w14:paraId="10D272D6" w14:textId="27D7D99F">
            <w:pPr>
              <w:rPr>
                <w:rFonts w:asciiTheme="minorHAnsi" w:hAnsiTheme="minorHAnsi" w:cstheme="minorHAnsi"/>
                <w:color w:val="000000"/>
                <w:sz w:val="16"/>
                <w:szCs w:val="16"/>
              </w:rPr>
            </w:pPr>
            <w:r w:rsidRPr="003462F4">
              <w:rPr>
                <w:rFonts w:ascii="Calibri" w:hAnsi="Calibri" w:cs="Calibri"/>
                <w:color w:val="000000"/>
                <w:sz w:val="16"/>
                <w:szCs w:val="16"/>
              </w:rPr>
              <w:t xml:space="preserve">Be consistent with </w:t>
            </w:r>
            <w:r w:rsidR="00A64EAE">
              <w:rPr>
                <w:rFonts w:ascii="Calibri" w:hAnsi="Calibri" w:cs="Calibri"/>
                <w:color w:val="000000"/>
                <w:sz w:val="16"/>
                <w:szCs w:val="16"/>
              </w:rPr>
              <w:t xml:space="preserve">the </w:t>
            </w:r>
            <w:r w:rsidRPr="003462F4">
              <w:rPr>
                <w:rFonts w:ascii="Calibri" w:hAnsi="Calibri" w:cs="Calibri"/>
                <w:color w:val="000000"/>
                <w:sz w:val="16"/>
                <w:szCs w:val="16"/>
              </w:rPr>
              <w:t xml:space="preserve">current clinical </w:t>
            </w:r>
            <w:r w:rsidRPr="003462F4" w:rsidR="00A64EAE">
              <w:rPr>
                <w:rFonts w:ascii="Calibri" w:hAnsi="Calibri" w:cs="Calibri"/>
                <w:color w:val="000000"/>
                <w:sz w:val="16"/>
                <w:szCs w:val="16"/>
              </w:rPr>
              <w:t>landscape and</w:t>
            </w:r>
            <w:r w:rsidR="00A64EAE">
              <w:rPr>
                <w:rFonts w:ascii="Calibri" w:hAnsi="Calibri" w:cs="Calibri"/>
                <w:color w:val="000000"/>
                <w:sz w:val="16"/>
                <w:szCs w:val="16"/>
              </w:rPr>
              <w:t xml:space="preserve"> </w:t>
            </w:r>
            <w:r w:rsidRPr="003462F4">
              <w:rPr>
                <w:rFonts w:ascii="Calibri" w:hAnsi="Calibri" w:cs="Calibri"/>
                <w:color w:val="000000"/>
                <w:sz w:val="16"/>
                <w:szCs w:val="16"/>
              </w:rPr>
              <w:t>improve transplant outcome data</w:t>
            </w:r>
            <w:r w:rsidR="00A64EAE">
              <w:rPr>
                <w:rFonts w:ascii="Calibri" w:hAnsi="Calibri" w:cs="Calibri"/>
                <w:color w:val="000000"/>
                <w:sz w:val="16"/>
                <w:szCs w:val="16"/>
              </w:rPr>
              <w:t>.</w:t>
            </w:r>
          </w:p>
        </w:tc>
      </w:tr>
      <w:tr w14:paraId="5FDA6A12" w14:textId="77777777" w:rsidTr="009F244A">
        <w:tblPrEx>
          <w:tblW w:w="10800" w:type="dxa"/>
          <w:tblInd w:w="-725" w:type="dxa"/>
          <w:tblLook w:val="04A0"/>
        </w:tblPrEx>
        <w:trPr>
          <w:trHeight w:val="548"/>
        </w:trPr>
        <w:tc>
          <w:tcPr>
            <w:tcW w:w="1019" w:type="dxa"/>
            <w:noWrap/>
          </w:tcPr>
          <w:p w:rsidR="003462F4" w:rsidRPr="003462F4" w:rsidP="003462F4" w14:paraId="424F79C1" w14:textId="3FEC5481">
            <w:pPr>
              <w:rPr>
                <w:rFonts w:asciiTheme="minorHAnsi" w:hAnsiTheme="minorHAnsi" w:cstheme="minorHAnsi"/>
                <w:color w:val="000000"/>
                <w:sz w:val="16"/>
                <w:szCs w:val="16"/>
              </w:rPr>
            </w:pPr>
            <w:r w:rsidRPr="003462F4">
              <w:rPr>
                <w:rFonts w:ascii="Calibri" w:hAnsi="Calibri" w:cs="Calibri"/>
                <w:sz w:val="16"/>
                <w:szCs w:val="16"/>
              </w:rPr>
              <w:t>PRE365</w:t>
            </w:r>
          </w:p>
        </w:tc>
        <w:tc>
          <w:tcPr>
            <w:tcW w:w="1440" w:type="dxa"/>
          </w:tcPr>
          <w:p w:rsidR="003462F4" w:rsidRPr="003462F4" w:rsidP="003462F4" w14:paraId="7DFEC6F0" w14:textId="6872A118">
            <w:pPr>
              <w:rPr>
                <w:rFonts w:asciiTheme="minorHAnsi" w:hAnsiTheme="minorHAnsi" w:cstheme="minorHAnsi"/>
                <w:color w:val="000000"/>
                <w:sz w:val="16"/>
                <w:szCs w:val="16"/>
              </w:rPr>
            </w:pPr>
            <w:r w:rsidRPr="003462F4">
              <w:rPr>
                <w:rFonts w:ascii="Calibri" w:hAnsi="Calibri" w:cs="Calibri"/>
                <w:sz w:val="16"/>
                <w:szCs w:val="16"/>
              </w:rPr>
              <w:t>Disease Classification</w:t>
            </w:r>
          </w:p>
        </w:tc>
        <w:tc>
          <w:tcPr>
            <w:tcW w:w="1548" w:type="dxa"/>
          </w:tcPr>
          <w:p w:rsidR="003462F4" w:rsidRPr="003462F4" w:rsidP="003462F4" w14:paraId="3222DF9F" w14:textId="109AF375">
            <w:pPr>
              <w:rPr>
                <w:rFonts w:asciiTheme="minorHAnsi" w:hAnsiTheme="minorHAnsi" w:cstheme="minorHAnsi"/>
                <w:color w:val="000000"/>
                <w:sz w:val="16"/>
                <w:szCs w:val="16"/>
              </w:rPr>
            </w:pPr>
            <w:r w:rsidRPr="003462F4">
              <w:rPr>
                <w:rFonts w:ascii="Calibri" w:hAnsi="Calibri" w:cs="Calibri"/>
                <w:sz w:val="16"/>
                <w:szCs w:val="16"/>
              </w:rPr>
              <w:t>Change/Clarification of Information Requested and Response Option</w:t>
            </w:r>
          </w:p>
        </w:tc>
        <w:tc>
          <w:tcPr>
            <w:tcW w:w="1422" w:type="dxa"/>
          </w:tcPr>
          <w:p w:rsidR="003462F4" w:rsidRPr="003462F4" w:rsidP="003462F4" w14:paraId="7EE9A91B" w14:textId="237A8BE6">
            <w:pPr>
              <w:rPr>
                <w:rFonts w:asciiTheme="minorHAnsi" w:hAnsiTheme="minorHAnsi" w:cstheme="minorHAnsi"/>
                <w:color w:val="000000"/>
                <w:sz w:val="16"/>
                <w:szCs w:val="16"/>
              </w:rPr>
            </w:pPr>
            <w:r w:rsidRPr="003462F4">
              <w:rPr>
                <w:rFonts w:ascii="Calibri" w:hAnsi="Calibri" w:cs="Calibri"/>
                <w:sz w:val="16"/>
                <w:szCs w:val="16"/>
              </w:rPr>
              <w:t>Specify the lymphoma histology</w:t>
            </w:r>
          </w:p>
        </w:tc>
        <w:tc>
          <w:tcPr>
            <w:tcW w:w="3780" w:type="dxa"/>
          </w:tcPr>
          <w:p w:rsidR="003462F4" w:rsidRPr="003462F4" w:rsidP="003462F4" w14:paraId="6509628C" w14:textId="5CE482E9">
            <w:pPr>
              <w:rPr>
                <w:rFonts w:asciiTheme="minorHAnsi" w:hAnsiTheme="minorHAnsi" w:cstheme="minorHAnsi"/>
                <w:color w:val="000000"/>
                <w:sz w:val="16"/>
                <w:szCs w:val="16"/>
              </w:rPr>
            </w:pPr>
            <w:r w:rsidRPr="003462F4">
              <w:rPr>
                <w:rFonts w:ascii="Calibri" w:hAnsi="Calibri" w:cs="Calibri"/>
                <w:b/>
                <w:bCs/>
                <w:sz w:val="16"/>
                <w:szCs w:val="16"/>
              </w:rPr>
              <w:t>Hodgkin Lymphoma</w:t>
            </w:r>
            <w:r w:rsidRPr="003462F4">
              <w:rPr>
                <w:rFonts w:ascii="Calibri" w:hAnsi="Calibri" w:cs="Calibri"/>
                <w:sz w:val="16"/>
                <w:szCs w:val="16"/>
              </w:rPr>
              <w:br/>
              <w:t xml:space="preserve">Classic Hodgkin lymphoma (150), Lymphocyte depleted (154), Lymphocyte-rich (151), Mixed cellularity (153), Nodular lymphocyte predominant Hodgkin lymphoma (155), Nodular sclerosis (152)  </w:t>
            </w:r>
            <w:r w:rsidRPr="003462F4">
              <w:rPr>
                <w:rFonts w:ascii="Calibri" w:hAnsi="Calibri" w:cs="Calibri"/>
                <w:sz w:val="16"/>
                <w:szCs w:val="16"/>
              </w:rPr>
              <w:br/>
            </w:r>
            <w:r w:rsidRPr="003462F4">
              <w:rPr>
                <w:rFonts w:ascii="Calibri" w:hAnsi="Calibri" w:cs="Calibri"/>
                <w:b/>
                <w:bCs/>
                <w:sz w:val="16"/>
                <w:szCs w:val="16"/>
              </w:rPr>
              <w:t>Burkitt lymphoma</w:t>
            </w:r>
            <w:r w:rsidRPr="003462F4">
              <w:rPr>
                <w:rFonts w:ascii="Calibri" w:hAnsi="Calibri" w:cs="Calibri"/>
                <w:sz w:val="16"/>
                <w:szCs w:val="16"/>
              </w:rPr>
              <w:br/>
              <w:t xml:space="preserve">Burkitt lymphoma (111)   </w:t>
            </w:r>
            <w:r w:rsidRPr="003462F4">
              <w:rPr>
                <w:rFonts w:ascii="Calibri" w:hAnsi="Calibri" w:cs="Calibri"/>
                <w:sz w:val="16"/>
                <w:szCs w:val="16"/>
              </w:rPr>
              <w:br/>
            </w:r>
            <w:r w:rsidRPr="003462F4">
              <w:rPr>
                <w:rFonts w:ascii="Calibri" w:hAnsi="Calibri" w:cs="Calibri"/>
                <w:b/>
                <w:bCs/>
                <w:sz w:val="16"/>
                <w:szCs w:val="16"/>
              </w:rPr>
              <w:t xml:space="preserve">Large B-cell lymphomas    </w:t>
            </w:r>
            <w:r w:rsidRPr="003462F4">
              <w:rPr>
                <w:rFonts w:ascii="Calibri" w:hAnsi="Calibri" w:cs="Calibri"/>
                <w:b/>
                <w:bCs/>
                <w:sz w:val="16"/>
                <w:szCs w:val="16"/>
              </w:rPr>
              <w:br/>
            </w:r>
            <w:r w:rsidRPr="003462F4">
              <w:rPr>
                <w:rFonts w:ascii="Calibri" w:hAnsi="Calibri" w:cs="Calibri"/>
                <w:sz w:val="16"/>
                <w:szCs w:val="16"/>
              </w:rPr>
              <w:t>Diffuse large B-cell lymphoma, NOS  (107), Diffuse, large B-cell lymphoma, Germinal center B-cell subtype (1820), Diffuse large B-cell lymphoma, Activated B-cell subtype (1821), T-cell /</w:t>
            </w:r>
            <w:r w:rsidRPr="003462F4">
              <w:rPr>
                <w:rFonts w:ascii="Calibri" w:hAnsi="Calibri" w:cs="Calibri"/>
                <w:color w:val="FF0000"/>
                <w:sz w:val="16"/>
                <w:szCs w:val="16"/>
              </w:rPr>
              <w:t xml:space="preserve"> </w:t>
            </w:r>
            <w:r w:rsidRPr="003462F4">
              <w:rPr>
                <w:rFonts w:ascii="Calibri" w:hAnsi="Calibri" w:cs="Calibri"/>
                <w:strike/>
                <w:color w:val="FF0000"/>
                <w:sz w:val="16"/>
                <w:szCs w:val="16"/>
              </w:rPr>
              <w:t>histiocytic-rich</w:t>
            </w:r>
            <w:r w:rsidRPr="003462F4">
              <w:rPr>
                <w:rFonts w:ascii="Calibri" w:hAnsi="Calibri" w:cs="Calibri"/>
                <w:color w:val="FF0000"/>
                <w:sz w:val="16"/>
                <w:szCs w:val="16"/>
              </w:rPr>
              <w:t xml:space="preserve"> histiocyte-rich</w:t>
            </w:r>
            <w:r w:rsidRPr="003462F4">
              <w:rPr>
                <w:rFonts w:ascii="Calibri" w:hAnsi="Calibri" w:cs="Calibri"/>
                <w:sz w:val="16"/>
                <w:szCs w:val="16"/>
              </w:rPr>
              <w:t xml:space="preserve"> large B-cell lymphoma (120), Diffuse large B-cell lymphoma/ high grade B-cell lymphoma with MYC and BCL2 rearrangements (1831), Diffuse large B-cell lymphoma/ high grade B-cell lymphoma with MYC and BCL6 rearrangements, Diffuse large B-cell lymphoma/ high grade B-cell lymphoma with MYC, BCL2, and BCL6 </w:t>
            </w:r>
            <w:r w:rsidRPr="003462F4">
              <w:rPr>
                <w:rFonts w:ascii="Calibri" w:hAnsi="Calibri" w:cs="Calibri"/>
                <w:sz w:val="16"/>
                <w:szCs w:val="16"/>
              </w:rPr>
              <w:t>rearrangements, ALK-positive large B-cell lymphoma (1833, Large B-cell lymphoma with IRF4 rearrangement (1832), High-grade B-cell lymphoma with 11q aberrations (1834), Lymphomatoid granulomatosis (1835), EBV-positive diffuse large B-cell lymphoma  (1823), Diffuse, large B-cell lymphoma associated with chronic inflammation (1825), Fibrin-associated large B-cell lymphoma (1839), Fluid overload-associated large B-cell lymphoma (1840), Plasmablastic lymphoma (1836), Primary cutaneous diffuse, large B-cell lymphoma, leg type (1822), Intravascular large B-cell lymphoma (136), Primary mediastinal large B-cell lymphoma (125), Mediastinal grey zone lymphoma (149), High-grade B-cell lymphoma, NOS (1830)</w:t>
            </w:r>
            <w:r w:rsidRPr="003462F4">
              <w:rPr>
                <w:rFonts w:ascii="Calibri" w:hAnsi="Calibri" w:cs="Calibri"/>
                <w:sz w:val="16"/>
                <w:szCs w:val="16"/>
              </w:rPr>
              <w:br/>
            </w:r>
            <w:r w:rsidRPr="003462F4">
              <w:rPr>
                <w:rFonts w:ascii="Calibri" w:hAnsi="Calibri" w:cs="Calibri"/>
                <w:b/>
                <w:bCs/>
                <w:sz w:val="16"/>
                <w:szCs w:val="16"/>
              </w:rPr>
              <w:t xml:space="preserve">Primary large B-cell lymphoma of immune-privileged sites </w:t>
            </w:r>
            <w:r w:rsidRPr="003462F4">
              <w:rPr>
                <w:rFonts w:ascii="Calibri" w:hAnsi="Calibri" w:cs="Calibri"/>
                <w:sz w:val="16"/>
                <w:szCs w:val="16"/>
              </w:rPr>
              <w:br/>
              <w:t>Primary large B-cell lymphoma of the CNS (118), Primary large B-cell lymphoma of the vitreoretina (1882), Primary large B-cell lymphoma of the testis (1881)</w:t>
            </w:r>
            <w:r w:rsidRPr="003462F4">
              <w:rPr>
                <w:rFonts w:ascii="Calibri" w:hAnsi="Calibri" w:cs="Calibri"/>
                <w:sz w:val="16"/>
                <w:szCs w:val="16"/>
              </w:rPr>
              <w:br/>
            </w:r>
            <w:r w:rsidRPr="003462F4">
              <w:rPr>
                <w:rFonts w:ascii="Calibri" w:hAnsi="Calibri" w:cs="Calibri"/>
                <w:b/>
                <w:bCs/>
                <w:sz w:val="16"/>
                <w:szCs w:val="16"/>
              </w:rPr>
              <w:t>KSHV/HHV8-associated B-cell lymphoid proliferations and lymphomas</w:t>
            </w:r>
            <w:r w:rsidRPr="003462F4">
              <w:rPr>
                <w:rFonts w:ascii="Calibri" w:hAnsi="Calibri" w:cs="Calibri"/>
                <w:sz w:val="16"/>
                <w:szCs w:val="16"/>
              </w:rPr>
              <w:br/>
              <w:t>Primary effusion lymphoma (138), KSHV/HHV8-positive diffuse large B-cell lymphoma (1826)</w:t>
            </w:r>
            <w:r w:rsidRPr="003462F4">
              <w:rPr>
                <w:rFonts w:ascii="Calibri" w:hAnsi="Calibri" w:cs="Calibri"/>
                <w:sz w:val="16"/>
                <w:szCs w:val="16"/>
              </w:rPr>
              <w:br/>
            </w:r>
            <w:r w:rsidRPr="003462F4">
              <w:rPr>
                <w:rFonts w:ascii="Calibri" w:hAnsi="Calibri" w:cs="Calibri"/>
                <w:b/>
                <w:bCs/>
                <w:sz w:val="16"/>
                <w:szCs w:val="16"/>
              </w:rPr>
              <w:t>Lymphoplasmacytic lymphoma</w:t>
            </w:r>
            <w:r w:rsidRPr="003462F4">
              <w:rPr>
                <w:rFonts w:ascii="Calibri" w:hAnsi="Calibri" w:cs="Calibri"/>
                <w:sz w:val="16"/>
                <w:szCs w:val="16"/>
              </w:rPr>
              <w:br/>
              <w:t>Lymphoplasmacytic lymphoma (173), IgM-LPL/Waldenstro</w:t>
            </w:r>
            <w:r w:rsidRPr="00654610">
              <w:rPr>
                <w:rFonts w:ascii="Calibri" w:hAnsi="Calibri" w:cs="Calibri"/>
                <w:strike/>
                <w:color w:val="FF0000"/>
                <w:sz w:val="16"/>
                <w:szCs w:val="16"/>
              </w:rPr>
              <w:t>n</w:t>
            </w:r>
            <w:r w:rsidR="00654610">
              <w:rPr>
                <w:rFonts w:ascii="Calibri" w:hAnsi="Calibri" w:cs="Calibri"/>
                <w:sz w:val="16"/>
                <w:szCs w:val="16"/>
              </w:rPr>
              <w:t>m</w:t>
            </w:r>
            <w:r w:rsidRPr="003462F4">
              <w:rPr>
                <w:rFonts w:ascii="Calibri" w:hAnsi="Calibri" w:cs="Calibri"/>
                <w:sz w:val="16"/>
                <w:szCs w:val="16"/>
              </w:rPr>
              <w:t xml:space="preserve"> macroglobulinemia (1883), Non-IgM-LPL/Waldenstro</w:t>
            </w:r>
            <w:r w:rsidRPr="00671DE6">
              <w:rPr>
                <w:rFonts w:ascii="Calibri" w:hAnsi="Calibri" w:cs="Calibri"/>
                <w:strike/>
                <w:color w:val="FF0000"/>
                <w:sz w:val="16"/>
                <w:szCs w:val="16"/>
              </w:rPr>
              <w:t>n</w:t>
            </w:r>
            <w:r w:rsidR="00654610">
              <w:rPr>
                <w:rFonts w:ascii="Calibri" w:hAnsi="Calibri" w:cs="Calibri"/>
                <w:sz w:val="16"/>
                <w:szCs w:val="16"/>
              </w:rPr>
              <w:t>m</w:t>
            </w:r>
            <w:r w:rsidRPr="003462F4">
              <w:rPr>
                <w:rFonts w:ascii="Calibri" w:hAnsi="Calibri" w:cs="Calibri"/>
                <w:sz w:val="16"/>
                <w:szCs w:val="16"/>
              </w:rPr>
              <w:t xml:space="preserve"> macroglobulinemia (1884)</w:t>
            </w:r>
            <w:r w:rsidRPr="003462F4">
              <w:rPr>
                <w:rFonts w:ascii="Calibri" w:hAnsi="Calibri" w:cs="Calibri"/>
                <w:sz w:val="16"/>
                <w:szCs w:val="16"/>
              </w:rPr>
              <w:br/>
            </w:r>
            <w:r w:rsidRPr="003462F4">
              <w:rPr>
                <w:rFonts w:ascii="Calibri" w:hAnsi="Calibri" w:cs="Calibri"/>
                <w:b/>
                <w:bCs/>
                <w:sz w:val="16"/>
                <w:szCs w:val="16"/>
              </w:rPr>
              <w:t>Marginal zone lymphoma</w:t>
            </w:r>
            <w:r w:rsidRPr="003462F4">
              <w:rPr>
                <w:rFonts w:ascii="Calibri" w:hAnsi="Calibri" w:cs="Calibri"/>
                <w:sz w:val="16"/>
                <w:szCs w:val="16"/>
              </w:rPr>
              <w:br/>
              <w:t>Extranodal marginal zone B-cell lymphoma of mucosa-associated lymphoid tissue (122), Primary cutaneous marginal zone lymphoma (1813), Nodal marginal zone lymphoma (123), Pediatric marginal zone lymphoma (1813)</w:t>
            </w:r>
            <w:r w:rsidRPr="003462F4">
              <w:rPr>
                <w:rFonts w:ascii="Calibri" w:hAnsi="Calibri" w:cs="Calibri"/>
                <w:sz w:val="16"/>
                <w:szCs w:val="16"/>
              </w:rPr>
              <w:br/>
            </w:r>
            <w:r w:rsidRPr="003462F4">
              <w:rPr>
                <w:rFonts w:ascii="Calibri" w:hAnsi="Calibri" w:cs="Calibri"/>
                <w:b/>
                <w:bCs/>
                <w:sz w:val="16"/>
                <w:szCs w:val="16"/>
              </w:rPr>
              <w:t>Splenic B-cell lymphomas</w:t>
            </w:r>
            <w:r w:rsidRPr="003462F4">
              <w:rPr>
                <w:rFonts w:ascii="Calibri" w:hAnsi="Calibri" w:cs="Calibri"/>
                <w:sz w:val="16"/>
                <w:szCs w:val="16"/>
              </w:rPr>
              <w:br/>
              <w:t>Splenic B-cell lymphoma/leukemia, with prominent nucleoli (1811), Splenic diffuse red pulp small B-cell lymphoma (1812), Splenic marginal zone lymphoma (124)</w:t>
            </w:r>
            <w:r w:rsidRPr="003462F4">
              <w:rPr>
                <w:rFonts w:ascii="Calibri" w:hAnsi="Calibri" w:cs="Calibri"/>
                <w:sz w:val="16"/>
                <w:szCs w:val="16"/>
              </w:rPr>
              <w:br/>
            </w:r>
            <w:r w:rsidRPr="003462F4">
              <w:rPr>
                <w:rFonts w:ascii="Calibri" w:hAnsi="Calibri" w:cs="Calibri"/>
                <w:b/>
                <w:bCs/>
                <w:sz w:val="16"/>
                <w:szCs w:val="16"/>
              </w:rPr>
              <w:t>Follicular lymphoma</w:t>
            </w:r>
            <w:r w:rsidRPr="003462F4">
              <w:rPr>
                <w:rFonts w:ascii="Calibri" w:hAnsi="Calibri" w:cs="Calibri"/>
                <w:b/>
                <w:bCs/>
                <w:sz w:val="16"/>
                <w:szCs w:val="16"/>
              </w:rPr>
              <w:br/>
            </w:r>
            <w:r w:rsidRPr="003462F4">
              <w:rPr>
                <w:rFonts w:ascii="Calibri" w:hAnsi="Calibri" w:cs="Calibri"/>
                <w:sz w:val="16"/>
                <w:szCs w:val="16"/>
              </w:rPr>
              <w:t>Duodenal-type follicular lymphoma (1815), Follicular, mixed, small cleaved and large cell (Grade II follicle center lymphoma) (103), Follicular, predominantly large cell (Grade IIIA follicle center lymphoma) (162),Follicular, predominantly large cell (Grade IIIB follicle center lymphoma) (163), Follicular, predominantly large cell (Grade IIIA vs IIIB not specified) (1814), Follicular, predominantly small cleaved cell (Grade I follicle center lymphoma) (102), Follicular (grade unknown) (164), Pediatric-type follicular lymphoma (1816)</w:t>
            </w:r>
            <w:r w:rsidRPr="003462F4">
              <w:rPr>
                <w:rFonts w:ascii="Calibri" w:hAnsi="Calibri" w:cs="Calibri"/>
                <w:sz w:val="16"/>
                <w:szCs w:val="16"/>
              </w:rPr>
              <w:br/>
            </w:r>
            <w:r w:rsidRPr="003462F4">
              <w:rPr>
                <w:rFonts w:ascii="Calibri" w:hAnsi="Calibri" w:cs="Calibri"/>
                <w:b/>
                <w:bCs/>
                <w:sz w:val="16"/>
                <w:szCs w:val="16"/>
              </w:rPr>
              <w:t>Cutaneous follicle center lymphoma</w:t>
            </w:r>
            <w:r w:rsidRPr="003462F4">
              <w:rPr>
                <w:rFonts w:ascii="Calibri" w:hAnsi="Calibri" w:cs="Calibri"/>
                <w:sz w:val="16"/>
                <w:szCs w:val="16"/>
              </w:rPr>
              <w:br/>
              <w:t>Primary cutaneous follicle center lymphoma (1817)</w:t>
            </w:r>
            <w:r w:rsidRPr="003462F4">
              <w:rPr>
                <w:rFonts w:ascii="Calibri" w:hAnsi="Calibri" w:cs="Calibri"/>
                <w:sz w:val="16"/>
                <w:szCs w:val="16"/>
              </w:rPr>
              <w:br/>
            </w:r>
            <w:r w:rsidRPr="003462F4">
              <w:rPr>
                <w:rFonts w:ascii="Calibri" w:hAnsi="Calibri" w:cs="Calibri"/>
                <w:b/>
                <w:bCs/>
                <w:sz w:val="16"/>
                <w:szCs w:val="16"/>
              </w:rPr>
              <w:t xml:space="preserve">Mantle cell lymphoma </w:t>
            </w:r>
            <w:r w:rsidRPr="003462F4">
              <w:rPr>
                <w:rFonts w:ascii="Calibri" w:hAnsi="Calibri" w:cs="Calibri"/>
                <w:sz w:val="16"/>
                <w:szCs w:val="16"/>
              </w:rPr>
              <w:br/>
              <w:t>Mantle cell lymphoma (115), Leukemic non-nodal mantle cell lymphoma (1886)</w:t>
            </w:r>
            <w:r w:rsidRPr="003462F4">
              <w:rPr>
                <w:rFonts w:ascii="Calibri" w:hAnsi="Calibri" w:cs="Calibri"/>
                <w:sz w:val="16"/>
                <w:szCs w:val="16"/>
              </w:rPr>
              <w:br/>
            </w:r>
            <w:r w:rsidRPr="003462F4">
              <w:rPr>
                <w:rFonts w:ascii="Calibri" w:hAnsi="Calibri" w:cs="Calibri"/>
                <w:b/>
                <w:bCs/>
                <w:sz w:val="16"/>
                <w:szCs w:val="16"/>
              </w:rPr>
              <w:t>Transformations of indolent B-cell lymphomas</w:t>
            </w:r>
            <w:r w:rsidRPr="003462F4">
              <w:rPr>
                <w:rFonts w:ascii="Calibri" w:hAnsi="Calibri" w:cs="Calibri"/>
                <w:sz w:val="16"/>
                <w:szCs w:val="16"/>
              </w:rPr>
              <w:br/>
              <w:t>Transformations of indolent B-cell lymphomas (1887)</w:t>
            </w:r>
            <w:r w:rsidRPr="003462F4">
              <w:rPr>
                <w:rFonts w:ascii="Calibri" w:hAnsi="Calibri" w:cs="Calibri"/>
                <w:sz w:val="16"/>
                <w:szCs w:val="16"/>
              </w:rPr>
              <w:br/>
            </w:r>
            <w:r w:rsidRPr="003462F4">
              <w:rPr>
                <w:rFonts w:ascii="Calibri" w:hAnsi="Calibri" w:cs="Calibri"/>
                <w:b/>
                <w:bCs/>
                <w:sz w:val="16"/>
                <w:szCs w:val="16"/>
              </w:rPr>
              <w:t>Lymphomas associated with immune deficiency and dysregulation</w:t>
            </w:r>
            <w:r w:rsidRPr="003462F4">
              <w:rPr>
                <w:rFonts w:ascii="Calibri" w:hAnsi="Calibri" w:cs="Calibri"/>
                <w:sz w:val="16"/>
                <w:szCs w:val="16"/>
              </w:rPr>
              <w:br/>
              <w:t xml:space="preserve">Classical Hodgkin lymphoma PTLD (1876), Infectious mononucleosis PTLD (1872), EBV-positive mucocutaneous ulcer (1824), Monomorphic PTLD (B- and T-/NK-cell types) (1875), Hyperplasia arising in immune deficiencies (e.g. PTLD) (1871), Polymorphic </w:t>
            </w:r>
            <w:r w:rsidRPr="003462F4">
              <w:rPr>
                <w:rFonts w:ascii="Calibri" w:hAnsi="Calibri" w:cs="Calibri"/>
                <w:sz w:val="16"/>
                <w:szCs w:val="16"/>
              </w:rPr>
              <w:t>lymphoproliferative disorders arising in immune deficiency/dysregulation (1874)</w:t>
            </w:r>
            <w:r w:rsidRPr="003462F4">
              <w:rPr>
                <w:rFonts w:ascii="Calibri" w:hAnsi="Calibri" w:cs="Calibri"/>
                <w:sz w:val="16"/>
                <w:szCs w:val="16"/>
              </w:rPr>
              <w:br/>
            </w:r>
            <w:r w:rsidRPr="003462F4">
              <w:rPr>
                <w:rFonts w:ascii="Calibri" w:hAnsi="Calibri" w:cs="Calibri"/>
                <w:b/>
                <w:bCs/>
                <w:sz w:val="16"/>
                <w:szCs w:val="16"/>
              </w:rPr>
              <w:t>Mature T-cell and NK-cell leukemias</w:t>
            </w:r>
            <w:r w:rsidRPr="003462F4">
              <w:rPr>
                <w:rFonts w:ascii="Calibri" w:hAnsi="Calibri" w:cs="Calibri"/>
                <w:sz w:val="16"/>
                <w:szCs w:val="16"/>
              </w:rPr>
              <w:br/>
              <w:t>T-large granular lymphocytic leukemia (126), NK-large granular lymphocytic leukemia  (1856), Adult T-cell lymphoma / leukemia  (134), Sézary syndrome (142), Aggressive NK-cell leukemia (27)</w:t>
            </w:r>
            <w:r w:rsidRPr="003462F4">
              <w:rPr>
                <w:rFonts w:ascii="Calibri" w:hAnsi="Calibri" w:cs="Calibri"/>
                <w:sz w:val="16"/>
                <w:szCs w:val="16"/>
              </w:rPr>
              <w:br/>
            </w:r>
            <w:r w:rsidRPr="003462F4">
              <w:rPr>
                <w:rFonts w:ascii="Calibri" w:hAnsi="Calibri" w:cs="Calibri"/>
                <w:b/>
                <w:bCs/>
                <w:sz w:val="16"/>
                <w:szCs w:val="16"/>
              </w:rPr>
              <w:t>Primary cutaneous T-cell lymphomas</w:t>
            </w:r>
            <w:r w:rsidRPr="003462F4">
              <w:rPr>
                <w:rFonts w:ascii="Calibri" w:hAnsi="Calibri" w:cs="Calibri"/>
                <w:sz w:val="16"/>
                <w:szCs w:val="16"/>
              </w:rPr>
              <w:br/>
              <w:t>Primary cutaneous acral CD8-positive T-cell lymphoproliferative disorder(1853), Primary cutaneous CD4-positive small or medium T-cell lymphoproliferative disorder (1854), Mycosis fungoides (141), Primary cutaneous CD30-positive T-cell lymphoproliferative disorder: Lymphomatoid papulosis (147), Primary cutaneous CD30-positive T-cell lymphoproliferative disorder: Primary cutaneous anaplastic large cell lymphoma, Subcutaneous panniculitis-like T-cell lymphoma (146), Primary cutaneous gamma/delta T-cell lymphoma (1851), Primary cutaneous CD8-positive aggressive epidermotropic cytotoxic T-cell lymphoma (1852), Primary cutaneous peripheral T-cell lymphoma, NOS (1889)</w:t>
            </w:r>
            <w:r w:rsidRPr="003462F4">
              <w:rPr>
                <w:rFonts w:ascii="Calibri" w:hAnsi="Calibri" w:cs="Calibri"/>
                <w:sz w:val="16"/>
                <w:szCs w:val="16"/>
              </w:rPr>
              <w:br/>
            </w:r>
            <w:r w:rsidRPr="003462F4">
              <w:rPr>
                <w:rFonts w:ascii="Calibri" w:hAnsi="Calibri" w:cs="Calibri"/>
                <w:b/>
                <w:bCs/>
                <w:sz w:val="16"/>
                <w:szCs w:val="16"/>
              </w:rPr>
              <w:t>Intestinal T-cell and NK-cell lymphoid proliferations and lymphomas</w:t>
            </w:r>
            <w:r w:rsidRPr="003462F4">
              <w:rPr>
                <w:rFonts w:ascii="Calibri" w:hAnsi="Calibri" w:cs="Calibri"/>
                <w:b/>
                <w:bCs/>
                <w:sz w:val="16"/>
                <w:szCs w:val="16"/>
              </w:rPr>
              <w:br/>
            </w:r>
            <w:r w:rsidRPr="003462F4">
              <w:rPr>
                <w:rFonts w:ascii="Calibri" w:hAnsi="Calibri" w:cs="Calibri"/>
                <w:sz w:val="16"/>
                <w:szCs w:val="16"/>
              </w:rPr>
              <w:t xml:space="preserve">Indolent T-cell </w:t>
            </w:r>
            <w:r w:rsidRPr="003462F4">
              <w:rPr>
                <w:rFonts w:ascii="Calibri" w:hAnsi="Calibri" w:cs="Calibri"/>
                <w:strike/>
                <w:color w:val="FF0000"/>
                <w:sz w:val="16"/>
                <w:szCs w:val="16"/>
              </w:rPr>
              <w:t xml:space="preserve"> </w:t>
            </w:r>
            <w:r w:rsidRPr="003462F4">
              <w:rPr>
                <w:rFonts w:ascii="Calibri" w:hAnsi="Calibri" w:cs="Calibri"/>
                <w:sz w:val="16"/>
                <w:szCs w:val="16"/>
              </w:rPr>
              <w:t>lymphoma of the gastrointestinal tract (1858), Indolent NK-cell lymphoproliferative disorder of the gastrointestinal tract , Enteropathy-associated T-cell lymphoma (133), Monomorphic epitheliotropic intestinal T-cell lymphoma (1857)</w:t>
            </w:r>
            <w:r w:rsidRPr="003462F4">
              <w:rPr>
                <w:rFonts w:ascii="Calibri" w:hAnsi="Calibri" w:cs="Calibri"/>
                <w:sz w:val="16"/>
                <w:szCs w:val="16"/>
              </w:rPr>
              <w:br/>
              <w:t xml:space="preserve">Intestinal T-cell lymphoma, NOS </w:t>
            </w:r>
            <w:r w:rsidRPr="003462F4">
              <w:rPr>
                <w:rFonts w:ascii="Calibri" w:hAnsi="Calibri" w:cs="Calibri"/>
                <w:sz w:val="16"/>
                <w:szCs w:val="16"/>
              </w:rPr>
              <w:br/>
            </w:r>
            <w:r w:rsidRPr="003462F4">
              <w:rPr>
                <w:rFonts w:ascii="Calibri" w:hAnsi="Calibri" w:cs="Calibri"/>
                <w:b/>
                <w:bCs/>
                <w:sz w:val="16"/>
                <w:szCs w:val="16"/>
              </w:rPr>
              <w:t>Hepatosplenic T-cell lymphoma</w:t>
            </w:r>
            <w:r w:rsidRPr="003462F4">
              <w:rPr>
                <w:rFonts w:ascii="Calibri" w:hAnsi="Calibri" w:cs="Calibri"/>
                <w:sz w:val="16"/>
                <w:szCs w:val="16"/>
              </w:rPr>
              <w:br/>
              <w:t>Hepatosplenic T-cell lymphoma (145)</w:t>
            </w:r>
            <w:r w:rsidRPr="003462F4">
              <w:rPr>
                <w:rFonts w:ascii="Calibri" w:hAnsi="Calibri" w:cs="Calibri"/>
                <w:sz w:val="16"/>
                <w:szCs w:val="16"/>
              </w:rPr>
              <w:br/>
            </w:r>
            <w:r w:rsidRPr="003462F4">
              <w:rPr>
                <w:rFonts w:ascii="Calibri" w:hAnsi="Calibri" w:cs="Calibri"/>
                <w:b/>
                <w:bCs/>
                <w:sz w:val="16"/>
                <w:szCs w:val="16"/>
              </w:rPr>
              <w:t>Anaplastic large cell lymphoma</w:t>
            </w:r>
            <w:r w:rsidRPr="003462F4">
              <w:rPr>
                <w:rFonts w:ascii="Calibri" w:hAnsi="Calibri" w:cs="Calibri"/>
                <w:sz w:val="16"/>
                <w:szCs w:val="16"/>
              </w:rPr>
              <w:br/>
              <w:t xml:space="preserve">ALK-positive anaplastic large cell lymphoma (143), ALK-negative anaplastic large cell lymphoma (144), Breast </w:t>
            </w:r>
            <w:r w:rsidR="00A64EAE">
              <w:rPr>
                <w:rFonts w:ascii="Calibri" w:hAnsi="Calibri" w:cs="Calibri"/>
                <w:sz w:val="16"/>
                <w:szCs w:val="16"/>
              </w:rPr>
              <w:t>implant-associated</w:t>
            </w:r>
            <w:r w:rsidRPr="003462F4">
              <w:rPr>
                <w:rFonts w:ascii="Calibri" w:hAnsi="Calibri" w:cs="Calibri"/>
                <w:sz w:val="16"/>
                <w:szCs w:val="16"/>
              </w:rPr>
              <w:t xml:space="preserve"> anaplastic large cell lymphoma (1861)</w:t>
            </w:r>
            <w:r w:rsidRPr="003462F4">
              <w:rPr>
                <w:rFonts w:ascii="Calibri" w:hAnsi="Calibri" w:cs="Calibri"/>
                <w:sz w:val="16"/>
                <w:szCs w:val="16"/>
              </w:rPr>
              <w:br/>
            </w:r>
            <w:r w:rsidRPr="003462F4">
              <w:rPr>
                <w:rFonts w:ascii="Calibri" w:hAnsi="Calibri" w:cs="Calibri"/>
                <w:b/>
                <w:bCs/>
                <w:sz w:val="16"/>
                <w:szCs w:val="16"/>
              </w:rPr>
              <w:t>Nodal T-follicular helper (TFH) cell lymphoma</w:t>
            </w:r>
            <w:r w:rsidRPr="003462F4">
              <w:rPr>
                <w:rFonts w:ascii="Calibri" w:hAnsi="Calibri" w:cs="Calibri"/>
                <w:sz w:val="16"/>
                <w:szCs w:val="16"/>
              </w:rPr>
              <w:br/>
              <w:t>Nodal TFH cell lymphoma, angioimmunoblastic-type (131), Nodal TFH cell lymphoma, follicular-type (1859), Nodal TFH cell lymphoma, NOS (1860)</w:t>
            </w:r>
            <w:r w:rsidRPr="003462F4">
              <w:rPr>
                <w:rFonts w:ascii="Calibri" w:hAnsi="Calibri" w:cs="Calibri"/>
                <w:sz w:val="16"/>
                <w:szCs w:val="16"/>
              </w:rPr>
              <w:br/>
            </w:r>
            <w:r w:rsidRPr="003462F4">
              <w:rPr>
                <w:rFonts w:ascii="Calibri" w:hAnsi="Calibri" w:cs="Calibri"/>
                <w:b/>
                <w:bCs/>
                <w:sz w:val="16"/>
                <w:szCs w:val="16"/>
              </w:rPr>
              <w:t>Other peripheral T-cell lymphomas</w:t>
            </w:r>
            <w:r w:rsidRPr="003462F4">
              <w:rPr>
                <w:rFonts w:ascii="Calibri" w:hAnsi="Calibri" w:cs="Calibri"/>
                <w:sz w:val="16"/>
                <w:szCs w:val="16"/>
              </w:rPr>
              <w:br/>
              <w:t>Peripheral T-cell lymphoma  NOS (130)</w:t>
            </w:r>
            <w:r w:rsidRPr="003462F4">
              <w:rPr>
                <w:rFonts w:ascii="Calibri" w:hAnsi="Calibri" w:cs="Calibri"/>
                <w:sz w:val="16"/>
                <w:szCs w:val="16"/>
              </w:rPr>
              <w:br/>
            </w:r>
            <w:r w:rsidRPr="003462F4">
              <w:rPr>
                <w:rFonts w:ascii="Calibri" w:hAnsi="Calibri" w:cs="Calibri"/>
                <w:b/>
                <w:bCs/>
                <w:sz w:val="16"/>
                <w:szCs w:val="16"/>
              </w:rPr>
              <w:t>EBV-positive NK/T-cell lymphomas</w:t>
            </w:r>
            <w:r w:rsidRPr="003462F4">
              <w:rPr>
                <w:rFonts w:ascii="Calibri" w:hAnsi="Calibri" w:cs="Calibri"/>
                <w:b/>
                <w:bCs/>
                <w:sz w:val="16"/>
                <w:szCs w:val="16"/>
              </w:rPr>
              <w:br/>
            </w:r>
            <w:r w:rsidRPr="003462F4">
              <w:rPr>
                <w:rFonts w:ascii="Calibri" w:hAnsi="Calibri" w:cs="Calibri"/>
                <w:sz w:val="16"/>
                <w:szCs w:val="16"/>
              </w:rPr>
              <w:t>EBV-positive nodal T- and NK-cell lymphoma (1892), Extranodal NK / T-cell lymphoma (137)</w:t>
            </w:r>
            <w:r w:rsidRPr="003462F4">
              <w:rPr>
                <w:rFonts w:ascii="Calibri" w:hAnsi="Calibri" w:cs="Calibri"/>
                <w:sz w:val="16"/>
                <w:szCs w:val="16"/>
              </w:rPr>
              <w:br/>
            </w:r>
            <w:r w:rsidRPr="003462F4">
              <w:rPr>
                <w:rFonts w:ascii="Calibri" w:hAnsi="Calibri" w:cs="Calibri"/>
                <w:b/>
                <w:bCs/>
                <w:sz w:val="16"/>
                <w:szCs w:val="16"/>
              </w:rPr>
              <w:t>EBV-positive T- and NK-cell lymphoid proliferations and lymphomas of childhood</w:t>
            </w:r>
            <w:r w:rsidRPr="003462F4">
              <w:rPr>
                <w:rFonts w:ascii="Calibri" w:hAnsi="Calibri" w:cs="Calibri"/>
                <w:b/>
                <w:bCs/>
                <w:sz w:val="16"/>
                <w:szCs w:val="16"/>
              </w:rPr>
              <w:br/>
            </w:r>
            <w:r w:rsidRPr="003462F4">
              <w:rPr>
                <w:rFonts w:ascii="Calibri" w:hAnsi="Calibri" w:cs="Calibri"/>
                <w:sz w:val="16"/>
                <w:szCs w:val="16"/>
              </w:rPr>
              <w:t xml:space="preserve">Systemic </w:t>
            </w:r>
            <w:r w:rsidR="00A64EAE">
              <w:rPr>
                <w:rFonts w:ascii="Calibri" w:hAnsi="Calibri" w:cs="Calibri"/>
                <w:sz w:val="16"/>
                <w:szCs w:val="16"/>
              </w:rPr>
              <w:t>EBV-positive</w:t>
            </w:r>
            <w:r w:rsidR="009F3411">
              <w:rPr>
                <w:rFonts w:ascii="Calibri" w:hAnsi="Calibri" w:cs="Calibri"/>
                <w:sz w:val="16"/>
                <w:szCs w:val="16"/>
              </w:rPr>
              <w:t xml:space="preserve"> </w:t>
            </w:r>
            <w:r w:rsidRPr="003462F4">
              <w:rPr>
                <w:rFonts w:ascii="Calibri" w:hAnsi="Calibri" w:cs="Calibri"/>
                <w:sz w:val="16"/>
                <w:szCs w:val="16"/>
              </w:rPr>
              <w:t xml:space="preserve">T-cell lymphoma of childhood (1855), Other B-cell lymphoma (129), Other T-cell / NK-cell lymphoma (139) </w:t>
            </w:r>
          </w:p>
        </w:tc>
        <w:tc>
          <w:tcPr>
            <w:tcW w:w="1591" w:type="dxa"/>
          </w:tcPr>
          <w:p w:rsidR="003462F4" w:rsidRPr="003462F4" w:rsidP="003462F4" w14:paraId="34168ADF" w14:textId="457F115E">
            <w:pPr>
              <w:rPr>
                <w:rFonts w:asciiTheme="minorHAnsi" w:hAnsiTheme="minorHAnsi" w:cstheme="minorHAnsi"/>
                <w:color w:val="000000"/>
                <w:sz w:val="16"/>
                <w:szCs w:val="16"/>
              </w:rPr>
            </w:pPr>
            <w:r w:rsidRPr="003462F4">
              <w:rPr>
                <w:rFonts w:ascii="Calibri" w:hAnsi="Calibri" w:cs="Calibri"/>
                <w:sz w:val="16"/>
                <w:szCs w:val="16"/>
              </w:rPr>
              <w:t xml:space="preserve">Be consistent with </w:t>
            </w:r>
            <w:r w:rsidR="00A64EAE">
              <w:rPr>
                <w:rFonts w:ascii="Calibri" w:hAnsi="Calibri" w:cs="Calibri"/>
                <w:sz w:val="16"/>
                <w:szCs w:val="16"/>
              </w:rPr>
              <w:t xml:space="preserve">the </w:t>
            </w:r>
            <w:r w:rsidRPr="003462F4">
              <w:rPr>
                <w:rFonts w:ascii="Calibri" w:hAnsi="Calibri" w:cs="Calibri"/>
                <w:sz w:val="16"/>
                <w:szCs w:val="16"/>
              </w:rPr>
              <w:t xml:space="preserve">current clinical </w:t>
            </w:r>
            <w:r w:rsidRPr="003462F4" w:rsidR="00A64EAE">
              <w:rPr>
                <w:rFonts w:ascii="Calibri" w:hAnsi="Calibri" w:cs="Calibri"/>
                <w:sz w:val="16"/>
                <w:szCs w:val="16"/>
              </w:rPr>
              <w:t>landscape and</w:t>
            </w:r>
            <w:r w:rsidR="00A64EAE">
              <w:rPr>
                <w:rFonts w:ascii="Calibri" w:hAnsi="Calibri" w:cs="Calibri"/>
                <w:sz w:val="16"/>
                <w:szCs w:val="16"/>
              </w:rPr>
              <w:t xml:space="preserve"> </w:t>
            </w:r>
            <w:r w:rsidRPr="003462F4">
              <w:rPr>
                <w:rFonts w:ascii="Calibri" w:hAnsi="Calibri" w:cs="Calibri"/>
                <w:sz w:val="16"/>
                <w:szCs w:val="16"/>
              </w:rPr>
              <w:t>improve transplant outcome data</w:t>
            </w:r>
            <w:r w:rsidR="00A64EAE">
              <w:rPr>
                <w:rFonts w:ascii="Calibri" w:hAnsi="Calibri" w:cs="Calibri"/>
                <w:sz w:val="16"/>
                <w:szCs w:val="16"/>
              </w:rPr>
              <w:t>.</w:t>
            </w:r>
          </w:p>
        </w:tc>
      </w:tr>
      <w:tr w14:paraId="0F39EEFC" w14:textId="77777777" w:rsidTr="009F244A">
        <w:tblPrEx>
          <w:tblW w:w="10800" w:type="dxa"/>
          <w:tblInd w:w="-725" w:type="dxa"/>
          <w:tblLook w:val="04A0"/>
        </w:tblPrEx>
        <w:trPr>
          <w:trHeight w:val="548"/>
        </w:trPr>
        <w:tc>
          <w:tcPr>
            <w:tcW w:w="1019" w:type="dxa"/>
            <w:noWrap/>
          </w:tcPr>
          <w:p w:rsidR="003462F4" w:rsidRPr="003462F4" w:rsidP="003462F4" w14:paraId="5924254E" w14:textId="7F402AA1">
            <w:pPr>
              <w:rPr>
                <w:rFonts w:asciiTheme="minorHAnsi" w:hAnsiTheme="minorHAnsi" w:cstheme="minorHAnsi"/>
                <w:color w:val="000000"/>
                <w:sz w:val="16"/>
                <w:szCs w:val="16"/>
              </w:rPr>
            </w:pPr>
            <w:r w:rsidRPr="003462F4">
              <w:rPr>
                <w:rFonts w:ascii="Calibri" w:hAnsi="Calibri" w:cs="Calibri"/>
                <w:color w:val="000000"/>
                <w:sz w:val="16"/>
                <w:szCs w:val="16"/>
              </w:rPr>
              <w:t>PRE477</w:t>
            </w:r>
          </w:p>
        </w:tc>
        <w:tc>
          <w:tcPr>
            <w:tcW w:w="1440" w:type="dxa"/>
          </w:tcPr>
          <w:p w:rsidR="003462F4" w:rsidRPr="003462F4" w:rsidP="003462F4" w14:paraId="5AB80956" w14:textId="5BB05786">
            <w:pPr>
              <w:rPr>
                <w:rFonts w:asciiTheme="minorHAnsi" w:hAnsiTheme="minorHAnsi" w:cstheme="minorHAnsi"/>
                <w:color w:val="000000"/>
                <w:sz w:val="16"/>
                <w:szCs w:val="16"/>
              </w:rPr>
            </w:pPr>
            <w:r w:rsidRPr="003462F4">
              <w:rPr>
                <w:rFonts w:ascii="Calibri" w:hAnsi="Calibri" w:cs="Calibri"/>
                <w:color w:val="000000"/>
                <w:sz w:val="16"/>
                <w:szCs w:val="16"/>
              </w:rPr>
              <w:t>Disease Classification</w:t>
            </w:r>
          </w:p>
        </w:tc>
        <w:tc>
          <w:tcPr>
            <w:tcW w:w="1548" w:type="dxa"/>
          </w:tcPr>
          <w:p w:rsidR="003462F4" w:rsidRPr="003462F4" w:rsidP="003462F4" w14:paraId="614B0693" w14:textId="171AA565">
            <w:pPr>
              <w:rPr>
                <w:rFonts w:asciiTheme="minorHAnsi" w:hAnsiTheme="minorHAnsi" w:cstheme="minorHAnsi"/>
                <w:color w:val="000000"/>
                <w:sz w:val="16"/>
                <w:szCs w:val="16"/>
              </w:rPr>
            </w:pPr>
            <w:r w:rsidRPr="003462F4">
              <w:rPr>
                <w:rFonts w:ascii="Calibri" w:hAnsi="Calibri" w:cs="Calibri"/>
                <w:color w:val="000000"/>
                <w:sz w:val="16"/>
                <w:szCs w:val="16"/>
              </w:rPr>
              <w:t>Change/Clarification of Information Requested and Response Option</w:t>
            </w:r>
          </w:p>
        </w:tc>
        <w:tc>
          <w:tcPr>
            <w:tcW w:w="1422" w:type="dxa"/>
          </w:tcPr>
          <w:p w:rsidR="003462F4" w:rsidRPr="003462F4" w:rsidP="003462F4" w14:paraId="1648298B" w14:textId="7447D4E0">
            <w:pPr>
              <w:rPr>
                <w:rFonts w:asciiTheme="minorHAnsi" w:hAnsiTheme="minorHAnsi" w:cstheme="minorHAnsi"/>
                <w:color w:val="000000"/>
                <w:sz w:val="16"/>
                <w:szCs w:val="16"/>
              </w:rPr>
            </w:pPr>
            <w:r w:rsidRPr="003462F4">
              <w:rPr>
                <w:rFonts w:ascii="Calibri" w:hAnsi="Calibri" w:cs="Calibri"/>
                <w:color w:val="000000"/>
                <w:sz w:val="16"/>
                <w:szCs w:val="16"/>
              </w:rPr>
              <w:t>Specify histiocytic disorder classification</w:t>
            </w:r>
          </w:p>
        </w:tc>
        <w:tc>
          <w:tcPr>
            <w:tcW w:w="3780" w:type="dxa"/>
          </w:tcPr>
          <w:p w:rsidR="003462F4" w:rsidRPr="003462F4" w:rsidP="003462F4" w14:paraId="696E81CD" w14:textId="028A5F34">
            <w:pPr>
              <w:rPr>
                <w:rFonts w:asciiTheme="minorHAnsi" w:hAnsiTheme="minorHAnsi" w:cstheme="minorHAnsi"/>
                <w:color w:val="000000"/>
                <w:sz w:val="16"/>
                <w:szCs w:val="16"/>
              </w:rPr>
            </w:pPr>
            <w:r w:rsidRPr="003462F4">
              <w:rPr>
                <w:rFonts w:ascii="Calibri" w:hAnsi="Calibri" w:cs="Calibri"/>
                <w:b/>
                <w:bCs/>
                <w:color w:val="000000"/>
                <w:sz w:val="16"/>
                <w:szCs w:val="16"/>
              </w:rPr>
              <w:t>Diseases of immune dysregulation, Familial Hemophagocytic Lymphohistiocytosis (FHL)</w:t>
            </w:r>
            <w:r w:rsidRPr="003462F4">
              <w:rPr>
                <w:rFonts w:ascii="Calibri" w:hAnsi="Calibri" w:cs="Calibri"/>
                <w:color w:val="000000"/>
                <w:sz w:val="16"/>
                <w:szCs w:val="16"/>
              </w:rPr>
              <w:br/>
              <w:t xml:space="preserve">Familial Hemophagocytic Lymphohistiocytosis, Perforin deficiency (FHL2) </w:t>
            </w:r>
            <w:r w:rsidRPr="003462F4">
              <w:rPr>
                <w:rFonts w:ascii="Calibri" w:hAnsi="Calibri" w:cs="Calibri"/>
                <w:color w:val="000000"/>
                <w:sz w:val="16"/>
                <w:szCs w:val="16"/>
              </w:rPr>
              <w:br/>
              <w:t xml:space="preserve">Familial Hemophagocytic Lymphohistiocytosis, UNC13D (FHL3) </w:t>
            </w:r>
            <w:r w:rsidRPr="003462F4">
              <w:rPr>
                <w:rFonts w:ascii="Calibri" w:hAnsi="Calibri" w:cs="Calibri"/>
                <w:color w:val="000000"/>
                <w:sz w:val="16"/>
                <w:szCs w:val="16"/>
              </w:rPr>
              <w:br/>
              <w:t xml:space="preserve">Familial Hemophagocytic Lymphohistiocytosis, STX11 (FHL4) </w:t>
            </w:r>
            <w:r w:rsidRPr="003462F4">
              <w:rPr>
                <w:rFonts w:ascii="Calibri" w:hAnsi="Calibri" w:cs="Calibri"/>
                <w:color w:val="000000"/>
                <w:sz w:val="16"/>
                <w:szCs w:val="16"/>
              </w:rPr>
              <w:br/>
              <w:t xml:space="preserve">Familial Hemophagocytic Lymphohistiocytosis, STXBP2 (FHL5) </w:t>
            </w:r>
            <w:r w:rsidRPr="003462F4">
              <w:rPr>
                <w:rFonts w:ascii="Calibri" w:hAnsi="Calibri" w:cs="Calibri"/>
                <w:color w:val="000000"/>
                <w:sz w:val="16"/>
                <w:szCs w:val="16"/>
              </w:rPr>
              <w:br/>
              <w:t>Familial Hemophagocytic Lymphohistiocytosis, no mutation identified</w:t>
            </w:r>
            <w:r w:rsidR="00A64EAE">
              <w:rPr>
                <w:rFonts w:ascii="Calibri" w:hAnsi="Calibri" w:cs="Calibri"/>
                <w:color w:val="000000"/>
                <w:sz w:val="16"/>
                <w:szCs w:val="16"/>
              </w:rPr>
              <w:t>.</w:t>
            </w:r>
            <w:r w:rsidRPr="003462F4">
              <w:rPr>
                <w:rFonts w:ascii="Calibri" w:hAnsi="Calibri" w:cs="Calibri"/>
                <w:color w:val="000000"/>
                <w:sz w:val="16"/>
                <w:szCs w:val="16"/>
              </w:rPr>
              <w:t xml:space="preserve"> </w:t>
            </w:r>
            <w:r w:rsidRPr="003462F4">
              <w:rPr>
                <w:rFonts w:ascii="Calibri" w:hAnsi="Calibri" w:cs="Calibri"/>
                <w:color w:val="000000"/>
                <w:sz w:val="16"/>
                <w:szCs w:val="16"/>
              </w:rPr>
              <w:br/>
              <w:t xml:space="preserve">Familial Hemophagocytic Lymphohistiocytosis, other mutations </w:t>
            </w:r>
            <w:r w:rsidRPr="003462F4">
              <w:rPr>
                <w:rFonts w:ascii="Calibri" w:hAnsi="Calibri" w:cs="Calibri"/>
                <w:color w:val="000000"/>
                <w:sz w:val="16"/>
                <w:szCs w:val="16"/>
              </w:rPr>
              <w:br/>
            </w:r>
            <w:r w:rsidRPr="003462F4">
              <w:rPr>
                <w:rFonts w:ascii="Calibri" w:hAnsi="Calibri" w:cs="Calibri"/>
                <w:color w:val="000000"/>
                <w:sz w:val="16"/>
                <w:szCs w:val="16"/>
              </w:rPr>
              <w:t>Histiocytic disorder, not otherwise specified (570),</w:t>
            </w:r>
            <w:r w:rsidRPr="003462F4">
              <w:rPr>
                <w:rFonts w:ascii="Calibri" w:hAnsi="Calibri" w:cs="Calibri"/>
                <w:color w:val="000000"/>
                <w:sz w:val="16"/>
                <w:szCs w:val="16"/>
              </w:rPr>
              <w:br/>
              <w:t>Langerhans cell histiocytosis (histiocytosis-X) (572),</w:t>
            </w:r>
            <w:r w:rsidRPr="003462F4">
              <w:rPr>
                <w:rFonts w:ascii="Calibri" w:hAnsi="Calibri" w:cs="Calibri"/>
                <w:color w:val="000000"/>
                <w:sz w:val="16"/>
                <w:szCs w:val="16"/>
              </w:rPr>
              <w:br/>
              <w:t>Hemophagocytosis (reactive or viral associated) (573),</w:t>
            </w:r>
            <w:r w:rsidRPr="003462F4">
              <w:rPr>
                <w:rFonts w:ascii="Calibri" w:hAnsi="Calibri" w:cs="Calibri"/>
                <w:color w:val="000000"/>
                <w:sz w:val="16"/>
                <w:szCs w:val="16"/>
              </w:rPr>
              <w:br/>
              <w:t>Malignant histiocytosis (574),Other histiocytic disorder (579)</w:t>
            </w:r>
            <w:r w:rsidRPr="003462F4">
              <w:rPr>
                <w:rFonts w:ascii="Calibri" w:hAnsi="Calibri" w:cs="Calibri"/>
                <w:color w:val="000000"/>
                <w:sz w:val="16"/>
                <w:szCs w:val="16"/>
              </w:rPr>
              <w:br/>
            </w:r>
            <w:r w:rsidRPr="003462F4">
              <w:rPr>
                <w:rFonts w:ascii="Calibri" w:hAnsi="Calibri" w:cs="Calibri"/>
                <w:b/>
                <w:bCs/>
                <w:color w:val="000000"/>
                <w:sz w:val="16"/>
                <w:szCs w:val="16"/>
              </w:rPr>
              <w:t>Diseases of immune dysregulation, hemophagocytic lymphohistiocytosis</w:t>
            </w:r>
            <w:r w:rsidRPr="003462F4">
              <w:rPr>
                <w:rFonts w:ascii="Calibri" w:hAnsi="Calibri" w:cs="Calibri"/>
                <w:color w:val="000000"/>
                <w:sz w:val="16"/>
                <w:szCs w:val="16"/>
              </w:rPr>
              <w:br/>
              <w:t>Chediak-Higashi syndrome,</w:t>
            </w:r>
            <w:r w:rsidRPr="003462F4">
              <w:rPr>
                <w:rFonts w:ascii="Calibri" w:hAnsi="Calibri" w:cs="Calibri"/>
                <w:color w:val="000000"/>
                <w:sz w:val="16"/>
                <w:szCs w:val="16"/>
              </w:rPr>
              <w:br/>
              <w:t>Griscelli syndrome type 2,</w:t>
            </w:r>
            <w:r w:rsidRPr="003462F4">
              <w:rPr>
                <w:rFonts w:ascii="Calibri" w:hAnsi="Calibri" w:cs="Calibri"/>
                <w:color w:val="000000"/>
                <w:sz w:val="16"/>
                <w:szCs w:val="16"/>
              </w:rPr>
              <w:br/>
              <w:t>Hermansky-Pudlak syndrome type 2,</w:t>
            </w:r>
            <w:r w:rsidRPr="003462F4">
              <w:rPr>
                <w:rFonts w:ascii="Calibri" w:hAnsi="Calibri" w:cs="Calibri"/>
                <w:color w:val="000000"/>
                <w:sz w:val="16"/>
                <w:szCs w:val="16"/>
              </w:rPr>
              <w:br/>
              <w:t>Other pigmentary dilution disorder</w:t>
            </w:r>
            <w:r w:rsidRPr="003462F4">
              <w:rPr>
                <w:rFonts w:ascii="Calibri" w:hAnsi="Calibri" w:cs="Calibri"/>
                <w:color w:val="000000"/>
                <w:sz w:val="16"/>
                <w:szCs w:val="16"/>
              </w:rPr>
              <w:br/>
            </w:r>
            <w:r w:rsidRPr="003462F4">
              <w:rPr>
                <w:rFonts w:ascii="Calibri" w:hAnsi="Calibri" w:cs="Calibri"/>
                <w:b/>
                <w:bCs/>
                <w:color w:val="FF0000"/>
                <w:sz w:val="16"/>
                <w:szCs w:val="16"/>
              </w:rPr>
              <w:t>Diseases of immune dysregulation, EBV susceptibility</w:t>
            </w:r>
            <w:r w:rsidRPr="003462F4">
              <w:rPr>
                <w:rFonts w:ascii="Calibri" w:hAnsi="Calibri" w:cs="Calibri"/>
                <w:b/>
                <w:bCs/>
                <w:color w:val="FF0000"/>
                <w:sz w:val="16"/>
                <w:szCs w:val="16"/>
              </w:rPr>
              <w:br/>
            </w:r>
            <w:r w:rsidRPr="003462F4">
              <w:rPr>
                <w:rFonts w:ascii="Calibri" w:hAnsi="Calibri" w:cs="Calibri"/>
                <w:color w:val="FF0000"/>
                <w:sz w:val="16"/>
                <w:szCs w:val="16"/>
              </w:rPr>
              <w:t xml:space="preserve">SAP deficiency (XIAP-1) </w:t>
            </w:r>
            <w:r w:rsidRPr="003462F4">
              <w:rPr>
                <w:rFonts w:ascii="Calibri" w:hAnsi="Calibri" w:cs="Calibri"/>
                <w:color w:val="FF0000"/>
                <w:sz w:val="16"/>
                <w:szCs w:val="16"/>
              </w:rPr>
              <w:br/>
              <w:t xml:space="preserve">XIAP-2 deficiency </w:t>
            </w:r>
            <w:r w:rsidRPr="003462F4">
              <w:rPr>
                <w:rFonts w:ascii="Calibri" w:hAnsi="Calibri" w:cs="Calibri"/>
                <w:color w:val="FF0000"/>
                <w:sz w:val="16"/>
                <w:szCs w:val="16"/>
              </w:rPr>
              <w:br/>
              <w:t xml:space="preserve">ITK deficiency </w:t>
            </w:r>
          </w:p>
        </w:tc>
        <w:tc>
          <w:tcPr>
            <w:tcW w:w="1591" w:type="dxa"/>
          </w:tcPr>
          <w:p w:rsidR="003462F4" w:rsidRPr="003462F4" w:rsidP="003462F4" w14:paraId="4F767A2D" w14:textId="004024AF">
            <w:pPr>
              <w:rPr>
                <w:rFonts w:asciiTheme="minorHAnsi" w:hAnsiTheme="minorHAnsi" w:cstheme="minorHAnsi"/>
                <w:color w:val="000000"/>
                <w:sz w:val="16"/>
                <w:szCs w:val="16"/>
              </w:rPr>
            </w:pPr>
            <w:r w:rsidRPr="003462F4">
              <w:rPr>
                <w:rFonts w:ascii="Calibri" w:hAnsi="Calibri" w:cs="Calibri"/>
                <w:color w:val="000000"/>
                <w:sz w:val="16"/>
                <w:szCs w:val="16"/>
              </w:rPr>
              <w:t xml:space="preserve">Be consistent with </w:t>
            </w:r>
            <w:r w:rsidR="00A64EAE">
              <w:rPr>
                <w:rFonts w:ascii="Calibri" w:hAnsi="Calibri" w:cs="Calibri"/>
                <w:color w:val="000000"/>
                <w:sz w:val="16"/>
                <w:szCs w:val="16"/>
              </w:rPr>
              <w:t xml:space="preserve">the </w:t>
            </w:r>
            <w:r w:rsidRPr="003462F4">
              <w:rPr>
                <w:rFonts w:ascii="Calibri" w:hAnsi="Calibri" w:cs="Calibri"/>
                <w:color w:val="000000"/>
                <w:sz w:val="16"/>
                <w:szCs w:val="16"/>
              </w:rPr>
              <w:t xml:space="preserve">current clinical </w:t>
            </w:r>
            <w:r w:rsidRPr="003462F4" w:rsidR="00A64EAE">
              <w:rPr>
                <w:rFonts w:ascii="Calibri" w:hAnsi="Calibri" w:cs="Calibri"/>
                <w:color w:val="000000"/>
                <w:sz w:val="16"/>
                <w:szCs w:val="16"/>
              </w:rPr>
              <w:t>landscape and</w:t>
            </w:r>
            <w:r w:rsidR="00A64EAE">
              <w:rPr>
                <w:rFonts w:ascii="Calibri" w:hAnsi="Calibri" w:cs="Calibri"/>
                <w:color w:val="000000"/>
                <w:sz w:val="16"/>
                <w:szCs w:val="16"/>
              </w:rPr>
              <w:t xml:space="preserve"> </w:t>
            </w:r>
            <w:r w:rsidRPr="003462F4">
              <w:rPr>
                <w:rFonts w:ascii="Calibri" w:hAnsi="Calibri" w:cs="Calibri"/>
                <w:color w:val="000000"/>
                <w:sz w:val="16"/>
                <w:szCs w:val="16"/>
              </w:rPr>
              <w:t>improve transplant outcome data</w:t>
            </w:r>
            <w:r w:rsidR="00A64EAE">
              <w:rPr>
                <w:rFonts w:ascii="Calibri" w:hAnsi="Calibri" w:cs="Calibri"/>
                <w:color w:val="000000"/>
                <w:sz w:val="16"/>
                <w:szCs w:val="16"/>
              </w:rPr>
              <w:t>.</w:t>
            </w:r>
          </w:p>
        </w:tc>
      </w:tr>
      <w:tr w14:paraId="7326D876" w14:textId="77777777" w:rsidTr="009F244A">
        <w:tblPrEx>
          <w:tblW w:w="10800" w:type="dxa"/>
          <w:tblInd w:w="-725" w:type="dxa"/>
          <w:tblLook w:val="04A0"/>
        </w:tblPrEx>
        <w:trPr>
          <w:trHeight w:val="548"/>
        </w:trPr>
        <w:tc>
          <w:tcPr>
            <w:tcW w:w="1019" w:type="dxa"/>
            <w:noWrap/>
          </w:tcPr>
          <w:p w:rsidR="003462F4" w:rsidRPr="003462F4" w:rsidP="003462F4" w14:paraId="3C91FCD5" w14:textId="372EEC6C">
            <w:pPr>
              <w:rPr>
                <w:rFonts w:asciiTheme="minorHAnsi" w:hAnsiTheme="minorHAnsi" w:cstheme="minorHAnsi"/>
                <w:color w:val="000000"/>
                <w:sz w:val="16"/>
                <w:szCs w:val="16"/>
              </w:rPr>
            </w:pPr>
            <w:r w:rsidRPr="003462F4">
              <w:rPr>
                <w:rFonts w:ascii="Calibri" w:hAnsi="Calibri" w:cs="Calibri"/>
                <w:color w:val="000000"/>
                <w:sz w:val="16"/>
                <w:szCs w:val="16"/>
              </w:rPr>
              <w:t>PRE464</w:t>
            </w:r>
          </w:p>
        </w:tc>
        <w:tc>
          <w:tcPr>
            <w:tcW w:w="1440" w:type="dxa"/>
          </w:tcPr>
          <w:p w:rsidR="003462F4" w:rsidRPr="003462F4" w:rsidP="003462F4" w14:paraId="479D5590" w14:textId="1E30AB3A">
            <w:pPr>
              <w:rPr>
                <w:rFonts w:asciiTheme="minorHAnsi" w:hAnsiTheme="minorHAnsi" w:cstheme="minorHAnsi"/>
                <w:color w:val="000000"/>
                <w:sz w:val="16"/>
                <w:szCs w:val="16"/>
              </w:rPr>
            </w:pPr>
            <w:r w:rsidRPr="003462F4">
              <w:rPr>
                <w:rFonts w:ascii="Calibri" w:hAnsi="Calibri" w:cs="Calibri"/>
                <w:color w:val="000000"/>
                <w:sz w:val="16"/>
                <w:szCs w:val="16"/>
              </w:rPr>
              <w:t>Disease Classification</w:t>
            </w:r>
          </w:p>
        </w:tc>
        <w:tc>
          <w:tcPr>
            <w:tcW w:w="1548" w:type="dxa"/>
          </w:tcPr>
          <w:p w:rsidR="003462F4" w:rsidRPr="003462F4" w:rsidP="003462F4" w14:paraId="79E85B83" w14:textId="4C258831">
            <w:pPr>
              <w:rPr>
                <w:rFonts w:asciiTheme="minorHAnsi" w:hAnsiTheme="minorHAnsi" w:cstheme="minorHAnsi"/>
                <w:color w:val="000000"/>
                <w:sz w:val="16"/>
                <w:szCs w:val="16"/>
              </w:rPr>
            </w:pPr>
            <w:r w:rsidRPr="003462F4">
              <w:rPr>
                <w:rFonts w:ascii="Calibri" w:hAnsi="Calibri" w:cs="Calibri"/>
                <w:color w:val="000000"/>
                <w:sz w:val="16"/>
                <w:szCs w:val="16"/>
              </w:rPr>
              <w:t>Change/Clarification of Information Requested and Response Option</w:t>
            </w:r>
          </w:p>
        </w:tc>
        <w:tc>
          <w:tcPr>
            <w:tcW w:w="1422" w:type="dxa"/>
          </w:tcPr>
          <w:p w:rsidR="003462F4" w:rsidRPr="003462F4" w:rsidP="003462F4" w14:paraId="620BA780" w14:textId="56E69B83">
            <w:pPr>
              <w:rPr>
                <w:rFonts w:asciiTheme="minorHAnsi" w:hAnsiTheme="minorHAnsi" w:cstheme="minorHAnsi"/>
                <w:color w:val="000000"/>
                <w:sz w:val="16"/>
                <w:szCs w:val="16"/>
              </w:rPr>
            </w:pPr>
            <w:r w:rsidRPr="003462F4">
              <w:rPr>
                <w:rFonts w:ascii="Calibri" w:hAnsi="Calibri" w:cs="Calibri"/>
                <w:color w:val="000000"/>
                <w:sz w:val="16"/>
                <w:szCs w:val="16"/>
              </w:rPr>
              <w:t>Specify disorder of immune system classification</w:t>
            </w:r>
          </w:p>
        </w:tc>
        <w:tc>
          <w:tcPr>
            <w:tcW w:w="3780" w:type="dxa"/>
          </w:tcPr>
          <w:p w:rsidR="003462F4" w:rsidRPr="003462F4" w:rsidP="003462F4" w14:paraId="7425BD87" w14:textId="37CC071F">
            <w:pPr>
              <w:rPr>
                <w:rFonts w:asciiTheme="minorHAnsi" w:hAnsiTheme="minorHAnsi" w:cstheme="minorHAnsi"/>
                <w:color w:val="000000"/>
                <w:sz w:val="16"/>
                <w:szCs w:val="16"/>
              </w:rPr>
            </w:pPr>
            <w:r w:rsidRPr="003462F4">
              <w:rPr>
                <w:rFonts w:ascii="Calibri" w:hAnsi="Calibri" w:cs="Calibri"/>
                <w:b/>
                <w:bCs/>
                <w:color w:val="000000"/>
                <w:sz w:val="16"/>
                <w:szCs w:val="16"/>
              </w:rPr>
              <w:t>Severe Combined Immunodeficiencies</w:t>
            </w:r>
            <w:r w:rsidRPr="003462F4">
              <w:rPr>
                <w:rFonts w:ascii="Calibri" w:hAnsi="Calibri" w:cs="Calibri"/>
                <w:color w:val="000000"/>
                <w:sz w:val="16"/>
                <w:szCs w:val="16"/>
              </w:rPr>
              <w:br/>
              <w:t xml:space="preserve">SCID, T- B- NK-, Adenosine deaminase (ADA) deficiency </w:t>
            </w:r>
            <w:r w:rsidRPr="003462F4">
              <w:rPr>
                <w:rFonts w:ascii="Calibri" w:hAnsi="Calibri" w:cs="Calibri"/>
                <w:color w:val="000000"/>
                <w:sz w:val="16"/>
                <w:szCs w:val="16"/>
              </w:rPr>
              <w:br/>
              <w:t>SCID, T- B- NK-, reticular dysgenesis,</w:t>
            </w:r>
            <w:r w:rsidRPr="003462F4">
              <w:rPr>
                <w:rFonts w:ascii="Calibri" w:hAnsi="Calibri" w:cs="Calibri"/>
                <w:color w:val="000000"/>
                <w:sz w:val="16"/>
                <w:szCs w:val="16"/>
              </w:rPr>
              <w:br/>
              <w:t xml:space="preserve">SCID, T- B- NK+, RAG 1/2 deficiency </w:t>
            </w:r>
            <w:r w:rsidRPr="003462F4">
              <w:rPr>
                <w:rFonts w:ascii="Calibri" w:hAnsi="Calibri" w:cs="Calibri"/>
                <w:color w:val="000000"/>
                <w:sz w:val="16"/>
                <w:szCs w:val="16"/>
              </w:rPr>
              <w:br/>
              <w:t xml:space="preserve">SCID, T- B- NK+, DCLRE1C (Artemis) deficiency </w:t>
            </w:r>
            <w:r w:rsidRPr="003462F4">
              <w:rPr>
                <w:rFonts w:ascii="Calibri" w:hAnsi="Calibri" w:cs="Calibri"/>
                <w:color w:val="000000"/>
                <w:sz w:val="16"/>
                <w:szCs w:val="16"/>
              </w:rPr>
              <w:br/>
              <w:t xml:space="preserve">SCID, T-, normal B and NK cells, ILR alpha deficiency </w:t>
            </w:r>
            <w:r w:rsidRPr="003462F4">
              <w:rPr>
                <w:rFonts w:ascii="Calibri" w:hAnsi="Calibri" w:cs="Calibri"/>
                <w:color w:val="000000"/>
                <w:sz w:val="16"/>
                <w:szCs w:val="16"/>
              </w:rPr>
              <w:br/>
              <w:t xml:space="preserve">SCID, T- B- NK-, NOS </w:t>
            </w:r>
            <w:r w:rsidRPr="003462F4">
              <w:rPr>
                <w:rFonts w:ascii="Calibri" w:hAnsi="Calibri" w:cs="Calibri"/>
                <w:color w:val="000000"/>
                <w:sz w:val="16"/>
                <w:szCs w:val="16"/>
              </w:rPr>
              <w:br/>
              <w:t>SCID, not otherwise specified,</w:t>
            </w:r>
            <w:r w:rsidRPr="003462F4">
              <w:rPr>
                <w:rFonts w:ascii="Calibri" w:hAnsi="Calibri" w:cs="Calibri"/>
                <w:color w:val="000000"/>
                <w:sz w:val="16"/>
                <w:szCs w:val="16"/>
              </w:rPr>
              <w:br/>
              <w:t>Other SCID,</w:t>
            </w:r>
            <w:r w:rsidRPr="003462F4">
              <w:rPr>
                <w:rFonts w:ascii="Calibri" w:hAnsi="Calibri" w:cs="Calibri"/>
                <w:color w:val="000000"/>
                <w:sz w:val="16"/>
                <w:szCs w:val="16"/>
              </w:rPr>
              <w:br/>
            </w:r>
            <w:r w:rsidRPr="003462F4">
              <w:rPr>
                <w:rFonts w:ascii="Calibri" w:hAnsi="Calibri" w:cs="Calibri"/>
                <w:b/>
                <w:bCs/>
                <w:color w:val="000000"/>
                <w:sz w:val="16"/>
                <w:szCs w:val="16"/>
              </w:rPr>
              <w:t>Combined Immunodeficiencies</w:t>
            </w:r>
            <w:r w:rsidRPr="003462F4">
              <w:rPr>
                <w:rFonts w:ascii="Calibri" w:hAnsi="Calibri" w:cs="Calibri"/>
                <w:b/>
                <w:bCs/>
                <w:color w:val="000000"/>
                <w:sz w:val="16"/>
                <w:szCs w:val="16"/>
              </w:rPr>
              <w:br/>
            </w:r>
            <w:r w:rsidRPr="003462F4">
              <w:rPr>
                <w:rFonts w:ascii="Calibri" w:hAnsi="Calibri" w:cs="Calibri"/>
                <w:color w:val="000000"/>
                <w:sz w:val="16"/>
                <w:szCs w:val="16"/>
              </w:rPr>
              <w:t>CD40 ligand deficiency,</w:t>
            </w:r>
            <w:r w:rsidRPr="003462F4">
              <w:rPr>
                <w:rFonts w:ascii="Calibri" w:hAnsi="Calibri" w:cs="Calibri"/>
                <w:color w:val="000000"/>
                <w:sz w:val="16"/>
                <w:szCs w:val="16"/>
              </w:rPr>
              <w:br/>
              <w:t xml:space="preserve">DOCK8 Deficiency </w:t>
            </w:r>
            <w:r w:rsidRPr="003462F4">
              <w:rPr>
                <w:rFonts w:ascii="Calibri" w:hAnsi="Calibri" w:cs="Calibri"/>
                <w:color w:val="000000"/>
                <w:sz w:val="16"/>
                <w:szCs w:val="16"/>
              </w:rPr>
              <w:br/>
              <w:t>MHC Class II Deficiency (Bare lymphocyte syndrome)</w:t>
            </w:r>
            <w:r w:rsidRPr="003462F4">
              <w:rPr>
                <w:rFonts w:ascii="Calibri" w:hAnsi="Calibri" w:cs="Calibri"/>
                <w:color w:val="000000"/>
                <w:sz w:val="16"/>
                <w:szCs w:val="16"/>
              </w:rPr>
              <w:br/>
              <w:t>Omenn syndrome,</w:t>
            </w:r>
            <w:r w:rsidRPr="003462F4">
              <w:rPr>
                <w:rFonts w:ascii="Calibri" w:hAnsi="Calibri" w:cs="Calibri"/>
                <w:color w:val="000000"/>
                <w:sz w:val="16"/>
                <w:szCs w:val="16"/>
              </w:rPr>
              <w:br/>
              <w:t>ZAP-70 deficiency</w:t>
            </w:r>
            <w:r w:rsidRPr="003462F4">
              <w:rPr>
                <w:rFonts w:ascii="Calibri" w:hAnsi="Calibri" w:cs="Calibri"/>
                <w:color w:val="000000"/>
                <w:sz w:val="16"/>
                <w:szCs w:val="16"/>
              </w:rPr>
              <w:br/>
            </w:r>
            <w:r w:rsidRPr="003462F4">
              <w:rPr>
                <w:rFonts w:ascii="Calibri" w:hAnsi="Calibri" w:cs="Calibri"/>
                <w:b/>
                <w:bCs/>
                <w:color w:val="000000"/>
                <w:sz w:val="16"/>
                <w:szCs w:val="16"/>
              </w:rPr>
              <w:t>Combined Immunodeficiencies with Associated or Syndromic Features</w:t>
            </w:r>
            <w:r w:rsidRPr="003462F4">
              <w:rPr>
                <w:rFonts w:ascii="Calibri" w:hAnsi="Calibri" w:cs="Calibri"/>
                <w:b/>
                <w:bCs/>
                <w:color w:val="000000"/>
                <w:sz w:val="16"/>
                <w:szCs w:val="16"/>
              </w:rPr>
              <w:br/>
            </w:r>
            <w:r w:rsidRPr="003462F4">
              <w:rPr>
                <w:rFonts w:ascii="Calibri" w:hAnsi="Calibri" w:cs="Calibri"/>
                <w:color w:val="000000"/>
                <w:sz w:val="16"/>
                <w:szCs w:val="16"/>
              </w:rPr>
              <w:t>Ataxia telangiectasia,</w:t>
            </w:r>
            <w:r w:rsidRPr="003462F4">
              <w:rPr>
                <w:rFonts w:ascii="Calibri" w:hAnsi="Calibri" w:cs="Calibri"/>
                <w:color w:val="000000"/>
                <w:sz w:val="16"/>
                <w:szCs w:val="16"/>
              </w:rPr>
              <w:br/>
              <w:t>Cartilage-hair hypoplasia,</w:t>
            </w:r>
            <w:r w:rsidRPr="003462F4">
              <w:rPr>
                <w:rFonts w:ascii="Calibri" w:hAnsi="Calibri" w:cs="Calibri"/>
                <w:color w:val="000000"/>
                <w:sz w:val="16"/>
                <w:szCs w:val="16"/>
              </w:rPr>
              <w:br/>
              <w:t>DiGeorge anomaly,</w:t>
            </w:r>
            <w:r w:rsidRPr="003462F4">
              <w:rPr>
                <w:rFonts w:ascii="Calibri" w:hAnsi="Calibri" w:cs="Calibri"/>
                <w:color w:val="000000"/>
                <w:sz w:val="16"/>
                <w:szCs w:val="16"/>
              </w:rPr>
              <w:br/>
              <w:t xml:space="preserve">NEMO Deficiency Syndrome </w:t>
            </w:r>
            <w:r w:rsidRPr="003462F4">
              <w:rPr>
                <w:rFonts w:ascii="Calibri" w:hAnsi="Calibri" w:cs="Calibri"/>
                <w:color w:val="000000"/>
                <w:sz w:val="16"/>
                <w:szCs w:val="16"/>
              </w:rPr>
              <w:br/>
              <w:t>Wiskott-Aldrich syndrome,</w:t>
            </w:r>
            <w:r w:rsidRPr="003462F4">
              <w:rPr>
                <w:rFonts w:ascii="Calibri" w:hAnsi="Calibri" w:cs="Calibri"/>
                <w:color w:val="000000"/>
                <w:sz w:val="16"/>
                <w:szCs w:val="16"/>
              </w:rPr>
              <w:br/>
            </w:r>
            <w:r w:rsidRPr="003462F4">
              <w:rPr>
                <w:rFonts w:ascii="Calibri" w:hAnsi="Calibri" w:cs="Calibri"/>
                <w:b/>
                <w:bCs/>
                <w:color w:val="000000"/>
                <w:sz w:val="16"/>
                <w:szCs w:val="16"/>
              </w:rPr>
              <w:t>Predominately Antibody deficiencies</w:t>
            </w:r>
            <w:r w:rsidRPr="003462F4">
              <w:rPr>
                <w:rFonts w:ascii="Calibri" w:hAnsi="Calibri" w:cs="Calibri"/>
                <w:b/>
                <w:bCs/>
                <w:color w:val="000000"/>
                <w:sz w:val="16"/>
                <w:szCs w:val="16"/>
              </w:rPr>
              <w:br/>
            </w:r>
            <w:r w:rsidRPr="003462F4">
              <w:rPr>
                <w:rFonts w:ascii="Calibri" w:hAnsi="Calibri" w:cs="Calibri"/>
                <w:color w:val="000000"/>
                <w:sz w:val="16"/>
                <w:szCs w:val="16"/>
              </w:rPr>
              <w:t>Common variable immunodeficiency,</w:t>
            </w:r>
            <w:r w:rsidRPr="003462F4">
              <w:rPr>
                <w:rFonts w:ascii="Calibri" w:hAnsi="Calibri" w:cs="Calibri"/>
                <w:color w:val="000000"/>
                <w:sz w:val="16"/>
                <w:szCs w:val="16"/>
              </w:rPr>
              <w:br/>
              <w:t>Activated PI3 Kinase Delta Deficiency Syndrome (APDS1 or PIK3CD)</w:t>
            </w:r>
            <w:r w:rsidRPr="003462F4">
              <w:rPr>
                <w:rFonts w:ascii="Calibri" w:hAnsi="Calibri" w:cs="Calibri"/>
                <w:b/>
                <w:bCs/>
                <w:color w:val="000000"/>
                <w:sz w:val="16"/>
                <w:szCs w:val="16"/>
              </w:rPr>
              <w:t xml:space="preserve"> </w:t>
            </w:r>
            <w:r w:rsidRPr="003462F4">
              <w:rPr>
                <w:rFonts w:ascii="Calibri" w:hAnsi="Calibri" w:cs="Calibri"/>
                <w:b/>
                <w:bCs/>
                <w:color w:val="000000"/>
                <w:sz w:val="16"/>
                <w:szCs w:val="16"/>
              </w:rPr>
              <w:br/>
            </w:r>
            <w:r w:rsidRPr="003462F4">
              <w:rPr>
                <w:rFonts w:ascii="Calibri" w:hAnsi="Calibri" w:cs="Calibri"/>
                <w:b/>
                <w:bCs/>
                <w:strike/>
                <w:color w:val="FF0000"/>
                <w:sz w:val="16"/>
                <w:szCs w:val="16"/>
              </w:rPr>
              <w:t>Diseases of immune dysregulation, hemophagocytic lymphohistiocytosis</w:t>
            </w:r>
            <w:r w:rsidRPr="003462F4">
              <w:rPr>
                <w:rFonts w:ascii="Calibri" w:hAnsi="Calibri" w:cs="Calibri"/>
                <w:b/>
                <w:bCs/>
                <w:strike/>
                <w:color w:val="FF0000"/>
                <w:sz w:val="16"/>
                <w:szCs w:val="16"/>
              </w:rPr>
              <w:br/>
            </w:r>
            <w:r w:rsidRPr="003462F4">
              <w:rPr>
                <w:rFonts w:ascii="Calibri" w:hAnsi="Calibri" w:cs="Calibri"/>
                <w:strike/>
                <w:color w:val="FF0000"/>
                <w:sz w:val="16"/>
                <w:szCs w:val="16"/>
              </w:rPr>
              <w:t>Chediak-Higashi syndrome,</w:t>
            </w:r>
            <w:r w:rsidRPr="003462F4">
              <w:rPr>
                <w:rFonts w:ascii="Calibri" w:hAnsi="Calibri" w:cs="Calibri"/>
                <w:strike/>
                <w:color w:val="FF0000"/>
                <w:sz w:val="16"/>
                <w:szCs w:val="16"/>
              </w:rPr>
              <w:br/>
              <w:t>Griscelli syndrome type 2,</w:t>
            </w:r>
            <w:r w:rsidRPr="003462F4">
              <w:rPr>
                <w:rFonts w:ascii="Calibri" w:hAnsi="Calibri" w:cs="Calibri"/>
                <w:strike/>
                <w:color w:val="FF0000"/>
                <w:sz w:val="16"/>
                <w:szCs w:val="16"/>
              </w:rPr>
              <w:br/>
              <w:t>Hermansky-Pudlak syndrome type 2,</w:t>
            </w:r>
            <w:r w:rsidRPr="003462F4">
              <w:rPr>
                <w:rFonts w:ascii="Calibri" w:hAnsi="Calibri" w:cs="Calibri"/>
                <w:strike/>
                <w:color w:val="FF0000"/>
                <w:sz w:val="16"/>
                <w:szCs w:val="16"/>
              </w:rPr>
              <w:br/>
              <w:t xml:space="preserve">Other pigmentary dilution </w:t>
            </w:r>
            <w:r w:rsidR="00A64EAE">
              <w:rPr>
                <w:rFonts w:ascii="Calibri" w:hAnsi="Calibri" w:cs="Calibri"/>
                <w:strike/>
                <w:color w:val="FF0000"/>
                <w:sz w:val="16"/>
                <w:szCs w:val="16"/>
              </w:rPr>
              <w:t>disorders</w:t>
            </w:r>
            <w:r w:rsidRPr="003462F4">
              <w:rPr>
                <w:rFonts w:ascii="Calibri" w:hAnsi="Calibri" w:cs="Calibri"/>
                <w:strike/>
                <w:color w:val="FF0000"/>
                <w:sz w:val="16"/>
                <w:szCs w:val="16"/>
              </w:rPr>
              <w:t>,</w:t>
            </w:r>
            <w:r w:rsidRPr="003462F4">
              <w:rPr>
                <w:rFonts w:ascii="Calibri" w:hAnsi="Calibri" w:cs="Calibri"/>
                <w:b/>
                <w:bCs/>
                <w:strike/>
                <w:color w:val="FF0000"/>
                <w:sz w:val="16"/>
                <w:szCs w:val="16"/>
              </w:rPr>
              <w:br/>
              <w:t>Diseases of immune dysregulation, EBV susceptibility</w:t>
            </w:r>
            <w:r w:rsidRPr="003462F4">
              <w:rPr>
                <w:rFonts w:ascii="Calibri" w:hAnsi="Calibri" w:cs="Calibri"/>
                <w:b/>
                <w:bCs/>
                <w:strike/>
                <w:color w:val="FF0000"/>
                <w:sz w:val="16"/>
                <w:szCs w:val="16"/>
              </w:rPr>
              <w:br/>
            </w:r>
            <w:r w:rsidRPr="003462F4">
              <w:rPr>
                <w:rFonts w:ascii="Calibri" w:hAnsi="Calibri" w:cs="Calibri"/>
                <w:strike/>
                <w:color w:val="FF0000"/>
                <w:sz w:val="16"/>
                <w:szCs w:val="16"/>
              </w:rPr>
              <w:t xml:space="preserve">SAP deficiency (XIAP-1) </w:t>
            </w:r>
            <w:r w:rsidRPr="003462F4">
              <w:rPr>
                <w:rFonts w:ascii="Calibri" w:hAnsi="Calibri" w:cs="Calibri"/>
                <w:strike/>
                <w:color w:val="FF0000"/>
                <w:sz w:val="16"/>
                <w:szCs w:val="16"/>
              </w:rPr>
              <w:br/>
              <w:t xml:space="preserve">XIAP-2 deficiency </w:t>
            </w:r>
            <w:r w:rsidRPr="003462F4">
              <w:rPr>
                <w:rFonts w:ascii="Calibri" w:hAnsi="Calibri" w:cs="Calibri"/>
                <w:strike/>
                <w:color w:val="FF0000"/>
                <w:sz w:val="16"/>
                <w:szCs w:val="16"/>
              </w:rPr>
              <w:br/>
              <w:t xml:space="preserve">ITK deficiency </w:t>
            </w:r>
            <w:r w:rsidRPr="003462F4">
              <w:rPr>
                <w:rFonts w:ascii="Calibri" w:hAnsi="Calibri" w:cs="Calibri"/>
                <w:color w:val="000000"/>
                <w:sz w:val="16"/>
                <w:szCs w:val="16"/>
              </w:rPr>
              <w:br/>
            </w:r>
            <w:r w:rsidRPr="003462F4">
              <w:rPr>
                <w:rFonts w:ascii="Calibri" w:hAnsi="Calibri" w:cs="Calibri"/>
                <w:b/>
                <w:bCs/>
                <w:color w:val="000000"/>
                <w:sz w:val="16"/>
                <w:szCs w:val="16"/>
              </w:rPr>
              <w:t>Diseases of immune dysregulation, syndromes with Autoimmunity</w:t>
            </w:r>
            <w:r w:rsidR="00A64EAE">
              <w:rPr>
                <w:rFonts w:ascii="Calibri" w:hAnsi="Calibri" w:cs="Calibri"/>
                <w:b/>
                <w:bCs/>
                <w:color w:val="000000"/>
                <w:sz w:val="16"/>
                <w:szCs w:val="16"/>
              </w:rPr>
              <w:t>,</w:t>
            </w:r>
            <w:r w:rsidRPr="003462F4">
              <w:rPr>
                <w:rFonts w:ascii="Calibri" w:hAnsi="Calibri" w:cs="Calibri"/>
                <w:b/>
                <w:bCs/>
                <w:color w:val="000000"/>
                <w:sz w:val="16"/>
                <w:szCs w:val="16"/>
              </w:rPr>
              <w:t xml:space="preserve"> and Others, NOS</w:t>
            </w:r>
            <w:r w:rsidRPr="003462F4">
              <w:rPr>
                <w:rFonts w:ascii="Calibri" w:hAnsi="Calibri" w:cs="Calibri"/>
                <w:color w:val="000000"/>
                <w:sz w:val="16"/>
                <w:szCs w:val="16"/>
              </w:rPr>
              <w:br/>
              <w:t xml:space="preserve">Autoimmune Lymphoproliferative Syndrome (ALPS) </w:t>
            </w:r>
            <w:r w:rsidRPr="003462F4">
              <w:rPr>
                <w:rFonts w:ascii="Calibri" w:hAnsi="Calibri" w:cs="Calibri"/>
                <w:color w:val="000000"/>
                <w:sz w:val="16"/>
                <w:szCs w:val="16"/>
              </w:rPr>
              <w:br/>
              <w:t xml:space="preserve">CTLA4 deficiency </w:t>
            </w:r>
            <w:r w:rsidRPr="003462F4">
              <w:rPr>
                <w:rFonts w:ascii="Calibri" w:hAnsi="Calibri" w:cs="Calibri"/>
                <w:color w:val="000000"/>
                <w:sz w:val="16"/>
                <w:szCs w:val="16"/>
              </w:rPr>
              <w:br/>
              <w:t xml:space="preserve">IPEX, Immune Dysregulation Polyendocrinopathy, enteropathy X-linked (FOXP3 deficiency) </w:t>
            </w:r>
            <w:r w:rsidRPr="003462F4">
              <w:rPr>
                <w:rFonts w:ascii="Calibri" w:hAnsi="Calibri" w:cs="Calibri"/>
                <w:color w:val="000000"/>
                <w:sz w:val="16"/>
                <w:szCs w:val="16"/>
              </w:rPr>
              <w:br/>
              <w:t xml:space="preserve">LRBA Deficiency </w:t>
            </w:r>
            <w:r w:rsidRPr="003462F4">
              <w:rPr>
                <w:rFonts w:ascii="Calibri" w:hAnsi="Calibri" w:cs="Calibri"/>
                <w:color w:val="000000"/>
                <w:sz w:val="16"/>
                <w:szCs w:val="16"/>
              </w:rPr>
              <w:br/>
              <w:t xml:space="preserve">STAT3 Gain of Function </w:t>
            </w:r>
            <w:r w:rsidRPr="003462F4">
              <w:rPr>
                <w:rFonts w:ascii="Calibri" w:hAnsi="Calibri" w:cs="Calibri"/>
                <w:color w:val="000000"/>
                <w:sz w:val="16"/>
                <w:szCs w:val="16"/>
              </w:rPr>
              <w:br/>
            </w:r>
            <w:r w:rsidRPr="003462F4">
              <w:rPr>
                <w:rFonts w:ascii="Calibri" w:hAnsi="Calibri" w:cs="Calibri"/>
                <w:b/>
                <w:bCs/>
                <w:color w:val="000000"/>
                <w:sz w:val="16"/>
                <w:szCs w:val="16"/>
              </w:rPr>
              <w:t>Congenital defects of phagocyte</w:t>
            </w:r>
            <w:r w:rsidRPr="003462F4">
              <w:rPr>
                <w:rFonts w:ascii="Calibri" w:hAnsi="Calibri" w:cs="Calibri"/>
                <w:color w:val="000000"/>
                <w:sz w:val="16"/>
                <w:szCs w:val="16"/>
              </w:rPr>
              <w:br/>
              <w:t>Chronic granulomatous disease,</w:t>
            </w:r>
            <w:r w:rsidRPr="003462F4">
              <w:rPr>
                <w:rFonts w:ascii="Calibri" w:hAnsi="Calibri" w:cs="Calibri"/>
                <w:color w:val="000000"/>
                <w:sz w:val="16"/>
                <w:szCs w:val="16"/>
              </w:rPr>
              <w:br/>
              <w:t xml:space="preserve">GATA2 deficiency </w:t>
            </w:r>
            <w:r w:rsidRPr="003462F4">
              <w:rPr>
                <w:rFonts w:ascii="Calibri" w:hAnsi="Calibri" w:cs="Calibri"/>
                <w:color w:val="000000"/>
                <w:sz w:val="16"/>
                <w:szCs w:val="16"/>
              </w:rPr>
              <w:br/>
              <w:t xml:space="preserve">Leukocyte adhesion deficiencies, </w:t>
            </w:r>
            <w:r w:rsidRPr="003462F4">
              <w:rPr>
                <w:rFonts w:ascii="Calibri" w:hAnsi="Calibri" w:cs="Calibri"/>
                <w:strike/>
                <w:color w:val="FF0000"/>
                <w:sz w:val="16"/>
                <w:szCs w:val="16"/>
              </w:rPr>
              <w:br/>
            </w:r>
            <w:r w:rsidRPr="003462F4">
              <w:rPr>
                <w:rFonts w:ascii="Calibri" w:hAnsi="Calibri" w:cs="Calibri"/>
                <w:color w:val="000000"/>
                <w:sz w:val="16"/>
                <w:szCs w:val="16"/>
              </w:rPr>
              <w:t xml:space="preserve">Neutropenia with combined immune deficiency (MKL1 deficiency, Actin deficiency) </w:t>
            </w:r>
            <w:r w:rsidRPr="003462F4">
              <w:rPr>
                <w:rFonts w:ascii="Calibri" w:hAnsi="Calibri" w:cs="Calibri"/>
                <w:color w:val="000000"/>
                <w:sz w:val="16"/>
                <w:szCs w:val="16"/>
              </w:rPr>
              <w:br/>
            </w:r>
            <w:r w:rsidRPr="003462F4">
              <w:rPr>
                <w:rFonts w:ascii="Calibri" w:hAnsi="Calibri" w:cs="Calibri"/>
                <w:b/>
                <w:bCs/>
                <w:color w:val="000000"/>
                <w:sz w:val="16"/>
                <w:szCs w:val="16"/>
              </w:rPr>
              <w:t>Other Immunodeficiencies</w:t>
            </w:r>
            <w:r w:rsidRPr="003462F4">
              <w:rPr>
                <w:rFonts w:ascii="Calibri" w:hAnsi="Calibri" w:cs="Calibri"/>
                <w:color w:val="000000"/>
                <w:sz w:val="16"/>
                <w:szCs w:val="16"/>
              </w:rPr>
              <w:br/>
            </w:r>
            <w:r w:rsidRPr="003462F4">
              <w:rPr>
                <w:rFonts w:ascii="Calibri" w:hAnsi="Calibri" w:cs="Calibri"/>
                <w:color w:val="000000"/>
                <w:sz w:val="16"/>
                <w:szCs w:val="16"/>
              </w:rPr>
              <w:t xml:space="preserve">STAT1 Gain of Function </w:t>
            </w:r>
            <w:r w:rsidRPr="003462F4">
              <w:rPr>
                <w:rFonts w:ascii="Calibri" w:hAnsi="Calibri" w:cs="Calibri"/>
                <w:color w:val="000000"/>
                <w:sz w:val="16"/>
                <w:szCs w:val="16"/>
              </w:rPr>
              <w:br/>
              <w:t>Other immunodeficiencies,</w:t>
            </w:r>
            <w:r w:rsidRPr="003462F4">
              <w:rPr>
                <w:rFonts w:ascii="Calibri" w:hAnsi="Calibri" w:cs="Calibri"/>
                <w:color w:val="000000"/>
                <w:sz w:val="16"/>
                <w:szCs w:val="16"/>
              </w:rPr>
              <w:br/>
              <w:t>HIV infection,</w:t>
            </w:r>
            <w:r w:rsidRPr="003462F4">
              <w:rPr>
                <w:rFonts w:ascii="Calibri" w:hAnsi="Calibri" w:cs="Calibri"/>
                <w:color w:val="000000"/>
                <w:sz w:val="16"/>
                <w:szCs w:val="16"/>
              </w:rPr>
              <w:br/>
              <w:t>Immune deficiency, not otherwise specified</w:t>
            </w:r>
            <w:r w:rsidR="00A64EAE">
              <w:rPr>
                <w:rFonts w:ascii="Calibri" w:hAnsi="Calibri" w:cs="Calibri"/>
                <w:color w:val="000000"/>
                <w:sz w:val="16"/>
                <w:szCs w:val="16"/>
              </w:rPr>
              <w:t>.</w:t>
            </w:r>
          </w:p>
        </w:tc>
        <w:tc>
          <w:tcPr>
            <w:tcW w:w="1591" w:type="dxa"/>
          </w:tcPr>
          <w:p w:rsidR="003462F4" w:rsidRPr="003462F4" w:rsidP="003462F4" w14:paraId="66E4D0B0" w14:textId="2939F6EC">
            <w:pPr>
              <w:rPr>
                <w:rFonts w:asciiTheme="minorHAnsi" w:hAnsiTheme="minorHAnsi" w:cstheme="minorHAnsi"/>
                <w:color w:val="000000"/>
                <w:sz w:val="16"/>
                <w:szCs w:val="16"/>
              </w:rPr>
            </w:pPr>
            <w:r w:rsidRPr="003462F4">
              <w:rPr>
                <w:rFonts w:ascii="Calibri" w:hAnsi="Calibri" w:cs="Calibri"/>
                <w:color w:val="000000"/>
                <w:sz w:val="16"/>
                <w:szCs w:val="16"/>
              </w:rPr>
              <w:t xml:space="preserve">Be consistent with </w:t>
            </w:r>
            <w:r w:rsidR="00A64EAE">
              <w:rPr>
                <w:rFonts w:ascii="Calibri" w:hAnsi="Calibri" w:cs="Calibri"/>
                <w:color w:val="000000"/>
                <w:sz w:val="16"/>
                <w:szCs w:val="16"/>
              </w:rPr>
              <w:t xml:space="preserve">the </w:t>
            </w:r>
            <w:r w:rsidRPr="003462F4">
              <w:rPr>
                <w:rFonts w:ascii="Calibri" w:hAnsi="Calibri" w:cs="Calibri"/>
                <w:color w:val="000000"/>
                <w:sz w:val="16"/>
                <w:szCs w:val="16"/>
              </w:rPr>
              <w:t xml:space="preserve">current clinical </w:t>
            </w:r>
            <w:r w:rsidRPr="003462F4" w:rsidR="00A64EAE">
              <w:rPr>
                <w:rFonts w:ascii="Calibri" w:hAnsi="Calibri" w:cs="Calibri"/>
                <w:color w:val="000000"/>
                <w:sz w:val="16"/>
                <w:szCs w:val="16"/>
              </w:rPr>
              <w:t>landscape and</w:t>
            </w:r>
            <w:r w:rsidR="00A64EAE">
              <w:rPr>
                <w:rFonts w:ascii="Calibri" w:hAnsi="Calibri" w:cs="Calibri"/>
                <w:color w:val="000000"/>
                <w:sz w:val="16"/>
                <w:szCs w:val="16"/>
              </w:rPr>
              <w:t xml:space="preserve"> </w:t>
            </w:r>
            <w:r w:rsidRPr="003462F4">
              <w:rPr>
                <w:rFonts w:ascii="Calibri" w:hAnsi="Calibri" w:cs="Calibri"/>
                <w:color w:val="000000"/>
                <w:sz w:val="16"/>
                <w:szCs w:val="16"/>
              </w:rPr>
              <w:t>improve transplant outcome data</w:t>
            </w:r>
            <w:r w:rsidR="00A64EAE">
              <w:rPr>
                <w:rFonts w:ascii="Calibri" w:hAnsi="Calibri" w:cs="Calibri"/>
                <w:color w:val="000000"/>
                <w:sz w:val="16"/>
                <w:szCs w:val="16"/>
              </w:rPr>
              <w:t>.</w:t>
            </w:r>
          </w:p>
        </w:tc>
      </w:tr>
      <w:tr w14:paraId="0FB00E79" w14:textId="77777777" w:rsidTr="009F244A">
        <w:tblPrEx>
          <w:tblW w:w="10800" w:type="dxa"/>
          <w:tblInd w:w="-725" w:type="dxa"/>
          <w:tblLook w:val="04A0"/>
        </w:tblPrEx>
        <w:trPr>
          <w:trHeight w:val="548"/>
        </w:trPr>
        <w:tc>
          <w:tcPr>
            <w:tcW w:w="1019" w:type="dxa"/>
            <w:noWrap/>
          </w:tcPr>
          <w:p w:rsidR="00FF703A" w:rsidRPr="009F3411" w:rsidP="00FF703A" w14:paraId="344B0F9E" w14:textId="42A228A7">
            <w:pPr>
              <w:rPr>
                <w:rFonts w:asciiTheme="minorHAnsi" w:hAnsiTheme="minorHAnsi" w:cstheme="minorHAnsi"/>
                <w:color w:val="000000"/>
                <w:sz w:val="16"/>
                <w:szCs w:val="16"/>
              </w:rPr>
            </w:pPr>
            <w:r w:rsidRPr="009F3411">
              <w:rPr>
                <w:rFonts w:ascii="Calibri" w:hAnsi="Calibri" w:cs="Calibri"/>
                <w:color w:val="000000"/>
                <w:sz w:val="16"/>
                <w:szCs w:val="16"/>
              </w:rPr>
              <w:t>PRE218</w:t>
            </w:r>
          </w:p>
        </w:tc>
        <w:tc>
          <w:tcPr>
            <w:tcW w:w="1440" w:type="dxa"/>
          </w:tcPr>
          <w:p w:rsidR="00FF703A" w:rsidRPr="009F3411" w:rsidP="00FF703A" w14:paraId="3EA2F7D7" w14:textId="61FE5F5D">
            <w:pPr>
              <w:rPr>
                <w:rFonts w:asciiTheme="minorHAnsi" w:hAnsiTheme="minorHAnsi" w:cstheme="minorHAnsi"/>
                <w:color w:val="000000"/>
                <w:sz w:val="16"/>
                <w:szCs w:val="16"/>
              </w:rPr>
            </w:pPr>
            <w:r w:rsidRPr="009F3411">
              <w:rPr>
                <w:rFonts w:ascii="Calibri" w:hAnsi="Calibri" w:cs="Calibri"/>
                <w:color w:val="000000"/>
                <w:sz w:val="16"/>
                <w:szCs w:val="16"/>
              </w:rPr>
              <w:t>Disease Classification</w:t>
            </w:r>
          </w:p>
        </w:tc>
        <w:tc>
          <w:tcPr>
            <w:tcW w:w="1548" w:type="dxa"/>
          </w:tcPr>
          <w:p w:rsidR="00FF703A" w:rsidRPr="009F3411" w:rsidP="00FF703A" w14:paraId="0D0ACBF9" w14:textId="769D64AC">
            <w:pPr>
              <w:rPr>
                <w:rFonts w:asciiTheme="minorHAnsi" w:hAnsiTheme="minorHAnsi" w:cstheme="minorHAnsi"/>
                <w:color w:val="000000"/>
                <w:sz w:val="16"/>
                <w:szCs w:val="16"/>
              </w:rPr>
            </w:pPr>
            <w:r w:rsidRPr="009F3411">
              <w:rPr>
                <w:rFonts w:ascii="Calibri" w:hAnsi="Calibri" w:cs="Calibri"/>
                <w:color w:val="000000"/>
                <w:sz w:val="16"/>
                <w:szCs w:val="16"/>
              </w:rPr>
              <w:t>Deletion of Information Requested</w:t>
            </w:r>
          </w:p>
        </w:tc>
        <w:tc>
          <w:tcPr>
            <w:tcW w:w="1422" w:type="dxa"/>
          </w:tcPr>
          <w:p w:rsidR="00FF703A" w:rsidRPr="00FF703A" w:rsidP="00FF703A" w14:paraId="723FD344" w14:textId="78591B71">
            <w:pPr>
              <w:rPr>
                <w:rFonts w:ascii="Calibri" w:hAnsi="Calibri" w:cs="Calibri"/>
                <w:color w:val="000000"/>
                <w:sz w:val="16"/>
                <w:szCs w:val="16"/>
              </w:rPr>
            </w:pPr>
            <w:r w:rsidRPr="00FF703A">
              <w:rPr>
                <w:rFonts w:ascii="Calibri" w:hAnsi="Calibri" w:cs="Calibri"/>
                <w:color w:val="000000"/>
                <w:sz w:val="16"/>
                <w:szCs w:val="16"/>
              </w:rPr>
              <w:t>Specify Myelodysplastic syndrome, unclassifiable (MDS-U)</w:t>
            </w:r>
          </w:p>
        </w:tc>
        <w:tc>
          <w:tcPr>
            <w:tcW w:w="3780" w:type="dxa"/>
          </w:tcPr>
          <w:p w:rsidR="00FF703A" w:rsidRPr="00FF703A" w:rsidP="00FF703A" w14:paraId="1598C04E" w14:textId="67638F2F">
            <w:pPr>
              <w:rPr>
                <w:rFonts w:asciiTheme="minorHAnsi" w:hAnsiTheme="minorHAnsi" w:cstheme="minorHAnsi"/>
                <w:strike/>
                <w:color w:val="FF0000"/>
                <w:sz w:val="16"/>
                <w:szCs w:val="16"/>
              </w:rPr>
            </w:pPr>
            <w:r w:rsidRPr="00FF703A">
              <w:rPr>
                <w:rFonts w:ascii="Calibri" w:hAnsi="Calibri" w:cs="Calibri"/>
                <w:strike/>
                <w:color w:val="FF0000"/>
                <w:sz w:val="16"/>
                <w:szCs w:val="16"/>
              </w:rPr>
              <w:t>Specify Myelodysplastic syndrome, unclassifiable (MDS-U)</w:t>
            </w:r>
          </w:p>
        </w:tc>
        <w:tc>
          <w:tcPr>
            <w:tcW w:w="1591" w:type="dxa"/>
          </w:tcPr>
          <w:p w:rsidR="00FF703A" w:rsidRPr="009F3411" w:rsidP="00FF703A" w14:paraId="201639B1" w14:textId="55B02BAF">
            <w:pPr>
              <w:rPr>
                <w:rFonts w:asciiTheme="minorHAnsi" w:hAnsiTheme="minorHAnsi" w:cstheme="minorHAnsi"/>
                <w:color w:val="000000"/>
                <w:sz w:val="16"/>
                <w:szCs w:val="16"/>
              </w:rPr>
            </w:pPr>
            <w:r w:rsidRPr="009F3411">
              <w:rPr>
                <w:rFonts w:ascii="Calibri" w:hAnsi="Calibri" w:cs="Calibri"/>
                <w:color w:val="000000"/>
                <w:sz w:val="16"/>
                <w:szCs w:val="16"/>
              </w:rPr>
              <w:t>Reduce burden: data no longer relevant</w:t>
            </w:r>
          </w:p>
        </w:tc>
      </w:tr>
      <w:tr w14:paraId="3774E734" w14:textId="77777777" w:rsidTr="009F244A">
        <w:tblPrEx>
          <w:tblW w:w="10800" w:type="dxa"/>
          <w:tblInd w:w="-725" w:type="dxa"/>
          <w:tblLook w:val="04A0"/>
        </w:tblPrEx>
        <w:trPr>
          <w:trHeight w:val="548"/>
        </w:trPr>
        <w:tc>
          <w:tcPr>
            <w:tcW w:w="1019" w:type="dxa"/>
            <w:noWrap/>
          </w:tcPr>
          <w:p w:rsidR="00FF703A" w:rsidRPr="009F3411" w:rsidP="00FF703A" w14:paraId="70280342" w14:textId="6288B4A9">
            <w:pPr>
              <w:rPr>
                <w:rFonts w:asciiTheme="minorHAnsi" w:hAnsiTheme="minorHAnsi" w:cstheme="minorHAnsi"/>
                <w:color w:val="000000"/>
                <w:sz w:val="16"/>
                <w:szCs w:val="16"/>
              </w:rPr>
            </w:pPr>
            <w:r w:rsidRPr="009F3411">
              <w:rPr>
                <w:rFonts w:ascii="Calibri" w:hAnsi="Calibri" w:cs="Calibri"/>
                <w:color w:val="000000"/>
                <w:sz w:val="16"/>
                <w:szCs w:val="16"/>
              </w:rPr>
              <w:t>PRE246</w:t>
            </w:r>
          </w:p>
        </w:tc>
        <w:tc>
          <w:tcPr>
            <w:tcW w:w="1440" w:type="dxa"/>
          </w:tcPr>
          <w:p w:rsidR="00FF703A" w:rsidRPr="009F3411" w:rsidP="00FF703A" w14:paraId="4A11E9DF" w14:textId="31879A4D">
            <w:pPr>
              <w:rPr>
                <w:rFonts w:asciiTheme="minorHAnsi" w:hAnsiTheme="minorHAnsi" w:cstheme="minorHAnsi"/>
                <w:color w:val="000000"/>
                <w:sz w:val="16"/>
                <w:szCs w:val="16"/>
              </w:rPr>
            </w:pPr>
            <w:r w:rsidRPr="009F3411">
              <w:rPr>
                <w:rFonts w:ascii="Calibri" w:hAnsi="Calibri" w:cs="Calibri"/>
                <w:color w:val="000000"/>
                <w:sz w:val="16"/>
                <w:szCs w:val="16"/>
              </w:rPr>
              <w:t>Disease Classification</w:t>
            </w:r>
          </w:p>
        </w:tc>
        <w:tc>
          <w:tcPr>
            <w:tcW w:w="1548" w:type="dxa"/>
          </w:tcPr>
          <w:p w:rsidR="00FF703A" w:rsidRPr="009F3411" w:rsidP="00FF703A" w14:paraId="2C45E342" w14:textId="3A374CD2">
            <w:pPr>
              <w:rPr>
                <w:rFonts w:asciiTheme="minorHAnsi" w:hAnsiTheme="minorHAnsi" w:cstheme="minorHAnsi"/>
                <w:color w:val="000000"/>
                <w:sz w:val="16"/>
                <w:szCs w:val="16"/>
              </w:rPr>
            </w:pPr>
            <w:r w:rsidRPr="009F3411">
              <w:rPr>
                <w:rFonts w:ascii="Calibri" w:hAnsi="Calibri" w:cs="Calibri"/>
                <w:color w:val="000000"/>
                <w:sz w:val="16"/>
                <w:szCs w:val="16"/>
              </w:rPr>
              <w:t>Deletion of Information Requested</w:t>
            </w:r>
          </w:p>
        </w:tc>
        <w:tc>
          <w:tcPr>
            <w:tcW w:w="1422" w:type="dxa"/>
          </w:tcPr>
          <w:p w:rsidR="00FF703A" w:rsidRPr="00FF703A" w:rsidP="00FF703A" w14:paraId="102C2D40" w14:textId="4FF430C7">
            <w:pPr>
              <w:rPr>
                <w:rFonts w:ascii="Calibri" w:hAnsi="Calibri" w:cs="Calibri"/>
                <w:color w:val="000000"/>
                <w:sz w:val="16"/>
                <w:szCs w:val="16"/>
              </w:rPr>
            </w:pPr>
            <w:r w:rsidRPr="00FF703A">
              <w:rPr>
                <w:rFonts w:ascii="Calibri" w:hAnsi="Calibri" w:cs="Calibri"/>
                <w:color w:val="000000"/>
                <w:sz w:val="16"/>
                <w:szCs w:val="16"/>
              </w:rPr>
              <w:t>Specify Myelodysplastic syndrome, unclassifiable (MDS-U)</w:t>
            </w:r>
          </w:p>
        </w:tc>
        <w:tc>
          <w:tcPr>
            <w:tcW w:w="3780" w:type="dxa"/>
          </w:tcPr>
          <w:p w:rsidR="00FF703A" w:rsidRPr="00FF703A" w:rsidP="00FF703A" w14:paraId="09D0B4AA" w14:textId="488F092C">
            <w:pPr>
              <w:rPr>
                <w:rFonts w:asciiTheme="minorHAnsi" w:hAnsiTheme="minorHAnsi" w:cstheme="minorHAnsi"/>
                <w:strike/>
                <w:color w:val="FF0000"/>
                <w:sz w:val="16"/>
                <w:szCs w:val="16"/>
              </w:rPr>
            </w:pPr>
            <w:r w:rsidRPr="00FF703A">
              <w:rPr>
                <w:rFonts w:ascii="Calibri" w:hAnsi="Calibri" w:cs="Calibri"/>
                <w:strike/>
                <w:color w:val="FF0000"/>
                <w:sz w:val="16"/>
                <w:szCs w:val="16"/>
              </w:rPr>
              <w:t>Specify Myelodysplastic syndrome, unclassifiable (MDS-U)</w:t>
            </w:r>
          </w:p>
        </w:tc>
        <w:tc>
          <w:tcPr>
            <w:tcW w:w="1591" w:type="dxa"/>
          </w:tcPr>
          <w:p w:rsidR="00FF703A" w:rsidRPr="009F3411" w:rsidP="00FF703A" w14:paraId="26AF8B04" w14:textId="22F6D068">
            <w:pPr>
              <w:rPr>
                <w:rFonts w:asciiTheme="minorHAnsi" w:hAnsiTheme="minorHAnsi" w:cstheme="minorHAnsi"/>
                <w:color w:val="000000"/>
                <w:sz w:val="16"/>
                <w:szCs w:val="16"/>
              </w:rPr>
            </w:pPr>
            <w:r w:rsidRPr="009F3411">
              <w:rPr>
                <w:rFonts w:ascii="Calibri" w:hAnsi="Calibri" w:cs="Calibri"/>
                <w:color w:val="000000"/>
                <w:sz w:val="16"/>
                <w:szCs w:val="16"/>
              </w:rPr>
              <w:t>Reduce burden: data no longer relevant</w:t>
            </w:r>
          </w:p>
        </w:tc>
      </w:tr>
    </w:tbl>
    <w:p w:rsidR="003462F4" w:rsidP="003462F4" w14:paraId="36677363" w14:textId="77777777">
      <w:pPr>
        <w:spacing w:after="200" w:line="276" w:lineRule="auto"/>
        <w:rPr>
          <w:rFonts w:eastAsia="Calibri"/>
          <w:bCs/>
        </w:rPr>
      </w:pPr>
    </w:p>
    <w:p w:rsidR="003462F4" w:rsidP="003462F4" w14:paraId="39C25ED4" w14:textId="77777777">
      <w:pPr>
        <w:keepNext/>
        <w:spacing w:after="200" w:line="276" w:lineRule="auto"/>
        <w:rPr>
          <w:rFonts w:eastAsia="Calibri"/>
          <w:b/>
        </w:rPr>
      </w:pPr>
      <w:r w:rsidRPr="00B92B6C">
        <w:rPr>
          <w:rFonts w:eastAsia="Calibri"/>
          <w:b/>
        </w:rPr>
        <w:t>Attachments:</w:t>
      </w:r>
    </w:p>
    <w:p w:rsidR="003462F4" w:rsidP="003462F4" w14:paraId="70BCB7E4" w14:textId="12257780">
      <w:pPr>
        <w:numPr>
          <w:ilvl w:val="0"/>
          <w:numId w:val="6"/>
        </w:numPr>
        <w:spacing w:after="200" w:line="276" w:lineRule="auto"/>
        <w:rPr>
          <w:rFonts w:eastAsia="Calibri"/>
          <w:bCs/>
        </w:rPr>
      </w:pPr>
      <w:r>
        <w:rPr>
          <w:rFonts w:eastAsia="Calibri"/>
          <w:bCs/>
        </w:rPr>
        <w:t>Current SCT</w:t>
      </w:r>
      <w:r w:rsidR="00654610">
        <w:rPr>
          <w:rFonts w:eastAsia="Calibri"/>
          <w:bCs/>
        </w:rPr>
        <w:t>O</w:t>
      </w:r>
      <w:r>
        <w:rPr>
          <w:rFonts w:eastAsia="Calibri"/>
          <w:bCs/>
        </w:rPr>
        <w:t xml:space="preserve">D Information Collections – Fall 2024 </w:t>
      </w:r>
    </w:p>
    <w:p w:rsidR="003462F4" w:rsidRPr="00952734" w:rsidP="003462F4" w14:paraId="12E78D9B" w14:textId="77777777">
      <w:pPr>
        <w:spacing w:after="200" w:line="276" w:lineRule="auto"/>
        <w:rPr>
          <w:rFonts w:eastAsia="Calibri"/>
          <w:bCs/>
        </w:rPr>
      </w:pPr>
    </w:p>
    <w:p w:rsidR="00345D97" w:rsidRPr="00952734" w:rsidP="003462F4" w14:paraId="20C50866" w14:textId="735403D9">
      <w:pPr>
        <w:keepNext/>
        <w:spacing w:after="200" w:line="276" w:lineRule="auto"/>
        <w:rPr>
          <w:rFonts w:eastAsia="Calibri"/>
          <w:bCs/>
        </w:rPr>
      </w:pPr>
    </w:p>
    <w:sectPr w:rsidSect="00DB2ED0">
      <w:headerReference w:type="default" r:id="rId9"/>
      <w:footerReference w:type="default" r:id="rId10"/>
      <w:headerReference w:type="first" r:id="rId11"/>
      <w:pgSz w:w="12240" w:h="15840"/>
      <w:pgMar w:top="1440" w:right="1440" w:bottom="1440" w:left="1440" w:header="36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ova Cond">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90528990"/>
      <w:docPartObj>
        <w:docPartGallery w:val="Page Numbers (Bottom of Page)"/>
        <w:docPartUnique/>
      </w:docPartObj>
    </w:sdtPr>
    <w:sdtEndPr>
      <w:rPr>
        <w:noProof/>
      </w:rPr>
    </w:sdtEndPr>
    <w:sdtContent>
      <w:p w:rsidR="00B92B6C" w14:paraId="3701255B" w14:textId="4074B5D1">
        <w:pPr>
          <w:pStyle w:val="Footer"/>
          <w:jc w:val="center"/>
        </w:pPr>
        <w:r>
          <w:fldChar w:fldCharType="begin"/>
        </w:r>
        <w:r>
          <w:instrText xml:space="preserve"> PAGE   \* MERGEFORMAT </w:instrText>
        </w:r>
        <w:r>
          <w:fldChar w:fldCharType="separate"/>
        </w:r>
        <w:r w:rsidR="00573D0B">
          <w:rPr>
            <w:noProof/>
          </w:rPr>
          <w:t>7</w:t>
        </w:r>
        <w:r>
          <w:rPr>
            <w:noProof/>
          </w:rPr>
          <w:fldChar w:fldCharType="end"/>
        </w:r>
      </w:p>
    </w:sdtContent>
  </w:sdt>
  <w:p w:rsidR="00B92B6C" w14:paraId="03906C3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0EC9" w:rsidP="00E60EC9" w14:paraId="49DBEF95" w14:textId="50F795C1">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41D5" w:rsidP="00DF41D5" w14:paraId="3A758905" w14:textId="6C1B350C">
    <w:pPr>
      <w:widowControl w:val="0"/>
      <w:tabs>
        <w:tab w:val="left" w:pos="1540"/>
      </w:tabs>
      <w:autoSpaceDE w:val="0"/>
      <w:autoSpaceDN w:val="0"/>
      <w:spacing w:before="80"/>
      <w:ind w:left="-360" w:hanging="4"/>
      <w:outlineLvl w:val="0"/>
      <w:rPr>
        <w:rFonts w:ascii="Arial Nova Cond" w:hAnsi="Arial Nova Cond"/>
        <w:b/>
        <w:bCs/>
        <w:color w:val="000000" w:themeColor="text1"/>
        <w:sz w:val="20"/>
        <w:szCs w:val="20"/>
      </w:rPr>
    </w:pPr>
    <w:r w:rsidRPr="00146E41">
      <w:rPr>
        <w:rFonts w:eastAsia="Calibri"/>
        <w:noProof/>
      </w:rPr>
      <w:drawing>
        <wp:anchor distT="0" distB="0" distL="114300" distR="114300" simplePos="0" relativeHeight="251661312" behindDoc="1" locked="0" layoutInCell="1" allowOverlap="1">
          <wp:simplePos x="0" y="0"/>
          <wp:positionH relativeFrom="column">
            <wp:posOffset>5236422</wp:posOffset>
          </wp:positionH>
          <wp:positionV relativeFrom="paragraph">
            <wp:posOffset>-148590</wp:posOffset>
          </wp:positionV>
          <wp:extent cx="1033455" cy="1044269"/>
          <wp:effectExtent l="0" t="0" r="0" b="3810"/>
          <wp:wrapNone/>
          <wp:docPr id="9" name="Picture 9" descr="Department of Health and Human Services, U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95328733" descr="Department of Health and Human Services, USA"/>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3455" cy="104426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4058">
      <w:rPr>
        <w:rFonts w:eastAsia="Calibri"/>
        <w:noProof/>
        <w:sz w:val="20"/>
        <w:szCs w:val="20"/>
      </w:rPr>
      <w:drawing>
        <wp:anchor distT="0" distB="0" distL="114300" distR="114300" simplePos="0" relativeHeight="251660288" behindDoc="1" locked="0" layoutInCell="1" allowOverlap="1">
          <wp:simplePos x="0" y="0"/>
          <wp:positionH relativeFrom="margin">
            <wp:posOffset>-270722</wp:posOffset>
          </wp:positionH>
          <wp:positionV relativeFrom="paragraph">
            <wp:posOffset>-66675</wp:posOffset>
          </wp:positionV>
          <wp:extent cx="1536065" cy="590550"/>
          <wp:effectExtent l="0" t="0" r="6985" b="0"/>
          <wp:wrapNone/>
          <wp:docPr id="892768734" name="Picture 892768734" descr="Health Resources and Services Administration (HR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768734" name="Picture 892768734" descr="Health Resources and Services Administration (HRSA)"/>
                  <pic:cNvPicPr/>
                </pic:nvPicPr>
                <pic:blipFill>
                  <a:blip xmlns:r="http://schemas.openxmlformats.org/officeDocument/2006/relationships" r:embed="rId2" cstate="print">
                    <a:extLst>
                      <a:ext xmlns:a="http://schemas.openxmlformats.org/drawingml/2006/main" uri="{28A0092B-C50C-407E-A947-70E740481C1C}">
                        <a14:useLocalDpi xmlns:a14="http://schemas.microsoft.com/office/drawing/2010/main" val="0"/>
                      </a:ext>
                    </a:extLst>
                  </a:blip>
                  <a:stretch>
                    <a:fillRect/>
                  </a:stretch>
                </pic:blipFill>
                <pic:spPr>
                  <a:xfrm>
                    <a:off x="0" y="0"/>
                    <a:ext cx="1536065" cy="590550"/>
                  </a:xfrm>
                  <a:prstGeom prst="rect">
                    <a:avLst/>
                  </a:prstGeom>
                </pic:spPr>
              </pic:pic>
            </a:graphicData>
          </a:graphic>
        </wp:anchor>
      </w:drawing>
    </w:r>
  </w:p>
  <w:p w:rsidR="00DF41D5" w:rsidP="00DF41D5" w14:paraId="4A166998" w14:textId="0D9B4099">
    <w:pPr>
      <w:widowControl w:val="0"/>
      <w:tabs>
        <w:tab w:val="left" w:pos="1540"/>
      </w:tabs>
      <w:autoSpaceDE w:val="0"/>
      <w:autoSpaceDN w:val="0"/>
      <w:spacing w:before="80"/>
      <w:ind w:left="-360" w:hanging="4"/>
      <w:outlineLvl w:val="0"/>
      <w:rPr>
        <w:rFonts w:ascii="Arial Nova Cond" w:hAnsi="Arial Nova Cond"/>
        <w:b/>
        <w:bCs/>
        <w:color w:val="000000" w:themeColor="text1"/>
        <w:sz w:val="20"/>
        <w:szCs w:val="20"/>
      </w:rPr>
    </w:pPr>
  </w:p>
  <w:p w:rsidR="00DF41D5" w:rsidRPr="00D1135B" w:rsidP="00DF41D5" w14:paraId="58DDD1D2" w14:textId="77777777">
    <w:pPr>
      <w:widowControl w:val="0"/>
      <w:tabs>
        <w:tab w:val="left" w:pos="1540"/>
      </w:tabs>
      <w:autoSpaceDE w:val="0"/>
      <w:autoSpaceDN w:val="0"/>
      <w:outlineLvl w:val="0"/>
      <w:rPr>
        <w:rFonts w:ascii="Arial Nova Cond" w:hAnsi="Arial Nova Cond"/>
        <w:b/>
        <w:bCs/>
        <w:color w:val="000000" w:themeColor="text1"/>
        <w:sz w:val="20"/>
        <w:szCs w:val="20"/>
      </w:rPr>
    </w:pPr>
  </w:p>
  <w:p w:rsidR="00DF41D5" w:rsidP="00DF41D5" w14:paraId="50C74AD1" w14:textId="77777777">
    <w:pPr>
      <w:widowControl w:val="0"/>
      <w:tabs>
        <w:tab w:val="left" w:pos="1540"/>
      </w:tabs>
      <w:autoSpaceDE w:val="0"/>
      <w:autoSpaceDN w:val="0"/>
      <w:ind w:left="-360"/>
      <w:outlineLvl w:val="0"/>
      <w:rPr>
        <w:rFonts w:ascii="Arial Nova Cond" w:hAnsi="Arial Nova Cond"/>
        <w:color w:val="000000" w:themeColor="text1"/>
        <w:sz w:val="20"/>
        <w:szCs w:val="20"/>
      </w:rPr>
    </w:pPr>
    <w:r w:rsidRPr="00696C96">
      <w:rPr>
        <w:rFonts w:ascii="Arial Nova Cond" w:hAnsi="Arial Nova Cond"/>
        <w:color w:val="000000" w:themeColor="text1"/>
        <w:sz w:val="20"/>
        <w:szCs w:val="20"/>
      </w:rPr>
      <w:t>5600 Fishers Lane</w:t>
    </w:r>
  </w:p>
  <w:p w:rsidR="00DF41D5" w:rsidRPr="00971770" w:rsidP="00DF41D5" w14:paraId="088E127D" w14:textId="77777777">
    <w:pPr>
      <w:widowControl w:val="0"/>
      <w:tabs>
        <w:tab w:val="left" w:pos="1540"/>
      </w:tabs>
      <w:autoSpaceDE w:val="0"/>
      <w:autoSpaceDN w:val="0"/>
      <w:ind w:left="-360"/>
      <w:outlineLvl w:val="0"/>
      <w:rPr>
        <w:rFonts w:ascii="Arial Nova Cond" w:hAnsi="Arial Nova Cond"/>
        <w:color w:val="000000" w:themeColor="text1"/>
        <w:sz w:val="20"/>
        <w:szCs w:val="20"/>
      </w:rPr>
    </w:pPr>
    <w:r w:rsidRPr="00696C96">
      <w:rPr>
        <w:rFonts w:ascii="Arial Nova Cond" w:hAnsi="Arial Nova Cond"/>
        <w:color w:val="000000" w:themeColor="text1"/>
        <w:sz w:val="20"/>
        <w:szCs w:val="20"/>
      </w:rPr>
      <w:t>Rockville, MD 20857</w:t>
    </w:r>
  </w:p>
  <w:p w:rsidR="00E60EC9" w:rsidRPr="00DF41D5" w:rsidP="00DF41D5" w14:paraId="49DBEF9F" w14:textId="2F6BF67B">
    <w:pPr>
      <w:pStyle w:val="Header"/>
    </w:pPr>
    <w:r w:rsidRPr="001048BB">
      <w:rPr>
        <w:noProof/>
        <w:sz w:val="20"/>
        <w:szCs w:val="20"/>
      </w:rPr>
      <mc:AlternateContent>
        <mc:Choice Requires="wps">
          <w:drawing>
            <wp:anchor distT="0" distB="0" distL="0" distR="0" simplePos="0" relativeHeight="251658240" behindDoc="0" locked="1" layoutInCell="1" allowOverlap="1">
              <wp:simplePos x="0" y="0"/>
              <wp:positionH relativeFrom="column">
                <wp:posOffset>-233680</wp:posOffset>
              </wp:positionH>
              <wp:positionV relativeFrom="paragraph">
                <wp:posOffset>44450</wp:posOffset>
              </wp:positionV>
              <wp:extent cx="6553835" cy="45085"/>
              <wp:effectExtent l="0" t="0" r="0" b="0"/>
              <wp:wrapThrough wrapText="bothSides">
                <wp:wrapPolygon>
                  <wp:start x="0" y="0"/>
                  <wp:lineTo x="0" y="9127"/>
                  <wp:lineTo x="21535" y="9127"/>
                  <wp:lineTo x="21535" y="0"/>
                  <wp:lineTo x="0" y="0"/>
                </wp:wrapPolygon>
              </wp:wrapThrough>
              <wp:docPr id="4" name="Freeform 1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bwMode="auto">
                      <a:xfrm>
                        <a:off x="0" y="0"/>
                        <a:ext cx="6553835" cy="45085"/>
                      </a:xfrm>
                      <a:custGeom>
                        <a:avLst/>
                        <a:gdLst>
                          <a:gd name="T0" fmla="*/ 0 w 12206"/>
                          <a:gd name="T1" fmla="*/ 0 h 120"/>
                          <a:gd name="T2" fmla="*/ 0 w 12206"/>
                          <a:gd name="T3" fmla="*/ 119 h 120"/>
                          <a:gd name="T4" fmla="*/ 12205 w 12206"/>
                          <a:gd name="T5" fmla="*/ 119 h 120"/>
                          <a:gd name="T6" fmla="*/ 12205 w 12206"/>
                          <a:gd name="T7" fmla="*/ 0 h 120"/>
                          <a:gd name="T8" fmla="*/ 0 w 12206"/>
                          <a:gd name="T9" fmla="*/ 0 h 120"/>
                        </a:gdLst>
                        <a:cxnLst>
                          <a:cxn ang="0">
                            <a:pos x="T0" y="T1"/>
                          </a:cxn>
                          <a:cxn ang="0">
                            <a:pos x="T2" y="T3"/>
                          </a:cxn>
                          <a:cxn ang="0">
                            <a:pos x="T4" y="T5"/>
                          </a:cxn>
                          <a:cxn ang="0">
                            <a:pos x="T6" y="T7"/>
                          </a:cxn>
                          <a:cxn ang="0">
                            <a:pos x="T8" y="T9"/>
                          </a:cxn>
                        </a:cxnLst>
                        <a:rect l="0" t="0" r="r" b="b"/>
                        <a:pathLst>
                          <a:path fill="norm" h="120" w="12206" stroke="1">
                            <a:moveTo>
                              <a:pt x="0" y="0"/>
                            </a:moveTo>
                            <a:lnTo>
                              <a:pt x="0" y="119"/>
                            </a:lnTo>
                            <a:lnTo>
                              <a:pt x="12205" y="119"/>
                            </a:lnTo>
                            <a:lnTo>
                              <a:pt x="12205" y="0"/>
                            </a:lnTo>
                            <a:lnTo>
                              <a:pt x="0" y="0"/>
                            </a:lnTo>
                            <a:close/>
                          </a:path>
                        </a:pathLst>
                      </a:custGeom>
                      <a:solidFill>
                        <a:srgbClr val="001388"/>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Freeform 13" o:spid="_x0000_s2049" alt="&quot;&quot;" style="width:516.05pt;height:3.55pt;margin-top:3.5pt;margin-left:-18.4pt;mso-height-percent:0;mso-height-relative:margin;mso-width-percent:0;mso-width-relative:margin;mso-wrap-distance-bottom:0;mso-wrap-distance-left:0;mso-wrap-distance-right:0;mso-wrap-distance-top:0;mso-wrap-style:square;position:absolute;visibility:visible;v-text-anchor:top;z-index:251659264" coordsize="12206,120" path="m,l,119l12205,119l12205,,,xe" fillcolor="#001388" stroked="f">
              <v:path arrowok="t" o:connecttype="custom" o:connectlocs="0,0;0,44709;6553298,44709;6553298,0;0,0" o:connectangles="0,0,0,0,0"/>
              <o:lock v:ext="edit" aspectratio="t"/>
              <w10:wrap type="through"/>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2922D1"/>
    <w:multiLevelType w:val="hybridMultilevel"/>
    <w:tmpl w:val="B1DE09D0"/>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1">
    <w:nsid w:val="2FB14D14"/>
    <w:multiLevelType w:val="hybridMultilevel"/>
    <w:tmpl w:val="3A88FCEE"/>
    <w:lvl w:ilvl="0">
      <w:start w:va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FD82945"/>
    <w:multiLevelType w:val="hybridMultilevel"/>
    <w:tmpl w:val="DE8A102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3F91A32"/>
    <w:multiLevelType w:val="hybridMultilevel"/>
    <w:tmpl w:val="B67E9FCA"/>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5AD604C"/>
    <w:multiLevelType w:val="hybridMultilevel"/>
    <w:tmpl w:val="214E28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8DC0DFE"/>
    <w:multiLevelType w:val="hybridMultilevel"/>
    <w:tmpl w:val="09601F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05891135">
    <w:abstractNumId w:val="1"/>
  </w:num>
  <w:num w:numId="2" w16cid:durableId="957492471">
    <w:abstractNumId w:val="0"/>
  </w:num>
  <w:num w:numId="3" w16cid:durableId="295795464">
    <w:abstractNumId w:val="4"/>
  </w:num>
  <w:num w:numId="4" w16cid:durableId="56561909">
    <w:abstractNumId w:val="5"/>
  </w:num>
  <w:num w:numId="5" w16cid:durableId="870149208">
    <w:abstractNumId w:val="2"/>
  </w:num>
  <w:num w:numId="6" w16cid:durableId="9615751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AEE"/>
    <w:rsid w:val="00003763"/>
    <w:rsid w:val="0004370E"/>
    <w:rsid w:val="00045B42"/>
    <w:rsid w:val="00053774"/>
    <w:rsid w:val="00054659"/>
    <w:rsid w:val="00077FC4"/>
    <w:rsid w:val="00086224"/>
    <w:rsid w:val="00086A3E"/>
    <w:rsid w:val="000A7DE4"/>
    <w:rsid w:val="000D2751"/>
    <w:rsid w:val="000D4ED8"/>
    <w:rsid w:val="000E7CCD"/>
    <w:rsid w:val="000F0C78"/>
    <w:rsid w:val="000F2103"/>
    <w:rsid w:val="00122B02"/>
    <w:rsid w:val="00126866"/>
    <w:rsid w:val="00127CA3"/>
    <w:rsid w:val="00141E59"/>
    <w:rsid w:val="00142733"/>
    <w:rsid w:val="00161207"/>
    <w:rsid w:val="00161D18"/>
    <w:rsid w:val="001626D3"/>
    <w:rsid w:val="001709E2"/>
    <w:rsid w:val="00184624"/>
    <w:rsid w:val="00190C2F"/>
    <w:rsid w:val="00191CE9"/>
    <w:rsid w:val="00193E7F"/>
    <w:rsid w:val="00196213"/>
    <w:rsid w:val="001A2F16"/>
    <w:rsid w:val="001A5F8A"/>
    <w:rsid w:val="001C250A"/>
    <w:rsid w:val="001E08B7"/>
    <w:rsid w:val="001E257B"/>
    <w:rsid w:val="001F7458"/>
    <w:rsid w:val="00204028"/>
    <w:rsid w:val="00233631"/>
    <w:rsid w:val="00254744"/>
    <w:rsid w:val="002558F1"/>
    <w:rsid w:val="00255B93"/>
    <w:rsid w:val="0025694D"/>
    <w:rsid w:val="00270D9F"/>
    <w:rsid w:val="00270FE3"/>
    <w:rsid w:val="002774D5"/>
    <w:rsid w:val="002846C1"/>
    <w:rsid w:val="002940FF"/>
    <w:rsid w:val="002B17DB"/>
    <w:rsid w:val="002B1E19"/>
    <w:rsid w:val="002B2C62"/>
    <w:rsid w:val="002E7842"/>
    <w:rsid w:val="00301C0B"/>
    <w:rsid w:val="00310E49"/>
    <w:rsid w:val="003173E7"/>
    <w:rsid w:val="00326950"/>
    <w:rsid w:val="00332AC4"/>
    <w:rsid w:val="00334D1E"/>
    <w:rsid w:val="00345D97"/>
    <w:rsid w:val="003462F4"/>
    <w:rsid w:val="003544DE"/>
    <w:rsid w:val="0037258C"/>
    <w:rsid w:val="00372B67"/>
    <w:rsid w:val="003747B2"/>
    <w:rsid w:val="00380E82"/>
    <w:rsid w:val="00383ECD"/>
    <w:rsid w:val="003901DB"/>
    <w:rsid w:val="003A6602"/>
    <w:rsid w:val="003B2616"/>
    <w:rsid w:val="003B3248"/>
    <w:rsid w:val="003D33F5"/>
    <w:rsid w:val="003D4040"/>
    <w:rsid w:val="003E0442"/>
    <w:rsid w:val="003E6F76"/>
    <w:rsid w:val="003F0F33"/>
    <w:rsid w:val="003F4C18"/>
    <w:rsid w:val="004418A1"/>
    <w:rsid w:val="00441EE8"/>
    <w:rsid w:val="00443D7A"/>
    <w:rsid w:val="004473B6"/>
    <w:rsid w:val="00456345"/>
    <w:rsid w:val="00467E88"/>
    <w:rsid w:val="00470A66"/>
    <w:rsid w:val="004870F0"/>
    <w:rsid w:val="00493F65"/>
    <w:rsid w:val="004A289E"/>
    <w:rsid w:val="004A3B9D"/>
    <w:rsid w:val="004C5BA6"/>
    <w:rsid w:val="004D6E46"/>
    <w:rsid w:val="004E6DD2"/>
    <w:rsid w:val="004E733E"/>
    <w:rsid w:val="004F63D6"/>
    <w:rsid w:val="004F7343"/>
    <w:rsid w:val="00510C44"/>
    <w:rsid w:val="005114FA"/>
    <w:rsid w:val="00512E18"/>
    <w:rsid w:val="0052026A"/>
    <w:rsid w:val="005302CD"/>
    <w:rsid w:val="005439D1"/>
    <w:rsid w:val="0055021B"/>
    <w:rsid w:val="00555657"/>
    <w:rsid w:val="005725D4"/>
    <w:rsid w:val="00573D0B"/>
    <w:rsid w:val="00574FDB"/>
    <w:rsid w:val="0057786D"/>
    <w:rsid w:val="005950E5"/>
    <w:rsid w:val="005B119E"/>
    <w:rsid w:val="005B1738"/>
    <w:rsid w:val="005B3157"/>
    <w:rsid w:val="005E064E"/>
    <w:rsid w:val="005E101A"/>
    <w:rsid w:val="0061313F"/>
    <w:rsid w:val="00614C26"/>
    <w:rsid w:val="00616B50"/>
    <w:rsid w:val="006272EB"/>
    <w:rsid w:val="0063324E"/>
    <w:rsid w:val="006408E7"/>
    <w:rsid w:val="00645A2B"/>
    <w:rsid w:val="00654610"/>
    <w:rsid w:val="006562F9"/>
    <w:rsid w:val="00657689"/>
    <w:rsid w:val="00657C22"/>
    <w:rsid w:val="00671DE6"/>
    <w:rsid w:val="00671F80"/>
    <w:rsid w:val="00680233"/>
    <w:rsid w:val="00685AEF"/>
    <w:rsid w:val="006934A4"/>
    <w:rsid w:val="00696C96"/>
    <w:rsid w:val="006A0213"/>
    <w:rsid w:val="006A4E88"/>
    <w:rsid w:val="006A5A87"/>
    <w:rsid w:val="006C099B"/>
    <w:rsid w:val="006D6D68"/>
    <w:rsid w:val="006E63F1"/>
    <w:rsid w:val="00714AC6"/>
    <w:rsid w:val="007177BC"/>
    <w:rsid w:val="0072161F"/>
    <w:rsid w:val="007261EE"/>
    <w:rsid w:val="007279C1"/>
    <w:rsid w:val="0073436B"/>
    <w:rsid w:val="00754D00"/>
    <w:rsid w:val="00760E94"/>
    <w:rsid w:val="00772F5D"/>
    <w:rsid w:val="00782ABF"/>
    <w:rsid w:val="00783738"/>
    <w:rsid w:val="007849CC"/>
    <w:rsid w:val="0078631F"/>
    <w:rsid w:val="0079084A"/>
    <w:rsid w:val="00791085"/>
    <w:rsid w:val="00793E52"/>
    <w:rsid w:val="007A3FC7"/>
    <w:rsid w:val="007B07DB"/>
    <w:rsid w:val="007B6733"/>
    <w:rsid w:val="007E0D60"/>
    <w:rsid w:val="007F4058"/>
    <w:rsid w:val="0081548F"/>
    <w:rsid w:val="00816253"/>
    <w:rsid w:val="00827ADF"/>
    <w:rsid w:val="00865C53"/>
    <w:rsid w:val="00867179"/>
    <w:rsid w:val="008672A0"/>
    <w:rsid w:val="00873737"/>
    <w:rsid w:val="00875450"/>
    <w:rsid w:val="0089448C"/>
    <w:rsid w:val="008A09BF"/>
    <w:rsid w:val="008A3EF2"/>
    <w:rsid w:val="008A415A"/>
    <w:rsid w:val="008B6968"/>
    <w:rsid w:val="008C5FD9"/>
    <w:rsid w:val="008C7857"/>
    <w:rsid w:val="008D16BE"/>
    <w:rsid w:val="008D25BE"/>
    <w:rsid w:val="008D35DB"/>
    <w:rsid w:val="008D4322"/>
    <w:rsid w:val="008D5DDD"/>
    <w:rsid w:val="008E1E20"/>
    <w:rsid w:val="008E6BB9"/>
    <w:rsid w:val="0090482D"/>
    <w:rsid w:val="009079C5"/>
    <w:rsid w:val="009142B3"/>
    <w:rsid w:val="009145A0"/>
    <w:rsid w:val="00914F17"/>
    <w:rsid w:val="00920EE1"/>
    <w:rsid w:val="00924489"/>
    <w:rsid w:val="00942426"/>
    <w:rsid w:val="00943979"/>
    <w:rsid w:val="0094649B"/>
    <w:rsid w:val="00952734"/>
    <w:rsid w:val="00971770"/>
    <w:rsid w:val="00977BEB"/>
    <w:rsid w:val="00996B4A"/>
    <w:rsid w:val="009A2679"/>
    <w:rsid w:val="009A603C"/>
    <w:rsid w:val="009A60CA"/>
    <w:rsid w:val="009B37A2"/>
    <w:rsid w:val="009C3060"/>
    <w:rsid w:val="009C34AD"/>
    <w:rsid w:val="009C61FB"/>
    <w:rsid w:val="009E2112"/>
    <w:rsid w:val="009E2189"/>
    <w:rsid w:val="009E6D0C"/>
    <w:rsid w:val="009F1FA3"/>
    <w:rsid w:val="009F244A"/>
    <w:rsid w:val="009F3411"/>
    <w:rsid w:val="00A06906"/>
    <w:rsid w:val="00A120FC"/>
    <w:rsid w:val="00A1536E"/>
    <w:rsid w:val="00A27BD2"/>
    <w:rsid w:val="00A31978"/>
    <w:rsid w:val="00A31D65"/>
    <w:rsid w:val="00A60A57"/>
    <w:rsid w:val="00A64EAE"/>
    <w:rsid w:val="00A73790"/>
    <w:rsid w:val="00A90336"/>
    <w:rsid w:val="00AC73BA"/>
    <w:rsid w:val="00AE5F41"/>
    <w:rsid w:val="00AF3431"/>
    <w:rsid w:val="00AF6A02"/>
    <w:rsid w:val="00B0690E"/>
    <w:rsid w:val="00B1243A"/>
    <w:rsid w:val="00B25482"/>
    <w:rsid w:val="00B50762"/>
    <w:rsid w:val="00B6725E"/>
    <w:rsid w:val="00B727B5"/>
    <w:rsid w:val="00B81189"/>
    <w:rsid w:val="00B820BA"/>
    <w:rsid w:val="00B8659A"/>
    <w:rsid w:val="00B86A41"/>
    <w:rsid w:val="00B92B6C"/>
    <w:rsid w:val="00BB3521"/>
    <w:rsid w:val="00BC56D6"/>
    <w:rsid w:val="00BD0FD5"/>
    <w:rsid w:val="00C06EF5"/>
    <w:rsid w:val="00C23BA3"/>
    <w:rsid w:val="00C251B3"/>
    <w:rsid w:val="00C33C03"/>
    <w:rsid w:val="00C456A8"/>
    <w:rsid w:val="00C46224"/>
    <w:rsid w:val="00C5131A"/>
    <w:rsid w:val="00C51FB0"/>
    <w:rsid w:val="00C6196F"/>
    <w:rsid w:val="00C65821"/>
    <w:rsid w:val="00C76C18"/>
    <w:rsid w:val="00C80514"/>
    <w:rsid w:val="00C863D6"/>
    <w:rsid w:val="00C91D3D"/>
    <w:rsid w:val="00CA0734"/>
    <w:rsid w:val="00CA30CB"/>
    <w:rsid w:val="00CA698A"/>
    <w:rsid w:val="00CB6679"/>
    <w:rsid w:val="00CD3335"/>
    <w:rsid w:val="00CD382D"/>
    <w:rsid w:val="00CD6D52"/>
    <w:rsid w:val="00CF3D1C"/>
    <w:rsid w:val="00D00DA9"/>
    <w:rsid w:val="00D030FA"/>
    <w:rsid w:val="00D06184"/>
    <w:rsid w:val="00D07DD8"/>
    <w:rsid w:val="00D1135B"/>
    <w:rsid w:val="00D3225E"/>
    <w:rsid w:val="00D46292"/>
    <w:rsid w:val="00D47431"/>
    <w:rsid w:val="00D561ED"/>
    <w:rsid w:val="00D5794D"/>
    <w:rsid w:val="00D66D58"/>
    <w:rsid w:val="00D72729"/>
    <w:rsid w:val="00D72BAB"/>
    <w:rsid w:val="00D8185D"/>
    <w:rsid w:val="00D87447"/>
    <w:rsid w:val="00D879DE"/>
    <w:rsid w:val="00D91EA3"/>
    <w:rsid w:val="00D91F8D"/>
    <w:rsid w:val="00D96AA2"/>
    <w:rsid w:val="00D972E0"/>
    <w:rsid w:val="00DB2D70"/>
    <w:rsid w:val="00DB2ED0"/>
    <w:rsid w:val="00DB44FF"/>
    <w:rsid w:val="00DB4CA8"/>
    <w:rsid w:val="00DC13B0"/>
    <w:rsid w:val="00DD0EDB"/>
    <w:rsid w:val="00DE2FF6"/>
    <w:rsid w:val="00DE536B"/>
    <w:rsid w:val="00DE6F3C"/>
    <w:rsid w:val="00DF1C3A"/>
    <w:rsid w:val="00DF2527"/>
    <w:rsid w:val="00DF2945"/>
    <w:rsid w:val="00DF4076"/>
    <w:rsid w:val="00DF41D5"/>
    <w:rsid w:val="00E03B62"/>
    <w:rsid w:val="00E10C70"/>
    <w:rsid w:val="00E14FD5"/>
    <w:rsid w:val="00E25523"/>
    <w:rsid w:val="00E40EEC"/>
    <w:rsid w:val="00E471B0"/>
    <w:rsid w:val="00E47B16"/>
    <w:rsid w:val="00E60EC9"/>
    <w:rsid w:val="00E712E8"/>
    <w:rsid w:val="00E7389F"/>
    <w:rsid w:val="00E76C0F"/>
    <w:rsid w:val="00E90041"/>
    <w:rsid w:val="00E974A7"/>
    <w:rsid w:val="00EA0AB7"/>
    <w:rsid w:val="00EA0BAB"/>
    <w:rsid w:val="00EA7C1C"/>
    <w:rsid w:val="00EB1D65"/>
    <w:rsid w:val="00EC7B82"/>
    <w:rsid w:val="00ED3264"/>
    <w:rsid w:val="00ED3751"/>
    <w:rsid w:val="00EE3B20"/>
    <w:rsid w:val="00EE676F"/>
    <w:rsid w:val="00EF41AD"/>
    <w:rsid w:val="00EF5689"/>
    <w:rsid w:val="00F15689"/>
    <w:rsid w:val="00F23997"/>
    <w:rsid w:val="00F25576"/>
    <w:rsid w:val="00F57D7F"/>
    <w:rsid w:val="00F609B2"/>
    <w:rsid w:val="00F8193D"/>
    <w:rsid w:val="00F90AEE"/>
    <w:rsid w:val="00F94AAF"/>
    <w:rsid w:val="00FB215E"/>
    <w:rsid w:val="00FB4481"/>
    <w:rsid w:val="00FC1E4D"/>
    <w:rsid w:val="00FE6659"/>
    <w:rsid w:val="00FF489C"/>
    <w:rsid w:val="00FF703A"/>
  </w:rsids>
  <w:docVars>
    <w:docVar w:name="__Grammarly_42___1" w:val="H4sIAAAAAAAEAKtWcslP9kxRslIyNDYyMjM1NjGzNDI2MDU2NTZU0lEKTi0uzszPAykwrAUANQ+YY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9DBEF66"/>
  <w15:docId w15:val="{4CE4EBBC-C141-4D11-983A-3B8F60922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0EC9"/>
    <w:pPr>
      <w:spacing w:after="0" w:line="240" w:lineRule="auto"/>
    </w:pPr>
    <w:rPr>
      <w:rFonts w:ascii="Times New Roman" w:eastAsia="Times New Roman" w:hAnsi="Times New Roman" w:cs="Times New Roman"/>
      <w:sz w:val="24"/>
      <w:szCs w:val="24"/>
    </w:rPr>
  </w:style>
  <w:style w:type="paragraph" w:styleId="Heading2">
    <w:name w:val="heading 2"/>
    <w:basedOn w:val="Heading3"/>
    <w:next w:val="Normal"/>
    <w:link w:val="Heading2Char"/>
    <w:autoRedefine/>
    <w:unhideWhenUsed/>
    <w:qFormat/>
    <w:rsid w:val="00E60EC9"/>
    <w:pPr>
      <w:keepLines w:val="0"/>
      <w:spacing w:before="0"/>
      <w:outlineLvl w:val="1"/>
    </w:pPr>
    <w:rPr>
      <w:rFonts w:ascii="Times New Roman" w:eastAsia="Times New Roman" w:hAnsi="Times New Roman" w:cs="Times New Roman"/>
      <w:color w:val="auto"/>
      <w:szCs w:val="26"/>
      <w:u w:val="single"/>
    </w:rPr>
  </w:style>
  <w:style w:type="paragraph" w:styleId="Heading3">
    <w:name w:val="heading 3"/>
    <w:basedOn w:val="Normal"/>
    <w:next w:val="Normal"/>
    <w:link w:val="Heading3Char"/>
    <w:uiPriority w:val="9"/>
    <w:semiHidden/>
    <w:unhideWhenUsed/>
    <w:qFormat/>
    <w:rsid w:val="00E60EC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0AEE"/>
    <w:pPr>
      <w:tabs>
        <w:tab w:val="center" w:pos="4680"/>
        <w:tab w:val="right" w:pos="9360"/>
      </w:tabs>
    </w:pPr>
  </w:style>
  <w:style w:type="character" w:customStyle="1" w:styleId="HeaderChar">
    <w:name w:val="Header Char"/>
    <w:basedOn w:val="DefaultParagraphFont"/>
    <w:link w:val="Header"/>
    <w:uiPriority w:val="99"/>
    <w:rsid w:val="00F90AEE"/>
  </w:style>
  <w:style w:type="paragraph" w:styleId="Footer">
    <w:name w:val="footer"/>
    <w:basedOn w:val="Normal"/>
    <w:link w:val="FooterChar"/>
    <w:uiPriority w:val="99"/>
    <w:unhideWhenUsed/>
    <w:rsid w:val="00F90AEE"/>
    <w:pPr>
      <w:tabs>
        <w:tab w:val="center" w:pos="4680"/>
        <w:tab w:val="right" w:pos="9360"/>
      </w:tabs>
    </w:pPr>
  </w:style>
  <w:style w:type="character" w:customStyle="1" w:styleId="FooterChar">
    <w:name w:val="Footer Char"/>
    <w:basedOn w:val="DefaultParagraphFont"/>
    <w:link w:val="Footer"/>
    <w:uiPriority w:val="99"/>
    <w:rsid w:val="00F90AEE"/>
  </w:style>
  <w:style w:type="paragraph" w:styleId="BalloonText">
    <w:name w:val="Balloon Text"/>
    <w:basedOn w:val="Normal"/>
    <w:link w:val="BalloonTextChar"/>
    <w:uiPriority w:val="99"/>
    <w:semiHidden/>
    <w:unhideWhenUsed/>
    <w:rsid w:val="00F90AEE"/>
    <w:rPr>
      <w:rFonts w:ascii="Tahoma" w:hAnsi="Tahoma" w:cs="Tahoma"/>
      <w:sz w:val="16"/>
      <w:szCs w:val="16"/>
    </w:rPr>
  </w:style>
  <w:style w:type="character" w:customStyle="1" w:styleId="BalloonTextChar">
    <w:name w:val="Balloon Text Char"/>
    <w:basedOn w:val="DefaultParagraphFont"/>
    <w:link w:val="BalloonText"/>
    <w:uiPriority w:val="99"/>
    <w:semiHidden/>
    <w:rsid w:val="00F90AEE"/>
    <w:rPr>
      <w:rFonts w:ascii="Tahoma" w:hAnsi="Tahoma" w:cs="Tahoma"/>
      <w:sz w:val="16"/>
      <w:szCs w:val="16"/>
    </w:rPr>
  </w:style>
  <w:style w:type="character" w:customStyle="1" w:styleId="Heading2Char">
    <w:name w:val="Heading 2 Char"/>
    <w:basedOn w:val="DefaultParagraphFont"/>
    <w:link w:val="Heading2"/>
    <w:rsid w:val="00E60EC9"/>
    <w:rPr>
      <w:rFonts w:ascii="Times New Roman" w:eastAsia="Times New Roman" w:hAnsi="Times New Roman" w:cs="Times New Roman"/>
      <w:b/>
      <w:bCs/>
      <w:sz w:val="24"/>
      <w:szCs w:val="26"/>
      <w:u w:val="single"/>
    </w:rPr>
  </w:style>
  <w:style w:type="paragraph" w:styleId="BodyText">
    <w:name w:val="Body Text"/>
    <w:basedOn w:val="Normal"/>
    <w:link w:val="BodyTextChar"/>
    <w:unhideWhenUsed/>
    <w:rsid w:val="00E60EC9"/>
  </w:style>
  <w:style w:type="character" w:customStyle="1" w:styleId="BodyTextChar">
    <w:name w:val="Body Text Char"/>
    <w:basedOn w:val="DefaultParagraphFont"/>
    <w:link w:val="BodyText"/>
    <w:rsid w:val="00E60EC9"/>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E60EC9"/>
    <w:rPr>
      <w:rFonts w:asciiTheme="majorHAnsi" w:eastAsiaTheme="majorEastAsia" w:hAnsiTheme="majorHAnsi" w:cstheme="majorBidi"/>
      <w:b/>
      <w:bCs/>
      <w:color w:val="4F81BD" w:themeColor="accent1"/>
      <w:sz w:val="24"/>
      <w:szCs w:val="24"/>
    </w:rPr>
  </w:style>
  <w:style w:type="character" w:styleId="Hyperlink">
    <w:name w:val="Hyperlink"/>
    <w:basedOn w:val="DefaultParagraphFont"/>
    <w:uiPriority w:val="99"/>
    <w:unhideWhenUsed/>
    <w:rsid w:val="00E974A7"/>
    <w:rPr>
      <w:color w:val="0000FF" w:themeColor="hyperlink"/>
      <w:u w:val="single"/>
    </w:rPr>
  </w:style>
  <w:style w:type="paragraph" w:styleId="Subtitle">
    <w:name w:val="Subtitle"/>
    <w:basedOn w:val="Normal"/>
    <w:next w:val="Normal"/>
    <w:link w:val="SubtitleChar"/>
    <w:uiPriority w:val="11"/>
    <w:qFormat/>
    <w:rsid w:val="00B92B6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92B6C"/>
    <w:rPr>
      <w:rFonts w:eastAsiaTheme="minorEastAsia"/>
      <w:color w:val="5A5A5A" w:themeColor="text1" w:themeTint="A5"/>
      <w:spacing w:val="15"/>
    </w:rPr>
  </w:style>
  <w:style w:type="paragraph" w:customStyle="1" w:styleId="FootnoteText1">
    <w:name w:val="Footnote Text1"/>
    <w:basedOn w:val="Normal"/>
    <w:next w:val="FootnoteText"/>
    <w:link w:val="FootnoteTextChar"/>
    <w:uiPriority w:val="99"/>
    <w:semiHidden/>
    <w:unhideWhenUsed/>
    <w:rsid w:val="00B92B6C"/>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1"/>
    <w:uiPriority w:val="99"/>
    <w:semiHidden/>
    <w:rsid w:val="00B92B6C"/>
    <w:rPr>
      <w:sz w:val="20"/>
      <w:szCs w:val="20"/>
    </w:rPr>
  </w:style>
  <w:style w:type="character" w:styleId="FootnoteReference">
    <w:name w:val="footnote reference"/>
    <w:basedOn w:val="DefaultParagraphFont"/>
    <w:uiPriority w:val="99"/>
    <w:semiHidden/>
    <w:unhideWhenUsed/>
    <w:rsid w:val="00B92B6C"/>
    <w:rPr>
      <w:vertAlign w:val="superscript"/>
    </w:rPr>
  </w:style>
  <w:style w:type="paragraph" w:styleId="FootnoteText">
    <w:name w:val="footnote text"/>
    <w:basedOn w:val="Normal"/>
    <w:link w:val="FootnoteTextChar1"/>
    <w:uiPriority w:val="99"/>
    <w:semiHidden/>
    <w:unhideWhenUsed/>
    <w:rsid w:val="00B92B6C"/>
    <w:rPr>
      <w:sz w:val="20"/>
      <w:szCs w:val="20"/>
    </w:rPr>
  </w:style>
  <w:style w:type="character" w:customStyle="1" w:styleId="FootnoteTextChar1">
    <w:name w:val="Footnote Text Char1"/>
    <w:basedOn w:val="DefaultParagraphFont"/>
    <w:link w:val="FootnoteText"/>
    <w:uiPriority w:val="99"/>
    <w:semiHidden/>
    <w:rsid w:val="00B92B6C"/>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D46292"/>
    <w:rPr>
      <w:sz w:val="16"/>
      <w:szCs w:val="16"/>
    </w:rPr>
  </w:style>
  <w:style w:type="paragraph" w:styleId="CommentText">
    <w:name w:val="annotation text"/>
    <w:basedOn w:val="Normal"/>
    <w:link w:val="CommentTextChar"/>
    <w:uiPriority w:val="99"/>
    <w:unhideWhenUsed/>
    <w:rsid w:val="00D46292"/>
    <w:rPr>
      <w:sz w:val="20"/>
      <w:szCs w:val="20"/>
    </w:rPr>
  </w:style>
  <w:style w:type="character" w:customStyle="1" w:styleId="CommentTextChar">
    <w:name w:val="Comment Text Char"/>
    <w:basedOn w:val="DefaultParagraphFont"/>
    <w:link w:val="CommentText"/>
    <w:uiPriority w:val="99"/>
    <w:rsid w:val="00D4629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46292"/>
    <w:rPr>
      <w:b/>
      <w:bCs/>
    </w:rPr>
  </w:style>
  <w:style w:type="character" w:customStyle="1" w:styleId="CommentSubjectChar">
    <w:name w:val="Comment Subject Char"/>
    <w:basedOn w:val="CommentTextChar"/>
    <w:link w:val="CommentSubject"/>
    <w:uiPriority w:val="99"/>
    <w:semiHidden/>
    <w:rsid w:val="00D46292"/>
    <w:rPr>
      <w:rFonts w:ascii="Times New Roman" w:eastAsia="Times New Roman" w:hAnsi="Times New Roman" w:cs="Times New Roman"/>
      <w:b/>
      <w:bCs/>
      <w:sz w:val="20"/>
      <w:szCs w:val="20"/>
    </w:rPr>
  </w:style>
  <w:style w:type="table" w:styleId="TableGrid">
    <w:name w:val="Table Grid"/>
    <w:basedOn w:val="TableNormal"/>
    <w:uiPriority w:val="59"/>
    <w:rsid w:val="003F0F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2FF6"/>
    <w:pPr>
      <w:ind w:left="720"/>
      <w:contextualSpacing/>
    </w:pPr>
  </w:style>
  <w:style w:type="paragraph" w:styleId="Revision">
    <w:name w:val="Revision"/>
    <w:hidden/>
    <w:uiPriority w:val="99"/>
    <w:semiHidden/>
    <w:rsid w:val="00EA0AB7"/>
    <w:pPr>
      <w:spacing w:after="0"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EA0BAB"/>
  </w:style>
  <w:style w:type="table" w:customStyle="1" w:styleId="TableGrid1">
    <w:name w:val="Table Grid1"/>
    <w:basedOn w:val="TableNormal"/>
    <w:next w:val="TableGrid"/>
    <w:uiPriority w:val="39"/>
    <w:rsid w:val="003462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4370E"/>
    <w:rPr>
      <w:color w:val="605E5C"/>
      <w:shd w:val="clear" w:color="auto" w:fill="E1DFDD"/>
    </w:rPr>
  </w:style>
  <w:style w:type="character" w:styleId="Mention">
    <w:name w:val="Mention"/>
    <w:basedOn w:val="DefaultParagraphFont"/>
    <w:uiPriority w:val="99"/>
    <w:unhideWhenUsed/>
    <w:rsid w:val="009142B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0" ma:contentTypeDescription="Create a new document." ma:contentTypeScope="" ma:versionID="597ef1db6ad4445b16ea943f93ee58fb">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48fb616470835541036b75cd4b76faeb"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dae0f925-a78b-4f93-b0e5-451dcac5f217">QPVJESM53SK4-1767020924-61797</_dlc_DocId>
    <_dlc_DocIdUrl xmlns="dae0f925-a78b-4f93-b0e5-451dcac5f217">
      <Url>https://nih.sharepoint.com/sites/HRSA-HSB/Team/dot/_layouts/15/DocIdRedir.aspx?ID=QPVJESM53SK4-1767020924-61797</Url>
      <Description>QPVJESM53SK4-1767020924-61797</Description>
    </_dlc_DocIdUrl>
    <_dlc_DocIdPersistId xmlns="dae0f925-a78b-4f93-b0e5-451dcac5f217" xsi:nil="true"/>
    <SharedWithUsers xmlns="dae0f925-a78b-4f93-b0e5-451dcac5f217">
      <UserInfo>
        <DisplayName>Tuschl, Eileen</DisplayName>
        <AccountId>24</AccountId>
        <AccountType/>
      </UserInfo>
      <UserInfo>
        <DisplayName>Kissinger, Jillian</DisplayName>
        <AccountId>650</AccountId>
        <AccountType/>
      </UserInfo>
      <UserInfo>
        <DisplayName>Meyers, Stephanie</DisplayName>
        <AccountId>981</AccountId>
        <AccountType/>
      </UserInfo>
      <UserInfo>
        <DisplayName>Bingham-Tyson, Clare</DisplayName>
        <AccountId>994</AccountId>
        <AccountType/>
      </UserInfo>
    </SharedWithUsers>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23F02D-0C66-448F-93F0-4A55349BA243}">
  <ds:schemaRefs>
    <ds:schemaRef ds:uri="http://schemas.openxmlformats.org/officeDocument/2006/bibliography"/>
  </ds:schemaRefs>
</ds:datastoreItem>
</file>

<file path=customXml/itemProps2.xml><?xml version="1.0" encoding="utf-8"?>
<ds:datastoreItem xmlns:ds="http://schemas.openxmlformats.org/officeDocument/2006/customXml" ds:itemID="{0E98435D-457E-4098-9FCB-406BEED533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dae0f925-a78b-4f93-b0e5-451dcac5f217"/>
    <ds:schemaRef ds:uri="6fecf0f2-feef-4eb2-bbd5-7e9975a06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C76FBB-6048-4752-BD6E-DAC75FD21523}">
  <ds:schemaRefs>
    <ds:schemaRef ds:uri="http://schemas.microsoft.com/sharepoint/events"/>
  </ds:schemaRefs>
</ds:datastoreItem>
</file>

<file path=customXml/itemProps4.xml><?xml version="1.0" encoding="utf-8"?>
<ds:datastoreItem xmlns:ds="http://schemas.openxmlformats.org/officeDocument/2006/customXml" ds:itemID="{1E8CBF77-6372-4304-AA4D-BDF3FD9952C9}">
  <ds:schemaRefs>
    <ds:schemaRef ds:uri="http://schemas.microsoft.com/office/2006/metadata/properties"/>
    <ds:schemaRef ds:uri="dae0f925-a78b-4f93-b0e5-451dcac5f217"/>
    <ds:schemaRef ds:uri="http://schemas.microsoft.com/office/2006/documentManagement/types"/>
    <ds:schemaRef ds:uri="http://purl.org/dc/elements/1.1/"/>
    <ds:schemaRef ds:uri="http://purl.org/dc/terms/"/>
    <ds:schemaRef ds:uri="http://schemas.openxmlformats.org/package/2006/metadata/core-properties"/>
    <ds:schemaRef ds:uri="http://schemas.microsoft.com/office/infopath/2007/PartnerControls"/>
    <ds:schemaRef ds:uri="http://purl.org/dc/dcmitype/"/>
    <ds:schemaRef ds:uri="6fecf0f2-feef-4eb2-bbd5-7e9975a06720"/>
    <ds:schemaRef ds:uri="http://schemas.microsoft.com/sharepoint/v4"/>
    <ds:schemaRef ds:uri="http://schemas.microsoft.com/sharepoint/v3"/>
    <ds:schemaRef ds:uri="http://www.w3.org/XML/1998/namespace"/>
  </ds:schemaRefs>
</ds:datastoreItem>
</file>

<file path=customXml/itemProps5.xml><?xml version="1.0" encoding="utf-8"?>
<ds:datastoreItem xmlns:ds="http://schemas.openxmlformats.org/officeDocument/2006/customXml" ds:itemID="{B31FA58D-00DC-41A1-9F58-38753BD3A2B8}">
  <ds:schemaRefs>
    <ds:schemaRef ds:uri="http://schemas.microsoft.com/sharepoint/v3/contenttype/form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17</TotalTime>
  <Pages>7</Pages>
  <Words>1979</Words>
  <Characters>14503</Characters>
  <Application>Microsoft Office Word</Application>
  <DocSecurity>0</DocSecurity>
  <Lines>120</Lines>
  <Paragraphs>32</Paragraphs>
  <ScaleCrop>false</ScaleCrop>
  <HeadingPairs>
    <vt:vector size="2" baseType="variant">
      <vt:variant>
        <vt:lpstr>Title</vt:lpstr>
      </vt:variant>
      <vt:variant>
        <vt:i4>1</vt:i4>
      </vt:variant>
    </vt:vector>
  </HeadingPairs>
  <TitlesOfParts>
    <vt:vector size="1" baseType="lpstr">
      <vt:lpstr>change memo</vt:lpstr>
    </vt:vector>
  </TitlesOfParts>
  <Company>HRSA</Company>
  <LinksUpToDate>false</LinksUpToDate>
  <CharactersWithSpaces>16450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memo</dc:title>
  <dc:creator>Windows User</dc:creator>
  <cp:lastModifiedBy>HRSA</cp:lastModifiedBy>
  <cp:revision>5</cp:revision>
  <cp:lastPrinted>2015-10-27T13:28:00Z</cp:lastPrinted>
  <dcterms:created xsi:type="dcterms:W3CDTF">2024-07-23T17:55:00Z</dcterms:created>
  <dcterms:modified xsi:type="dcterms:W3CDTF">2024-07-24T14:02:00Z</dcterms:modified>
  <cp:category>Memo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0x010100B879FAF97F0CE24AAA514AA274B4430E</vt:lpwstr>
  </property>
  <property fmtid="{D5CDD505-2E9C-101B-9397-08002B2CF9AE}" pid="3" name="GrammarlyDocumentId">
    <vt:lpwstr>27fef6680571d91fa53a5d51d8a4fc0a5fff4ce66c556f91d2886f25bf8197a6</vt:lpwstr>
  </property>
  <property fmtid="{D5CDD505-2E9C-101B-9397-08002B2CF9AE}" pid="4" name="MediaServiceImageTags">
    <vt:lpwstr/>
  </property>
  <property fmtid="{D5CDD505-2E9C-101B-9397-08002B2CF9AE}" pid="5" name="_dlc_DocIdItemGuid">
    <vt:lpwstr>418e6dcb-44dc-43b1-99b1-8dd4b8e87085</vt:lpwstr>
  </property>
</Properties>
</file>