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F36DC">
      <w:pPr>
        <w:pStyle w:val="Heading1"/>
        <w:ind w:left="0"/>
        <w:jc w:val="center"/>
      </w:pPr>
      <w:r>
        <w:t>SUPPORTING STATEMENT</w:t>
      </w:r>
    </w:p>
    <w:p w:rsidR="000F36DC">
      <w:pPr>
        <w:spacing w:before="22" w:line="259" w:lineRule="auto"/>
        <w:ind w:firstLine="14"/>
        <w:jc w:val="center"/>
        <w:rPr>
          <w:b/>
        </w:rPr>
      </w:pPr>
      <w:r>
        <w:rPr>
          <w:b/>
        </w:rPr>
        <w:t>U.S. Department of Commerce</w:t>
      </w:r>
    </w:p>
    <w:p w:rsidR="000F36DC">
      <w:pPr>
        <w:spacing w:before="22" w:line="259" w:lineRule="auto"/>
        <w:ind w:firstLine="14"/>
        <w:jc w:val="center"/>
        <w:rPr>
          <w:b/>
        </w:rPr>
      </w:pPr>
      <w:r>
        <w:rPr>
          <w:b/>
        </w:rPr>
        <w:t>National Oceanic &amp; Atmospheric Administration</w:t>
      </w:r>
    </w:p>
    <w:p w:rsidR="00B5270A" w:rsidRPr="00B5270A">
      <w:pPr>
        <w:spacing w:line="259" w:lineRule="auto"/>
        <w:ind w:hanging="6"/>
        <w:jc w:val="center"/>
        <w:rPr>
          <w:b/>
          <w:color w:val="000000"/>
          <w:szCs w:val="20"/>
          <w:shd w:val="clear" w:color="auto" w:fill="FFFFFF"/>
        </w:rPr>
      </w:pPr>
      <w:r w:rsidRPr="00B5270A">
        <w:rPr>
          <w:b/>
          <w:color w:val="000000"/>
          <w:szCs w:val="20"/>
          <w:shd w:val="clear" w:color="auto" w:fill="FFFFFF"/>
        </w:rPr>
        <w:t>Recreational Angler Survey of Sea Turtle Interactions</w:t>
      </w:r>
    </w:p>
    <w:p w:rsidR="000F36DC">
      <w:pPr>
        <w:spacing w:line="259" w:lineRule="auto"/>
        <w:ind w:hanging="6"/>
        <w:jc w:val="center"/>
        <w:rPr>
          <w:b/>
        </w:rPr>
      </w:pPr>
      <w:r>
        <w:rPr>
          <w:b/>
        </w:rPr>
        <w:t>OMB Control No. 0648-0774</w:t>
      </w:r>
    </w:p>
    <w:p w:rsidR="000F36DC">
      <w:pPr>
        <w:pBdr>
          <w:top w:val="nil"/>
          <w:left w:val="nil"/>
          <w:bottom w:val="nil"/>
          <w:right w:val="nil"/>
          <w:between w:val="nil"/>
        </w:pBdr>
        <w:spacing w:before="1"/>
        <w:jc w:val="center"/>
        <w:rPr>
          <w:b/>
          <w:color w:val="000000"/>
        </w:rPr>
      </w:pPr>
    </w:p>
    <w:p w:rsidR="000F36DC">
      <w:pPr>
        <w:spacing w:before="1" w:line="398" w:lineRule="auto"/>
        <w:rPr>
          <w:b/>
        </w:rPr>
      </w:pPr>
      <w:r>
        <w:rPr>
          <w:b/>
          <w:color w:val="000000"/>
        </w:rPr>
        <w:t>SUPPORTING STATEMENT PART A</w:t>
      </w:r>
      <w:r>
        <w:rPr>
          <w:b/>
          <w:color w:val="1F497D"/>
        </w:rPr>
        <w:t xml:space="preserve"> - </w:t>
      </w:r>
    </w:p>
    <w:p w:rsidR="000F36DC">
      <w:pPr>
        <w:pStyle w:val="Heading1"/>
        <w:spacing w:before="199"/>
        <w:ind w:left="0"/>
      </w:pPr>
      <w:r>
        <w:t>Abstract</w:t>
      </w:r>
    </w:p>
    <w:p w:rsidR="00A337D0" w:rsidRPr="00A337D0" w:rsidP="00A337D0">
      <w:pPr>
        <w:pStyle w:val="Heading1"/>
        <w:spacing w:before="124"/>
        <w:ind w:left="0" w:firstLine="400"/>
        <w:rPr>
          <w:b w:val="0"/>
        </w:rPr>
      </w:pPr>
      <w:r w:rsidRPr="00A337D0">
        <w:rPr>
          <w:b w:val="0"/>
        </w:rPr>
        <w:t>NOAA’s National Marine Fisheries Service (NOAA Fisheries) proposes to revise and extend a current information collection designed to assess the extent of hook and line interactions between recreational anglers on piers and other shore-based fishing locatio</w:t>
      </w:r>
      <w:r w:rsidRPr="00A337D0">
        <w:rPr>
          <w:b w:val="0"/>
        </w:rPr>
        <w:t>ns and sea turtles. The collection comprises an Angler Intercept Survey, a Fishing Site Characterization Form, and a Survey Cover Sheet. The Angler Intercept Survey will be verbally administered on piers and shore-based fishing locations within NOAA Fisher</w:t>
      </w:r>
      <w:r w:rsidRPr="00A337D0">
        <w:rPr>
          <w:b w:val="0"/>
        </w:rPr>
        <w:t>ies Greater Atlantic Region and Southeast Region, and will be administered to approximately 20,000 individual recreational fishermen. The respondents will be verbally asked a series of questions about their fishing practices and observations of sea turtles</w:t>
      </w:r>
      <w:r w:rsidRPr="00A337D0">
        <w:rPr>
          <w:b w:val="0"/>
        </w:rPr>
        <w:t xml:space="preserve"> and the interviewer will record their answers. The survey will also assess the feasibility of an intercept survey for this purpose in terms of response rates and data collection. The Fishing Site Characterization Form will be completed by the survey admin</w:t>
      </w:r>
      <w:r w:rsidRPr="00A337D0">
        <w:rPr>
          <w:b w:val="0"/>
        </w:rPr>
        <w:t>istrator at each fishing location and collects information on the structure and operation of the pier or shore-based fishing location.  The Site Characterization Sheet will be completed by the survey administrator during each survey period and collects inf</w:t>
      </w:r>
      <w:r w:rsidRPr="00A337D0">
        <w:rPr>
          <w:b w:val="0"/>
        </w:rPr>
        <w:t>ormation on the environmental conditions for that particular day, the number of anglers fishing, number of lines in the water, and the number of surveys completed. The collection previously included a Sea Turtle Incidental Capture Form. This form will be r</w:t>
      </w:r>
      <w:r w:rsidRPr="00A337D0">
        <w:rPr>
          <w:b w:val="0"/>
        </w:rPr>
        <w:t xml:space="preserve">emoved from this collection and is now included in the National Sea Turtle Stranding &amp; Salvage Network Stranding &amp; Gear Interaction Data Collection (0648-0496). </w:t>
      </w:r>
    </w:p>
    <w:p w:rsidR="000F36DC" w:rsidRPr="00A337D0" w:rsidP="00A337D0">
      <w:pPr>
        <w:pStyle w:val="Heading1"/>
        <w:spacing w:before="124"/>
        <w:ind w:left="0" w:firstLine="400"/>
        <w:rPr>
          <w:b w:val="0"/>
        </w:rPr>
      </w:pPr>
      <w:r w:rsidRPr="00A337D0">
        <w:rPr>
          <w:b w:val="0"/>
        </w:rPr>
        <w:t>Collection of data on sea turtle interactions in the shore-based recreational fishing sector i</w:t>
      </w:r>
      <w:r w:rsidRPr="00A337D0">
        <w:rPr>
          <w:b w:val="0"/>
        </w:rPr>
        <w:t>s necessary to fulfill statutory requirements of the Endangered Species Act (16 U.S.C. 1531 et. seq.). This collection will allow NOAA Fisheries obtain specific information about recreational piers (defined here to include piers and other shore-based struc</w:t>
      </w:r>
      <w:r w:rsidRPr="00A337D0">
        <w:rPr>
          <w:b w:val="0"/>
        </w:rPr>
        <w:t>tures), the anglers that fish on piers, the nature of interactions between pier-based anglers and sea turtles, as well as to determine specific factors that may influence the rate of interactions. NOAA Fisheries can use the information collected to evaluat</w:t>
      </w:r>
      <w:r w:rsidRPr="00A337D0">
        <w:rPr>
          <w:b w:val="0"/>
        </w:rPr>
        <w:t>e the impact of these interactions on sea turtle populations and determine conservation measures that can be implemented to reduce interactions and support the conservation and recovery of endangered and threatened sea turtle populations.</w:t>
      </w:r>
    </w:p>
    <w:p w:rsidR="000F36DC">
      <w:pPr>
        <w:pStyle w:val="Heading1"/>
        <w:spacing w:before="124"/>
        <w:ind w:left="0"/>
      </w:pPr>
      <w:r>
        <w:t>Justification</w:t>
      </w:r>
    </w:p>
    <w:p w:rsidR="000F36DC">
      <w:pPr>
        <w:numPr>
          <w:ilvl w:val="0"/>
          <w:numId w:val="1"/>
        </w:numPr>
        <w:pBdr>
          <w:top w:val="nil"/>
          <w:left w:val="nil"/>
          <w:bottom w:val="nil"/>
          <w:right w:val="nil"/>
          <w:between w:val="nil"/>
        </w:pBdr>
        <w:tabs>
          <w:tab w:val="left" w:pos="360"/>
        </w:tabs>
        <w:spacing w:before="182" w:line="259" w:lineRule="auto"/>
        <w:ind w:left="0" w:firstLine="0"/>
        <w:rPr>
          <w:b/>
          <w:color w:val="000000"/>
        </w:rPr>
      </w:pPr>
      <w:r>
        <w:rPr>
          <w:b/>
          <w:color w:val="000000"/>
        </w:rPr>
        <w:t>Explain the circumstances that make the collection of information necessary. Identify any legal or administrative requirements that necessitate the collection. Attach a copy of the appropriate section of each statute and regulation mandating or authorizing</w:t>
      </w:r>
      <w:r>
        <w:rPr>
          <w:b/>
          <w:color w:val="000000"/>
        </w:rPr>
        <w:t xml:space="preserve"> the collection of information.</w:t>
      </w:r>
    </w:p>
    <w:p w:rsidR="000F36DC">
      <w:pPr>
        <w:rPr>
          <w:color w:val="2F5496"/>
        </w:rPr>
      </w:pPr>
    </w:p>
    <w:p w:rsidR="000F36DC">
      <w:r>
        <w:t>The National Oceanic and Atmospheric Administration’s National Marine Fisheries Service (NOAA Fisheries) plans to implement a survey design and directly assess the extent of and factors surrounding interactions between pier</w:t>
      </w:r>
      <w:r>
        <w:t xml:space="preserve"> and other shore-based recreational anglers and sea turtles. Each year, the Sea Turtle Stranding and Salvage Network (STSSN) documents incidentally captured sea turtles at recreational piers along the Atlantic and Gulf of Mexico coasts. Over 4,100 incident</w:t>
      </w:r>
      <w:r>
        <w:t xml:space="preserve">al captures have been documented by the STSSN between 2008 and 2023. However, these reports are </w:t>
      </w:r>
      <w:r w:rsidR="00D92BCA">
        <w:t>opportunistic, likely only represent a portion of the hook,</w:t>
      </w:r>
      <w:r>
        <w:t xml:space="preserve"> and line interactions that are occurring, and the STSSN does </w:t>
      </w:r>
      <w:r>
        <w:t>not collect information related to fish</w:t>
      </w:r>
      <w:r>
        <w:t>ing practices that may influence the likelihood of capture. This collection is necessary to obtain specific information about recreational piers (defined here to include piers and other shore-based structures), the anglers that fish on piers, the nature of</w:t>
      </w:r>
      <w:r>
        <w:t xml:space="preserve"> interactions between pier-based anglers and sea turtles, as well as to determine specific factors that may influence the rate of interactions. NOAA Fisheries can use this information to evaluate the impact this sector has on sea turtle populations and det</w:t>
      </w:r>
      <w:r>
        <w:t xml:space="preserve">ermine conservation measures (voluntary or required) that can be implemented to reduce interactions. This collection (0648-0774) was approved in 2018, however due to the Covid-19 pandemic and delayed funding, the survey was not implemented.     </w:t>
      </w:r>
    </w:p>
    <w:p w:rsidR="000F36DC"/>
    <w:p w:rsidR="000F36DC">
      <w:r>
        <w:t>Collectio</w:t>
      </w:r>
      <w:r>
        <w:t xml:space="preserve">n of these data on sea turtle interactions in the shore-based recreational fishing sector is necessary to fulfill statutory requirements of the </w:t>
      </w:r>
      <w:hyperlink r:id="rId5">
        <w:r>
          <w:rPr>
            <w:color w:val="1155CC"/>
            <w:u w:val="single"/>
          </w:rPr>
          <w:t>Endangered Species Act</w:t>
        </w:r>
      </w:hyperlink>
      <w:r>
        <w:t xml:space="preserve"> (16 U.S.C. 1</w:t>
      </w:r>
      <w:r>
        <w:t>531</w:t>
      </w:r>
      <w:r>
        <w:rPr>
          <w:u w:val="single"/>
        </w:rPr>
        <w:t xml:space="preserve"> et</w:t>
      </w:r>
      <w:r>
        <w:t xml:space="preserve">. </w:t>
      </w:r>
      <w:r>
        <w:rPr>
          <w:u w:val="single"/>
        </w:rPr>
        <w:t>seq</w:t>
      </w:r>
      <w:r>
        <w:t xml:space="preserve">.), complete Section 7 analyses, and inform management decisions, and will provide necessary data for the conservation and recovery of endangered and threatened sea turtle populations.  </w:t>
      </w:r>
    </w:p>
    <w:p w:rsidR="000F36DC"/>
    <w:p w:rsidR="000F36DC">
      <w:pPr>
        <w:rPr>
          <w:b/>
          <w:color w:val="2F5496"/>
          <w:u w:val="single"/>
        </w:rPr>
      </w:pPr>
      <w:r>
        <w:t>Additionally, NOAA was approved to receive funding throug</w:t>
      </w:r>
      <w:r>
        <w:t>h Deepwater Horizon Oil Spill Natural Resource Damage Assessment Restoration. A project titled, “</w:t>
      </w:r>
      <w:hyperlink r:id="rId6">
        <w:r>
          <w:rPr>
            <w:color w:val="1155CC"/>
            <w:u w:val="single"/>
          </w:rPr>
          <w:t>Reducing Sea Turtle Bycatch at Recreational Fishing Sites</w:t>
        </w:r>
      </w:hyperlink>
      <w:r>
        <w:t>” has been funded by the</w:t>
      </w:r>
      <w:hyperlink r:id="rId7">
        <w:r>
          <w:rPr>
            <w:color w:val="1155CC"/>
            <w:u w:val="single"/>
          </w:rPr>
          <w:t xml:space="preserve"> </w:t>
        </w:r>
        <w:r w:rsidR="00D92BCA">
          <w:rPr>
            <w:color w:val="1155CC"/>
            <w:u w:val="single"/>
          </w:rPr>
          <w:t>Region wide</w:t>
        </w:r>
        <w:r>
          <w:rPr>
            <w:color w:val="1155CC"/>
            <w:u w:val="single"/>
          </w:rPr>
          <w:t xml:space="preserve"> Trustee Implementation Group</w:t>
        </w:r>
      </w:hyperlink>
      <w:r>
        <w:t>. The project will provide funds to implement angler surveys for up to 2 years in each of the 5 Gulf of Mexico states to better</w:t>
      </w:r>
      <w:r>
        <w:t xml:space="preserve"> understand co-factors related to shore-based hook and line bycatch of sea turtles</w:t>
      </w:r>
      <w:r>
        <w:rPr>
          <w:color w:val="38761D"/>
        </w:rPr>
        <w:t>.</w:t>
      </w:r>
    </w:p>
    <w:p w:rsidR="000F36DC">
      <w:pPr>
        <w:rPr>
          <w:b/>
          <w:color w:val="2F5496"/>
          <w:u w:val="single"/>
        </w:rPr>
      </w:pPr>
    </w:p>
    <w:p w:rsidR="000F36DC">
      <w:pPr>
        <w:pStyle w:val="Heading1"/>
        <w:numPr>
          <w:ilvl w:val="0"/>
          <w:numId w:val="1"/>
        </w:numPr>
        <w:tabs>
          <w:tab w:val="left" w:pos="360"/>
        </w:tabs>
        <w:spacing w:before="197"/>
        <w:ind w:left="0" w:firstLine="0"/>
      </w:pPr>
      <w:r>
        <w:t>Indicate how, by whom, and for what purpose the information is to be used. Except for a new collection, indicate the actual use the agency has made of the information rece</w:t>
      </w:r>
      <w:r>
        <w:t>ived from the current collection.</w:t>
      </w:r>
    </w:p>
    <w:p w:rsidR="000F36DC">
      <w:pPr>
        <w:widowControl/>
        <w:rPr>
          <w:color w:val="2F5496"/>
        </w:rPr>
      </w:pPr>
    </w:p>
    <w:p w:rsidR="000F36DC">
      <w:pPr>
        <w:widowControl/>
      </w:pPr>
      <w:r>
        <w:t>NOAA Fisheries protected species managers to evaluate the impacts of recreational fishing on sea turtle populations and identify co-factors contributing to shore-based recreational bycatch with the goal of understanding i</w:t>
      </w:r>
      <w:r>
        <w:t>f changes to fishing practices can be implemented to reduce bycatch will use the sea turtle interaction data that will be collected via this survey collection</w:t>
      </w:r>
      <w:r w:rsidR="003140D4">
        <w:t xml:space="preserve">. The survey will be administered in a maximum of ten states (Atlantic and Gulf of Mexico). The number of states and the number of surveys completed in each state will be funding dependent. </w:t>
      </w:r>
    </w:p>
    <w:p w:rsidR="000F36DC">
      <w:pPr>
        <w:widowControl/>
      </w:pPr>
    </w:p>
    <w:p w:rsidR="000F36DC">
      <w:pPr>
        <w:widowControl/>
      </w:pPr>
      <w:r>
        <w:t xml:space="preserve">The collection “Recreational Angler Survey of Sea Turtle Interactions” has </w:t>
      </w:r>
      <w:r w:rsidR="009E74D0">
        <w:t>three</w:t>
      </w:r>
      <w:r>
        <w:t xml:space="preserve"> survey forms included within it</w:t>
      </w:r>
      <w:r w:rsidR="009E74D0">
        <w:t xml:space="preserve"> (5 </w:t>
      </w:r>
      <w:r w:rsidR="00B97EB6">
        <w:t>documents</w:t>
      </w:r>
      <w:r w:rsidR="009E74D0">
        <w:t xml:space="preserve"> </w:t>
      </w:r>
      <w:r w:rsidR="00B97EB6">
        <w:t xml:space="preserve">in total </w:t>
      </w:r>
      <w:r w:rsidR="009E74D0">
        <w:t xml:space="preserve">if you </w:t>
      </w:r>
      <w:r w:rsidR="00B97EB6">
        <w:t>consider</w:t>
      </w:r>
      <w:r w:rsidR="009E74D0">
        <w:t xml:space="preserve"> the Survey Design &amp; Instruction </w:t>
      </w:r>
      <w:r w:rsidR="00B97EB6">
        <w:t>forms</w:t>
      </w:r>
      <w:r w:rsidR="009E74D0">
        <w:t>)</w:t>
      </w:r>
      <w:r>
        <w:t xml:space="preserve">.  </w:t>
      </w:r>
    </w:p>
    <w:p w:rsidR="000F36DC"/>
    <w:p w:rsidR="000F36DC">
      <w:pPr>
        <w:ind w:right="533"/>
      </w:pPr>
      <w:r>
        <w:t xml:space="preserve">Form 1: Fishing Site Characterization Form </w:t>
      </w:r>
    </w:p>
    <w:p w:rsidR="000F36DC">
      <w:pPr>
        <w:ind w:right="533"/>
      </w:pPr>
      <w:r>
        <w:t xml:space="preserve">Form 2: Survey Cover Sheet </w:t>
      </w:r>
    </w:p>
    <w:p w:rsidR="000F36DC">
      <w:pPr>
        <w:ind w:right="533"/>
      </w:pPr>
      <w:bookmarkStart w:id="0" w:name="_heading=h.30j0zll" w:colFirst="0" w:colLast="0"/>
      <w:bookmarkEnd w:id="0"/>
      <w:r>
        <w:t>Form 3: Angler Intercept Survey</w:t>
      </w:r>
    </w:p>
    <w:p w:rsidR="000F36DC">
      <w:pPr>
        <w:ind w:right="533"/>
      </w:pPr>
    </w:p>
    <w:p w:rsidR="000F36DC">
      <w:pPr>
        <w:ind w:right="533"/>
      </w:pPr>
      <w:r>
        <w:t xml:space="preserve">Form 1: Fishing Site Characterization Form: </w:t>
      </w:r>
    </w:p>
    <w:p w:rsidR="000F36DC">
      <w:pPr>
        <w:ind w:right="533"/>
      </w:pPr>
      <w:r>
        <w:t xml:space="preserve">Survey administrators throughout the Atlantic and Gulf of Mexico coasts </w:t>
      </w:r>
      <w:r>
        <w:t>will complete this form</w:t>
      </w:r>
      <w:r w:rsidR="003140D4">
        <w:t xml:space="preserve">. The intention is for this form to be filled out one time only for each pier location that is included within the survey. The purpose of the form is to collect specific information on the structure and operation of the pier, including the length and shape of the pier, staffing, signage, depth of water, lighting, and other features.  </w:t>
      </w:r>
    </w:p>
    <w:p w:rsidR="000F36DC"/>
    <w:p w:rsidR="000F36DC">
      <w:pPr>
        <w:ind w:right="533"/>
      </w:pPr>
      <w:r>
        <w:t xml:space="preserve">Form 2: Survey Cover Sheet: </w:t>
      </w:r>
    </w:p>
    <w:p w:rsidR="000F36DC">
      <w:r>
        <w:t>Survey administrators throughout the Atlantic and Gulf of Mexico coasts will complete this form</w:t>
      </w:r>
      <w:r w:rsidR="003140D4">
        <w:t xml:space="preserve">. This form would be filled out at each pier location visited for each observation/survey session.  It provides general information on the environmental conditions for that particular day, the number of anglers fishing, number of lines in the water, and the number of surveys completed for that site.  </w:t>
      </w:r>
    </w:p>
    <w:p w:rsidR="000F36DC">
      <w:r>
        <w:t xml:space="preserve"> </w:t>
      </w:r>
    </w:p>
    <w:p w:rsidR="000F36DC">
      <w:pPr>
        <w:ind w:right="533"/>
      </w:pPr>
      <w:r>
        <w:t xml:space="preserve">Form 3: Angler Intercept Survey: </w:t>
      </w:r>
    </w:p>
    <w:p w:rsidR="000F36DC">
      <w:pPr>
        <w:ind w:right="533"/>
      </w:pPr>
      <w:r>
        <w:t>This form will be verbally administered to anglers fishing during the survey period. The form is broken into three parts. The first part asks about angler fishing practices that day, including bait an</w:t>
      </w:r>
      <w:r>
        <w:t>d gear type, length of time fishing, target catch, and other fishing habits.  Part 2 asks for information on if the angler has observed sea turtles in the past, and while fishing at that particular site. Part 3 asks for information about the most recent se</w:t>
      </w:r>
      <w:r>
        <w:t>a turtle capture, if applicable.  This section asks for information on the nature of the interactions - if the turtle was hooked and/or entangled, where on the body it was hooked, if the hook and line were removed, how much line was remaining on the turtle</w:t>
      </w:r>
      <w:r>
        <w:t xml:space="preserve">, and if it was released alive or dead. </w:t>
      </w:r>
      <w:r w:rsidR="00D92BCA">
        <w:t>NOAA Fisheries protected species managers to better understand the factors (e.g., hook type, bait type, time of day) that may influence the rate of interactions between sea turtles and recreational fishing gear will use all of this information</w:t>
      </w:r>
      <w:r>
        <w:t xml:space="preserve">. The data collected will also allow us to understand the baseline number of interactions that occur.  </w:t>
      </w:r>
    </w:p>
    <w:p w:rsidR="000F36DC">
      <w:pPr>
        <w:ind w:right="533"/>
      </w:pPr>
    </w:p>
    <w:p w:rsidR="000F36DC">
      <w:pPr>
        <w:ind w:right="533"/>
      </w:pPr>
      <w:r>
        <w:t>Additionally, instructions and survey design guidance are included within the collection to assist with standardized data co</w:t>
      </w:r>
      <w:r>
        <w:t xml:space="preserve">llection.  </w:t>
      </w:r>
    </w:p>
    <w:p w:rsidR="000F36DC">
      <w:pPr>
        <w:ind w:right="533"/>
      </w:pPr>
    </w:p>
    <w:p w:rsidR="000F36DC">
      <w:pPr>
        <w:ind w:right="533"/>
      </w:pPr>
      <w:r>
        <w:t>Analysis of the data collected from this survey will be used in agency documents, such as ESA Section 7 Biological Opinions and other regulatory documents, reports, and will be published in scientific literature as appropriate. These documents</w:t>
      </w:r>
      <w:r>
        <w:t xml:space="preserve"> are disseminated to the public. NOAA Fisheries will retain control over the information and safeguard it from improper access, modification, and destruction, consistent with NOAA standards for confidentiality, privacy, and electronic information. See resp</w:t>
      </w:r>
      <w:r>
        <w:t xml:space="preserve">onse to Question 10 of this Supporting Statement for more information on confidentiality and privacy. The information collection is designed to yield data that meet all applicable information quality guidelines. Should NOAA Fisheries decide to disseminate </w:t>
      </w:r>
      <w:r>
        <w:t xml:space="preserve">the information, it will be subject to the quality control measures and pre-dissemination review pursuant to </w:t>
      </w:r>
      <w:hyperlink r:id="rId8">
        <w:r>
          <w:rPr>
            <w:color w:val="1155CC"/>
            <w:u w:val="single"/>
          </w:rPr>
          <w:t>Section 515 of Public Law 106-554</w:t>
        </w:r>
      </w:hyperlink>
      <w:r>
        <w:t xml:space="preserve">.  </w:t>
      </w:r>
    </w:p>
    <w:p w:rsidR="000F36DC">
      <w:pPr>
        <w:ind w:right="533"/>
      </w:pPr>
    </w:p>
    <w:p w:rsidR="000F36DC">
      <w:r>
        <w:t>Due to the Covid-19 pandemic and del</w:t>
      </w:r>
      <w:r>
        <w:t xml:space="preserve">ayed funding, the survey has not been implemented with the expectation of a pilot study in North Carolina in 2023 where 71 surveys were conducted at </w:t>
      </w:r>
      <w:r w:rsidR="00D92BCA">
        <w:t>three</w:t>
      </w:r>
      <w:r>
        <w:t xml:space="preserve"> sites. The findings from this pilot study will allow design an efficient and appropriate strategy for</w:t>
      </w:r>
      <w:r>
        <w:t xml:space="preserve"> full implementation of the survey at 10 sites in North Carolina in the next three years. </w:t>
      </w:r>
    </w:p>
    <w:p w:rsidR="000F36DC">
      <w:pPr>
        <w:pBdr>
          <w:top w:val="nil"/>
          <w:left w:val="nil"/>
          <w:bottom w:val="nil"/>
          <w:right w:val="nil"/>
          <w:between w:val="nil"/>
        </w:pBdr>
        <w:tabs>
          <w:tab w:val="left" w:pos="360"/>
        </w:tabs>
        <w:spacing w:before="199"/>
        <w:rPr>
          <w:b/>
        </w:rPr>
      </w:pPr>
    </w:p>
    <w:p w:rsidR="000F36DC">
      <w:pPr>
        <w:numPr>
          <w:ilvl w:val="0"/>
          <w:numId w:val="1"/>
        </w:numPr>
        <w:pBdr>
          <w:top w:val="nil"/>
          <w:left w:val="nil"/>
          <w:bottom w:val="nil"/>
          <w:right w:val="nil"/>
          <w:between w:val="nil"/>
        </w:pBdr>
        <w:tabs>
          <w:tab w:val="left" w:pos="360"/>
        </w:tabs>
        <w:spacing w:before="199"/>
        <w:ind w:left="0" w:firstLine="0"/>
        <w:rPr>
          <w:b/>
          <w:color w:val="000000"/>
        </w:rPr>
      </w:pPr>
      <w:r>
        <w:rPr>
          <w:b/>
          <w:color w:val="000000"/>
        </w:rPr>
        <w:t xml:space="preserve">Describe whether, and to what extent, the collection of information involves the use of automated, electronic, mechanical, or other technological collection </w:t>
      </w:r>
      <w:r>
        <w:rPr>
          <w:b/>
          <w:color w:val="000000"/>
        </w:rPr>
        <w:t>techniques or other forms of information technology, e.g. permitting electronic submission of responses, and the basis for the decision for adopting this means of collection. Also, describe any consideration of using information technology to reduce burden</w:t>
      </w:r>
      <w:r>
        <w:rPr>
          <w:b/>
          <w:color w:val="000000"/>
        </w:rPr>
        <w:t>.</w:t>
      </w:r>
    </w:p>
    <w:p w:rsidR="000F36DC"/>
    <w:p w:rsidR="000F36DC">
      <w:r>
        <w:t xml:space="preserve">The angler survey will be completed using verbal responses from the public (recreational fishers). The survey administrators will fill out the forms. In some cases, the forms may be filled out electronically on-site through use of a laptop or tablet, </w:t>
      </w:r>
      <w:r>
        <w:t>but again, the survey administrator will fill out the form based on the verbal answers. This survey is designed so that each respondent only needs to complete the survey one time. Since the survey will be completed in person, there is no need for the surve</w:t>
      </w:r>
      <w:r>
        <w:t xml:space="preserve">y participants to print, mail, or electronically submit any portion of this survey. </w:t>
      </w:r>
    </w:p>
    <w:p w:rsidR="000F36DC"/>
    <w:p w:rsidR="000F36DC">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 xml:space="preserve">Describe efforts to identify duplication. Show specifically why any similar information already </w:t>
      </w:r>
      <w:r>
        <w:rPr>
          <w:b/>
          <w:color w:val="000000"/>
        </w:rPr>
        <w:t>available cannot be used or modified for use for the purposes described in</w:t>
      </w:r>
      <w:r>
        <w:rPr>
          <w:b/>
          <w:color w:val="000000"/>
        </w:rPr>
        <w:t xml:space="preserve"> Question 2</w:t>
      </w:r>
    </w:p>
    <w:p w:rsidR="000F36DC">
      <w:pPr>
        <w:rPr>
          <w:color w:val="38761D"/>
        </w:rPr>
      </w:pPr>
    </w:p>
    <w:p w:rsidR="000F36DC">
      <w:r>
        <w:t>We are not aware of any other wide-scale efforts to systematically collect data on sea turtle interactions with the pier/shore-based recreational fishing sector along the Atlantic and Gulf of Mexico coasts. Individual STSSN facilities have con</w:t>
      </w:r>
      <w:r>
        <w:t xml:space="preserve">ducted small-scale surveys of their specific response area to gather information on pier interactions, but these efforts have been disjointed and specific to their particular need. The public reports hook and line interactions to the STSSN. The percentage </w:t>
      </w:r>
      <w:r>
        <w:t xml:space="preserve">of interactions that are reported is unknown. The STSSN then responds to the event. The STSSN collects data on the animal </w:t>
      </w:r>
      <w:r w:rsidR="00D92BCA">
        <w:t>morphometries</w:t>
      </w:r>
      <w:r>
        <w:t xml:space="preserve">, injuries, and many </w:t>
      </w:r>
      <w:r w:rsidR="00D92BCA">
        <w:t>responders</w:t>
      </w:r>
      <w:r>
        <w:t xml:space="preserve"> use a standardized incidental capture form (part of OMB Control Number 0648-0496). The in</w:t>
      </w:r>
      <w:r>
        <w:t xml:space="preserve">cidental capture form is not a duplication of the Angler Survey, but rather it is intended to complement the data collected through the Angler Survey, to allow NOAA to better determine co-factors influencing sea turtle bycatch. NOAA Fisheries is currently </w:t>
      </w:r>
      <w:r>
        <w:t xml:space="preserve">operating the Access-Point Angler Intercept Survey (APAIS) in the Southeast Atlantic and Gulf of Mexico, OMB Control Number 0648-0659; </w:t>
      </w:r>
      <w:r w:rsidR="00D92BCA">
        <w:t>however,</w:t>
      </w:r>
      <w:r>
        <w:t xml:space="preserve"> this survey only collects information on the fishing experience, including the fishing gear used and the target </w:t>
      </w:r>
      <w:r>
        <w:t xml:space="preserve">catch, not on interactions with sea turtles.  </w:t>
      </w:r>
    </w:p>
    <w:p w:rsidR="000F36DC">
      <w:pPr>
        <w:pBdr>
          <w:top w:val="nil"/>
          <w:left w:val="nil"/>
          <w:bottom w:val="nil"/>
          <w:right w:val="nil"/>
          <w:between w:val="nil"/>
        </w:pBdr>
        <w:spacing w:before="161"/>
        <w:rPr>
          <w:color w:val="1F497D"/>
        </w:rPr>
      </w:pPr>
    </w:p>
    <w:p w:rsidR="000F36DC">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If the collection of information impacts small businesses or other small entities, describe any methods used to minimize burden.</w:t>
      </w:r>
    </w:p>
    <w:p w:rsidR="000F36DC">
      <w:pPr>
        <w:rPr>
          <w:color w:val="38761D"/>
        </w:rPr>
      </w:pPr>
    </w:p>
    <w:p w:rsidR="000F36DC">
      <w:r>
        <w:t>No small businesses will be impacted</w:t>
      </w:r>
      <w:r>
        <w:t xml:space="preserve"> by this collection. The survey will target only individuals who recreationally fish on piers.</w:t>
      </w:r>
    </w:p>
    <w:p w:rsidR="000F36DC">
      <w:pPr>
        <w:pBdr>
          <w:top w:val="nil"/>
          <w:left w:val="nil"/>
          <w:bottom w:val="nil"/>
          <w:right w:val="nil"/>
          <w:between w:val="nil"/>
        </w:pBdr>
        <w:spacing w:before="160"/>
        <w:rPr>
          <w:color w:val="2F5496"/>
        </w:rPr>
      </w:pPr>
    </w:p>
    <w:p w:rsidR="000F36DC">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Describe the consequence to Federal program or policy activities if the collection is not conducted or is conducted less frequently, as well as any technical or</w:t>
      </w:r>
      <w:r>
        <w:rPr>
          <w:b/>
          <w:color w:val="000000"/>
        </w:rPr>
        <w:t xml:space="preserve"> legal obstacles to reducing burden.</w:t>
      </w:r>
    </w:p>
    <w:p w:rsidR="000F36DC">
      <w:pPr>
        <w:pBdr>
          <w:top w:val="nil"/>
          <w:left w:val="nil"/>
          <w:bottom w:val="nil"/>
          <w:right w:val="nil"/>
          <w:between w:val="nil"/>
        </w:pBdr>
        <w:spacing w:before="115"/>
        <w:rPr>
          <w:color w:val="2F5496"/>
        </w:rPr>
      </w:pPr>
    </w:p>
    <w:p w:rsidR="000F36DC">
      <w:r>
        <w:t>Failure to conduct this collection will cause a continued shortfall of data regarding the interactions between sea turtles and pier/shore-based recreational anglers. These data are critical to meet NOAA Fisheries manda</w:t>
      </w:r>
      <w:r>
        <w:t>tes under the ESA to monitor and reduce the bycatch of sea turtles. Failure to implement the data collection will delay the Agency’s effort to develop and implement the ESA Section 7 program, as well as to develop management measures to reduce bycatch in t</w:t>
      </w:r>
      <w:r>
        <w:t xml:space="preserve">his sector. </w:t>
      </w:r>
    </w:p>
    <w:p w:rsidR="000F36DC"/>
    <w:p w:rsidR="000F36DC">
      <w:r>
        <w:t>Additionally, as mentioned above, NOAA has recently received approval to conduct a project as part of the Deepwater Horizon Oil Spill Natural Resource Damage Assessment and Restoration process. The project would provide funding for up to 2 ye</w:t>
      </w:r>
      <w:r>
        <w:t xml:space="preserve">ars of angler surveys in each of the </w:t>
      </w:r>
      <w:r w:rsidR="00D92BCA">
        <w:t>five</w:t>
      </w:r>
      <w:r>
        <w:t xml:space="preserve"> Gulf of Mexico states. NOAA is the lead implementing Trustee for the project and will be required to complete this project and report on the findings. </w:t>
      </w:r>
    </w:p>
    <w:p w:rsidR="000F36DC">
      <w:pPr>
        <w:pBdr>
          <w:top w:val="nil"/>
          <w:left w:val="nil"/>
          <w:bottom w:val="nil"/>
          <w:right w:val="nil"/>
          <w:between w:val="nil"/>
        </w:pBdr>
        <w:spacing w:before="115"/>
        <w:rPr>
          <w:color w:val="2F5496"/>
        </w:rPr>
      </w:pPr>
    </w:p>
    <w:p w:rsidR="000F36DC">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Explain any special circumstances that would cause an informa</w:t>
      </w:r>
      <w:r>
        <w:rPr>
          <w:b/>
          <w:color w:val="000000"/>
        </w:rPr>
        <w:t>tion collection to be conducted in a manner inconsistent with OMB guidelines.</w:t>
      </w:r>
    </w:p>
    <w:p w:rsidR="000F36DC">
      <w:pPr>
        <w:rPr>
          <w:b/>
          <w:color w:val="1F497D"/>
        </w:rPr>
      </w:pPr>
    </w:p>
    <w:p w:rsidR="000F36DC">
      <w:r>
        <w:t xml:space="preserve">The collection is consistent with OMB guidelines. </w:t>
      </w:r>
    </w:p>
    <w:p w:rsidR="000F36DC">
      <w:pPr>
        <w:pBdr>
          <w:top w:val="nil"/>
          <w:left w:val="nil"/>
          <w:bottom w:val="nil"/>
          <w:right w:val="nil"/>
          <w:between w:val="nil"/>
        </w:pBdr>
        <w:spacing w:before="80"/>
        <w:rPr>
          <w:color w:val="2F5496"/>
        </w:rPr>
      </w:pPr>
    </w:p>
    <w:p w:rsidR="000F36DC">
      <w:pPr>
        <w:pBdr>
          <w:top w:val="nil"/>
          <w:left w:val="nil"/>
          <w:bottom w:val="nil"/>
          <w:right w:val="nil"/>
          <w:between w:val="nil"/>
        </w:pBdr>
        <w:spacing w:before="80"/>
        <w:rPr>
          <w:color w:val="2F5496"/>
        </w:rPr>
      </w:pPr>
    </w:p>
    <w:p w:rsidR="000F36DC">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 xml:space="preserve">If applicable, provide a copy and identify the date and page number of publications in the Federal Register of the agency's notice, required by 5 CFR 1320.8 (d), soliciting comments on the </w:t>
      </w:r>
      <w:r>
        <w:rPr>
          <w:b/>
          <w:color w:val="000000"/>
        </w:rPr>
        <w:t>information collection prior to submission to OMB. Summarize public</w:t>
      </w:r>
      <w:r>
        <w:rPr>
          <w:b/>
          <w:color w:val="000000"/>
        </w:rPr>
        <w:t xml:space="preserve"> comments received in response to that notice and describe actions taken by the agency in response to these comments. Specifically address comments received on cost and hour burden.</w:t>
      </w:r>
    </w:p>
    <w:p w:rsidR="000F36DC">
      <w:pPr>
        <w:rPr>
          <w:color w:val="38761D"/>
        </w:rPr>
      </w:pPr>
    </w:p>
    <w:p w:rsidR="000F36DC">
      <w:r>
        <w:t>A Federal Register Notice published on July 30, 2024 (89 FR 61063) solici</w:t>
      </w:r>
      <w:r>
        <w:t xml:space="preserve">ted public comment on this collection. One comment was received. The commenter was concerned with proposed costs to taxpayers to implement the survey. We recognize this concern, however these data are critical to meet NOAA Fisheries mandates under the ESA </w:t>
      </w:r>
      <w:r>
        <w:t xml:space="preserve">to monitor and reduce the bycatch of sea turtles. </w:t>
      </w:r>
    </w:p>
    <w:p w:rsidR="000F36DC"/>
    <w:p w:rsidR="000F36DC">
      <w:pPr>
        <w:rPr>
          <w:color w:val="38761D"/>
        </w:rPr>
      </w:pPr>
      <w:bookmarkStart w:id="1" w:name="_GoBack"/>
      <w:bookmarkEnd w:id="1"/>
    </w:p>
    <w:p w:rsidR="000F36DC">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Explain any decision to provide any p</w:t>
      </w:r>
      <w:r>
        <w:rPr>
          <w:b/>
          <w:color w:val="000000"/>
        </w:rPr>
        <w:t>ayment or gift to respondents, other than remuneration of contractors or grantees.</w:t>
      </w:r>
    </w:p>
    <w:p w:rsidR="000F36DC">
      <w:pPr>
        <w:rPr>
          <w:color w:val="38761D"/>
        </w:rPr>
      </w:pPr>
    </w:p>
    <w:p w:rsidR="000F36DC">
      <w:r>
        <w:t xml:space="preserve">This data collection will not include any incentives to prospective respondents.  </w:t>
      </w:r>
    </w:p>
    <w:p w:rsidR="000F36DC">
      <w:pPr>
        <w:pBdr>
          <w:top w:val="nil"/>
          <w:left w:val="nil"/>
          <w:bottom w:val="nil"/>
          <w:right w:val="nil"/>
          <w:between w:val="nil"/>
        </w:pBdr>
        <w:spacing w:before="161"/>
        <w:rPr>
          <w:color w:val="2F5496"/>
        </w:rPr>
      </w:pPr>
    </w:p>
    <w:p w:rsidR="000F36DC">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Describe any assurance of confidentiality provided to respondents and the basis for the assurance in statute, regulation, or agency policy. If the collection requires a systems of records notice (SORN) or privacy impact assessment (PIA), those should be ci</w:t>
      </w:r>
      <w:r>
        <w:rPr>
          <w:b/>
          <w:color w:val="000000"/>
        </w:rPr>
        <w:t>ted and described here.</w:t>
      </w:r>
    </w:p>
    <w:p w:rsidR="000F36DC">
      <w:pPr>
        <w:pBdr>
          <w:top w:val="nil"/>
          <w:left w:val="nil"/>
          <w:bottom w:val="nil"/>
          <w:right w:val="nil"/>
          <w:between w:val="nil"/>
        </w:pBdr>
        <w:tabs>
          <w:tab w:val="left" w:pos="360"/>
        </w:tabs>
        <w:spacing w:before="80"/>
        <w:ind w:left="400"/>
        <w:rPr>
          <w:b/>
        </w:rPr>
      </w:pPr>
    </w:p>
    <w:p w:rsidR="000F36DC">
      <w:r>
        <w:t>Participation in this survey is voluntary and no PII will be collected.  The information collected will be protected and kept anonymous if released. The Privacy Act does not apply.</w:t>
      </w:r>
    </w:p>
    <w:p w:rsidR="000F36DC">
      <w:pPr>
        <w:rPr>
          <w:color w:val="38761D"/>
        </w:rPr>
      </w:pPr>
    </w:p>
    <w:p w:rsidR="000F36DC">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Provide additional justification for any question</w:t>
      </w:r>
      <w:r>
        <w:rPr>
          <w:b/>
          <w:color w:val="000000"/>
        </w:rPr>
        <w:t>s of a sensitive nature, such as sexual behavior or attitudes, religious beliefs, and other matters that are commonly considered private. This justification should include the reasons why the agency considers the questions necessary, the specific uses to b</w:t>
      </w:r>
      <w:r>
        <w:rPr>
          <w:b/>
          <w:color w:val="000000"/>
        </w:rPr>
        <w:t>e made of the information, the explanation to be given to persons from whom the information is requested, and any steps to be taken to obtain their consent.</w:t>
      </w:r>
    </w:p>
    <w:p w:rsidR="000F36DC">
      <w:pPr>
        <w:spacing w:line="259" w:lineRule="auto"/>
        <w:rPr>
          <w:color w:val="2F5496"/>
        </w:rPr>
      </w:pPr>
    </w:p>
    <w:p w:rsidR="000F36DC">
      <w:pPr>
        <w:sectPr>
          <w:footerReference w:type="default" r:id="rId9"/>
          <w:pgSz w:w="12240" w:h="15840"/>
          <w:pgMar w:top="640" w:right="1080" w:bottom="1200" w:left="1080" w:header="0" w:footer="714" w:gutter="0"/>
          <w:pgNumType w:start="1"/>
          <w:cols w:space="720"/>
        </w:sectPr>
      </w:pPr>
      <w:r>
        <w:t xml:space="preserve">No sensitive questions are asked. </w:t>
      </w:r>
    </w:p>
    <w:p w:rsidR="000F36DC">
      <w:pPr>
        <w:spacing w:line="259" w:lineRule="auto"/>
        <w:rPr>
          <w:color w:val="2F5496"/>
        </w:rPr>
      </w:pPr>
    </w:p>
    <w:p w:rsidR="000F36DC">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Provide estimates of the hour burden of the collection of information.</w:t>
      </w:r>
    </w:p>
    <w:p w:rsidR="000F36DC" w:rsidP="00046C35">
      <w:pPr>
        <w:pBdr>
          <w:top w:val="nil"/>
          <w:left w:val="nil"/>
          <w:bottom w:val="nil"/>
          <w:right w:val="nil"/>
          <w:between w:val="nil"/>
        </w:pBdr>
        <w:tabs>
          <w:tab w:val="left" w:pos="360"/>
        </w:tabs>
        <w:spacing w:before="80"/>
        <w:ind w:left="131"/>
        <w:rPr>
          <w:b/>
        </w:rPr>
      </w:pPr>
    </w:p>
    <w:tbl>
      <w:tblPr>
        <w:tblStyle w:val="ad"/>
        <w:tblW w:w="14415" w:type="dxa"/>
        <w:jc w:val="center"/>
        <w:tblLayout w:type="fixed"/>
        <w:tblLook w:val="0400"/>
      </w:tblPr>
      <w:tblGrid>
        <w:gridCol w:w="2470"/>
        <w:gridCol w:w="1800"/>
        <w:gridCol w:w="1710"/>
        <w:gridCol w:w="1440"/>
        <w:gridCol w:w="1440"/>
        <w:gridCol w:w="1340"/>
        <w:gridCol w:w="1185"/>
        <w:gridCol w:w="1440"/>
        <w:gridCol w:w="1590"/>
      </w:tblGrid>
      <w:tr w:rsidTr="00D92BCA">
        <w:tblPrEx>
          <w:tblW w:w="14415" w:type="dxa"/>
          <w:jc w:val="center"/>
          <w:tblLayout w:type="fixed"/>
          <w:tblLook w:val="0400"/>
        </w:tblPrEx>
        <w:trPr>
          <w:trHeight w:val="1365"/>
          <w:jc w:val="center"/>
        </w:trPr>
        <w:tc>
          <w:tcPr>
            <w:tcW w:w="2470" w:type="dxa"/>
            <w:tcBorders>
              <w:top w:val="single" w:sz="8" w:space="0" w:color="000000"/>
              <w:left w:val="single" w:sz="8" w:space="0" w:color="000000"/>
              <w:bottom w:val="single" w:sz="8" w:space="0" w:color="000000"/>
              <w:right w:val="single" w:sz="8" w:space="0" w:color="000000"/>
            </w:tcBorders>
            <w:shd w:val="clear" w:color="auto" w:fill="BDD7EE"/>
            <w:vAlign w:val="center"/>
          </w:tcPr>
          <w:p w:rsidR="000F36DC">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Information Collection</w:t>
            </w:r>
          </w:p>
        </w:tc>
        <w:tc>
          <w:tcPr>
            <w:tcW w:w="1800" w:type="dxa"/>
            <w:tcBorders>
              <w:top w:val="single" w:sz="8" w:space="0" w:color="000000"/>
              <w:left w:val="nil"/>
              <w:bottom w:val="single" w:sz="8" w:space="0" w:color="000000"/>
              <w:right w:val="single" w:sz="8" w:space="0" w:color="000000"/>
            </w:tcBorders>
            <w:shd w:val="clear" w:color="auto" w:fill="BDD7EE"/>
            <w:vAlign w:val="center"/>
          </w:tcPr>
          <w:p w:rsidR="000F36DC">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Type of Respondent (e.g., Occupational Title)</w:t>
            </w:r>
          </w:p>
        </w:tc>
        <w:tc>
          <w:tcPr>
            <w:tcW w:w="1710" w:type="dxa"/>
            <w:tcBorders>
              <w:top w:val="single" w:sz="8" w:space="0" w:color="000000"/>
              <w:left w:val="nil"/>
              <w:bottom w:val="single" w:sz="8" w:space="0" w:color="000000"/>
              <w:right w:val="single" w:sz="8" w:space="0" w:color="000000"/>
            </w:tcBorders>
            <w:shd w:val="clear" w:color="auto" w:fill="BDD7EE"/>
            <w:vAlign w:val="center"/>
          </w:tcPr>
          <w:p w:rsidR="000F36DC">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 of Respondents/year</w:t>
            </w:r>
            <w:r>
              <w:rPr>
                <w:rFonts w:ascii="Calibri" w:eastAsia="Calibri" w:hAnsi="Calibri" w:cs="Calibri"/>
                <w:b/>
                <w:color w:val="000000"/>
                <w:sz w:val="16"/>
                <w:szCs w:val="16"/>
              </w:rPr>
              <w:br/>
              <w:t>(a)</w:t>
            </w:r>
          </w:p>
        </w:tc>
        <w:tc>
          <w:tcPr>
            <w:tcW w:w="1440" w:type="dxa"/>
            <w:tcBorders>
              <w:top w:val="single" w:sz="8" w:space="0" w:color="000000"/>
              <w:left w:val="nil"/>
              <w:bottom w:val="single" w:sz="8" w:space="0" w:color="000000"/>
              <w:right w:val="single" w:sz="8" w:space="0" w:color="000000"/>
            </w:tcBorders>
            <w:shd w:val="clear" w:color="auto" w:fill="BDD7EE"/>
            <w:vAlign w:val="center"/>
          </w:tcPr>
          <w:p w:rsidR="000F36DC">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Annual # of Responses / Respondent</w:t>
            </w:r>
            <w:r>
              <w:rPr>
                <w:rFonts w:ascii="Calibri" w:eastAsia="Calibri" w:hAnsi="Calibri" w:cs="Calibri"/>
                <w:b/>
                <w:color w:val="000000"/>
                <w:sz w:val="16"/>
                <w:szCs w:val="16"/>
              </w:rPr>
              <w:br/>
              <w:t>(b)</w:t>
            </w:r>
          </w:p>
        </w:tc>
        <w:tc>
          <w:tcPr>
            <w:tcW w:w="1440" w:type="dxa"/>
            <w:tcBorders>
              <w:top w:val="single" w:sz="8" w:space="0" w:color="000000"/>
              <w:left w:val="nil"/>
              <w:bottom w:val="single" w:sz="8" w:space="0" w:color="000000"/>
              <w:right w:val="single" w:sz="8" w:space="0" w:color="000000"/>
            </w:tcBorders>
            <w:shd w:val="clear" w:color="auto" w:fill="BDD7EE"/>
            <w:vAlign w:val="center"/>
          </w:tcPr>
          <w:p w:rsidR="000F36DC">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 xml:space="preserve"> Total # of Annual Responses</w:t>
            </w:r>
            <w:r>
              <w:rPr>
                <w:rFonts w:ascii="Calibri" w:eastAsia="Calibri" w:hAnsi="Calibri" w:cs="Calibri"/>
                <w:b/>
                <w:color w:val="000000"/>
                <w:sz w:val="16"/>
                <w:szCs w:val="16"/>
              </w:rPr>
              <w:br/>
              <w:t>(c) = (a) x (b)</w:t>
            </w:r>
          </w:p>
        </w:tc>
        <w:tc>
          <w:tcPr>
            <w:tcW w:w="1340" w:type="dxa"/>
            <w:tcBorders>
              <w:top w:val="single" w:sz="8" w:space="0" w:color="000000"/>
              <w:left w:val="nil"/>
              <w:bottom w:val="single" w:sz="8" w:space="0" w:color="000000"/>
              <w:right w:val="single" w:sz="8" w:space="0" w:color="000000"/>
            </w:tcBorders>
            <w:shd w:val="clear" w:color="auto" w:fill="BDD7EE"/>
            <w:vAlign w:val="center"/>
          </w:tcPr>
          <w:p w:rsidR="000F36DC">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Burden Hrs / Response</w:t>
            </w:r>
            <w:r>
              <w:rPr>
                <w:rFonts w:ascii="Calibri" w:eastAsia="Calibri" w:hAnsi="Calibri" w:cs="Calibri"/>
                <w:b/>
                <w:color w:val="000000"/>
                <w:sz w:val="16"/>
                <w:szCs w:val="16"/>
              </w:rPr>
              <w:br/>
              <w:t>(d)</w:t>
            </w:r>
          </w:p>
        </w:tc>
        <w:tc>
          <w:tcPr>
            <w:tcW w:w="1185" w:type="dxa"/>
            <w:tcBorders>
              <w:top w:val="single" w:sz="8" w:space="0" w:color="000000"/>
              <w:left w:val="nil"/>
              <w:bottom w:val="single" w:sz="8" w:space="0" w:color="000000"/>
              <w:right w:val="single" w:sz="8" w:space="0" w:color="000000"/>
            </w:tcBorders>
            <w:shd w:val="clear" w:color="auto" w:fill="BDD7EE"/>
            <w:vAlign w:val="center"/>
          </w:tcPr>
          <w:p w:rsidR="000F36DC">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Total Annual Burden Hrs</w:t>
            </w:r>
            <w:r>
              <w:rPr>
                <w:rFonts w:ascii="Calibri" w:eastAsia="Calibri" w:hAnsi="Calibri" w:cs="Calibri"/>
                <w:b/>
                <w:color w:val="000000"/>
                <w:sz w:val="16"/>
                <w:szCs w:val="16"/>
              </w:rPr>
              <w:br/>
              <w:t>(e)  = (c) x (d)</w:t>
            </w:r>
          </w:p>
        </w:tc>
        <w:tc>
          <w:tcPr>
            <w:tcW w:w="1440" w:type="dxa"/>
            <w:tcBorders>
              <w:top w:val="single" w:sz="8" w:space="0" w:color="000000"/>
              <w:left w:val="nil"/>
              <w:bottom w:val="single" w:sz="8" w:space="0" w:color="000000"/>
              <w:right w:val="single" w:sz="8" w:space="0" w:color="000000"/>
            </w:tcBorders>
            <w:shd w:val="clear" w:color="auto" w:fill="BDD7EE"/>
            <w:vAlign w:val="center"/>
          </w:tcPr>
          <w:p w:rsidR="000F36DC">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Hourly Wage Rate  (for Type of Respondent)</w:t>
            </w:r>
            <w:r>
              <w:rPr>
                <w:rFonts w:ascii="Calibri" w:eastAsia="Calibri" w:hAnsi="Calibri" w:cs="Calibri"/>
                <w:b/>
                <w:color w:val="000000"/>
                <w:sz w:val="16"/>
                <w:szCs w:val="16"/>
              </w:rPr>
              <w:br/>
              <w:t>(f)</w:t>
            </w:r>
          </w:p>
        </w:tc>
        <w:tc>
          <w:tcPr>
            <w:tcW w:w="1590" w:type="dxa"/>
            <w:tcBorders>
              <w:top w:val="single" w:sz="8" w:space="0" w:color="000000"/>
              <w:left w:val="nil"/>
              <w:bottom w:val="single" w:sz="8" w:space="0" w:color="000000"/>
              <w:right w:val="single" w:sz="8" w:space="0" w:color="000000"/>
            </w:tcBorders>
            <w:shd w:val="clear" w:color="auto" w:fill="BDD7EE"/>
            <w:vAlign w:val="center"/>
          </w:tcPr>
          <w:p w:rsidR="000F36DC">
            <w:pPr>
              <w:widowControl/>
              <w:ind w:right="-30"/>
              <w:jc w:val="center"/>
              <w:rPr>
                <w:rFonts w:ascii="Calibri" w:eastAsia="Calibri" w:hAnsi="Calibri" w:cs="Calibri"/>
                <w:b/>
                <w:color w:val="000000"/>
                <w:sz w:val="16"/>
                <w:szCs w:val="16"/>
              </w:rPr>
            </w:pPr>
            <w:r>
              <w:rPr>
                <w:rFonts w:ascii="Calibri" w:eastAsia="Calibri" w:hAnsi="Calibri" w:cs="Calibri"/>
                <w:b/>
                <w:color w:val="000000"/>
                <w:sz w:val="16"/>
                <w:szCs w:val="16"/>
              </w:rPr>
              <w:t>Total Annual Wage Burden Costs</w:t>
            </w:r>
            <w:r>
              <w:rPr>
                <w:rFonts w:ascii="Calibri" w:eastAsia="Calibri" w:hAnsi="Calibri" w:cs="Calibri"/>
                <w:b/>
                <w:color w:val="000000"/>
                <w:sz w:val="16"/>
                <w:szCs w:val="16"/>
              </w:rPr>
              <w:br/>
              <w:t>(g) = (e) x (f)</w:t>
            </w:r>
          </w:p>
        </w:tc>
      </w:tr>
      <w:tr w:rsidTr="00D92BCA">
        <w:tblPrEx>
          <w:tblW w:w="14415" w:type="dxa"/>
          <w:jc w:val="center"/>
          <w:tblLayout w:type="fixed"/>
          <w:tblLook w:val="0400"/>
        </w:tblPrEx>
        <w:trPr>
          <w:trHeight w:val="300"/>
          <w:jc w:val="center"/>
        </w:trPr>
        <w:tc>
          <w:tcPr>
            <w:tcW w:w="2470" w:type="dxa"/>
            <w:tcBorders>
              <w:top w:val="nil"/>
              <w:left w:val="single" w:sz="8" w:space="0" w:color="000000"/>
              <w:bottom w:val="single" w:sz="4" w:space="0" w:color="000000"/>
              <w:right w:val="single" w:sz="4" w:space="0" w:color="000000"/>
            </w:tcBorders>
            <w:shd w:val="clear" w:color="auto" w:fill="auto"/>
            <w:vAlign w:val="bottom"/>
          </w:tcPr>
          <w:p w:rsidR="000F36DC">
            <w:pPr>
              <w:widowControl/>
              <w:rPr>
                <w:rFonts w:ascii="Calibri" w:eastAsia="Calibri" w:hAnsi="Calibri" w:cs="Calibri"/>
                <w:color w:val="000000"/>
                <w:sz w:val="16"/>
                <w:szCs w:val="16"/>
              </w:rPr>
            </w:pPr>
            <w:r>
              <w:rPr>
                <w:rFonts w:ascii="Calibri" w:eastAsia="Calibri" w:hAnsi="Calibri" w:cs="Calibri"/>
                <w:color w:val="000000"/>
                <w:sz w:val="16"/>
                <w:szCs w:val="16"/>
              </w:rPr>
              <w:t> </w:t>
            </w:r>
            <w:r>
              <w:rPr>
                <w:rFonts w:ascii="Calibri" w:eastAsia="Calibri" w:hAnsi="Calibri" w:cs="Calibri"/>
                <w:sz w:val="16"/>
                <w:szCs w:val="16"/>
              </w:rPr>
              <w:t>Angler Intercept Survey</w:t>
            </w:r>
          </w:p>
        </w:tc>
        <w:tc>
          <w:tcPr>
            <w:tcW w:w="1800" w:type="dxa"/>
            <w:tcBorders>
              <w:top w:val="nil"/>
              <w:left w:val="nil"/>
              <w:bottom w:val="single" w:sz="4" w:space="0" w:color="000000"/>
              <w:right w:val="single" w:sz="4" w:space="0" w:color="000000"/>
            </w:tcBorders>
            <w:shd w:val="clear" w:color="auto" w:fill="auto"/>
            <w:vAlign w:val="bottom"/>
          </w:tcPr>
          <w:p w:rsidR="000F36DC">
            <w:pPr>
              <w:widowControl/>
              <w:jc w:val="center"/>
              <w:rPr>
                <w:rFonts w:ascii="Calibri" w:eastAsia="Calibri" w:hAnsi="Calibri" w:cs="Calibri"/>
                <w:color w:val="000000"/>
                <w:sz w:val="16"/>
                <w:szCs w:val="16"/>
              </w:rPr>
            </w:pPr>
            <w:r>
              <w:rPr>
                <w:rFonts w:ascii="Calibri" w:eastAsia="Calibri" w:hAnsi="Calibri" w:cs="Calibri"/>
                <w:sz w:val="16"/>
                <w:szCs w:val="16"/>
              </w:rPr>
              <w:t>Public</w:t>
            </w:r>
          </w:p>
        </w:tc>
        <w:tc>
          <w:tcPr>
            <w:tcW w:w="1710" w:type="dxa"/>
            <w:tcBorders>
              <w:top w:val="nil"/>
              <w:left w:val="nil"/>
              <w:bottom w:val="single" w:sz="4" w:space="0" w:color="000000"/>
              <w:right w:val="single" w:sz="4" w:space="0" w:color="000000"/>
            </w:tcBorders>
            <w:shd w:val="clear" w:color="auto" w:fill="auto"/>
            <w:vAlign w:val="bottom"/>
          </w:tcPr>
          <w:p w:rsidR="000F36DC">
            <w:pPr>
              <w:widowControl/>
              <w:jc w:val="right"/>
              <w:rPr>
                <w:rFonts w:ascii="Calibri" w:eastAsia="Calibri" w:hAnsi="Calibri" w:cs="Calibri"/>
                <w:color w:val="000000"/>
                <w:sz w:val="16"/>
                <w:szCs w:val="16"/>
              </w:rPr>
            </w:pPr>
            <w:r>
              <w:rPr>
                <w:rFonts w:ascii="Calibri" w:eastAsia="Calibri" w:hAnsi="Calibri" w:cs="Calibri"/>
                <w:sz w:val="16"/>
                <w:szCs w:val="16"/>
              </w:rPr>
              <w:t>6,667</w:t>
            </w:r>
            <w:r>
              <w:rPr>
                <w:rFonts w:ascii="Calibri" w:eastAsia="Calibri" w:hAnsi="Calibri" w:cs="Calibri"/>
                <w:color w:val="000000"/>
                <w:sz w:val="16"/>
                <w:szCs w:val="16"/>
              </w:rPr>
              <w:t> </w:t>
            </w:r>
          </w:p>
        </w:tc>
        <w:tc>
          <w:tcPr>
            <w:tcW w:w="1440" w:type="dxa"/>
            <w:tcBorders>
              <w:top w:val="nil"/>
              <w:left w:val="nil"/>
              <w:bottom w:val="single" w:sz="4" w:space="0" w:color="000000"/>
              <w:right w:val="single" w:sz="4" w:space="0" w:color="000000"/>
            </w:tcBorders>
            <w:shd w:val="clear" w:color="auto" w:fill="auto"/>
            <w:vAlign w:val="bottom"/>
          </w:tcPr>
          <w:p w:rsidR="000F36DC">
            <w:pPr>
              <w:widowControl/>
              <w:jc w:val="right"/>
              <w:rPr>
                <w:rFonts w:ascii="Calibri" w:eastAsia="Calibri" w:hAnsi="Calibri" w:cs="Calibri"/>
                <w:color w:val="000000"/>
                <w:sz w:val="16"/>
                <w:szCs w:val="16"/>
              </w:rPr>
            </w:pPr>
            <w:r>
              <w:rPr>
                <w:rFonts w:ascii="Calibri" w:eastAsia="Calibri" w:hAnsi="Calibri" w:cs="Calibri"/>
                <w:sz w:val="16"/>
                <w:szCs w:val="16"/>
              </w:rPr>
              <w:t>1</w:t>
            </w:r>
          </w:p>
        </w:tc>
        <w:tc>
          <w:tcPr>
            <w:tcW w:w="1440" w:type="dxa"/>
            <w:tcBorders>
              <w:top w:val="nil"/>
              <w:left w:val="nil"/>
              <w:bottom w:val="single" w:sz="4" w:space="0" w:color="000000"/>
              <w:right w:val="single" w:sz="4" w:space="0" w:color="000000"/>
            </w:tcBorders>
            <w:shd w:val="clear" w:color="auto" w:fill="auto"/>
            <w:vAlign w:val="bottom"/>
          </w:tcPr>
          <w:p w:rsidR="000F36DC">
            <w:pPr>
              <w:widowControl/>
              <w:jc w:val="right"/>
              <w:rPr>
                <w:rFonts w:ascii="Calibri" w:eastAsia="Calibri" w:hAnsi="Calibri" w:cs="Calibri"/>
                <w:color w:val="000000"/>
                <w:sz w:val="16"/>
                <w:szCs w:val="16"/>
              </w:rPr>
            </w:pPr>
            <w:r>
              <w:rPr>
                <w:rFonts w:ascii="Calibri" w:eastAsia="Calibri" w:hAnsi="Calibri" w:cs="Calibri"/>
                <w:sz w:val="16"/>
                <w:szCs w:val="16"/>
              </w:rPr>
              <w:t>6,667</w:t>
            </w:r>
          </w:p>
        </w:tc>
        <w:tc>
          <w:tcPr>
            <w:tcW w:w="1340" w:type="dxa"/>
            <w:tcBorders>
              <w:top w:val="nil"/>
              <w:left w:val="nil"/>
              <w:bottom w:val="single" w:sz="4" w:space="0" w:color="000000"/>
              <w:right w:val="single" w:sz="4" w:space="0" w:color="000000"/>
            </w:tcBorders>
            <w:shd w:val="clear" w:color="auto" w:fill="auto"/>
            <w:vAlign w:val="bottom"/>
          </w:tcPr>
          <w:p w:rsidR="000F36DC">
            <w:pPr>
              <w:widowControl/>
              <w:jc w:val="right"/>
              <w:rPr>
                <w:rFonts w:ascii="Calibri" w:eastAsia="Calibri" w:hAnsi="Calibri" w:cs="Calibri"/>
                <w:color w:val="000000"/>
                <w:sz w:val="16"/>
                <w:szCs w:val="16"/>
              </w:rPr>
            </w:pPr>
            <w:r>
              <w:rPr>
                <w:rFonts w:ascii="Calibri" w:eastAsia="Calibri" w:hAnsi="Calibri" w:cs="Calibri"/>
                <w:sz w:val="16"/>
                <w:szCs w:val="16"/>
              </w:rPr>
              <w:t>0.16667</w:t>
            </w:r>
            <w:r>
              <w:rPr>
                <w:rFonts w:ascii="Calibri" w:eastAsia="Calibri" w:hAnsi="Calibri" w:cs="Calibri"/>
                <w:color w:val="000000"/>
                <w:sz w:val="16"/>
                <w:szCs w:val="16"/>
              </w:rPr>
              <w:t> </w:t>
            </w:r>
          </w:p>
        </w:tc>
        <w:tc>
          <w:tcPr>
            <w:tcW w:w="1185" w:type="dxa"/>
            <w:tcBorders>
              <w:top w:val="nil"/>
              <w:left w:val="nil"/>
              <w:bottom w:val="single" w:sz="4" w:space="0" w:color="000000"/>
              <w:right w:val="single" w:sz="4" w:space="0" w:color="000000"/>
            </w:tcBorders>
            <w:shd w:val="clear" w:color="auto" w:fill="auto"/>
            <w:vAlign w:val="bottom"/>
          </w:tcPr>
          <w:p w:rsidR="000F36DC">
            <w:pPr>
              <w:widowControl/>
              <w:jc w:val="right"/>
              <w:rPr>
                <w:rFonts w:ascii="Calibri" w:eastAsia="Calibri" w:hAnsi="Calibri" w:cs="Calibri"/>
                <w:color w:val="000000"/>
                <w:sz w:val="16"/>
                <w:szCs w:val="16"/>
              </w:rPr>
            </w:pPr>
            <w:r>
              <w:rPr>
                <w:rFonts w:ascii="Calibri" w:eastAsia="Calibri" w:hAnsi="Calibri" w:cs="Calibri"/>
                <w:sz w:val="16"/>
                <w:szCs w:val="16"/>
              </w:rPr>
              <w:t>1,111</w:t>
            </w:r>
            <w:r w:rsidR="003140D4">
              <w:rPr>
                <w:rFonts w:ascii="Calibri" w:eastAsia="Calibri" w:hAnsi="Calibri" w:cs="Calibri"/>
                <w:color w:val="000000"/>
                <w:sz w:val="16"/>
                <w:szCs w:val="16"/>
              </w:rPr>
              <w:t> </w:t>
            </w:r>
          </w:p>
        </w:tc>
        <w:tc>
          <w:tcPr>
            <w:tcW w:w="1440" w:type="dxa"/>
            <w:tcBorders>
              <w:top w:val="nil"/>
              <w:left w:val="nil"/>
              <w:bottom w:val="single" w:sz="4" w:space="0" w:color="000000"/>
              <w:right w:val="single" w:sz="4" w:space="0" w:color="000000"/>
            </w:tcBorders>
            <w:shd w:val="clear" w:color="auto" w:fill="auto"/>
            <w:vAlign w:val="bottom"/>
          </w:tcPr>
          <w:p w:rsidR="000F36DC">
            <w:pPr>
              <w:widowControl/>
              <w:jc w:val="right"/>
              <w:rPr>
                <w:rFonts w:ascii="Calibri" w:eastAsia="Calibri" w:hAnsi="Calibri" w:cs="Calibri"/>
                <w:color w:val="000000"/>
                <w:sz w:val="16"/>
                <w:szCs w:val="16"/>
              </w:rPr>
            </w:pPr>
            <w:r>
              <w:rPr>
                <w:rFonts w:ascii="Calibri" w:eastAsia="Calibri" w:hAnsi="Calibri" w:cs="Calibri"/>
                <w:sz w:val="16"/>
                <w:szCs w:val="16"/>
              </w:rPr>
              <w:t>$31.80</w:t>
            </w:r>
            <w:r>
              <w:rPr>
                <w:rFonts w:ascii="Calibri" w:eastAsia="Calibri" w:hAnsi="Calibri" w:cs="Calibri"/>
                <w:color w:val="000000"/>
                <w:sz w:val="16"/>
                <w:szCs w:val="16"/>
              </w:rPr>
              <w:t> </w:t>
            </w:r>
          </w:p>
        </w:tc>
        <w:tc>
          <w:tcPr>
            <w:tcW w:w="1590" w:type="dxa"/>
            <w:tcBorders>
              <w:top w:val="nil"/>
              <w:left w:val="nil"/>
              <w:bottom w:val="single" w:sz="4" w:space="0" w:color="000000"/>
              <w:right w:val="single" w:sz="8" w:space="0" w:color="000000"/>
            </w:tcBorders>
            <w:shd w:val="clear" w:color="auto" w:fill="auto"/>
            <w:vAlign w:val="bottom"/>
          </w:tcPr>
          <w:p w:rsidR="000F36DC">
            <w:pPr>
              <w:widowControl/>
              <w:jc w:val="right"/>
              <w:rPr>
                <w:rFonts w:ascii="Calibri" w:eastAsia="Calibri" w:hAnsi="Calibri" w:cs="Calibri"/>
                <w:color w:val="000000"/>
                <w:sz w:val="16"/>
                <w:szCs w:val="16"/>
              </w:rPr>
            </w:pPr>
            <w:r>
              <w:rPr>
                <w:rFonts w:ascii="Calibri" w:eastAsia="Calibri" w:hAnsi="Calibri" w:cs="Calibri"/>
                <w:sz w:val="16"/>
                <w:szCs w:val="16"/>
              </w:rPr>
              <w:t>$35,361</w:t>
            </w:r>
            <w:r>
              <w:rPr>
                <w:rFonts w:ascii="Calibri" w:eastAsia="Calibri" w:hAnsi="Calibri" w:cs="Calibri"/>
                <w:color w:val="000000"/>
                <w:sz w:val="16"/>
                <w:szCs w:val="16"/>
              </w:rPr>
              <w:t> </w:t>
            </w:r>
          </w:p>
        </w:tc>
      </w:tr>
      <w:tr w:rsidTr="00D92BCA">
        <w:tblPrEx>
          <w:tblW w:w="14415" w:type="dxa"/>
          <w:jc w:val="center"/>
          <w:tblLayout w:type="fixed"/>
          <w:tblLook w:val="0400"/>
        </w:tblPrEx>
        <w:trPr>
          <w:trHeight w:val="615"/>
          <w:jc w:val="center"/>
        </w:trPr>
        <w:tc>
          <w:tcPr>
            <w:tcW w:w="2470" w:type="dxa"/>
            <w:tcBorders>
              <w:top w:val="nil"/>
              <w:left w:val="single" w:sz="8" w:space="0" w:color="000000"/>
              <w:bottom w:val="single" w:sz="8" w:space="0" w:color="000000"/>
              <w:right w:val="single" w:sz="8" w:space="0" w:color="000000"/>
            </w:tcBorders>
            <w:shd w:val="clear" w:color="auto" w:fill="DDEBF7"/>
            <w:vAlign w:val="bottom"/>
          </w:tcPr>
          <w:p w:rsidR="000F36DC">
            <w:pPr>
              <w:widowControl/>
              <w:rPr>
                <w:rFonts w:ascii="Calibri" w:eastAsia="Calibri" w:hAnsi="Calibri" w:cs="Calibri"/>
                <w:b/>
                <w:color w:val="000000"/>
              </w:rPr>
            </w:pPr>
            <w:r>
              <w:rPr>
                <w:rFonts w:ascii="Calibri" w:eastAsia="Calibri" w:hAnsi="Calibri" w:cs="Calibri"/>
                <w:b/>
                <w:color w:val="000000"/>
              </w:rPr>
              <w:t>Totals</w:t>
            </w:r>
          </w:p>
        </w:tc>
        <w:tc>
          <w:tcPr>
            <w:tcW w:w="1800" w:type="dxa"/>
            <w:tcBorders>
              <w:top w:val="nil"/>
              <w:left w:val="nil"/>
              <w:bottom w:val="single" w:sz="8" w:space="0" w:color="000000"/>
              <w:right w:val="single" w:sz="8" w:space="0" w:color="000000"/>
            </w:tcBorders>
            <w:shd w:val="clear" w:color="auto" w:fill="000000"/>
            <w:vAlign w:val="bottom"/>
          </w:tcPr>
          <w:p w:rsidR="000F36DC">
            <w:pPr>
              <w:widowControl/>
              <w:rPr>
                <w:rFonts w:ascii="Calibri" w:eastAsia="Calibri" w:hAnsi="Calibri" w:cs="Calibri"/>
                <w:b/>
                <w:color w:val="000000"/>
              </w:rPr>
            </w:pPr>
            <w:r>
              <w:rPr>
                <w:rFonts w:ascii="Calibri" w:eastAsia="Calibri" w:hAnsi="Calibri" w:cs="Calibri"/>
                <w:b/>
                <w:color w:val="000000"/>
              </w:rPr>
              <w:t> </w:t>
            </w:r>
          </w:p>
        </w:tc>
        <w:tc>
          <w:tcPr>
            <w:tcW w:w="1710" w:type="dxa"/>
            <w:tcBorders>
              <w:top w:val="nil"/>
              <w:left w:val="nil"/>
              <w:bottom w:val="single" w:sz="8" w:space="0" w:color="000000"/>
              <w:right w:val="single" w:sz="8" w:space="0" w:color="000000"/>
            </w:tcBorders>
            <w:shd w:val="clear" w:color="auto" w:fill="000000"/>
            <w:vAlign w:val="bottom"/>
          </w:tcPr>
          <w:p w:rsidR="000F36DC">
            <w:pPr>
              <w:widowControl/>
              <w:rPr>
                <w:rFonts w:ascii="Calibri" w:eastAsia="Calibri" w:hAnsi="Calibri" w:cs="Calibri"/>
                <w:b/>
                <w:color w:val="000000"/>
              </w:rPr>
            </w:pPr>
            <w:r>
              <w:rPr>
                <w:rFonts w:ascii="Calibri" w:eastAsia="Calibri" w:hAnsi="Calibri" w:cs="Calibri"/>
                <w:b/>
                <w:color w:val="000000"/>
              </w:rPr>
              <w:t> </w:t>
            </w:r>
          </w:p>
        </w:tc>
        <w:tc>
          <w:tcPr>
            <w:tcW w:w="1440" w:type="dxa"/>
            <w:tcBorders>
              <w:top w:val="nil"/>
              <w:left w:val="nil"/>
              <w:bottom w:val="single" w:sz="8" w:space="0" w:color="000000"/>
              <w:right w:val="single" w:sz="8" w:space="0" w:color="000000"/>
            </w:tcBorders>
            <w:shd w:val="clear" w:color="auto" w:fill="000000"/>
            <w:vAlign w:val="bottom"/>
          </w:tcPr>
          <w:p w:rsidR="000F36DC">
            <w:pPr>
              <w:widowControl/>
              <w:rPr>
                <w:rFonts w:ascii="Calibri" w:eastAsia="Calibri" w:hAnsi="Calibri" w:cs="Calibri"/>
                <w:b/>
                <w:color w:val="000000"/>
              </w:rPr>
            </w:pPr>
            <w:r>
              <w:rPr>
                <w:rFonts w:ascii="Calibri" w:eastAsia="Calibri" w:hAnsi="Calibri" w:cs="Calibri"/>
                <w:b/>
                <w:color w:val="000000"/>
              </w:rPr>
              <w:t> </w:t>
            </w:r>
          </w:p>
        </w:tc>
        <w:tc>
          <w:tcPr>
            <w:tcW w:w="1440" w:type="dxa"/>
            <w:tcBorders>
              <w:top w:val="nil"/>
              <w:left w:val="nil"/>
              <w:bottom w:val="single" w:sz="8" w:space="0" w:color="000000"/>
              <w:right w:val="single" w:sz="8" w:space="0" w:color="000000"/>
            </w:tcBorders>
            <w:shd w:val="clear" w:color="auto" w:fill="DDEBF7"/>
            <w:vAlign w:val="bottom"/>
          </w:tcPr>
          <w:p w:rsidR="000F36DC">
            <w:pPr>
              <w:widowControl/>
              <w:rPr>
                <w:rFonts w:ascii="Calibri" w:eastAsia="Calibri" w:hAnsi="Calibri" w:cs="Calibri"/>
                <w:b/>
                <w:color w:val="000000"/>
              </w:rPr>
            </w:pPr>
            <w:r>
              <w:rPr>
                <w:rFonts w:ascii="Calibri" w:eastAsia="Calibri" w:hAnsi="Calibri" w:cs="Calibri"/>
                <w:b/>
                <w:color w:val="000000"/>
              </w:rPr>
              <w:t> </w:t>
            </w:r>
          </w:p>
        </w:tc>
        <w:tc>
          <w:tcPr>
            <w:tcW w:w="1340" w:type="dxa"/>
            <w:tcBorders>
              <w:top w:val="nil"/>
              <w:left w:val="nil"/>
              <w:bottom w:val="single" w:sz="8" w:space="0" w:color="000000"/>
              <w:right w:val="single" w:sz="8" w:space="0" w:color="000000"/>
            </w:tcBorders>
            <w:shd w:val="clear" w:color="auto" w:fill="000000"/>
            <w:vAlign w:val="bottom"/>
          </w:tcPr>
          <w:p w:rsidR="000F36DC">
            <w:pPr>
              <w:widowControl/>
              <w:rPr>
                <w:rFonts w:ascii="Calibri" w:eastAsia="Calibri" w:hAnsi="Calibri" w:cs="Calibri"/>
                <w:b/>
                <w:color w:val="000000"/>
              </w:rPr>
            </w:pPr>
            <w:r>
              <w:rPr>
                <w:rFonts w:ascii="Calibri" w:eastAsia="Calibri" w:hAnsi="Calibri" w:cs="Calibri"/>
                <w:b/>
                <w:color w:val="000000"/>
              </w:rPr>
              <w:t> </w:t>
            </w:r>
          </w:p>
        </w:tc>
        <w:tc>
          <w:tcPr>
            <w:tcW w:w="1185" w:type="dxa"/>
            <w:tcBorders>
              <w:top w:val="nil"/>
              <w:left w:val="nil"/>
              <w:bottom w:val="single" w:sz="8" w:space="0" w:color="000000"/>
              <w:right w:val="single" w:sz="8" w:space="0" w:color="000000"/>
            </w:tcBorders>
            <w:shd w:val="clear" w:color="auto" w:fill="DDEBF7"/>
            <w:vAlign w:val="bottom"/>
          </w:tcPr>
          <w:p w:rsidR="000F36DC">
            <w:pPr>
              <w:widowControl/>
              <w:rPr>
                <w:rFonts w:ascii="Calibri" w:eastAsia="Calibri" w:hAnsi="Calibri" w:cs="Calibri"/>
                <w:b/>
                <w:color w:val="000000"/>
              </w:rPr>
            </w:pPr>
            <w:r>
              <w:rPr>
                <w:rFonts w:ascii="Calibri" w:eastAsia="Calibri" w:hAnsi="Calibri" w:cs="Calibri"/>
                <w:b/>
                <w:color w:val="000000"/>
              </w:rPr>
              <w:t> </w:t>
            </w:r>
          </w:p>
        </w:tc>
        <w:tc>
          <w:tcPr>
            <w:tcW w:w="1440" w:type="dxa"/>
            <w:tcBorders>
              <w:top w:val="nil"/>
              <w:left w:val="nil"/>
              <w:bottom w:val="single" w:sz="8" w:space="0" w:color="000000"/>
              <w:right w:val="single" w:sz="8" w:space="0" w:color="000000"/>
            </w:tcBorders>
            <w:shd w:val="clear" w:color="auto" w:fill="000000"/>
            <w:vAlign w:val="bottom"/>
          </w:tcPr>
          <w:p w:rsidR="000F36DC">
            <w:pPr>
              <w:widowControl/>
              <w:rPr>
                <w:rFonts w:ascii="Calibri" w:eastAsia="Calibri" w:hAnsi="Calibri" w:cs="Calibri"/>
                <w:b/>
                <w:color w:val="000000"/>
              </w:rPr>
            </w:pPr>
            <w:r>
              <w:rPr>
                <w:rFonts w:ascii="Calibri" w:eastAsia="Calibri" w:hAnsi="Calibri" w:cs="Calibri"/>
                <w:b/>
                <w:color w:val="000000"/>
              </w:rPr>
              <w:t> </w:t>
            </w:r>
          </w:p>
        </w:tc>
        <w:tc>
          <w:tcPr>
            <w:tcW w:w="1590" w:type="dxa"/>
            <w:tcBorders>
              <w:top w:val="nil"/>
              <w:left w:val="nil"/>
              <w:bottom w:val="single" w:sz="8" w:space="0" w:color="000000"/>
              <w:right w:val="single" w:sz="8" w:space="0" w:color="000000"/>
            </w:tcBorders>
            <w:shd w:val="clear" w:color="auto" w:fill="DDEBF7"/>
            <w:vAlign w:val="bottom"/>
          </w:tcPr>
          <w:p w:rsidR="000F36DC">
            <w:pPr>
              <w:widowControl/>
              <w:rPr>
                <w:rFonts w:ascii="Calibri" w:eastAsia="Calibri" w:hAnsi="Calibri" w:cs="Calibri"/>
                <w:b/>
                <w:color w:val="000000"/>
              </w:rPr>
            </w:pPr>
            <w:r>
              <w:rPr>
                <w:rFonts w:ascii="Calibri" w:eastAsia="Calibri" w:hAnsi="Calibri" w:cs="Calibri"/>
                <w:b/>
                <w:color w:val="000000"/>
              </w:rPr>
              <w:t> </w:t>
            </w:r>
          </w:p>
        </w:tc>
      </w:tr>
    </w:tbl>
    <w:p w:rsidR="004C677A" w:rsidRPr="004C677A" w:rsidP="004C677A">
      <w:pPr>
        <w:widowControl/>
        <w:rPr>
          <w:sz w:val="20"/>
        </w:rPr>
      </w:pPr>
      <w:r w:rsidRPr="004C677A">
        <w:rPr>
          <w:sz w:val="20"/>
        </w:rPr>
        <w:t>An hourly rate of $31.80 is based on the average wages and salaries for all civilian workers from the National Compensation Survey (</w:t>
      </w:r>
      <w:hyperlink r:id="rId10">
        <w:r w:rsidRPr="004C677A">
          <w:rPr>
            <w:sz w:val="20"/>
            <w:u w:val="single"/>
          </w:rPr>
          <w:t>https://www.bls.gov/news.release/ecec.nr0.htm</w:t>
        </w:r>
      </w:hyperlink>
      <w:r w:rsidRPr="004C677A">
        <w:rPr>
          <w:sz w:val="20"/>
        </w:rPr>
        <w:t>; accessed November 11, 2024). There are no other costs to the respondent. </w:t>
      </w:r>
      <w:r w:rsidR="00B97EB6">
        <w:rPr>
          <w:sz w:val="20"/>
        </w:rPr>
        <w:t>A total of 1,111</w:t>
      </w:r>
      <w:r w:rsidRPr="004C677A">
        <w:rPr>
          <w:sz w:val="20"/>
        </w:rPr>
        <w:t xml:space="preserve"> annual burden hours are anticipated, resulting in a labor cost to respondents of approximately $35,362 per year.  </w:t>
      </w:r>
    </w:p>
    <w:p w:rsidR="000F36DC" w:rsidP="004C677A">
      <w:pPr>
        <w:spacing w:line="259" w:lineRule="auto"/>
        <w:rPr>
          <w:b/>
          <w:highlight w:val="yellow"/>
        </w:rPr>
      </w:pPr>
    </w:p>
    <w:p w:rsidR="004C677A" w:rsidP="004C677A">
      <w:pPr>
        <w:spacing w:line="259" w:lineRule="auto"/>
        <w:rPr>
          <w:b/>
          <w:highlight w:val="yellow"/>
        </w:rPr>
        <w:sectPr>
          <w:pgSz w:w="15840" w:h="12240" w:orient="landscape"/>
          <w:pgMar w:top="640" w:right="1080" w:bottom="1200" w:left="1080" w:header="0" w:footer="714" w:gutter="0"/>
          <w:cols w:space="720"/>
        </w:sectPr>
      </w:pPr>
      <w:r>
        <w:rPr>
          <w:b/>
          <w:bCs/>
          <w:color w:val="000000"/>
        </w:rPr>
        <w:t xml:space="preserve">Documents included in angler survey packet: </w:t>
      </w:r>
      <w:r>
        <w:rPr>
          <w:color w:val="000000"/>
        </w:rPr>
        <w:t>1) NOAA Recreational Angler Survey Instructions</w:t>
      </w:r>
      <w:r w:rsidR="00691EB7">
        <w:rPr>
          <w:color w:val="000000"/>
        </w:rPr>
        <w:t xml:space="preserve"> </w:t>
      </w:r>
      <w:r w:rsidRPr="00691EB7" w:rsidR="00691EB7">
        <w:rPr>
          <w:i/>
          <w:color w:val="000000"/>
          <w:sz w:val="18"/>
        </w:rPr>
        <w:t>(does not add additional burden)</w:t>
      </w:r>
      <w:r>
        <w:rPr>
          <w:color w:val="000000"/>
        </w:rPr>
        <w:t>, 2) Shore-based Survey Design Guide</w:t>
      </w:r>
      <w:r w:rsidR="00691EB7">
        <w:rPr>
          <w:color w:val="000000"/>
        </w:rPr>
        <w:t xml:space="preserve"> </w:t>
      </w:r>
      <w:r w:rsidRPr="00691EB7" w:rsidR="00691EB7">
        <w:rPr>
          <w:i/>
          <w:color w:val="000000"/>
          <w:sz w:val="18"/>
        </w:rPr>
        <w:t>(does not add additional burden)</w:t>
      </w:r>
      <w:r>
        <w:rPr>
          <w:color w:val="000000"/>
        </w:rPr>
        <w:t>, 3) Recreational Fishing Pier Characteriza</w:t>
      </w:r>
      <w:r>
        <w:rPr>
          <w:color w:val="000000"/>
        </w:rPr>
        <w:t xml:space="preserve">tion Form, 4) Fishing Pier Angler Survey Cover Sheet, and 5) Fishing Pier Angler Survey. </w:t>
      </w:r>
    </w:p>
    <w:p w:rsidR="000F36DC">
      <w:pPr>
        <w:widowControl/>
      </w:pPr>
      <w:r>
        <w:t xml:space="preserve">This collection of forms will be completed by approximately </w:t>
      </w:r>
      <w:r>
        <w:rPr>
          <w:b/>
        </w:rPr>
        <w:t>20,000 public respondents</w:t>
      </w:r>
      <w:r>
        <w:t xml:space="preserve"> and by</w:t>
      </w:r>
      <w:r>
        <w:rPr>
          <w:b/>
        </w:rPr>
        <w:t xml:space="preserve"> 20 survey administrators</w:t>
      </w:r>
      <w:r>
        <w:t xml:space="preserve">, resulting in a total estimated burden of </w:t>
      </w:r>
      <w:r>
        <w:rPr>
          <w:b/>
        </w:rPr>
        <w:t xml:space="preserve">1,145 </w:t>
      </w:r>
      <w:r>
        <w:rPr>
          <w:b/>
        </w:rPr>
        <w:t>hours per year</w:t>
      </w:r>
      <w:r>
        <w:t>. Surveys may occur simultaneously in several states in the U.S. Atlantic and Gulf of Mexico, but the survey collection protocol would be conducted only one time per state within the approval period. Two forms would be filled out solely by th</w:t>
      </w:r>
      <w:r>
        <w:t xml:space="preserve">e survey administrator; Form 1 (pier characteristics) and Form 2 (survey cover sheet). Form 3 would be  filled out by the survey administrator who will record the voluntary verbal responses from members of the public.  </w:t>
      </w:r>
    </w:p>
    <w:p w:rsidR="000F36DC">
      <w:pPr>
        <w:widowControl/>
      </w:pPr>
    </w:p>
    <w:p w:rsidR="000F36DC">
      <w:pPr>
        <w:widowControl/>
      </w:pPr>
      <w:r>
        <w:t xml:space="preserve">The expected number of respondents </w:t>
      </w:r>
      <w:r>
        <w:t xml:space="preserve">(200 surveys/site with 10 sites/state) is based on pier-based intercept surveys on sea turtle interactions that were conducted by private organizations in both Virginia and Mississippi.  </w:t>
      </w:r>
    </w:p>
    <w:p w:rsidR="000F36DC">
      <w:pPr>
        <w:widowControl/>
      </w:pPr>
    </w:p>
    <w:p w:rsidR="000F36DC">
      <w:pPr>
        <w:widowControl/>
      </w:pPr>
      <w:r>
        <w:t xml:space="preserve">We intend to implement the survey in a maximum of 10 states during </w:t>
      </w:r>
      <w:r>
        <w:t>the survey approval period. For each state, we would survey a maximum of 10 fishing sites, and up to 200 individual anglers at each site. If &lt;160 surveys are completed in a survey “year”, additional surveys will be conducted during the following survey “ye</w:t>
      </w:r>
      <w:r>
        <w:t xml:space="preserve">ar”.  </w:t>
      </w:r>
    </w:p>
    <w:p w:rsidR="000F36DC">
      <w:pPr>
        <w:widowControl/>
      </w:pPr>
    </w:p>
    <w:p w:rsidR="000F36DC">
      <w:pPr>
        <w:ind w:right="533"/>
        <w:rPr>
          <w:i/>
        </w:rPr>
      </w:pPr>
      <w:r>
        <w:rPr>
          <w:b/>
        </w:rPr>
        <w:t>Form 1: Fishing Site Characterization Form (survey administrators - 16.67 hours over 3 years, accounted for in Q14.).</w:t>
      </w:r>
      <w:r>
        <w:t xml:space="preserve"> </w:t>
      </w:r>
      <w:r w:rsidR="004C677A">
        <w:rPr>
          <w:i/>
        </w:rPr>
        <w:t xml:space="preserve">Document included in Angler Survey packet to be completed by survey administrator. </w:t>
      </w:r>
    </w:p>
    <w:p w:rsidR="000F36DC">
      <w:pPr>
        <w:ind w:right="533"/>
      </w:pPr>
      <w:r>
        <w:t xml:space="preserve">Completed one time per site.  </w:t>
      </w:r>
    </w:p>
    <w:p w:rsidR="000F36DC">
      <w:pPr>
        <w:ind w:right="533"/>
      </w:pPr>
      <w:r>
        <w:t xml:space="preserve">Assuming 10 </w:t>
      </w:r>
      <w:r>
        <w:t xml:space="preserve">sites per state, and 10 states total, this form would be filled out a total of 100 times. 10 minutes for each form.  </w:t>
      </w:r>
    </w:p>
    <w:p w:rsidR="000F36DC">
      <w:pPr>
        <w:ind w:right="533"/>
      </w:pPr>
    </w:p>
    <w:p w:rsidR="000F36DC">
      <w:pPr>
        <w:ind w:right="533"/>
        <w:rPr>
          <w:b/>
        </w:rPr>
      </w:pPr>
      <w:r>
        <w:rPr>
          <w:b/>
        </w:rPr>
        <w:t xml:space="preserve">10 sites x 10 states = 100 sites total = 100 site characterization forms  </w:t>
      </w:r>
    </w:p>
    <w:p w:rsidR="000F36DC">
      <w:pPr>
        <w:ind w:right="533"/>
        <w:rPr>
          <w:b/>
        </w:rPr>
      </w:pPr>
      <w:r>
        <w:rPr>
          <w:b/>
        </w:rPr>
        <w:t>100 x 10 minutes = 1,000 minutes / (60 minutes/hr) = 16.67 hou</w:t>
      </w:r>
      <w:r>
        <w:rPr>
          <w:b/>
        </w:rPr>
        <w:t>rs (annualized to 5.56 hours per year)</w:t>
      </w:r>
    </w:p>
    <w:p w:rsidR="000F36DC">
      <w:pPr>
        <w:ind w:right="533"/>
      </w:pPr>
    </w:p>
    <w:p w:rsidR="000F36DC">
      <w:pPr>
        <w:ind w:right="533"/>
        <w:rPr>
          <w:i/>
        </w:rPr>
      </w:pPr>
      <w:r>
        <w:rPr>
          <w:b/>
        </w:rPr>
        <w:t>Form 2: Survey Cover Sheet (survey administrators - 83.33 hours over 3 years, accounted for in Q14).</w:t>
      </w:r>
      <w:r>
        <w:rPr>
          <w:i/>
        </w:rPr>
        <w:t xml:space="preserve"> </w:t>
      </w:r>
      <w:r w:rsidR="004C677A">
        <w:rPr>
          <w:i/>
        </w:rPr>
        <w:t>Document included in Angler Survey packet to be completed by survey administrator.</w:t>
      </w:r>
    </w:p>
    <w:p w:rsidR="000F36DC">
      <w:pPr>
        <w:ind w:right="533"/>
      </w:pPr>
      <w:r>
        <w:t>Completed one time per site visi</w:t>
      </w:r>
      <w:r>
        <w:t xml:space="preserve">t. 5 minutes for each form.  </w:t>
      </w:r>
    </w:p>
    <w:p w:rsidR="000F36DC">
      <w:pPr>
        <w:ind w:right="533"/>
      </w:pPr>
    </w:p>
    <w:p w:rsidR="000F36DC">
      <w:pPr>
        <w:ind w:right="533"/>
      </w:pPr>
      <w:r>
        <w:t>Assuming 10 sites per state (10 states) and 200 angler surveys per site. We estimate that approximately 20 angler surveys can be completed during each site visit, resulting in approximately 10 site visits per site (200 survey</w:t>
      </w:r>
      <w:r>
        <w:t>s / 20 angler surveys per visit = 10 site visits).</w:t>
      </w:r>
    </w:p>
    <w:p w:rsidR="000F36DC">
      <w:pPr>
        <w:ind w:right="533"/>
      </w:pPr>
    </w:p>
    <w:p w:rsidR="000F36DC">
      <w:pPr>
        <w:ind w:right="533"/>
      </w:pPr>
      <w:r>
        <w:t>10 sites x 200 angler surveys = 2000 angler surveys</w:t>
      </w:r>
    </w:p>
    <w:p w:rsidR="000F36DC">
      <w:pPr>
        <w:ind w:right="533"/>
      </w:pPr>
      <w:r>
        <w:t>2,000 angler surveys / 20 angler surveys per site visit = 100 site visits per state</w:t>
      </w:r>
    </w:p>
    <w:p w:rsidR="000F36DC">
      <w:pPr>
        <w:ind w:right="533"/>
      </w:pPr>
      <w:r>
        <w:t>100 site visits per state x 10 states = 1,000 site visits = 1,000 co</w:t>
      </w:r>
      <w:r>
        <w:t>ver sheets</w:t>
      </w:r>
    </w:p>
    <w:p w:rsidR="000F36DC">
      <w:pPr>
        <w:ind w:right="533"/>
      </w:pPr>
      <w:r>
        <w:t>1,000 cover sheet x 5 minutes = 5,000 minutes</w:t>
      </w:r>
    </w:p>
    <w:p w:rsidR="000F36DC">
      <w:pPr>
        <w:ind w:right="533"/>
      </w:pPr>
      <w:r>
        <w:t>5,000 minutes / (60 minutes/hr) = 83.33 hours (annualized to 27.78 hours per year)</w:t>
      </w:r>
    </w:p>
    <w:p w:rsidR="000F36DC">
      <w:pPr>
        <w:ind w:right="533"/>
      </w:pPr>
    </w:p>
    <w:p w:rsidR="000F36DC">
      <w:pPr>
        <w:ind w:right="533"/>
        <w:rPr>
          <w:b/>
        </w:rPr>
      </w:pPr>
      <w:r>
        <w:rPr>
          <w:b/>
        </w:rPr>
        <w:t>Form 3: Angler Intercept Survey (public - 3,333.33 hours over 3 years)</w:t>
      </w:r>
    </w:p>
    <w:p w:rsidR="000F36DC">
      <w:pPr>
        <w:widowControl/>
        <w:rPr>
          <w:b/>
        </w:rPr>
      </w:pPr>
      <w:r>
        <w:t>To be completed for each angler intercept su</w:t>
      </w:r>
      <w:r>
        <w:t xml:space="preserve">rvey. 10 minutes per form. </w:t>
      </w:r>
    </w:p>
    <w:p w:rsidR="000F36DC">
      <w:pPr>
        <w:widowControl/>
      </w:pPr>
      <w:r>
        <w:t xml:space="preserve">Assuming 10 sites per state (10 states), and 200 angler surveys per site. </w:t>
      </w:r>
    </w:p>
    <w:p w:rsidR="000F36DC">
      <w:pPr>
        <w:widowControl/>
      </w:pPr>
    </w:p>
    <w:p w:rsidR="000F36DC">
      <w:pPr>
        <w:widowControl/>
      </w:pPr>
      <w:r>
        <w:t>10 sites x 200 surveys = 2,000 total angler surveys per state</w:t>
      </w:r>
    </w:p>
    <w:p w:rsidR="000F36DC">
      <w:pPr>
        <w:widowControl/>
      </w:pPr>
      <w:r>
        <w:t xml:space="preserve">2,000 surveys x 10 states = 20,000 total surveys over the 3-year period </w:t>
      </w:r>
    </w:p>
    <w:p w:rsidR="000F36DC">
      <w:pPr>
        <w:widowControl/>
      </w:pPr>
      <w:r>
        <w:t>20,000 x 10 minut</w:t>
      </w:r>
      <w:r>
        <w:t>es = 200,000 minutes / (60 minutes/hr) = 3,333.33 hours (annualized to 1,111.11 hours per year)</w:t>
      </w:r>
    </w:p>
    <w:p w:rsidR="000F36DC">
      <w:pPr>
        <w:ind w:right="533"/>
      </w:pPr>
    </w:p>
    <w:p w:rsidR="000F36DC">
      <w:pPr>
        <w:ind w:right="533"/>
        <w:rPr>
          <w:b/>
        </w:rPr>
      </w:pPr>
      <w:r>
        <w:rPr>
          <w:b/>
        </w:rPr>
        <w:t>Total annualized burden to the public, based solely on Form 3: 6,667 respondents a</w:t>
      </w:r>
      <w:r w:rsidR="00B97EB6">
        <w:rPr>
          <w:b/>
        </w:rPr>
        <w:t>nd responses per year, and 1,111</w:t>
      </w:r>
      <w:r>
        <w:rPr>
          <w:b/>
        </w:rPr>
        <w:t xml:space="preserve"> hours per year.</w:t>
      </w:r>
    </w:p>
    <w:p w:rsidR="000F36DC" w:rsidP="004C677A">
      <w:pPr>
        <w:pBdr>
          <w:top w:val="nil"/>
          <w:left w:val="nil"/>
          <w:bottom w:val="nil"/>
          <w:right w:val="nil"/>
          <w:between w:val="nil"/>
        </w:pBdr>
        <w:tabs>
          <w:tab w:val="left" w:pos="360"/>
        </w:tabs>
        <w:spacing w:before="80"/>
        <w:rPr>
          <w:b/>
        </w:rPr>
      </w:pPr>
    </w:p>
    <w:p w:rsidR="000F36DC">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Provide an estimate for the total annual cost burden to respondents or record keepers resulting from the collection of information. (Do not include the cost of any hour burden already reflected on the burden worksheet).</w:t>
      </w:r>
    </w:p>
    <w:p w:rsidR="000F36DC">
      <w:pPr>
        <w:pBdr>
          <w:top w:val="nil"/>
          <w:left w:val="nil"/>
          <w:bottom w:val="nil"/>
          <w:right w:val="nil"/>
          <w:between w:val="nil"/>
        </w:pBdr>
        <w:tabs>
          <w:tab w:val="left" w:pos="360"/>
        </w:tabs>
        <w:spacing w:before="80"/>
        <w:ind w:left="400"/>
        <w:rPr>
          <w:b/>
        </w:rPr>
      </w:pPr>
    </w:p>
    <w:p w:rsidR="000F36DC">
      <w:pPr>
        <w:ind w:right="533"/>
      </w:pPr>
      <w:r>
        <w:t>There are no capital/start-up or on</w:t>
      </w:r>
      <w:r>
        <w:t xml:space="preserve">going operation/maintenance costs associated with this information collection. These data collections will incur no cost burden on respondents beyond the costs of response time. </w:t>
      </w:r>
    </w:p>
    <w:p w:rsidR="000F36DC">
      <w:pPr>
        <w:rPr>
          <w:b/>
          <w:color w:val="FF0000"/>
        </w:rPr>
      </w:pPr>
    </w:p>
    <w:p w:rsidR="000F36DC">
      <w:pPr>
        <w:pBdr>
          <w:top w:val="nil"/>
          <w:left w:val="nil"/>
          <w:bottom w:val="nil"/>
          <w:right w:val="nil"/>
          <w:between w:val="nil"/>
        </w:pBdr>
        <w:spacing w:before="7"/>
        <w:rPr>
          <w:b/>
          <w:color w:val="000000"/>
        </w:rPr>
      </w:pPr>
    </w:p>
    <w:p w:rsidR="000F36DC">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 xml:space="preserve">Provide estimates of annualized cost to the Federal government. Also, provide a description of the method used to estimate cost, which should include quantification of hours, operational expenses (such as equipment, overhead, printing, and support staff), </w:t>
      </w:r>
      <w:r>
        <w:rPr>
          <w:b/>
          <w:color w:val="000000"/>
        </w:rPr>
        <w:t>and any other expense that would not have been incurred without this collection of information.</w:t>
      </w:r>
    </w:p>
    <w:p w:rsidR="000F36DC">
      <w:pPr>
        <w:pBdr>
          <w:top w:val="nil"/>
          <w:left w:val="nil"/>
          <w:bottom w:val="nil"/>
          <w:right w:val="nil"/>
          <w:between w:val="nil"/>
        </w:pBdr>
        <w:spacing w:before="9" w:after="1"/>
        <w:rPr>
          <w:b/>
          <w:color w:val="000000"/>
        </w:rPr>
      </w:pPr>
    </w:p>
    <w:tbl>
      <w:tblPr>
        <w:tblStyle w:val="ae"/>
        <w:tblW w:w="8240" w:type="dxa"/>
        <w:jc w:val="center"/>
        <w:tblLayout w:type="fixed"/>
        <w:tblLook w:val="0400"/>
      </w:tblPr>
      <w:tblGrid>
        <w:gridCol w:w="2280"/>
        <w:gridCol w:w="1120"/>
        <w:gridCol w:w="1140"/>
        <w:gridCol w:w="1120"/>
        <w:gridCol w:w="1280"/>
        <w:gridCol w:w="1300"/>
      </w:tblGrid>
      <w:tr w:rsidTr="00D92BCA">
        <w:tblPrEx>
          <w:tblW w:w="8240" w:type="dxa"/>
          <w:jc w:val="center"/>
          <w:tblLayout w:type="fixed"/>
          <w:tblLook w:val="0400"/>
        </w:tblPrEx>
        <w:trPr>
          <w:trHeight w:val="450"/>
          <w:jc w:val="center"/>
        </w:trPr>
        <w:tc>
          <w:tcPr>
            <w:tcW w:w="2280" w:type="dxa"/>
            <w:tcBorders>
              <w:top w:val="single" w:sz="8" w:space="0" w:color="000000"/>
              <w:left w:val="single" w:sz="8" w:space="0" w:color="000000"/>
              <w:bottom w:val="nil"/>
              <w:right w:val="single" w:sz="8" w:space="0" w:color="000000"/>
            </w:tcBorders>
            <w:shd w:val="clear" w:color="auto" w:fill="BDD7EE"/>
            <w:vAlign w:val="center"/>
          </w:tcPr>
          <w:p w:rsidR="000F36DC">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Cost Descriptions</w:t>
            </w:r>
          </w:p>
        </w:tc>
        <w:tc>
          <w:tcPr>
            <w:tcW w:w="1120" w:type="dxa"/>
            <w:tcBorders>
              <w:top w:val="single" w:sz="8" w:space="0" w:color="000000"/>
              <w:left w:val="nil"/>
              <w:bottom w:val="nil"/>
              <w:right w:val="single" w:sz="8" w:space="0" w:color="000000"/>
            </w:tcBorders>
            <w:shd w:val="clear" w:color="auto" w:fill="BDD7EE"/>
            <w:vAlign w:val="center"/>
          </w:tcPr>
          <w:p w:rsidR="000F36DC">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Grade/Step</w:t>
            </w:r>
          </w:p>
        </w:tc>
        <w:tc>
          <w:tcPr>
            <w:tcW w:w="1140" w:type="dxa"/>
            <w:tcBorders>
              <w:top w:val="single" w:sz="8" w:space="0" w:color="000000"/>
              <w:left w:val="nil"/>
              <w:bottom w:val="nil"/>
              <w:right w:val="single" w:sz="8" w:space="0" w:color="000000"/>
            </w:tcBorders>
            <w:shd w:val="clear" w:color="auto" w:fill="BDD7EE"/>
            <w:vAlign w:val="center"/>
          </w:tcPr>
          <w:p w:rsidR="000F36DC">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Loaded Salary /Cost</w:t>
            </w:r>
          </w:p>
        </w:tc>
        <w:tc>
          <w:tcPr>
            <w:tcW w:w="1120" w:type="dxa"/>
            <w:tcBorders>
              <w:top w:val="single" w:sz="8" w:space="0" w:color="000000"/>
              <w:left w:val="nil"/>
              <w:bottom w:val="nil"/>
              <w:right w:val="single" w:sz="8" w:space="0" w:color="000000"/>
            </w:tcBorders>
            <w:shd w:val="clear" w:color="auto" w:fill="BDD7EE"/>
            <w:vAlign w:val="center"/>
          </w:tcPr>
          <w:p w:rsidR="000F36DC">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 of Effort</w:t>
            </w:r>
          </w:p>
        </w:tc>
        <w:tc>
          <w:tcPr>
            <w:tcW w:w="1280" w:type="dxa"/>
            <w:tcBorders>
              <w:top w:val="single" w:sz="8" w:space="0" w:color="000000"/>
              <w:left w:val="nil"/>
              <w:bottom w:val="nil"/>
              <w:right w:val="single" w:sz="8" w:space="0" w:color="000000"/>
            </w:tcBorders>
            <w:shd w:val="clear" w:color="auto" w:fill="BDD7EE"/>
            <w:vAlign w:val="center"/>
          </w:tcPr>
          <w:p w:rsidR="000F36DC">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Fringe (if Applicable)</w:t>
            </w:r>
          </w:p>
        </w:tc>
        <w:tc>
          <w:tcPr>
            <w:tcW w:w="1300" w:type="dxa"/>
            <w:tcBorders>
              <w:top w:val="single" w:sz="8" w:space="0" w:color="000000"/>
              <w:left w:val="nil"/>
              <w:bottom w:val="nil"/>
              <w:right w:val="single" w:sz="8" w:space="0" w:color="000000"/>
            </w:tcBorders>
            <w:shd w:val="clear" w:color="auto" w:fill="BDD7EE"/>
            <w:vAlign w:val="center"/>
          </w:tcPr>
          <w:p w:rsidR="000F36DC">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Total Cost to Government</w:t>
            </w:r>
          </w:p>
        </w:tc>
      </w:tr>
      <w:tr w:rsidTr="00D92BCA">
        <w:tblPrEx>
          <w:tblW w:w="8240" w:type="dxa"/>
          <w:jc w:val="center"/>
          <w:tblLayout w:type="fixed"/>
          <w:tblLook w:val="0400"/>
        </w:tblPrEx>
        <w:trPr>
          <w:trHeight w:val="465"/>
          <w:jc w:val="center"/>
        </w:trPr>
        <w:tc>
          <w:tcPr>
            <w:tcW w:w="2280" w:type="dxa"/>
            <w:tcBorders>
              <w:top w:val="single" w:sz="4" w:space="0" w:color="000000"/>
              <w:left w:val="single" w:sz="8" w:space="0" w:color="000000"/>
              <w:bottom w:val="single" w:sz="4" w:space="0" w:color="000000"/>
              <w:right w:val="single" w:sz="8" w:space="0" w:color="000000"/>
            </w:tcBorders>
            <w:shd w:val="clear" w:color="auto" w:fill="auto"/>
            <w:vAlign w:val="bottom"/>
          </w:tcPr>
          <w:p w:rsidR="000F36DC">
            <w:pPr>
              <w:widowControl/>
              <w:rPr>
                <w:rFonts w:ascii="Calibri" w:eastAsia="Calibri" w:hAnsi="Calibri" w:cs="Calibri"/>
                <w:b/>
                <w:color w:val="000000"/>
                <w:sz w:val="16"/>
                <w:szCs w:val="16"/>
              </w:rPr>
            </w:pPr>
            <w:r>
              <w:rPr>
                <w:rFonts w:ascii="Calibri" w:eastAsia="Calibri" w:hAnsi="Calibri" w:cs="Calibri"/>
                <w:b/>
                <w:color w:val="000000"/>
                <w:sz w:val="16"/>
                <w:szCs w:val="16"/>
              </w:rPr>
              <w:t>Federal Oversight</w:t>
            </w:r>
          </w:p>
        </w:tc>
        <w:tc>
          <w:tcPr>
            <w:tcW w:w="1120" w:type="dxa"/>
            <w:tcBorders>
              <w:top w:val="single" w:sz="4" w:space="0" w:color="000000"/>
              <w:left w:val="nil"/>
              <w:bottom w:val="single" w:sz="4" w:space="0" w:color="000000"/>
              <w:right w:val="single" w:sz="4" w:space="0" w:color="000000"/>
            </w:tcBorders>
            <w:shd w:val="clear" w:color="auto" w:fill="auto"/>
            <w:vAlign w:val="bottom"/>
          </w:tcPr>
          <w:p w:rsidR="000F36DC">
            <w:pPr>
              <w:widowControl/>
              <w:rPr>
                <w:rFonts w:ascii="Calibri" w:eastAsia="Calibri" w:hAnsi="Calibri" w:cs="Calibri"/>
                <w:color w:val="000000"/>
                <w:sz w:val="16"/>
                <w:szCs w:val="16"/>
              </w:rPr>
            </w:pPr>
            <w:r>
              <w:rPr>
                <w:rFonts w:ascii="Calibri" w:eastAsia="Calibri" w:hAnsi="Calibri" w:cs="Calibri"/>
                <w:color w:val="000000"/>
                <w:sz w:val="16"/>
                <w:szCs w:val="16"/>
              </w:rPr>
              <w:t xml:space="preserve"> GS-13 </w:t>
            </w:r>
          </w:p>
        </w:tc>
        <w:tc>
          <w:tcPr>
            <w:tcW w:w="1140" w:type="dxa"/>
            <w:tcBorders>
              <w:top w:val="single" w:sz="4" w:space="0" w:color="000000"/>
              <w:left w:val="nil"/>
              <w:bottom w:val="single" w:sz="4" w:space="0" w:color="000000"/>
              <w:right w:val="single" w:sz="4" w:space="0" w:color="000000"/>
            </w:tcBorders>
            <w:shd w:val="clear" w:color="auto" w:fill="auto"/>
            <w:vAlign w:val="bottom"/>
          </w:tcPr>
          <w:p w:rsidR="000F36DC">
            <w:pPr>
              <w:widowControl/>
              <w:rPr>
                <w:rFonts w:ascii="Calibri" w:eastAsia="Calibri" w:hAnsi="Calibri" w:cs="Calibri"/>
                <w:color w:val="000000"/>
                <w:sz w:val="16"/>
                <w:szCs w:val="16"/>
              </w:rPr>
            </w:pPr>
            <w:r>
              <w:rPr>
                <w:rFonts w:ascii="Calibri" w:eastAsia="Calibri" w:hAnsi="Calibri" w:cs="Calibri"/>
                <w:color w:val="000000"/>
                <w:sz w:val="16"/>
                <w:szCs w:val="16"/>
              </w:rPr>
              <w:t> $100/hr</w:t>
            </w:r>
          </w:p>
        </w:tc>
        <w:tc>
          <w:tcPr>
            <w:tcW w:w="1120" w:type="dxa"/>
            <w:tcBorders>
              <w:top w:val="single" w:sz="4" w:space="0" w:color="000000"/>
              <w:left w:val="nil"/>
              <w:bottom w:val="single" w:sz="4" w:space="0" w:color="000000"/>
              <w:right w:val="single" w:sz="4" w:space="0" w:color="000000"/>
            </w:tcBorders>
            <w:shd w:val="clear" w:color="auto" w:fill="auto"/>
            <w:vAlign w:val="bottom"/>
          </w:tcPr>
          <w:p w:rsidR="000F36DC">
            <w:pPr>
              <w:widowControl/>
              <w:rPr>
                <w:rFonts w:ascii="Calibri" w:eastAsia="Calibri" w:hAnsi="Calibri" w:cs="Calibri"/>
                <w:color w:val="000000"/>
                <w:sz w:val="16"/>
                <w:szCs w:val="16"/>
              </w:rPr>
            </w:pPr>
            <w:r>
              <w:rPr>
                <w:rFonts w:ascii="Calibri" w:eastAsia="Calibri" w:hAnsi="Calibri" w:cs="Calibri"/>
                <w:sz w:val="16"/>
                <w:szCs w:val="16"/>
              </w:rPr>
              <w:t xml:space="preserve">25% (5% per </w:t>
            </w:r>
            <w:r>
              <w:rPr>
                <w:rFonts w:ascii="Calibri" w:eastAsia="Calibri" w:hAnsi="Calibri" w:cs="Calibri"/>
                <w:sz w:val="16"/>
                <w:szCs w:val="16"/>
              </w:rPr>
              <w:t>state)</w:t>
            </w:r>
          </w:p>
        </w:tc>
        <w:tc>
          <w:tcPr>
            <w:tcW w:w="1280" w:type="dxa"/>
            <w:tcBorders>
              <w:top w:val="single" w:sz="4" w:space="0" w:color="000000"/>
              <w:left w:val="nil"/>
              <w:bottom w:val="single" w:sz="4" w:space="0" w:color="000000"/>
              <w:right w:val="single" w:sz="4" w:space="0" w:color="000000"/>
            </w:tcBorders>
            <w:shd w:val="clear" w:color="auto" w:fill="808080"/>
            <w:vAlign w:val="bottom"/>
          </w:tcPr>
          <w:p w:rsidR="000F36DC">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300" w:type="dxa"/>
            <w:tcBorders>
              <w:top w:val="single" w:sz="4" w:space="0" w:color="000000"/>
              <w:left w:val="nil"/>
              <w:bottom w:val="single" w:sz="4" w:space="0" w:color="000000"/>
              <w:right w:val="single" w:sz="8" w:space="0" w:color="000000"/>
            </w:tcBorders>
            <w:shd w:val="clear" w:color="auto" w:fill="auto"/>
            <w:vAlign w:val="bottom"/>
          </w:tcPr>
          <w:p w:rsidR="000F36DC">
            <w:pPr>
              <w:widowControl/>
              <w:rPr>
                <w:rFonts w:ascii="Calibri" w:eastAsia="Calibri" w:hAnsi="Calibri" w:cs="Calibri"/>
                <w:color w:val="000000"/>
                <w:sz w:val="16"/>
                <w:szCs w:val="16"/>
              </w:rPr>
            </w:pPr>
            <w:r>
              <w:rPr>
                <w:rFonts w:ascii="Calibri" w:eastAsia="Calibri" w:hAnsi="Calibri" w:cs="Calibri"/>
                <w:color w:val="000000"/>
                <w:sz w:val="16"/>
                <w:szCs w:val="16"/>
              </w:rPr>
              <w:t> </w:t>
            </w:r>
            <w:r>
              <w:rPr>
                <w:rFonts w:ascii="Calibri" w:eastAsia="Calibri" w:hAnsi="Calibri" w:cs="Calibri"/>
                <w:sz w:val="16"/>
                <w:szCs w:val="16"/>
              </w:rPr>
              <w:t>5</w:t>
            </w:r>
            <w:r>
              <w:rPr>
                <w:rFonts w:ascii="Calibri" w:eastAsia="Calibri" w:hAnsi="Calibri" w:cs="Calibri"/>
                <w:color w:val="000000"/>
                <w:sz w:val="16"/>
                <w:szCs w:val="16"/>
              </w:rPr>
              <w:t>0,000 (</w:t>
            </w:r>
            <w:r>
              <w:rPr>
                <w:rFonts w:ascii="Calibri" w:eastAsia="Calibri" w:hAnsi="Calibri" w:cs="Calibri"/>
                <w:sz w:val="16"/>
                <w:szCs w:val="16"/>
              </w:rPr>
              <w:t xml:space="preserve">$10,000 </w:t>
            </w:r>
            <w:r>
              <w:rPr>
                <w:rFonts w:ascii="Calibri" w:eastAsia="Calibri" w:hAnsi="Calibri" w:cs="Calibri"/>
                <w:color w:val="000000"/>
                <w:sz w:val="16"/>
                <w:szCs w:val="16"/>
              </w:rPr>
              <w:t>per state</w:t>
            </w:r>
            <w:r>
              <w:rPr>
                <w:rFonts w:ascii="Calibri" w:eastAsia="Calibri" w:hAnsi="Calibri" w:cs="Calibri"/>
                <w:sz w:val="16"/>
                <w:szCs w:val="16"/>
              </w:rPr>
              <w:t xml:space="preserve"> for 5 states)</w:t>
            </w:r>
          </w:p>
        </w:tc>
      </w:tr>
      <w:tr w:rsidTr="00D92BCA">
        <w:tblPrEx>
          <w:tblW w:w="8240" w:type="dxa"/>
          <w:jc w:val="center"/>
          <w:tblLayout w:type="fixed"/>
          <w:tblLook w:val="0400"/>
        </w:tblPrEx>
        <w:trPr>
          <w:trHeight w:val="300"/>
          <w:jc w:val="center"/>
        </w:trPr>
        <w:tc>
          <w:tcPr>
            <w:tcW w:w="2280" w:type="dxa"/>
            <w:tcBorders>
              <w:top w:val="nil"/>
              <w:left w:val="single" w:sz="8" w:space="0" w:color="000000"/>
              <w:bottom w:val="single" w:sz="4" w:space="0" w:color="000000"/>
              <w:right w:val="single" w:sz="8" w:space="0" w:color="000000"/>
            </w:tcBorders>
            <w:shd w:val="clear" w:color="auto" w:fill="auto"/>
            <w:vAlign w:val="bottom"/>
          </w:tcPr>
          <w:p w:rsidR="000F36DC">
            <w:pPr>
              <w:widowControl/>
              <w:rPr>
                <w:rFonts w:ascii="Calibri" w:eastAsia="Calibri" w:hAnsi="Calibri" w:cs="Calibri"/>
                <w:color w:val="000000"/>
                <w:sz w:val="16"/>
                <w:szCs w:val="16"/>
              </w:rPr>
            </w:pPr>
            <w:r>
              <w:rPr>
                <w:rFonts w:ascii="Calibri" w:eastAsia="Calibri" w:hAnsi="Calibri" w:cs="Calibri"/>
                <w:color w:val="000000"/>
                <w:sz w:val="16"/>
                <w:szCs w:val="16"/>
              </w:rPr>
              <w:t>Other Federal Positions</w:t>
            </w:r>
          </w:p>
        </w:tc>
        <w:tc>
          <w:tcPr>
            <w:tcW w:w="1120" w:type="dxa"/>
            <w:tcBorders>
              <w:top w:val="nil"/>
              <w:left w:val="nil"/>
              <w:bottom w:val="single" w:sz="4" w:space="0" w:color="000000"/>
              <w:right w:val="single" w:sz="4" w:space="0" w:color="000000"/>
            </w:tcBorders>
            <w:shd w:val="clear" w:color="auto" w:fill="auto"/>
            <w:vAlign w:val="bottom"/>
          </w:tcPr>
          <w:p w:rsidR="000F36DC">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40" w:type="dxa"/>
            <w:tcBorders>
              <w:top w:val="nil"/>
              <w:left w:val="nil"/>
              <w:bottom w:val="single" w:sz="4" w:space="0" w:color="000000"/>
              <w:right w:val="single" w:sz="4" w:space="0" w:color="000000"/>
            </w:tcBorders>
            <w:shd w:val="clear" w:color="auto" w:fill="auto"/>
            <w:vAlign w:val="bottom"/>
          </w:tcPr>
          <w:p w:rsidR="000F36DC">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20" w:type="dxa"/>
            <w:tcBorders>
              <w:top w:val="nil"/>
              <w:left w:val="nil"/>
              <w:bottom w:val="single" w:sz="4" w:space="0" w:color="000000"/>
              <w:right w:val="single" w:sz="4" w:space="0" w:color="000000"/>
            </w:tcBorders>
            <w:shd w:val="clear" w:color="auto" w:fill="auto"/>
            <w:vAlign w:val="bottom"/>
          </w:tcPr>
          <w:p w:rsidR="000F36DC">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280" w:type="dxa"/>
            <w:tcBorders>
              <w:top w:val="nil"/>
              <w:left w:val="nil"/>
              <w:bottom w:val="single" w:sz="4" w:space="0" w:color="000000"/>
              <w:right w:val="single" w:sz="4" w:space="0" w:color="000000"/>
            </w:tcBorders>
            <w:shd w:val="clear" w:color="auto" w:fill="808080"/>
            <w:vAlign w:val="bottom"/>
          </w:tcPr>
          <w:p w:rsidR="000F36DC">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300" w:type="dxa"/>
            <w:tcBorders>
              <w:top w:val="nil"/>
              <w:left w:val="nil"/>
              <w:bottom w:val="single" w:sz="4" w:space="0" w:color="000000"/>
              <w:right w:val="single" w:sz="8" w:space="0" w:color="000000"/>
            </w:tcBorders>
            <w:shd w:val="clear" w:color="auto" w:fill="auto"/>
            <w:vAlign w:val="bottom"/>
          </w:tcPr>
          <w:p w:rsidR="000F36DC">
            <w:pPr>
              <w:widowControl/>
              <w:rPr>
                <w:rFonts w:ascii="Calibri" w:eastAsia="Calibri" w:hAnsi="Calibri" w:cs="Calibri"/>
                <w:color w:val="000000"/>
                <w:sz w:val="16"/>
                <w:szCs w:val="16"/>
              </w:rPr>
            </w:pPr>
            <w:r>
              <w:rPr>
                <w:rFonts w:ascii="Calibri" w:eastAsia="Calibri" w:hAnsi="Calibri" w:cs="Calibri"/>
                <w:color w:val="000000"/>
                <w:sz w:val="16"/>
                <w:szCs w:val="16"/>
              </w:rPr>
              <w:t> </w:t>
            </w:r>
          </w:p>
        </w:tc>
      </w:tr>
      <w:tr w:rsidTr="00D92BCA">
        <w:tblPrEx>
          <w:tblW w:w="8240" w:type="dxa"/>
          <w:jc w:val="center"/>
          <w:tblLayout w:type="fixed"/>
          <w:tblLook w:val="0400"/>
        </w:tblPrEx>
        <w:trPr>
          <w:trHeight w:val="300"/>
          <w:jc w:val="center"/>
        </w:trPr>
        <w:tc>
          <w:tcPr>
            <w:tcW w:w="2280" w:type="dxa"/>
            <w:tcBorders>
              <w:top w:val="nil"/>
              <w:left w:val="single" w:sz="8" w:space="0" w:color="000000"/>
              <w:bottom w:val="single" w:sz="4" w:space="0" w:color="000000"/>
              <w:right w:val="single" w:sz="8" w:space="0" w:color="000000"/>
            </w:tcBorders>
            <w:shd w:val="clear" w:color="auto" w:fill="auto"/>
            <w:vAlign w:val="bottom"/>
          </w:tcPr>
          <w:p w:rsidR="000F36DC">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20" w:type="dxa"/>
            <w:tcBorders>
              <w:top w:val="nil"/>
              <w:left w:val="nil"/>
              <w:bottom w:val="single" w:sz="4" w:space="0" w:color="000000"/>
              <w:right w:val="single" w:sz="4" w:space="0" w:color="000000"/>
            </w:tcBorders>
            <w:shd w:val="clear" w:color="auto" w:fill="auto"/>
            <w:vAlign w:val="bottom"/>
          </w:tcPr>
          <w:p w:rsidR="000F36DC">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40" w:type="dxa"/>
            <w:tcBorders>
              <w:top w:val="nil"/>
              <w:left w:val="nil"/>
              <w:bottom w:val="single" w:sz="4" w:space="0" w:color="000000"/>
              <w:right w:val="single" w:sz="4" w:space="0" w:color="000000"/>
            </w:tcBorders>
            <w:shd w:val="clear" w:color="auto" w:fill="auto"/>
            <w:vAlign w:val="bottom"/>
          </w:tcPr>
          <w:p w:rsidR="000F36DC">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20" w:type="dxa"/>
            <w:tcBorders>
              <w:top w:val="nil"/>
              <w:left w:val="nil"/>
              <w:bottom w:val="single" w:sz="4" w:space="0" w:color="000000"/>
              <w:right w:val="single" w:sz="4" w:space="0" w:color="000000"/>
            </w:tcBorders>
            <w:shd w:val="clear" w:color="auto" w:fill="auto"/>
            <w:vAlign w:val="bottom"/>
          </w:tcPr>
          <w:p w:rsidR="000F36DC">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280" w:type="dxa"/>
            <w:tcBorders>
              <w:top w:val="nil"/>
              <w:left w:val="nil"/>
              <w:bottom w:val="single" w:sz="4" w:space="0" w:color="000000"/>
              <w:right w:val="single" w:sz="4" w:space="0" w:color="000000"/>
            </w:tcBorders>
            <w:shd w:val="clear" w:color="auto" w:fill="808080"/>
            <w:vAlign w:val="bottom"/>
          </w:tcPr>
          <w:p w:rsidR="000F36DC">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300" w:type="dxa"/>
            <w:tcBorders>
              <w:top w:val="nil"/>
              <w:left w:val="nil"/>
              <w:bottom w:val="single" w:sz="4" w:space="0" w:color="000000"/>
              <w:right w:val="single" w:sz="8" w:space="0" w:color="000000"/>
            </w:tcBorders>
            <w:shd w:val="clear" w:color="auto" w:fill="auto"/>
            <w:vAlign w:val="bottom"/>
          </w:tcPr>
          <w:p w:rsidR="000F36DC">
            <w:pPr>
              <w:widowControl/>
              <w:rPr>
                <w:rFonts w:ascii="Calibri" w:eastAsia="Calibri" w:hAnsi="Calibri" w:cs="Calibri"/>
                <w:color w:val="000000"/>
                <w:sz w:val="16"/>
                <w:szCs w:val="16"/>
              </w:rPr>
            </w:pPr>
            <w:r>
              <w:rPr>
                <w:rFonts w:ascii="Calibri" w:eastAsia="Calibri" w:hAnsi="Calibri" w:cs="Calibri"/>
                <w:color w:val="000000"/>
                <w:sz w:val="16"/>
                <w:szCs w:val="16"/>
              </w:rPr>
              <w:t> </w:t>
            </w:r>
          </w:p>
        </w:tc>
      </w:tr>
      <w:tr w:rsidTr="00D92BCA">
        <w:tblPrEx>
          <w:tblW w:w="8240" w:type="dxa"/>
          <w:jc w:val="center"/>
          <w:tblLayout w:type="fixed"/>
          <w:tblLook w:val="0400"/>
        </w:tblPrEx>
        <w:trPr>
          <w:trHeight w:val="300"/>
          <w:jc w:val="center"/>
        </w:trPr>
        <w:tc>
          <w:tcPr>
            <w:tcW w:w="2280" w:type="dxa"/>
            <w:tcBorders>
              <w:top w:val="nil"/>
              <w:left w:val="single" w:sz="8" w:space="0" w:color="000000"/>
              <w:bottom w:val="single" w:sz="4" w:space="0" w:color="000000"/>
              <w:right w:val="single" w:sz="8" w:space="0" w:color="000000"/>
            </w:tcBorders>
            <w:shd w:val="clear" w:color="auto" w:fill="auto"/>
            <w:vAlign w:val="bottom"/>
          </w:tcPr>
          <w:p w:rsidR="000F36DC">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20" w:type="dxa"/>
            <w:tcBorders>
              <w:top w:val="nil"/>
              <w:left w:val="nil"/>
              <w:bottom w:val="single" w:sz="4" w:space="0" w:color="000000"/>
              <w:right w:val="single" w:sz="4" w:space="0" w:color="000000"/>
            </w:tcBorders>
            <w:shd w:val="clear" w:color="auto" w:fill="auto"/>
            <w:vAlign w:val="bottom"/>
          </w:tcPr>
          <w:p w:rsidR="000F36DC">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40" w:type="dxa"/>
            <w:tcBorders>
              <w:top w:val="nil"/>
              <w:left w:val="nil"/>
              <w:bottom w:val="single" w:sz="4" w:space="0" w:color="000000"/>
              <w:right w:val="single" w:sz="4" w:space="0" w:color="000000"/>
            </w:tcBorders>
            <w:shd w:val="clear" w:color="auto" w:fill="auto"/>
            <w:vAlign w:val="bottom"/>
          </w:tcPr>
          <w:p w:rsidR="000F36DC">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20" w:type="dxa"/>
            <w:tcBorders>
              <w:top w:val="nil"/>
              <w:left w:val="nil"/>
              <w:bottom w:val="single" w:sz="4" w:space="0" w:color="000000"/>
              <w:right w:val="single" w:sz="4" w:space="0" w:color="000000"/>
            </w:tcBorders>
            <w:shd w:val="clear" w:color="auto" w:fill="auto"/>
            <w:vAlign w:val="bottom"/>
          </w:tcPr>
          <w:p w:rsidR="000F36DC">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280" w:type="dxa"/>
            <w:tcBorders>
              <w:top w:val="nil"/>
              <w:left w:val="nil"/>
              <w:bottom w:val="single" w:sz="4" w:space="0" w:color="000000"/>
              <w:right w:val="single" w:sz="4" w:space="0" w:color="000000"/>
            </w:tcBorders>
            <w:shd w:val="clear" w:color="auto" w:fill="808080"/>
            <w:vAlign w:val="bottom"/>
          </w:tcPr>
          <w:p w:rsidR="000F36DC">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300" w:type="dxa"/>
            <w:tcBorders>
              <w:top w:val="nil"/>
              <w:left w:val="nil"/>
              <w:bottom w:val="single" w:sz="4" w:space="0" w:color="000000"/>
              <w:right w:val="single" w:sz="8" w:space="0" w:color="000000"/>
            </w:tcBorders>
            <w:shd w:val="clear" w:color="auto" w:fill="auto"/>
            <w:vAlign w:val="bottom"/>
          </w:tcPr>
          <w:p w:rsidR="000F36DC">
            <w:pPr>
              <w:widowControl/>
              <w:rPr>
                <w:rFonts w:ascii="Calibri" w:eastAsia="Calibri" w:hAnsi="Calibri" w:cs="Calibri"/>
                <w:color w:val="000000"/>
                <w:sz w:val="16"/>
                <w:szCs w:val="16"/>
              </w:rPr>
            </w:pPr>
            <w:r>
              <w:rPr>
                <w:rFonts w:ascii="Calibri" w:eastAsia="Calibri" w:hAnsi="Calibri" w:cs="Calibri"/>
                <w:color w:val="000000"/>
                <w:sz w:val="16"/>
                <w:szCs w:val="16"/>
              </w:rPr>
              <w:t> </w:t>
            </w:r>
          </w:p>
        </w:tc>
      </w:tr>
      <w:tr w:rsidTr="00D92BCA">
        <w:tblPrEx>
          <w:tblW w:w="8240" w:type="dxa"/>
          <w:jc w:val="center"/>
          <w:tblLayout w:type="fixed"/>
          <w:tblLook w:val="0400"/>
        </w:tblPrEx>
        <w:trPr>
          <w:trHeight w:val="465"/>
          <w:jc w:val="center"/>
        </w:trPr>
        <w:tc>
          <w:tcPr>
            <w:tcW w:w="2280" w:type="dxa"/>
            <w:tcBorders>
              <w:top w:val="nil"/>
              <w:left w:val="single" w:sz="8" w:space="0" w:color="000000"/>
              <w:bottom w:val="single" w:sz="4" w:space="0" w:color="000000"/>
              <w:right w:val="single" w:sz="8" w:space="0" w:color="000000"/>
            </w:tcBorders>
            <w:shd w:val="clear" w:color="auto" w:fill="auto"/>
            <w:vAlign w:val="bottom"/>
          </w:tcPr>
          <w:p w:rsidR="000F36DC">
            <w:pPr>
              <w:widowControl/>
              <w:rPr>
                <w:rFonts w:ascii="Calibri" w:eastAsia="Calibri" w:hAnsi="Calibri" w:cs="Calibri"/>
                <w:b/>
                <w:color w:val="000000"/>
                <w:sz w:val="16"/>
                <w:szCs w:val="16"/>
              </w:rPr>
            </w:pPr>
            <w:r>
              <w:rPr>
                <w:rFonts w:ascii="Calibri" w:eastAsia="Calibri" w:hAnsi="Calibri" w:cs="Calibri"/>
                <w:b/>
                <w:color w:val="000000"/>
                <w:sz w:val="16"/>
                <w:szCs w:val="16"/>
              </w:rPr>
              <w:t>Contractor Cost</w:t>
            </w:r>
          </w:p>
        </w:tc>
        <w:tc>
          <w:tcPr>
            <w:tcW w:w="1120" w:type="dxa"/>
            <w:tcBorders>
              <w:top w:val="nil"/>
              <w:left w:val="nil"/>
              <w:bottom w:val="single" w:sz="4" w:space="0" w:color="000000"/>
              <w:right w:val="single" w:sz="4" w:space="0" w:color="000000"/>
            </w:tcBorders>
            <w:shd w:val="clear" w:color="auto" w:fill="808080"/>
            <w:vAlign w:val="bottom"/>
          </w:tcPr>
          <w:p w:rsidR="000F36DC">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40" w:type="dxa"/>
            <w:tcBorders>
              <w:top w:val="nil"/>
              <w:left w:val="nil"/>
              <w:bottom w:val="single" w:sz="4" w:space="0" w:color="000000"/>
              <w:right w:val="single" w:sz="4" w:space="0" w:color="000000"/>
            </w:tcBorders>
            <w:shd w:val="clear" w:color="auto" w:fill="auto"/>
            <w:vAlign w:val="bottom"/>
          </w:tcPr>
          <w:p w:rsidR="000F36DC">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20" w:type="dxa"/>
            <w:tcBorders>
              <w:top w:val="nil"/>
              <w:left w:val="nil"/>
              <w:bottom w:val="single" w:sz="4" w:space="0" w:color="000000"/>
              <w:right w:val="single" w:sz="4" w:space="0" w:color="000000"/>
            </w:tcBorders>
            <w:shd w:val="clear" w:color="auto" w:fill="auto"/>
            <w:vAlign w:val="bottom"/>
          </w:tcPr>
          <w:p w:rsidR="000F36DC">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280" w:type="dxa"/>
            <w:tcBorders>
              <w:top w:val="nil"/>
              <w:left w:val="nil"/>
              <w:bottom w:val="single" w:sz="4" w:space="0" w:color="000000"/>
              <w:right w:val="single" w:sz="4" w:space="0" w:color="000000"/>
            </w:tcBorders>
            <w:shd w:val="clear" w:color="auto" w:fill="auto"/>
            <w:vAlign w:val="bottom"/>
          </w:tcPr>
          <w:p w:rsidR="000F36DC">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300" w:type="dxa"/>
            <w:tcBorders>
              <w:top w:val="nil"/>
              <w:left w:val="nil"/>
              <w:bottom w:val="single" w:sz="4" w:space="0" w:color="000000"/>
              <w:right w:val="single" w:sz="8" w:space="0" w:color="000000"/>
            </w:tcBorders>
            <w:shd w:val="clear" w:color="auto" w:fill="auto"/>
            <w:vAlign w:val="bottom"/>
          </w:tcPr>
          <w:p w:rsidR="000F36DC">
            <w:pPr>
              <w:widowControl/>
              <w:rPr>
                <w:rFonts w:ascii="Calibri" w:eastAsia="Calibri" w:hAnsi="Calibri" w:cs="Calibri"/>
                <w:color w:val="000000"/>
                <w:sz w:val="16"/>
                <w:szCs w:val="16"/>
              </w:rPr>
            </w:pPr>
            <w:r>
              <w:rPr>
                <w:rFonts w:ascii="Calibri" w:eastAsia="Calibri" w:hAnsi="Calibri" w:cs="Calibri"/>
                <w:color w:val="000000"/>
                <w:sz w:val="16"/>
                <w:szCs w:val="16"/>
              </w:rPr>
              <w:t> </w:t>
            </w:r>
          </w:p>
        </w:tc>
      </w:tr>
      <w:tr w:rsidTr="00D92BCA">
        <w:tblPrEx>
          <w:tblW w:w="8240" w:type="dxa"/>
          <w:jc w:val="center"/>
          <w:tblLayout w:type="fixed"/>
          <w:tblLook w:val="0400"/>
        </w:tblPrEx>
        <w:trPr>
          <w:trHeight w:val="300"/>
          <w:jc w:val="center"/>
        </w:trPr>
        <w:tc>
          <w:tcPr>
            <w:tcW w:w="2280" w:type="dxa"/>
            <w:tcBorders>
              <w:top w:val="nil"/>
              <w:left w:val="single" w:sz="8" w:space="0" w:color="000000"/>
              <w:bottom w:val="single" w:sz="4" w:space="0" w:color="000000"/>
              <w:right w:val="single" w:sz="8" w:space="0" w:color="000000"/>
            </w:tcBorders>
            <w:shd w:val="clear" w:color="auto" w:fill="auto"/>
            <w:vAlign w:val="bottom"/>
          </w:tcPr>
          <w:p w:rsidR="000F36DC">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20" w:type="dxa"/>
            <w:tcBorders>
              <w:top w:val="nil"/>
              <w:left w:val="nil"/>
              <w:bottom w:val="single" w:sz="4" w:space="0" w:color="000000"/>
              <w:right w:val="single" w:sz="4" w:space="0" w:color="000000"/>
            </w:tcBorders>
            <w:shd w:val="clear" w:color="auto" w:fill="auto"/>
            <w:vAlign w:val="bottom"/>
          </w:tcPr>
          <w:p w:rsidR="000F36DC">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40" w:type="dxa"/>
            <w:tcBorders>
              <w:top w:val="nil"/>
              <w:left w:val="nil"/>
              <w:bottom w:val="single" w:sz="4" w:space="0" w:color="000000"/>
              <w:right w:val="single" w:sz="4" w:space="0" w:color="000000"/>
            </w:tcBorders>
            <w:shd w:val="clear" w:color="auto" w:fill="auto"/>
            <w:vAlign w:val="bottom"/>
          </w:tcPr>
          <w:p w:rsidR="000F36DC">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20" w:type="dxa"/>
            <w:tcBorders>
              <w:top w:val="nil"/>
              <w:left w:val="nil"/>
              <w:bottom w:val="single" w:sz="4" w:space="0" w:color="000000"/>
              <w:right w:val="single" w:sz="4" w:space="0" w:color="000000"/>
            </w:tcBorders>
            <w:shd w:val="clear" w:color="auto" w:fill="auto"/>
            <w:vAlign w:val="bottom"/>
          </w:tcPr>
          <w:p w:rsidR="000F36DC">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280" w:type="dxa"/>
            <w:tcBorders>
              <w:top w:val="nil"/>
              <w:left w:val="nil"/>
              <w:bottom w:val="single" w:sz="4" w:space="0" w:color="000000"/>
              <w:right w:val="single" w:sz="4" w:space="0" w:color="000000"/>
            </w:tcBorders>
            <w:shd w:val="clear" w:color="auto" w:fill="auto"/>
            <w:vAlign w:val="bottom"/>
          </w:tcPr>
          <w:p w:rsidR="000F36DC">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300" w:type="dxa"/>
            <w:tcBorders>
              <w:top w:val="nil"/>
              <w:left w:val="nil"/>
              <w:bottom w:val="single" w:sz="4" w:space="0" w:color="000000"/>
              <w:right w:val="single" w:sz="8" w:space="0" w:color="000000"/>
            </w:tcBorders>
            <w:shd w:val="clear" w:color="auto" w:fill="auto"/>
            <w:vAlign w:val="bottom"/>
          </w:tcPr>
          <w:p w:rsidR="000F36DC">
            <w:pPr>
              <w:widowControl/>
              <w:rPr>
                <w:rFonts w:ascii="Calibri" w:eastAsia="Calibri" w:hAnsi="Calibri" w:cs="Calibri"/>
                <w:color w:val="000000"/>
                <w:sz w:val="16"/>
                <w:szCs w:val="16"/>
              </w:rPr>
            </w:pPr>
            <w:r>
              <w:rPr>
                <w:rFonts w:ascii="Calibri" w:eastAsia="Calibri" w:hAnsi="Calibri" w:cs="Calibri"/>
                <w:color w:val="000000"/>
                <w:sz w:val="16"/>
                <w:szCs w:val="16"/>
              </w:rPr>
              <w:t> </w:t>
            </w:r>
          </w:p>
        </w:tc>
      </w:tr>
      <w:tr w:rsidTr="00D92BCA">
        <w:tblPrEx>
          <w:tblW w:w="8240" w:type="dxa"/>
          <w:jc w:val="center"/>
          <w:tblLayout w:type="fixed"/>
          <w:tblLook w:val="0400"/>
        </w:tblPrEx>
        <w:trPr>
          <w:trHeight w:val="300"/>
          <w:jc w:val="center"/>
        </w:trPr>
        <w:tc>
          <w:tcPr>
            <w:tcW w:w="2280" w:type="dxa"/>
            <w:tcBorders>
              <w:top w:val="nil"/>
              <w:left w:val="single" w:sz="8" w:space="0" w:color="000000"/>
              <w:bottom w:val="single" w:sz="4" w:space="0" w:color="000000"/>
              <w:right w:val="single" w:sz="8" w:space="0" w:color="000000"/>
            </w:tcBorders>
            <w:shd w:val="clear" w:color="auto" w:fill="auto"/>
            <w:vAlign w:val="bottom"/>
          </w:tcPr>
          <w:p w:rsidR="000F36DC">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20" w:type="dxa"/>
            <w:tcBorders>
              <w:top w:val="nil"/>
              <w:left w:val="nil"/>
              <w:bottom w:val="single" w:sz="4" w:space="0" w:color="000000"/>
              <w:right w:val="single" w:sz="4" w:space="0" w:color="000000"/>
            </w:tcBorders>
            <w:shd w:val="clear" w:color="auto" w:fill="auto"/>
            <w:vAlign w:val="bottom"/>
          </w:tcPr>
          <w:p w:rsidR="000F36DC">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40" w:type="dxa"/>
            <w:tcBorders>
              <w:top w:val="nil"/>
              <w:left w:val="nil"/>
              <w:bottom w:val="single" w:sz="4" w:space="0" w:color="000000"/>
              <w:right w:val="single" w:sz="4" w:space="0" w:color="000000"/>
            </w:tcBorders>
            <w:shd w:val="clear" w:color="auto" w:fill="auto"/>
            <w:vAlign w:val="bottom"/>
          </w:tcPr>
          <w:p w:rsidR="000F36DC">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20" w:type="dxa"/>
            <w:tcBorders>
              <w:top w:val="nil"/>
              <w:left w:val="nil"/>
              <w:bottom w:val="single" w:sz="4" w:space="0" w:color="000000"/>
              <w:right w:val="single" w:sz="4" w:space="0" w:color="000000"/>
            </w:tcBorders>
            <w:shd w:val="clear" w:color="auto" w:fill="auto"/>
            <w:vAlign w:val="bottom"/>
          </w:tcPr>
          <w:p w:rsidR="000F36DC">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280" w:type="dxa"/>
            <w:tcBorders>
              <w:top w:val="nil"/>
              <w:left w:val="nil"/>
              <w:bottom w:val="single" w:sz="4" w:space="0" w:color="000000"/>
              <w:right w:val="single" w:sz="4" w:space="0" w:color="000000"/>
            </w:tcBorders>
            <w:shd w:val="clear" w:color="auto" w:fill="auto"/>
            <w:vAlign w:val="bottom"/>
          </w:tcPr>
          <w:p w:rsidR="000F36DC">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300" w:type="dxa"/>
            <w:tcBorders>
              <w:top w:val="nil"/>
              <w:left w:val="nil"/>
              <w:bottom w:val="single" w:sz="4" w:space="0" w:color="000000"/>
              <w:right w:val="single" w:sz="8" w:space="0" w:color="000000"/>
            </w:tcBorders>
            <w:shd w:val="clear" w:color="auto" w:fill="auto"/>
            <w:vAlign w:val="bottom"/>
          </w:tcPr>
          <w:p w:rsidR="000F36DC">
            <w:pPr>
              <w:widowControl/>
              <w:rPr>
                <w:rFonts w:ascii="Calibri" w:eastAsia="Calibri" w:hAnsi="Calibri" w:cs="Calibri"/>
                <w:color w:val="000000"/>
                <w:sz w:val="16"/>
                <w:szCs w:val="16"/>
              </w:rPr>
            </w:pPr>
            <w:r>
              <w:rPr>
                <w:rFonts w:ascii="Calibri" w:eastAsia="Calibri" w:hAnsi="Calibri" w:cs="Calibri"/>
                <w:color w:val="000000"/>
                <w:sz w:val="16"/>
                <w:szCs w:val="16"/>
              </w:rPr>
              <w:t> </w:t>
            </w:r>
          </w:p>
        </w:tc>
      </w:tr>
      <w:tr w:rsidTr="00D92BCA">
        <w:tblPrEx>
          <w:tblW w:w="8240" w:type="dxa"/>
          <w:jc w:val="center"/>
          <w:tblLayout w:type="fixed"/>
          <w:tblLook w:val="0400"/>
        </w:tblPrEx>
        <w:trPr>
          <w:trHeight w:val="300"/>
          <w:jc w:val="center"/>
        </w:trPr>
        <w:tc>
          <w:tcPr>
            <w:tcW w:w="2280" w:type="dxa"/>
            <w:tcBorders>
              <w:top w:val="nil"/>
              <w:left w:val="single" w:sz="8" w:space="0" w:color="000000"/>
              <w:bottom w:val="single" w:sz="4" w:space="0" w:color="000000"/>
              <w:right w:val="single" w:sz="8" w:space="0" w:color="000000"/>
            </w:tcBorders>
            <w:shd w:val="clear" w:color="auto" w:fill="auto"/>
            <w:vAlign w:val="bottom"/>
          </w:tcPr>
          <w:p w:rsidR="000F36DC">
            <w:pPr>
              <w:widowControl/>
              <w:rPr>
                <w:rFonts w:ascii="Calibri" w:eastAsia="Calibri" w:hAnsi="Calibri" w:cs="Calibri"/>
                <w:b/>
                <w:color w:val="000000"/>
                <w:sz w:val="16"/>
                <w:szCs w:val="16"/>
              </w:rPr>
            </w:pPr>
            <w:r>
              <w:rPr>
                <w:rFonts w:ascii="Calibri" w:eastAsia="Calibri" w:hAnsi="Calibri" w:cs="Calibri"/>
                <w:b/>
                <w:color w:val="000000"/>
                <w:sz w:val="16"/>
                <w:szCs w:val="16"/>
              </w:rPr>
              <w:t>Travel</w:t>
            </w:r>
          </w:p>
        </w:tc>
        <w:tc>
          <w:tcPr>
            <w:tcW w:w="1120" w:type="dxa"/>
            <w:tcBorders>
              <w:top w:val="nil"/>
              <w:left w:val="nil"/>
              <w:bottom w:val="single" w:sz="4" w:space="0" w:color="000000"/>
              <w:right w:val="single" w:sz="4" w:space="0" w:color="000000"/>
            </w:tcBorders>
            <w:shd w:val="clear" w:color="auto" w:fill="808080"/>
            <w:vAlign w:val="bottom"/>
          </w:tcPr>
          <w:p w:rsidR="000F36DC">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40" w:type="dxa"/>
            <w:tcBorders>
              <w:top w:val="nil"/>
              <w:left w:val="nil"/>
              <w:bottom w:val="single" w:sz="4" w:space="0" w:color="000000"/>
              <w:right w:val="single" w:sz="4" w:space="0" w:color="000000"/>
            </w:tcBorders>
            <w:shd w:val="clear" w:color="auto" w:fill="808080"/>
            <w:vAlign w:val="bottom"/>
          </w:tcPr>
          <w:p w:rsidR="000F36DC">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20" w:type="dxa"/>
            <w:tcBorders>
              <w:top w:val="nil"/>
              <w:left w:val="nil"/>
              <w:bottom w:val="single" w:sz="4" w:space="0" w:color="000000"/>
              <w:right w:val="single" w:sz="4" w:space="0" w:color="000000"/>
            </w:tcBorders>
            <w:shd w:val="clear" w:color="auto" w:fill="808080"/>
            <w:vAlign w:val="bottom"/>
          </w:tcPr>
          <w:p w:rsidR="000F36DC">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280" w:type="dxa"/>
            <w:tcBorders>
              <w:top w:val="nil"/>
              <w:left w:val="nil"/>
              <w:bottom w:val="single" w:sz="4" w:space="0" w:color="000000"/>
              <w:right w:val="single" w:sz="4" w:space="0" w:color="000000"/>
            </w:tcBorders>
            <w:shd w:val="clear" w:color="auto" w:fill="808080"/>
            <w:vAlign w:val="bottom"/>
          </w:tcPr>
          <w:p w:rsidR="000F36DC">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300" w:type="dxa"/>
            <w:tcBorders>
              <w:top w:val="nil"/>
              <w:left w:val="nil"/>
              <w:bottom w:val="single" w:sz="4" w:space="0" w:color="000000"/>
              <w:right w:val="single" w:sz="8" w:space="0" w:color="000000"/>
            </w:tcBorders>
            <w:shd w:val="clear" w:color="auto" w:fill="auto"/>
            <w:vAlign w:val="bottom"/>
          </w:tcPr>
          <w:p w:rsidR="000F36DC">
            <w:pPr>
              <w:widowControl/>
              <w:rPr>
                <w:rFonts w:ascii="Calibri" w:eastAsia="Calibri" w:hAnsi="Calibri" w:cs="Calibri"/>
                <w:color w:val="000000"/>
                <w:sz w:val="16"/>
                <w:szCs w:val="16"/>
              </w:rPr>
            </w:pPr>
            <w:r>
              <w:rPr>
                <w:rFonts w:ascii="Calibri" w:eastAsia="Calibri" w:hAnsi="Calibri" w:cs="Calibri"/>
                <w:color w:val="000000"/>
                <w:sz w:val="16"/>
                <w:szCs w:val="16"/>
              </w:rPr>
              <w:t> </w:t>
            </w:r>
          </w:p>
        </w:tc>
      </w:tr>
      <w:tr w:rsidTr="00D92BCA">
        <w:tblPrEx>
          <w:tblW w:w="8240" w:type="dxa"/>
          <w:jc w:val="center"/>
          <w:tblLayout w:type="fixed"/>
          <w:tblLook w:val="0400"/>
        </w:tblPrEx>
        <w:trPr>
          <w:trHeight w:val="525"/>
          <w:jc w:val="center"/>
        </w:trPr>
        <w:tc>
          <w:tcPr>
            <w:tcW w:w="2280" w:type="dxa"/>
            <w:tcBorders>
              <w:top w:val="nil"/>
              <w:left w:val="single" w:sz="8" w:space="0" w:color="000000"/>
              <w:bottom w:val="nil"/>
              <w:right w:val="single" w:sz="8" w:space="0" w:color="000000"/>
            </w:tcBorders>
            <w:shd w:val="clear" w:color="auto" w:fill="auto"/>
            <w:vAlign w:val="center"/>
          </w:tcPr>
          <w:p w:rsidR="000F36DC">
            <w:pPr>
              <w:widowControl/>
              <w:rPr>
                <w:rFonts w:ascii="Calibri" w:eastAsia="Calibri" w:hAnsi="Calibri" w:cs="Calibri"/>
                <w:b/>
                <w:color w:val="000000"/>
                <w:sz w:val="16"/>
                <w:szCs w:val="16"/>
              </w:rPr>
            </w:pPr>
            <w:r>
              <w:rPr>
                <w:rFonts w:ascii="Calibri" w:eastAsia="Calibri" w:hAnsi="Calibri" w:cs="Calibri"/>
                <w:b/>
                <w:color w:val="000000"/>
                <w:sz w:val="16"/>
                <w:szCs w:val="16"/>
              </w:rPr>
              <w:t xml:space="preserve">Other Costs: </w:t>
            </w:r>
          </w:p>
        </w:tc>
        <w:tc>
          <w:tcPr>
            <w:tcW w:w="1120" w:type="dxa"/>
            <w:tcBorders>
              <w:top w:val="nil"/>
              <w:left w:val="nil"/>
              <w:bottom w:val="single" w:sz="4" w:space="0" w:color="000000"/>
              <w:right w:val="single" w:sz="4" w:space="0" w:color="000000"/>
            </w:tcBorders>
            <w:shd w:val="clear" w:color="auto" w:fill="808080"/>
            <w:vAlign w:val="bottom"/>
          </w:tcPr>
          <w:p w:rsidR="000F36DC">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40" w:type="dxa"/>
            <w:tcBorders>
              <w:top w:val="nil"/>
              <w:left w:val="nil"/>
              <w:bottom w:val="single" w:sz="4" w:space="0" w:color="000000"/>
              <w:right w:val="single" w:sz="4" w:space="0" w:color="000000"/>
            </w:tcBorders>
            <w:shd w:val="clear" w:color="auto" w:fill="808080"/>
            <w:vAlign w:val="bottom"/>
          </w:tcPr>
          <w:p w:rsidR="000F36DC">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20" w:type="dxa"/>
            <w:tcBorders>
              <w:top w:val="nil"/>
              <w:left w:val="nil"/>
              <w:bottom w:val="single" w:sz="4" w:space="0" w:color="000000"/>
              <w:right w:val="single" w:sz="4" w:space="0" w:color="000000"/>
            </w:tcBorders>
            <w:shd w:val="clear" w:color="auto" w:fill="808080"/>
            <w:vAlign w:val="bottom"/>
          </w:tcPr>
          <w:p w:rsidR="000F36DC">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280" w:type="dxa"/>
            <w:tcBorders>
              <w:top w:val="nil"/>
              <w:left w:val="nil"/>
              <w:bottom w:val="single" w:sz="4" w:space="0" w:color="000000"/>
              <w:right w:val="single" w:sz="4" w:space="0" w:color="000000"/>
            </w:tcBorders>
            <w:shd w:val="clear" w:color="auto" w:fill="808080"/>
            <w:vAlign w:val="bottom"/>
          </w:tcPr>
          <w:p w:rsidR="000F36DC">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300" w:type="dxa"/>
            <w:tcBorders>
              <w:top w:val="nil"/>
              <w:left w:val="nil"/>
              <w:bottom w:val="single" w:sz="4" w:space="0" w:color="000000"/>
              <w:right w:val="single" w:sz="8" w:space="0" w:color="000000"/>
            </w:tcBorders>
            <w:shd w:val="clear" w:color="auto" w:fill="auto"/>
            <w:vAlign w:val="bottom"/>
          </w:tcPr>
          <w:p w:rsidR="000F36DC">
            <w:pPr>
              <w:widowControl/>
              <w:rPr>
                <w:rFonts w:ascii="Calibri" w:eastAsia="Calibri" w:hAnsi="Calibri" w:cs="Calibri"/>
                <w:color w:val="000000"/>
                <w:sz w:val="16"/>
                <w:szCs w:val="16"/>
              </w:rPr>
            </w:pPr>
            <w:r>
              <w:rPr>
                <w:rFonts w:ascii="Calibri" w:eastAsia="Calibri" w:hAnsi="Calibri" w:cs="Calibri"/>
                <w:color w:val="000000"/>
                <w:sz w:val="16"/>
                <w:szCs w:val="16"/>
              </w:rPr>
              <w:t> </w:t>
            </w:r>
          </w:p>
        </w:tc>
      </w:tr>
      <w:tr w:rsidTr="00D92BCA">
        <w:tblPrEx>
          <w:tblW w:w="8240" w:type="dxa"/>
          <w:jc w:val="center"/>
          <w:tblLayout w:type="fixed"/>
          <w:tblLook w:val="0400"/>
        </w:tblPrEx>
        <w:trPr>
          <w:trHeight w:val="315"/>
          <w:jc w:val="center"/>
        </w:trPr>
        <w:tc>
          <w:tcPr>
            <w:tcW w:w="2280" w:type="dxa"/>
            <w:tcBorders>
              <w:top w:val="single" w:sz="8" w:space="0" w:color="000000"/>
              <w:left w:val="single" w:sz="8" w:space="0" w:color="000000"/>
              <w:bottom w:val="single" w:sz="8" w:space="0" w:color="000000"/>
              <w:right w:val="single" w:sz="8" w:space="0" w:color="000000"/>
            </w:tcBorders>
            <w:shd w:val="clear" w:color="auto" w:fill="DDEBF7"/>
            <w:vAlign w:val="bottom"/>
          </w:tcPr>
          <w:p w:rsidR="000F36DC">
            <w:pPr>
              <w:widowControl/>
              <w:rPr>
                <w:rFonts w:ascii="Calibri" w:eastAsia="Calibri" w:hAnsi="Calibri" w:cs="Calibri"/>
                <w:b/>
                <w:color w:val="000000"/>
                <w:sz w:val="16"/>
                <w:szCs w:val="16"/>
              </w:rPr>
            </w:pPr>
            <w:r>
              <w:rPr>
                <w:rFonts w:ascii="Calibri" w:eastAsia="Calibri" w:hAnsi="Calibri" w:cs="Calibri"/>
                <w:b/>
                <w:color w:val="000000"/>
                <w:sz w:val="16"/>
                <w:szCs w:val="16"/>
              </w:rPr>
              <w:t>TOTAL</w:t>
            </w:r>
          </w:p>
        </w:tc>
        <w:tc>
          <w:tcPr>
            <w:tcW w:w="1120" w:type="dxa"/>
            <w:tcBorders>
              <w:top w:val="single" w:sz="8" w:space="0" w:color="000000"/>
              <w:left w:val="nil"/>
              <w:bottom w:val="single" w:sz="8" w:space="0" w:color="000000"/>
              <w:right w:val="single" w:sz="8" w:space="0" w:color="000000"/>
            </w:tcBorders>
            <w:shd w:val="clear" w:color="auto" w:fill="808080"/>
            <w:vAlign w:val="bottom"/>
          </w:tcPr>
          <w:p w:rsidR="000F36DC">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40" w:type="dxa"/>
            <w:tcBorders>
              <w:top w:val="single" w:sz="8" w:space="0" w:color="000000"/>
              <w:left w:val="nil"/>
              <w:bottom w:val="single" w:sz="8" w:space="0" w:color="000000"/>
              <w:right w:val="single" w:sz="8" w:space="0" w:color="000000"/>
            </w:tcBorders>
            <w:shd w:val="clear" w:color="auto" w:fill="808080"/>
            <w:vAlign w:val="bottom"/>
          </w:tcPr>
          <w:p w:rsidR="000F36DC">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20" w:type="dxa"/>
            <w:tcBorders>
              <w:top w:val="single" w:sz="8" w:space="0" w:color="000000"/>
              <w:left w:val="nil"/>
              <w:bottom w:val="single" w:sz="8" w:space="0" w:color="000000"/>
              <w:right w:val="single" w:sz="8" w:space="0" w:color="000000"/>
            </w:tcBorders>
            <w:shd w:val="clear" w:color="auto" w:fill="757171"/>
            <w:vAlign w:val="bottom"/>
          </w:tcPr>
          <w:p w:rsidR="000F36DC">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280" w:type="dxa"/>
            <w:tcBorders>
              <w:top w:val="single" w:sz="8" w:space="0" w:color="000000"/>
              <w:left w:val="nil"/>
              <w:bottom w:val="single" w:sz="8" w:space="0" w:color="000000"/>
              <w:right w:val="single" w:sz="8" w:space="0" w:color="000000"/>
            </w:tcBorders>
            <w:shd w:val="clear" w:color="auto" w:fill="DDEBF7"/>
            <w:vAlign w:val="bottom"/>
          </w:tcPr>
          <w:p w:rsidR="000F36DC">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300" w:type="dxa"/>
            <w:tcBorders>
              <w:top w:val="single" w:sz="8" w:space="0" w:color="000000"/>
              <w:left w:val="nil"/>
              <w:bottom w:val="single" w:sz="8" w:space="0" w:color="000000"/>
              <w:right w:val="single" w:sz="8" w:space="0" w:color="000000"/>
            </w:tcBorders>
            <w:shd w:val="clear" w:color="auto" w:fill="DDEBF7"/>
            <w:vAlign w:val="bottom"/>
          </w:tcPr>
          <w:p w:rsidR="000F36DC">
            <w:pPr>
              <w:widowControl/>
              <w:rPr>
                <w:rFonts w:ascii="Calibri" w:eastAsia="Calibri" w:hAnsi="Calibri" w:cs="Calibri"/>
                <w:color w:val="000000"/>
                <w:sz w:val="16"/>
                <w:szCs w:val="16"/>
              </w:rPr>
            </w:pPr>
            <w:r>
              <w:rPr>
                <w:rFonts w:ascii="Calibri" w:eastAsia="Calibri" w:hAnsi="Calibri" w:cs="Calibri"/>
                <w:color w:val="000000"/>
                <w:sz w:val="16"/>
                <w:szCs w:val="16"/>
              </w:rPr>
              <w:t> 50,000</w:t>
            </w:r>
          </w:p>
        </w:tc>
      </w:tr>
    </w:tbl>
    <w:p w:rsidR="000F36DC">
      <w:pPr>
        <w:pBdr>
          <w:top w:val="nil"/>
          <w:left w:val="nil"/>
          <w:bottom w:val="nil"/>
          <w:right w:val="nil"/>
          <w:between w:val="nil"/>
        </w:pBdr>
        <w:spacing w:before="9" w:after="1"/>
        <w:rPr>
          <w:b/>
        </w:rPr>
      </w:pPr>
    </w:p>
    <w:p w:rsidR="000F36DC">
      <w:r>
        <w:t xml:space="preserve">As mentioned above, the implementation of this survey is funding dependent. In September 2021, NOAA was approved to receive funding through Deepwater Horizon Oil Spill Natural Resource Damage Assessment Restoration. A project titled, </w:t>
      </w:r>
      <w:r w:rsidR="00D92BCA">
        <w:t>the Region wide Trustee Implementation Group has funded “Reducing Sea Turtle Bycatch at Recreational Fishing Sites”</w:t>
      </w:r>
      <w:r>
        <w:t>. The project will provide funds to implement angler surveys for up to 2 years in each of the 5 Gulf of Mexico states to better understand co-factors related to sh</w:t>
      </w:r>
      <w:r>
        <w:t>ore-based hook and line bycatch of sea turtles.</w:t>
      </w:r>
    </w:p>
    <w:p w:rsidR="000F36DC">
      <w:pPr>
        <w:ind w:right="375"/>
      </w:pPr>
    </w:p>
    <w:p w:rsidR="000F36DC">
      <w:pPr>
        <w:ind w:right="375"/>
      </w:pPr>
      <w:r>
        <w:t xml:space="preserve">If surveys </w:t>
      </w:r>
      <w:r w:rsidR="00D92BCA">
        <w:t>were</w:t>
      </w:r>
      <w:r>
        <w:t xml:space="preserve"> implemented outside the DWH Restoration program, NOAA would minimize costs where possible and </w:t>
      </w:r>
      <w:r w:rsidR="00D92BCA">
        <w:t>collaborate</w:t>
      </w:r>
      <w:r>
        <w:t xml:space="preserve"> with local organizations that may be able to cost share for the implementation.  </w:t>
      </w:r>
    </w:p>
    <w:p w:rsidR="000F36DC">
      <w:pPr>
        <w:ind w:right="375"/>
      </w:pPr>
    </w:p>
    <w:p w:rsidR="000F36DC">
      <w:pPr>
        <w:ind w:right="375"/>
      </w:pPr>
      <w:r>
        <w:t>Th</w:t>
      </w:r>
      <w:r>
        <w:t>e Federal cost per state would be the hiring of two survey administrators per state. Survey administrators would be part-time contractors that together would be the equivalent of one full time contractor. Therefore, the cost of implementation of this surve</w:t>
      </w:r>
      <w:r>
        <w:t xml:space="preserve">y would be approximately one full </w:t>
      </w:r>
      <w:r>
        <w:t>time contractor per state.  Estimated at $40,000 per state. The Federal Oversight costs would include approximately 5% of a GS-13 equivalent salary per state where the survey is implemented. This is estimated at $10,000 pe</w:t>
      </w:r>
      <w:r>
        <w:t xml:space="preserve">r state. The Federal Oversight for the DWH-funded surveys in </w:t>
      </w:r>
      <w:r w:rsidR="002C34E1">
        <w:t>five</w:t>
      </w:r>
      <w:r>
        <w:t xml:space="preserve"> of the 10 states will be covered as part of project costs with non-appropriated funds and is not considered a cost to the government. </w:t>
      </w:r>
    </w:p>
    <w:p w:rsidR="000F36DC">
      <w:pPr>
        <w:pBdr>
          <w:top w:val="nil"/>
          <w:left w:val="nil"/>
          <w:bottom w:val="nil"/>
          <w:right w:val="nil"/>
          <w:between w:val="nil"/>
        </w:pBdr>
        <w:spacing w:before="9" w:after="1"/>
        <w:rPr>
          <w:b/>
        </w:rPr>
      </w:pPr>
    </w:p>
    <w:p w:rsidR="000F36DC">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 xml:space="preserve">Explain the reasons for any program changes or </w:t>
      </w:r>
      <w:r>
        <w:rPr>
          <w:b/>
          <w:color w:val="000000"/>
        </w:rPr>
        <w:t>adjustments reported in ROCIS.</w:t>
      </w:r>
    </w:p>
    <w:p w:rsidR="000F36DC">
      <w:pPr>
        <w:rPr>
          <w:color w:val="2F5496"/>
        </w:rPr>
      </w:pPr>
    </w:p>
    <w:tbl>
      <w:tblPr>
        <w:tblW w:w="0" w:type="auto"/>
        <w:jc w:val="center"/>
        <w:tblCellMar>
          <w:top w:w="15" w:type="dxa"/>
          <w:left w:w="15" w:type="dxa"/>
          <w:bottom w:w="15" w:type="dxa"/>
          <w:right w:w="15" w:type="dxa"/>
        </w:tblCellMar>
        <w:tblLook w:val="04A0"/>
      </w:tblPr>
      <w:tblGrid>
        <w:gridCol w:w="1664"/>
        <w:gridCol w:w="1070"/>
        <w:gridCol w:w="1084"/>
        <w:gridCol w:w="1069"/>
        <w:gridCol w:w="1084"/>
        <w:gridCol w:w="1069"/>
        <w:gridCol w:w="1084"/>
        <w:gridCol w:w="1936"/>
      </w:tblGrid>
      <w:tr w:rsidTr="00D92BCA">
        <w:tblPrEx>
          <w:tblW w:w="0" w:type="auto"/>
          <w:jc w:val="center"/>
          <w:tblCellMar>
            <w:top w:w="15" w:type="dxa"/>
            <w:left w:w="15" w:type="dxa"/>
            <w:bottom w:w="15" w:type="dxa"/>
            <w:right w:w="15" w:type="dxa"/>
          </w:tblCellMar>
          <w:tblLook w:val="04A0"/>
        </w:tblPrEx>
        <w:trPr>
          <w:trHeight w:val="315"/>
          <w:jc w:val="center"/>
        </w:trPr>
        <w:tc>
          <w:tcPr>
            <w:tcW w:w="1663" w:type="dxa"/>
            <w:vMerge w:val="restart"/>
            <w:tcBorders>
              <w:top w:val="single" w:sz="8" w:space="0" w:color="000000"/>
              <w:left w:val="single" w:sz="8" w:space="0" w:color="000000"/>
              <w:bottom w:val="single" w:sz="8" w:space="0" w:color="000000"/>
              <w:right w:val="single" w:sz="8" w:space="0" w:color="000000"/>
            </w:tcBorders>
            <w:shd w:val="clear" w:color="auto" w:fill="5B9BD5"/>
            <w:tcMar>
              <w:top w:w="0" w:type="dxa"/>
              <w:left w:w="115" w:type="dxa"/>
              <w:bottom w:w="0" w:type="dxa"/>
              <w:right w:w="115" w:type="dxa"/>
            </w:tcMar>
            <w:vAlign w:val="center"/>
            <w:hideMark/>
          </w:tcPr>
          <w:p w:rsidR="002C34E1" w:rsidRPr="002C34E1" w:rsidP="002C34E1">
            <w:pPr>
              <w:widowControl/>
              <w:jc w:val="center"/>
            </w:pPr>
            <w:r w:rsidRPr="002C34E1">
              <w:rPr>
                <w:rFonts w:ascii="Calibri" w:hAnsi="Calibri" w:cs="Calibri"/>
                <w:b/>
                <w:bCs/>
                <w:color w:val="000000"/>
                <w:sz w:val="16"/>
                <w:szCs w:val="16"/>
              </w:rPr>
              <w:t>Information Collection</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5B9BD5"/>
            <w:tcMar>
              <w:top w:w="0" w:type="dxa"/>
              <w:left w:w="115" w:type="dxa"/>
              <w:bottom w:w="0" w:type="dxa"/>
              <w:right w:w="115" w:type="dxa"/>
            </w:tcMar>
            <w:vAlign w:val="center"/>
            <w:hideMark/>
          </w:tcPr>
          <w:p w:rsidR="002C34E1" w:rsidRPr="002C34E1" w:rsidP="002C34E1">
            <w:pPr>
              <w:widowControl/>
              <w:jc w:val="center"/>
            </w:pPr>
            <w:r w:rsidRPr="002C34E1">
              <w:rPr>
                <w:rFonts w:ascii="Calibri" w:hAnsi="Calibri" w:cs="Calibri"/>
                <w:b/>
                <w:bCs/>
                <w:color w:val="000000"/>
                <w:sz w:val="16"/>
                <w:szCs w:val="16"/>
              </w:rPr>
              <w:t>Respondents</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5B9BD5"/>
            <w:tcMar>
              <w:top w:w="0" w:type="dxa"/>
              <w:left w:w="115" w:type="dxa"/>
              <w:bottom w:w="0" w:type="dxa"/>
              <w:right w:w="115" w:type="dxa"/>
            </w:tcMar>
            <w:vAlign w:val="center"/>
            <w:hideMark/>
          </w:tcPr>
          <w:p w:rsidR="002C34E1" w:rsidRPr="002C34E1" w:rsidP="002C34E1">
            <w:pPr>
              <w:widowControl/>
              <w:jc w:val="center"/>
            </w:pPr>
            <w:r w:rsidRPr="002C34E1">
              <w:rPr>
                <w:rFonts w:ascii="Calibri" w:hAnsi="Calibri" w:cs="Calibri"/>
                <w:b/>
                <w:bCs/>
                <w:color w:val="000000"/>
                <w:sz w:val="16"/>
                <w:szCs w:val="16"/>
              </w:rPr>
              <w:t>Responses</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5B9BD5"/>
            <w:tcMar>
              <w:top w:w="0" w:type="dxa"/>
              <w:left w:w="115" w:type="dxa"/>
              <w:bottom w:w="0" w:type="dxa"/>
              <w:right w:w="115" w:type="dxa"/>
            </w:tcMar>
            <w:vAlign w:val="center"/>
            <w:hideMark/>
          </w:tcPr>
          <w:p w:rsidR="002C34E1" w:rsidRPr="002C34E1" w:rsidP="002C34E1">
            <w:pPr>
              <w:widowControl/>
              <w:jc w:val="center"/>
            </w:pPr>
            <w:r w:rsidRPr="002C34E1">
              <w:rPr>
                <w:rFonts w:ascii="Calibri" w:hAnsi="Calibri" w:cs="Calibri"/>
                <w:b/>
                <w:bCs/>
                <w:color w:val="000000"/>
                <w:sz w:val="16"/>
                <w:szCs w:val="16"/>
              </w:rPr>
              <w:t>Burden Hours</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5B9BD5"/>
            <w:tcMar>
              <w:top w:w="0" w:type="dxa"/>
              <w:left w:w="115" w:type="dxa"/>
              <w:bottom w:w="0" w:type="dxa"/>
              <w:right w:w="115" w:type="dxa"/>
            </w:tcMar>
            <w:vAlign w:val="center"/>
            <w:hideMark/>
          </w:tcPr>
          <w:p w:rsidR="002C34E1" w:rsidRPr="002C34E1" w:rsidP="002C34E1">
            <w:pPr>
              <w:widowControl/>
              <w:jc w:val="center"/>
            </w:pPr>
            <w:r w:rsidRPr="002C34E1">
              <w:rPr>
                <w:rFonts w:ascii="Calibri" w:hAnsi="Calibri" w:cs="Calibri"/>
                <w:b/>
                <w:bCs/>
                <w:color w:val="000000"/>
                <w:sz w:val="16"/>
                <w:szCs w:val="16"/>
              </w:rPr>
              <w:t>Reason for change or adjustment</w:t>
            </w:r>
          </w:p>
        </w:tc>
      </w:tr>
      <w:tr w:rsidTr="00D92BCA">
        <w:tblPrEx>
          <w:tblW w:w="0" w:type="auto"/>
          <w:jc w:val="center"/>
          <w:tblCellMar>
            <w:top w:w="15" w:type="dxa"/>
            <w:left w:w="15" w:type="dxa"/>
            <w:bottom w:w="15" w:type="dxa"/>
            <w:right w:w="15" w:type="dxa"/>
          </w:tblCellMar>
          <w:tblLook w:val="04A0"/>
        </w:tblPrEx>
        <w:trPr>
          <w:trHeight w:val="690"/>
          <w:jc w:val="center"/>
        </w:trPr>
        <w:tc>
          <w:tcPr>
            <w:tcW w:w="1663" w:type="dxa"/>
            <w:vMerge/>
            <w:tcBorders>
              <w:top w:val="single" w:sz="8" w:space="0" w:color="000000"/>
              <w:left w:val="single" w:sz="8" w:space="0" w:color="000000"/>
              <w:bottom w:val="single" w:sz="8" w:space="0" w:color="000000"/>
              <w:right w:val="single" w:sz="8" w:space="0" w:color="000000"/>
            </w:tcBorders>
            <w:vAlign w:val="center"/>
            <w:hideMark/>
          </w:tcPr>
          <w:p w:rsidR="002C34E1" w:rsidRPr="002C34E1" w:rsidP="002C34E1">
            <w:pPr>
              <w:widowControl/>
            </w:pPr>
          </w:p>
        </w:tc>
        <w:tc>
          <w:tcPr>
            <w:tcW w:w="0" w:type="auto"/>
            <w:tcBorders>
              <w:top w:val="single" w:sz="8" w:space="0" w:color="000000"/>
              <w:left w:val="single" w:sz="8" w:space="0" w:color="000000"/>
              <w:bottom w:val="single" w:sz="8" w:space="0" w:color="000000"/>
              <w:right w:val="dashed" w:sz="8" w:space="0" w:color="000000"/>
            </w:tcBorders>
            <w:shd w:val="clear" w:color="auto" w:fill="FBE4D5"/>
            <w:tcMar>
              <w:top w:w="0" w:type="dxa"/>
              <w:left w:w="115" w:type="dxa"/>
              <w:bottom w:w="0" w:type="dxa"/>
              <w:right w:w="115" w:type="dxa"/>
            </w:tcMar>
            <w:vAlign w:val="center"/>
            <w:hideMark/>
          </w:tcPr>
          <w:p w:rsidR="002C34E1" w:rsidRPr="002C34E1" w:rsidP="002C34E1">
            <w:pPr>
              <w:widowControl/>
              <w:jc w:val="center"/>
            </w:pPr>
            <w:r w:rsidRPr="002C34E1">
              <w:rPr>
                <w:rFonts w:ascii="Calibri" w:hAnsi="Calibri" w:cs="Calibri"/>
                <w:color w:val="000000"/>
                <w:sz w:val="16"/>
                <w:szCs w:val="16"/>
              </w:rPr>
              <w:t>Current Renewal / Revision</w:t>
            </w:r>
          </w:p>
        </w:tc>
        <w:tc>
          <w:tcPr>
            <w:tcW w:w="0" w:type="auto"/>
            <w:tcBorders>
              <w:top w:val="single" w:sz="8" w:space="0" w:color="000000"/>
              <w:left w:val="dashed" w:sz="8" w:space="0" w:color="000000"/>
              <w:bottom w:val="single" w:sz="8" w:space="0" w:color="000000"/>
              <w:right w:val="single" w:sz="8" w:space="0" w:color="000000"/>
            </w:tcBorders>
            <w:shd w:val="clear" w:color="auto" w:fill="FBE4D5"/>
            <w:tcMar>
              <w:top w:w="0" w:type="dxa"/>
              <w:left w:w="115" w:type="dxa"/>
              <w:bottom w:w="0" w:type="dxa"/>
              <w:right w:w="115" w:type="dxa"/>
            </w:tcMar>
            <w:vAlign w:val="center"/>
            <w:hideMark/>
          </w:tcPr>
          <w:p w:rsidR="002C34E1" w:rsidRPr="002C34E1" w:rsidP="002C34E1">
            <w:pPr>
              <w:widowControl/>
              <w:jc w:val="center"/>
            </w:pPr>
            <w:r w:rsidRPr="002C34E1">
              <w:rPr>
                <w:rFonts w:ascii="Calibri" w:hAnsi="Calibri" w:cs="Calibri"/>
                <w:color w:val="000000"/>
                <w:sz w:val="16"/>
                <w:szCs w:val="16"/>
              </w:rPr>
              <w:t>Previous Renewal / Revision</w:t>
            </w:r>
          </w:p>
        </w:tc>
        <w:tc>
          <w:tcPr>
            <w:tcW w:w="0" w:type="auto"/>
            <w:tcBorders>
              <w:top w:val="single" w:sz="8" w:space="0" w:color="000000"/>
              <w:left w:val="single" w:sz="8" w:space="0" w:color="000000"/>
              <w:bottom w:val="single" w:sz="8" w:space="0" w:color="000000"/>
              <w:right w:val="dashed" w:sz="8" w:space="0" w:color="000000"/>
            </w:tcBorders>
            <w:shd w:val="clear" w:color="auto" w:fill="FBE4D5"/>
            <w:tcMar>
              <w:top w:w="0" w:type="dxa"/>
              <w:left w:w="115" w:type="dxa"/>
              <w:bottom w:w="0" w:type="dxa"/>
              <w:right w:w="115" w:type="dxa"/>
            </w:tcMar>
            <w:vAlign w:val="center"/>
            <w:hideMark/>
          </w:tcPr>
          <w:p w:rsidR="002C34E1" w:rsidRPr="002C34E1" w:rsidP="002C34E1">
            <w:pPr>
              <w:widowControl/>
              <w:jc w:val="center"/>
            </w:pPr>
            <w:r w:rsidRPr="002C34E1">
              <w:rPr>
                <w:rFonts w:ascii="Calibri" w:hAnsi="Calibri" w:cs="Calibri"/>
                <w:color w:val="000000"/>
                <w:sz w:val="16"/>
                <w:szCs w:val="16"/>
              </w:rPr>
              <w:t>Current Renewal / Revision</w:t>
            </w:r>
          </w:p>
        </w:tc>
        <w:tc>
          <w:tcPr>
            <w:tcW w:w="0" w:type="auto"/>
            <w:tcBorders>
              <w:top w:val="single" w:sz="8" w:space="0" w:color="000000"/>
              <w:left w:val="dashed" w:sz="8" w:space="0" w:color="000000"/>
              <w:bottom w:val="single" w:sz="8" w:space="0" w:color="000000"/>
              <w:right w:val="single" w:sz="8" w:space="0" w:color="000000"/>
            </w:tcBorders>
            <w:shd w:val="clear" w:color="auto" w:fill="FBE4D5"/>
            <w:tcMar>
              <w:top w:w="0" w:type="dxa"/>
              <w:left w:w="115" w:type="dxa"/>
              <w:bottom w:w="0" w:type="dxa"/>
              <w:right w:w="115" w:type="dxa"/>
            </w:tcMar>
            <w:vAlign w:val="center"/>
            <w:hideMark/>
          </w:tcPr>
          <w:p w:rsidR="002C34E1" w:rsidRPr="002C34E1" w:rsidP="002C34E1">
            <w:pPr>
              <w:widowControl/>
              <w:jc w:val="center"/>
            </w:pPr>
            <w:r w:rsidRPr="002C34E1">
              <w:rPr>
                <w:rFonts w:ascii="Calibri" w:hAnsi="Calibri" w:cs="Calibri"/>
                <w:color w:val="000000"/>
                <w:sz w:val="16"/>
                <w:szCs w:val="16"/>
              </w:rPr>
              <w:t>Previous Renewal / Revision</w:t>
            </w:r>
          </w:p>
        </w:tc>
        <w:tc>
          <w:tcPr>
            <w:tcW w:w="0" w:type="auto"/>
            <w:tcBorders>
              <w:top w:val="single" w:sz="8" w:space="0" w:color="000000"/>
              <w:left w:val="single" w:sz="8" w:space="0" w:color="000000"/>
              <w:bottom w:val="single" w:sz="8" w:space="0" w:color="000000"/>
              <w:right w:val="dashed" w:sz="8" w:space="0" w:color="000000"/>
            </w:tcBorders>
            <w:shd w:val="clear" w:color="auto" w:fill="FBE4D5"/>
            <w:tcMar>
              <w:top w:w="0" w:type="dxa"/>
              <w:left w:w="115" w:type="dxa"/>
              <w:bottom w:w="0" w:type="dxa"/>
              <w:right w:w="115" w:type="dxa"/>
            </w:tcMar>
            <w:vAlign w:val="center"/>
            <w:hideMark/>
          </w:tcPr>
          <w:p w:rsidR="002C34E1" w:rsidRPr="002C34E1" w:rsidP="002C34E1">
            <w:pPr>
              <w:widowControl/>
              <w:jc w:val="center"/>
            </w:pPr>
            <w:r w:rsidRPr="002C34E1">
              <w:rPr>
                <w:rFonts w:ascii="Calibri" w:hAnsi="Calibri" w:cs="Calibri"/>
                <w:color w:val="000000"/>
                <w:sz w:val="16"/>
                <w:szCs w:val="16"/>
              </w:rPr>
              <w:t xml:space="preserve">Current Renewal / </w:t>
            </w:r>
            <w:r w:rsidRPr="002C34E1">
              <w:rPr>
                <w:rFonts w:ascii="Calibri" w:hAnsi="Calibri" w:cs="Calibri"/>
                <w:color w:val="000000"/>
                <w:sz w:val="16"/>
                <w:szCs w:val="16"/>
              </w:rPr>
              <w:t>Revision</w:t>
            </w:r>
          </w:p>
        </w:tc>
        <w:tc>
          <w:tcPr>
            <w:tcW w:w="0" w:type="auto"/>
            <w:tcBorders>
              <w:top w:val="single" w:sz="8" w:space="0" w:color="000000"/>
              <w:left w:val="dashed" w:sz="8" w:space="0" w:color="000000"/>
              <w:bottom w:val="single" w:sz="8" w:space="0" w:color="000000"/>
              <w:right w:val="single" w:sz="8" w:space="0" w:color="000000"/>
            </w:tcBorders>
            <w:shd w:val="clear" w:color="auto" w:fill="FBE4D5"/>
            <w:tcMar>
              <w:top w:w="0" w:type="dxa"/>
              <w:left w:w="115" w:type="dxa"/>
              <w:bottom w:w="0" w:type="dxa"/>
              <w:right w:w="115" w:type="dxa"/>
            </w:tcMar>
            <w:vAlign w:val="center"/>
            <w:hideMark/>
          </w:tcPr>
          <w:p w:rsidR="002C34E1" w:rsidRPr="002C34E1" w:rsidP="002C34E1">
            <w:pPr>
              <w:widowControl/>
              <w:jc w:val="center"/>
            </w:pPr>
            <w:r w:rsidRPr="002C34E1">
              <w:rPr>
                <w:rFonts w:ascii="Calibri" w:hAnsi="Calibri" w:cs="Calibri"/>
                <w:color w:val="000000"/>
                <w:sz w:val="16"/>
                <w:szCs w:val="16"/>
              </w:rPr>
              <w:t>Previous Renewal / Revision</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C34E1" w:rsidRPr="002C34E1" w:rsidP="002C34E1">
            <w:pPr>
              <w:widowControl/>
            </w:pPr>
          </w:p>
        </w:tc>
      </w:tr>
      <w:tr w:rsidTr="00D92BCA">
        <w:tblPrEx>
          <w:tblW w:w="0" w:type="auto"/>
          <w:jc w:val="center"/>
          <w:tblCellMar>
            <w:top w:w="15" w:type="dxa"/>
            <w:left w:w="15" w:type="dxa"/>
            <w:bottom w:w="15" w:type="dxa"/>
            <w:right w:w="15" w:type="dxa"/>
          </w:tblCellMar>
          <w:tblLook w:val="04A0"/>
        </w:tblPrEx>
        <w:trPr>
          <w:trHeight w:val="315"/>
          <w:jc w:val="center"/>
        </w:trPr>
        <w:tc>
          <w:tcPr>
            <w:tcW w:w="1663"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hideMark/>
          </w:tcPr>
          <w:p w:rsidR="002C34E1" w:rsidRPr="002C34E1" w:rsidP="002C34E1">
            <w:pPr>
              <w:widowControl/>
            </w:pPr>
            <w:r w:rsidRPr="002C34E1">
              <w:rPr>
                <w:rFonts w:ascii="Calibri" w:hAnsi="Calibri" w:cs="Calibri"/>
                <w:color w:val="000000"/>
                <w:sz w:val="16"/>
                <w:szCs w:val="16"/>
              </w:rPr>
              <w:t> </w:t>
            </w:r>
            <w:r>
              <w:rPr>
                <w:rFonts w:ascii="Calibri" w:hAnsi="Calibri" w:cs="Calibri"/>
                <w:color w:val="000000"/>
                <w:sz w:val="16"/>
                <w:szCs w:val="16"/>
              </w:rPr>
              <w:t>Angler Intercept Survey</w:t>
            </w:r>
          </w:p>
        </w:tc>
        <w:tc>
          <w:tcPr>
            <w:tcW w:w="0" w:type="auto"/>
            <w:tcBorders>
              <w:top w:val="single" w:sz="8" w:space="0" w:color="000000"/>
              <w:left w:val="single" w:sz="8" w:space="0" w:color="000000"/>
              <w:bottom w:val="dotted" w:sz="4" w:space="0" w:color="000000"/>
              <w:right w:val="dashed" w:sz="8" w:space="0" w:color="000000"/>
            </w:tcBorders>
            <w:tcMar>
              <w:top w:w="0" w:type="dxa"/>
              <w:left w:w="115" w:type="dxa"/>
              <w:bottom w:w="0" w:type="dxa"/>
              <w:right w:w="115" w:type="dxa"/>
            </w:tcMar>
            <w:vAlign w:val="center"/>
            <w:hideMark/>
          </w:tcPr>
          <w:p w:rsidR="002C34E1" w:rsidRPr="002C34E1" w:rsidP="002C34E1">
            <w:pPr>
              <w:widowControl/>
              <w:jc w:val="center"/>
            </w:pPr>
            <w:r>
              <w:rPr>
                <w:rFonts w:ascii="Calibri" w:hAnsi="Calibri" w:cs="Calibri"/>
                <w:color w:val="000000"/>
                <w:sz w:val="16"/>
                <w:szCs w:val="16"/>
              </w:rPr>
              <w:t>6,667</w:t>
            </w:r>
            <w:r w:rsidRPr="002C34E1">
              <w:rPr>
                <w:rFonts w:ascii="Calibri" w:hAnsi="Calibri" w:cs="Calibri"/>
                <w:color w:val="000000"/>
                <w:sz w:val="16"/>
                <w:szCs w:val="16"/>
              </w:rPr>
              <w:t>  </w:t>
            </w:r>
          </w:p>
        </w:tc>
        <w:tc>
          <w:tcPr>
            <w:tcW w:w="0" w:type="auto"/>
            <w:tcBorders>
              <w:top w:val="single" w:sz="8" w:space="0" w:color="000000"/>
              <w:left w:val="dashed" w:sz="8" w:space="0" w:color="000000"/>
              <w:bottom w:val="dotted" w:sz="4" w:space="0" w:color="000000"/>
              <w:right w:val="single" w:sz="8" w:space="0" w:color="000000"/>
            </w:tcBorders>
            <w:tcMar>
              <w:top w:w="0" w:type="dxa"/>
              <w:left w:w="115" w:type="dxa"/>
              <w:bottom w:w="0" w:type="dxa"/>
              <w:right w:w="115" w:type="dxa"/>
            </w:tcMar>
            <w:vAlign w:val="center"/>
            <w:hideMark/>
          </w:tcPr>
          <w:p w:rsidR="002C34E1" w:rsidRPr="002C34E1" w:rsidP="002C34E1">
            <w:pPr>
              <w:widowControl/>
              <w:jc w:val="center"/>
            </w:pPr>
            <w:r>
              <w:rPr>
                <w:rFonts w:ascii="Calibri" w:hAnsi="Calibri" w:cs="Calibri"/>
                <w:color w:val="000000"/>
                <w:sz w:val="16"/>
                <w:szCs w:val="16"/>
              </w:rPr>
              <w:t>6,667</w:t>
            </w:r>
            <w:r w:rsidRPr="002C34E1">
              <w:rPr>
                <w:rFonts w:ascii="Calibri" w:hAnsi="Calibri" w:cs="Calibri"/>
                <w:color w:val="000000"/>
                <w:sz w:val="16"/>
                <w:szCs w:val="16"/>
              </w:rPr>
              <w:t> </w:t>
            </w:r>
          </w:p>
        </w:tc>
        <w:tc>
          <w:tcPr>
            <w:tcW w:w="0" w:type="auto"/>
            <w:tcBorders>
              <w:top w:val="single" w:sz="8" w:space="0" w:color="000000"/>
              <w:left w:val="single" w:sz="8" w:space="0" w:color="000000"/>
              <w:bottom w:val="dotted" w:sz="4" w:space="0" w:color="000000"/>
              <w:right w:val="dashed" w:sz="8" w:space="0" w:color="000000"/>
            </w:tcBorders>
            <w:tcMar>
              <w:top w:w="0" w:type="dxa"/>
              <w:left w:w="115" w:type="dxa"/>
              <w:bottom w:w="0" w:type="dxa"/>
              <w:right w:w="115" w:type="dxa"/>
            </w:tcMar>
            <w:vAlign w:val="center"/>
            <w:hideMark/>
          </w:tcPr>
          <w:p w:rsidR="002C34E1" w:rsidRPr="002C34E1" w:rsidP="002C34E1">
            <w:pPr>
              <w:widowControl/>
              <w:jc w:val="center"/>
            </w:pPr>
            <w:r>
              <w:rPr>
                <w:rFonts w:ascii="Calibri" w:hAnsi="Calibri" w:cs="Calibri"/>
                <w:color w:val="000000"/>
                <w:sz w:val="16"/>
                <w:szCs w:val="16"/>
              </w:rPr>
              <w:t>6,667</w:t>
            </w:r>
            <w:r w:rsidRPr="002C34E1">
              <w:rPr>
                <w:rFonts w:ascii="Calibri" w:hAnsi="Calibri" w:cs="Calibri"/>
                <w:color w:val="000000"/>
                <w:sz w:val="16"/>
                <w:szCs w:val="16"/>
              </w:rPr>
              <w:t>  </w:t>
            </w:r>
          </w:p>
        </w:tc>
        <w:tc>
          <w:tcPr>
            <w:tcW w:w="0" w:type="auto"/>
            <w:tcBorders>
              <w:top w:val="single" w:sz="8" w:space="0" w:color="000000"/>
              <w:left w:val="dashed" w:sz="8" w:space="0" w:color="000000"/>
              <w:bottom w:val="dotted" w:sz="4" w:space="0" w:color="000000"/>
              <w:right w:val="single" w:sz="8" w:space="0" w:color="000000"/>
            </w:tcBorders>
            <w:tcMar>
              <w:top w:w="0" w:type="dxa"/>
              <w:left w:w="115" w:type="dxa"/>
              <w:bottom w:w="0" w:type="dxa"/>
              <w:right w:w="115" w:type="dxa"/>
            </w:tcMar>
            <w:vAlign w:val="center"/>
            <w:hideMark/>
          </w:tcPr>
          <w:p w:rsidR="002C34E1" w:rsidRPr="002C34E1" w:rsidP="002C34E1">
            <w:pPr>
              <w:widowControl/>
              <w:jc w:val="center"/>
            </w:pPr>
            <w:r>
              <w:rPr>
                <w:rFonts w:ascii="Calibri" w:hAnsi="Calibri" w:cs="Calibri"/>
                <w:color w:val="000000"/>
                <w:sz w:val="16"/>
                <w:szCs w:val="16"/>
              </w:rPr>
              <w:t>6,667</w:t>
            </w:r>
            <w:r w:rsidRPr="002C34E1">
              <w:rPr>
                <w:rFonts w:ascii="Calibri" w:hAnsi="Calibri" w:cs="Calibri"/>
                <w:color w:val="000000"/>
                <w:sz w:val="16"/>
                <w:szCs w:val="16"/>
              </w:rPr>
              <w:t>  </w:t>
            </w:r>
          </w:p>
        </w:tc>
        <w:tc>
          <w:tcPr>
            <w:tcW w:w="0" w:type="auto"/>
            <w:tcBorders>
              <w:top w:val="single" w:sz="8" w:space="0" w:color="000000"/>
              <w:left w:val="single" w:sz="8" w:space="0" w:color="000000"/>
              <w:bottom w:val="dotted" w:sz="4" w:space="0" w:color="000000"/>
              <w:right w:val="dashed" w:sz="8" w:space="0" w:color="000000"/>
            </w:tcBorders>
            <w:tcMar>
              <w:top w:w="0" w:type="dxa"/>
              <w:left w:w="115" w:type="dxa"/>
              <w:bottom w:w="0" w:type="dxa"/>
              <w:right w:w="115" w:type="dxa"/>
            </w:tcMar>
            <w:vAlign w:val="center"/>
            <w:hideMark/>
          </w:tcPr>
          <w:p w:rsidR="002C34E1" w:rsidRPr="002C34E1" w:rsidP="002C34E1">
            <w:pPr>
              <w:widowControl/>
              <w:jc w:val="center"/>
            </w:pPr>
            <w:r w:rsidRPr="002C34E1">
              <w:rPr>
                <w:rFonts w:ascii="Calibri" w:hAnsi="Calibri" w:cs="Calibri"/>
                <w:color w:val="000000"/>
                <w:sz w:val="16"/>
                <w:szCs w:val="16"/>
              </w:rPr>
              <w:t> </w:t>
            </w:r>
            <w:r>
              <w:rPr>
                <w:rFonts w:ascii="Calibri" w:hAnsi="Calibri" w:cs="Calibri"/>
                <w:color w:val="000000"/>
                <w:sz w:val="16"/>
                <w:szCs w:val="16"/>
              </w:rPr>
              <w:t>1,111</w:t>
            </w:r>
          </w:p>
        </w:tc>
        <w:tc>
          <w:tcPr>
            <w:tcW w:w="0" w:type="auto"/>
            <w:tcBorders>
              <w:top w:val="single" w:sz="8" w:space="0" w:color="000000"/>
              <w:left w:val="dashed" w:sz="8" w:space="0" w:color="000000"/>
              <w:bottom w:val="dotted" w:sz="4" w:space="0" w:color="000000"/>
              <w:right w:val="single" w:sz="8" w:space="0" w:color="000000"/>
            </w:tcBorders>
            <w:tcMar>
              <w:top w:w="0" w:type="dxa"/>
              <w:left w:w="115" w:type="dxa"/>
              <w:bottom w:w="0" w:type="dxa"/>
              <w:right w:w="115" w:type="dxa"/>
            </w:tcMar>
            <w:vAlign w:val="center"/>
            <w:hideMark/>
          </w:tcPr>
          <w:p w:rsidR="002C34E1" w:rsidRPr="002C34E1" w:rsidP="002C34E1">
            <w:pPr>
              <w:widowControl/>
              <w:jc w:val="center"/>
            </w:pPr>
            <w:r>
              <w:rPr>
                <w:rFonts w:ascii="Calibri" w:hAnsi="Calibri" w:cs="Calibri"/>
                <w:color w:val="000000"/>
                <w:sz w:val="16"/>
                <w:szCs w:val="16"/>
              </w:rPr>
              <w:t>1,111</w:t>
            </w:r>
            <w:r w:rsidRPr="002C34E1">
              <w:rPr>
                <w:rFonts w:ascii="Calibri" w:hAnsi="Calibri" w:cs="Calibri"/>
                <w:color w:val="000000"/>
                <w:sz w:val="16"/>
                <w:szCs w:val="16"/>
              </w:rPr>
              <w:t> </w:t>
            </w:r>
          </w:p>
        </w:tc>
        <w:tc>
          <w:tcPr>
            <w:tcW w:w="0" w:type="auto"/>
            <w:tcBorders>
              <w:top w:val="single" w:sz="8" w:space="0" w:color="000000"/>
              <w:left w:val="single" w:sz="8" w:space="0" w:color="000000"/>
              <w:bottom w:val="dotted" w:sz="4" w:space="0" w:color="000000"/>
              <w:right w:val="single" w:sz="8" w:space="0" w:color="000000"/>
            </w:tcBorders>
            <w:tcMar>
              <w:top w:w="0" w:type="dxa"/>
              <w:left w:w="115" w:type="dxa"/>
              <w:bottom w:w="0" w:type="dxa"/>
              <w:right w:w="115" w:type="dxa"/>
            </w:tcMar>
            <w:vAlign w:val="center"/>
            <w:hideMark/>
          </w:tcPr>
          <w:p w:rsidR="002C34E1" w:rsidRPr="002C34E1" w:rsidP="002C34E1">
            <w:pPr>
              <w:widowControl/>
            </w:pPr>
            <w:r w:rsidRPr="002C34E1">
              <w:rPr>
                <w:rFonts w:ascii="Calibri" w:hAnsi="Calibri" w:cs="Calibri"/>
                <w:color w:val="000000"/>
                <w:sz w:val="16"/>
                <w:szCs w:val="16"/>
              </w:rPr>
              <w:t> </w:t>
            </w:r>
            <w:r>
              <w:rPr>
                <w:rFonts w:ascii="Calibri" w:hAnsi="Calibri" w:cs="Calibri"/>
                <w:color w:val="000000"/>
                <w:sz w:val="16"/>
                <w:szCs w:val="16"/>
              </w:rPr>
              <w:t xml:space="preserve">No changes. </w:t>
            </w:r>
          </w:p>
        </w:tc>
      </w:tr>
      <w:tr w:rsidTr="00D92BCA">
        <w:tblPrEx>
          <w:tblW w:w="0" w:type="auto"/>
          <w:jc w:val="center"/>
          <w:tblCellMar>
            <w:top w:w="15" w:type="dxa"/>
            <w:left w:w="15" w:type="dxa"/>
            <w:bottom w:w="15" w:type="dxa"/>
            <w:right w:w="15" w:type="dxa"/>
          </w:tblCellMar>
          <w:tblLook w:val="04A0"/>
        </w:tblPrEx>
        <w:trPr>
          <w:trHeight w:val="315"/>
          <w:jc w:val="center"/>
        </w:trPr>
        <w:tc>
          <w:tcPr>
            <w:tcW w:w="1663"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hideMark/>
          </w:tcPr>
          <w:p w:rsidR="002C34E1" w:rsidRPr="002C34E1" w:rsidP="002C34E1">
            <w:pPr>
              <w:widowControl/>
              <w:rPr>
                <w:rFonts w:asciiTheme="minorHAnsi" w:hAnsiTheme="minorHAnsi" w:cstheme="minorHAnsi"/>
              </w:rPr>
            </w:pPr>
            <w:r w:rsidRPr="002C34E1">
              <w:rPr>
                <w:rFonts w:asciiTheme="minorHAnsi" w:hAnsiTheme="minorHAnsi" w:cstheme="minorHAnsi"/>
                <w:sz w:val="16"/>
              </w:rPr>
              <w:t>Sea Turtle Incidental Capture Intake Form</w:t>
            </w:r>
          </w:p>
        </w:tc>
        <w:tc>
          <w:tcPr>
            <w:tcW w:w="0" w:type="auto"/>
            <w:tcBorders>
              <w:top w:val="dotted" w:sz="4" w:space="0" w:color="000000"/>
              <w:left w:val="single" w:sz="8" w:space="0" w:color="000000"/>
              <w:bottom w:val="dotted" w:sz="4" w:space="0" w:color="000000"/>
              <w:right w:val="dashed" w:sz="8" w:space="0" w:color="000000"/>
            </w:tcBorders>
            <w:tcMar>
              <w:top w:w="0" w:type="dxa"/>
              <w:left w:w="115" w:type="dxa"/>
              <w:bottom w:w="0" w:type="dxa"/>
              <w:right w:w="115" w:type="dxa"/>
            </w:tcMar>
            <w:vAlign w:val="center"/>
            <w:hideMark/>
          </w:tcPr>
          <w:p w:rsidR="002C34E1" w:rsidRPr="002C34E1" w:rsidP="002C34E1">
            <w:pPr>
              <w:widowControl/>
              <w:jc w:val="center"/>
            </w:pPr>
            <w:r w:rsidRPr="002C34E1">
              <w:rPr>
                <w:rFonts w:ascii="Calibri" w:hAnsi="Calibri" w:cs="Calibri"/>
                <w:color w:val="000000"/>
                <w:sz w:val="16"/>
                <w:szCs w:val="16"/>
              </w:rPr>
              <w:t> </w:t>
            </w:r>
            <w:r>
              <w:rPr>
                <w:rFonts w:ascii="Calibri" w:hAnsi="Calibri" w:cs="Calibri"/>
                <w:color w:val="000000"/>
                <w:sz w:val="16"/>
                <w:szCs w:val="16"/>
              </w:rPr>
              <w:t>0</w:t>
            </w:r>
          </w:p>
        </w:tc>
        <w:tc>
          <w:tcPr>
            <w:tcW w:w="0" w:type="auto"/>
            <w:tcBorders>
              <w:top w:val="dotted" w:sz="4" w:space="0" w:color="000000"/>
              <w:left w:val="dashed" w:sz="8" w:space="0" w:color="000000"/>
              <w:bottom w:val="dotted" w:sz="4" w:space="0" w:color="000000"/>
              <w:right w:val="single" w:sz="8" w:space="0" w:color="000000"/>
            </w:tcBorders>
            <w:tcMar>
              <w:top w:w="0" w:type="dxa"/>
              <w:left w:w="115" w:type="dxa"/>
              <w:bottom w:w="0" w:type="dxa"/>
              <w:right w:w="115" w:type="dxa"/>
            </w:tcMar>
            <w:vAlign w:val="center"/>
            <w:hideMark/>
          </w:tcPr>
          <w:p w:rsidR="002C34E1" w:rsidRPr="002C34E1" w:rsidP="002C34E1">
            <w:pPr>
              <w:widowControl/>
              <w:jc w:val="center"/>
            </w:pPr>
            <w:r w:rsidRPr="002C34E1">
              <w:rPr>
                <w:rFonts w:ascii="Calibri" w:hAnsi="Calibri" w:cs="Calibri"/>
                <w:color w:val="000000"/>
                <w:sz w:val="16"/>
                <w:szCs w:val="16"/>
              </w:rPr>
              <w:t> </w:t>
            </w:r>
            <w:r>
              <w:rPr>
                <w:rFonts w:ascii="Calibri" w:hAnsi="Calibri" w:cs="Calibri"/>
                <w:color w:val="000000"/>
                <w:sz w:val="16"/>
                <w:szCs w:val="16"/>
              </w:rPr>
              <w:t>500</w:t>
            </w:r>
          </w:p>
        </w:tc>
        <w:tc>
          <w:tcPr>
            <w:tcW w:w="0" w:type="auto"/>
            <w:tcBorders>
              <w:top w:val="dotted" w:sz="4" w:space="0" w:color="000000"/>
              <w:left w:val="single" w:sz="8" w:space="0" w:color="000000"/>
              <w:bottom w:val="dotted" w:sz="4" w:space="0" w:color="000000"/>
              <w:right w:val="dashed" w:sz="8" w:space="0" w:color="000000"/>
            </w:tcBorders>
            <w:tcMar>
              <w:top w:w="0" w:type="dxa"/>
              <w:left w:w="115" w:type="dxa"/>
              <w:bottom w:w="0" w:type="dxa"/>
              <w:right w:w="115" w:type="dxa"/>
            </w:tcMar>
            <w:vAlign w:val="center"/>
            <w:hideMark/>
          </w:tcPr>
          <w:p w:rsidR="002C34E1" w:rsidRPr="002C34E1" w:rsidP="002C34E1">
            <w:pPr>
              <w:widowControl/>
              <w:jc w:val="center"/>
            </w:pPr>
            <w:r w:rsidRPr="002C34E1">
              <w:rPr>
                <w:rFonts w:ascii="Calibri" w:hAnsi="Calibri" w:cs="Calibri"/>
                <w:color w:val="000000"/>
                <w:sz w:val="16"/>
                <w:szCs w:val="16"/>
              </w:rPr>
              <w:t> </w:t>
            </w:r>
            <w:r>
              <w:rPr>
                <w:rFonts w:ascii="Calibri" w:hAnsi="Calibri" w:cs="Calibri"/>
                <w:color w:val="000000"/>
                <w:sz w:val="16"/>
                <w:szCs w:val="16"/>
              </w:rPr>
              <w:t>0</w:t>
            </w:r>
          </w:p>
        </w:tc>
        <w:tc>
          <w:tcPr>
            <w:tcW w:w="0" w:type="auto"/>
            <w:tcBorders>
              <w:top w:val="dotted" w:sz="4" w:space="0" w:color="000000"/>
              <w:left w:val="dashed" w:sz="8" w:space="0" w:color="000000"/>
              <w:bottom w:val="dotted" w:sz="4" w:space="0" w:color="000000"/>
              <w:right w:val="single" w:sz="8" w:space="0" w:color="000000"/>
            </w:tcBorders>
            <w:tcMar>
              <w:top w:w="0" w:type="dxa"/>
              <w:left w:w="115" w:type="dxa"/>
              <w:bottom w:w="0" w:type="dxa"/>
              <w:right w:w="115" w:type="dxa"/>
            </w:tcMar>
            <w:vAlign w:val="center"/>
            <w:hideMark/>
          </w:tcPr>
          <w:p w:rsidR="002C34E1" w:rsidRPr="002C34E1" w:rsidP="002C34E1">
            <w:pPr>
              <w:widowControl/>
              <w:jc w:val="center"/>
            </w:pPr>
            <w:r w:rsidRPr="002C34E1">
              <w:rPr>
                <w:rFonts w:ascii="Calibri" w:hAnsi="Calibri" w:cs="Calibri"/>
                <w:color w:val="000000"/>
                <w:sz w:val="16"/>
                <w:szCs w:val="16"/>
              </w:rPr>
              <w:t> </w:t>
            </w:r>
            <w:r>
              <w:rPr>
                <w:rFonts w:ascii="Calibri" w:hAnsi="Calibri" w:cs="Calibri"/>
                <w:color w:val="000000"/>
                <w:sz w:val="16"/>
                <w:szCs w:val="16"/>
              </w:rPr>
              <w:t>500</w:t>
            </w:r>
          </w:p>
        </w:tc>
        <w:tc>
          <w:tcPr>
            <w:tcW w:w="0" w:type="auto"/>
            <w:tcBorders>
              <w:top w:val="dotted" w:sz="4" w:space="0" w:color="000000"/>
              <w:left w:val="single" w:sz="8" w:space="0" w:color="000000"/>
              <w:bottom w:val="dotted" w:sz="4" w:space="0" w:color="000000"/>
              <w:right w:val="dashed" w:sz="8" w:space="0" w:color="000000"/>
            </w:tcBorders>
            <w:tcMar>
              <w:top w:w="0" w:type="dxa"/>
              <w:left w:w="115" w:type="dxa"/>
              <w:bottom w:w="0" w:type="dxa"/>
              <w:right w:w="115" w:type="dxa"/>
            </w:tcMar>
            <w:vAlign w:val="center"/>
            <w:hideMark/>
          </w:tcPr>
          <w:p w:rsidR="002C34E1" w:rsidRPr="002C34E1" w:rsidP="002C34E1">
            <w:pPr>
              <w:widowControl/>
              <w:jc w:val="center"/>
            </w:pPr>
            <w:r w:rsidRPr="002C34E1">
              <w:rPr>
                <w:rFonts w:ascii="Calibri" w:hAnsi="Calibri" w:cs="Calibri"/>
                <w:color w:val="000000"/>
                <w:sz w:val="16"/>
                <w:szCs w:val="16"/>
              </w:rPr>
              <w:t> </w:t>
            </w:r>
            <w:r>
              <w:rPr>
                <w:rFonts w:ascii="Calibri" w:hAnsi="Calibri" w:cs="Calibri"/>
                <w:color w:val="000000"/>
                <w:sz w:val="16"/>
                <w:szCs w:val="16"/>
              </w:rPr>
              <w:t>0</w:t>
            </w:r>
          </w:p>
        </w:tc>
        <w:tc>
          <w:tcPr>
            <w:tcW w:w="0" w:type="auto"/>
            <w:tcBorders>
              <w:top w:val="dotted" w:sz="4" w:space="0" w:color="000000"/>
              <w:left w:val="dashed" w:sz="8" w:space="0" w:color="000000"/>
              <w:bottom w:val="dotted" w:sz="4" w:space="0" w:color="000000"/>
              <w:right w:val="single" w:sz="8" w:space="0" w:color="000000"/>
            </w:tcBorders>
            <w:tcMar>
              <w:top w:w="0" w:type="dxa"/>
              <w:left w:w="115" w:type="dxa"/>
              <w:bottom w:w="0" w:type="dxa"/>
              <w:right w:w="115" w:type="dxa"/>
            </w:tcMar>
            <w:vAlign w:val="center"/>
            <w:hideMark/>
          </w:tcPr>
          <w:p w:rsidR="002C34E1" w:rsidRPr="002C34E1" w:rsidP="002C34E1">
            <w:pPr>
              <w:widowControl/>
              <w:jc w:val="center"/>
            </w:pPr>
            <w:r>
              <w:rPr>
                <w:rFonts w:ascii="Calibri" w:hAnsi="Calibri" w:cs="Calibri"/>
                <w:color w:val="000000"/>
                <w:sz w:val="16"/>
                <w:szCs w:val="16"/>
              </w:rPr>
              <w:t>42</w:t>
            </w:r>
            <w:r w:rsidRPr="002C34E1">
              <w:rPr>
                <w:rFonts w:ascii="Calibri" w:hAnsi="Calibri" w:cs="Calibri"/>
                <w:color w:val="000000"/>
                <w:sz w:val="16"/>
                <w:szCs w:val="16"/>
              </w:rPr>
              <w:t> </w:t>
            </w:r>
          </w:p>
        </w:tc>
        <w:tc>
          <w:tcPr>
            <w:tcW w:w="0" w:type="auto"/>
            <w:tcBorders>
              <w:top w:val="dotted" w:sz="4" w:space="0" w:color="000000"/>
              <w:left w:val="single" w:sz="8" w:space="0" w:color="000000"/>
              <w:bottom w:val="dotted" w:sz="4" w:space="0" w:color="000000"/>
              <w:right w:val="single" w:sz="8" w:space="0" w:color="000000"/>
            </w:tcBorders>
            <w:tcMar>
              <w:top w:w="0" w:type="dxa"/>
              <w:left w:w="115" w:type="dxa"/>
              <w:bottom w:w="0" w:type="dxa"/>
              <w:right w:w="115" w:type="dxa"/>
            </w:tcMar>
            <w:vAlign w:val="center"/>
            <w:hideMark/>
          </w:tcPr>
          <w:p w:rsidR="002C34E1" w:rsidRPr="002C34E1" w:rsidP="002C34E1">
            <w:pPr>
              <w:widowControl/>
            </w:pPr>
            <w:r>
              <w:rPr>
                <w:rFonts w:ascii="Calibri" w:hAnsi="Calibri" w:cs="Calibri"/>
                <w:color w:val="000000"/>
                <w:sz w:val="16"/>
                <w:szCs w:val="16"/>
              </w:rPr>
              <w:t xml:space="preserve">IC was removed from this collection. Now located in collection </w:t>
            </w:r>
            <w:r>
              <w:rPr>
                <w:rFonts w:ascii="Calibri" w:hAnsi="Calibri" w:cs="Calibri"/>
                <w:color w:val="000000"/>
                <w:sz w:val="16"/>
                <w:szCs w:val="16"/>
              </w:rPr>
              <w:t>0648-0496.</w:t>
            </w:r>
          </w:p>
        </w:tc>
      </w:tr>
      <w:tr w:rsidTr="00D92BCA">
        <w:tblPrEx>
          <w:tblW w:w="0" w:type="auto"/>
          <w:jc w:val="center"/>
          <w:tblCellMar>
            <w:top w:w="15" w:type="dxa"/>
            <w:left w:w="15" w:type="dxa"/>
            <w:bottom w:w="15" w:type="dxa"/>
            <w:right w:w="15" w:type="dxa"/>
          </w:tblCellMar>
          <w:tblLook w:val="04A0"/>
        </w:tblPrEx>
        <w:trPr>
          <w:trHeight w:val="465"/>
          <w:jc w:val="center"/>
        </w:trPr>
        <w:tc>
          <w:tcPr>
            <w:tcW w:w="1663" w:type="dxa"/>
            <w:tcBorders>
              <w:top w:val="single" w:sz="8" w:space="0" w:color="000000"/>
              <w:left w:val="single" w:sz="8" w:space="0" w:color="000000"/>
              <w:bottom w:val="single" w:sz="8" w:space="0" w:color="000000"/>
              <w:right w:val="single" w:sz="8" w:space="0" w:color="000000"/>
            </w:tcBorders>
            <w:shd w:val="clear" w:color="auto" w:fill="BDD6EE"/>
            <w:tcMar>
              <w:top w:w="0" w:type="dxa"/>
              <w:left w:w="115" w:type="dxa"/>
              <w:bottom w:w="0" w:type="dxa"/>
              <w:right w:w="115" w:type="dxa"/>
            </w:tcMar>
            <w:vAlign w:val="center"/>
            <w:hideMark/>
          </w:tcPr>
          <w:p w:rsidR="002C34E1" w:rsidRPr="002C34E1" w:rsidP="002C34E1">
            <w:pPr>
              <w:widowControl/>
              <w:jc w:val="center"/>
            </w:pPr>
            <w:r w:rsidRPr="002C34E1">
              <w:rPr>
                <w:rFonts w:ascii="Calibri" w:hAnsi="Calibri" w:cs="Calibri"/>
                <w:b/>
                <w:bCs/>
                <w:color w:val="000000"/>
                <w:sz w:val="16"/>
                <w:szCs w:val="16"/>
              </w:rPr>
              <w:t>Total for Collection</w:t>
            </w:r>
          </w:p>
        </w:tc>
        <w:tc>
          <w:tcPr>
            <w:tcW w:w="0" w:type="auto"/>
            <w:tcBorders>
              <w:top w:val="dotted" w:sz="4" w:space="0" w:color="000000"/>
              <w:left w:val="single" w:sz="8" w:space="0" w:color="000000"/>
              <w:bottom w:val="single" w:sz="8" w:space="0" w:color="000000"/>
              <w:right w:val="dashed" w:sz="8" w:space="0" w:color="000000"/>
            </w:tcBorders>
            <w:shd w:val="clear" w:color="auto" w:fill="BDD6EE"/>
            <w:tcMar>
              <w:top w:w="0" w:type="dxa"/>
              <w:left w:w="115" w:type="dxa"/>
              <w:bottom w:w="0" w:type="dxa"/>
              <w:right w:w="115" w:type="dxa"/>
            </w:tcMar>
            <w:vAlign w:val="center"/>
            <w:hideMark/>
          </w:tcPr>
          <w:p w:rsidR="002C34E1" w:rsidRPr="002C34E1" w:rsidP="002C34E1">
            <w:pPr>
              <w:widowControl/>
              <w:jc w:val="center"/>
            </w:pPr>
            <w:r>
              <w:rPr>
                <w:rFonts w:ascii="Calibri" w:hAnsi="Calibri" w:cs="Calibri"/>
                <w:b/>
                <w:bCs/>
                <w:color w:val="000000"/>
                <w:sz w:val="16"/>
                <w:szCs w:val="16"/>
              </w:rPr>
              <w:t>6,667</w:t>
            </w:r>
            <w:r w:rsidRPr="002C34E1">
              <w:rPr>
                <w:rFonts w:ascii="Calibri" w:hAnsi="Calibri" w:cs="Calibri"/>
                <w:b/>
                <w:bCs/>
                <w:color w:val="000000"/>
                <w:sz w:val="16"/>
                <w:szCs w:val="16"/>
              </w:rPr>
              <w:t> </w:t>
            </w:r>
          </w:p>
        </w:tc>
        <w:tc>
          <w:tcPr>
            <w:tcW w:w="0" w:type="auto"/>
            <w:tcBorders>
              <w:top w:val="dotted" w:sz="4" w:space="0" w:color="000000"/>
              <w:left w:val="dashed" w:sz="8" w:space="0" w:color="000000"/>
              <w:bottom w:val="single" w:sz="8" w:space="0" w:color="000000"/>
              <w:right w:val="single" w:sz="8" w:space="0" w:color="000000"/>
            </w:tcBorders>
            <w:shd w:val="clear" w:color="auto" w:fill="BDD6EE"/>
            <w:tcMar>
              <w:top w:w="0" w:type="dxa"/>
              <w:left w:w="115" w:type="dxa"/>
              <w:bottom w:w="0" w:type="dxa"/>
              <w:right w:w="115" w:type="dxa"/>
            </w:tcMar>
            <w:vAlign w:val="center"/>
            <w:hideMark/>
          </w:tcPr>
          <w:p w:rsidR="002C34E1" w:rsidRPr="002C34E1" w:rsidP="002C34E1">
            <w:pPr>
              <w:widowControl/>
              <w:jc w:val="center"/>
            </w:pPr>
            <w:r>
              <w:rPr>
                <w:rFonts w:ascii="Calibri" w:hAnsi="Calibri" w:cs="Calibri"/>
                <w:b/>
                <w:bCs/>
                <w:color w:val="000000"/>
                <w:sz w:val="16"/>
                <w:szCs w:val="16"/>
              </w:rPr>
              <w:t>7,167</w:t>
            </w:r>
            <w:r w:rsidRPr="002C34E1">
              <w:rPr>
                <w:rFonts w:ascii="Calibri" w:hAnsi="Calibri" w:cs="Calibri"/>
                <w:b/>
                <w:bCs/>
                <w:color w:val="000000"/>
                <w:sz w:val="16"/>
                <w:szCs w:val="16"/>
              </w:rPr>
              <w:t> </w:t>
            </w:r>
          </w:p>
        </w:tc>
        <w:tc>
          <w:tcPr>
            <w:tcW w:w="0" w:type="auto"/>
            <w:tcBorders>
              <w:top w:val="dotted" w:sz="4" w:space="0" w:color="000000"/>
              <w:left w:val="single" w:sz="8" w:space="0" w:color="000000"/>
              <w:bottom w:val="single" w:sz="8" w:space="0" w:color="000000"/>
              <w:right w:val="dashed" w:sz="8" w:space="0" w:color="000000"/>
            </w:tcBorders>
            <w:shd w:val="clear" w:color="auto" w:fill="BDD6EE"/>
            <w:tcMar>
              <w:top w:w="0" w:type="dxa"/>
              <w:left w:w="115" w:type="dxa"/>
              <w:bottom w:w="0" w:type="dxa"/>
              <w:right w:w="115" w:type="dxa"/>
            </w:tcMar>
            <w:vAlign w:val="center"/>
            <w:hideMark/>
          </w:tcPr>
          <w:p w:rsidR="002C34E1" w:rsidRPr="002C34E1" w:rsidP="002C34E1">
            <w:pPr>
              <w:widowControl/>
              <w:jc w:val="center"/>
            </w:pPr>
            <w:r w:rsidRPr="002C34E1">
              <w:rPr>
                <w:rFonts w:ascii="Calibri" w:hAnsi="Calibri" w:cs="Calibri"/>
                <w:b/>
                <w:bCs/>
                <w:color w:val="000000"/>
                <w:sz w:val="16"/>
                <w:szCs w:val="16"/>
              </w:rPr>
              <w:t> </w:t>
            </w:r>
            <w:r>
              <w:rPr>
                <w:rFonts w:ascii="Calibri" w:hAnsi="Calibri" w:cs="Calibri"/>
                <w:b/>
                <w:bCs/>
                <w:color w:val="000000"/>
                <w:sz w:val="16"/>
                <w:szCs w:val="16"/>
              </w:rPr>
              <w:t>6,667</w:t>
            </w:r>
          </w:p>
        </w:tc>
        <w:tc>
          <w:tcPr>
            <w:tcW w:w="0" w:type="auto"/>
            <w:tcBorders>
              <w:top w:val="dotted" w:sz="4" w:space="0" w:color="000000"/>
              <w:left w:val="dashed" w:sz="8" w:space="0" w:color="000000"/>
              <w:bottom w:val="single" w:sz="8" w:space="0" w:color="000000"/>
              <w:right w:val="single" w:sz="8" w:space="0" w:color="000000"/>
            </w:tcBorders>
            <w:shd w:val="clear" w:color="auto" w:fill="BDD6EE"/>
            <w:tcMar>
              <w:top w:w="0" w:type="dxa"/>
              <w:left w:w="115" w:type="dxa"/>
              <w:bottom w:w="0" w:type="dxa"/>
              <w:right w:w="115" w:type="dxa"/>
            </w:tcMar>
            <w:vAlign w:val="center"/>
            <w:hideMark/>
          </w:tcPr>
          <w:p w:rsidR="002C34E1" w:rsidRPr="002C34E1" w:rsidP="002C34E1">
            <w:pPr>
              <w:widowControl/>
              <w:jc w:val="center"/>
            </w:pPr>
            <w:r w:rsidRPr="002C34E1">
              <w:rPr>
                <w:rFonts w:ascii="Calibri" w:hAnsi="Calibri" w:cs="Calibri"/>
                <w:b/>
                <w:bCs/>
                <w:color w:val="000000"/>
                <w:sz w:val="16"/>
                <w:szCs w:val="16"/>
              </w:rPr>
              <w:t> </w:t>
            </w:r>
            <w:r>
              <w:rPr>
                <w:rFonts w:ascii="Calibri" w:hAnsi="Calibri" w:cs="Calibri"/>
                <w:b/>
                <w:bCs/>
                <w:color w:val="000000"/>
                <w:sz w:val="16"/>
                <w:szCs w:val="16"/>
              </w:rPr>
              <w:t>7,167</w:t>
            </w:r>
          </w:p>
        </w:tc>
        <w:tc>
          <w:tcPr>
            <w:tcW w:w="0" w:type="auto"/>
            <w:tcBorders>
              <w:top w:val="dotted" w:sz="4" w:space="0" w:color="000000"/>
              <w:left w:val="single" w:sz="8" w:space="0" w:color="000000"/>
              <w:bottom w:val="single" w:sz="8" w:space="0" w:color="000000"/>
              <w:right w:val="dashed" w:sz="8" w:space="0" w:color="000000"/>
            </w:tcBorders>
            <w:shd w:val="clear" w:color="auto" w:fill="BDD6EE"/>
            <w:tcMar>
              <w:top w:w="0" w:type="dxa"/>
              <w:left w:w="115" w:type="dxa"/>
              <w:bottom w:w="0" w:type="dxa"/>
              <w:right w:w="115" w:type="dxa"/>
            </w:tcMar>
            <w:vAlign w:val="center"/>
            <w:hideMark/>
          </w:tcPr>
          <w:p w:rsidR="002C34E1" w:rsidRPr="002C34E1" w:rsidP="002C34E1">
            <w:pPr>
              <w:widowControl/>
              <w:jc w:val="center"/>
            </w:pPr>
            <w:r w:rsidRPr="002C34E1">
              <w:rPr>
                <w:rFonts w:ascii="Calibri" w:hAnsi="Calibri" w:cs="Calibri"/>
                <w:b/>
                <w:bCs/>
                <w:color w:val="000000"/>
                <w:sz w:val="16"/>
                <w:szCs w:val="16"/>
              </w:rPr>
              <w:t> </w:t>
            </w:r>
            <w:r>
              <w:rPr>
                <w:rFonts w:ascii="Calibri" w:hAnsi="Calibri" w:cs="Calibri"/>
                <w:b/>
                <w:bCs/>
                <w:color w:val="000000"/>
                <w:sz w:val="16"/>
                <w:szCs w:val="16"/>
              </w:rPr>
              <w:t>1,111</w:t>
            </w:r>
          </w:p>
        </w:tc>
        <w:tc>
          <w:tcPr>
            <w:tcW w:w="0" w:type="auto"/>
            <w:tcBorders>
              <w:top w:val="dotted" w:sz="4" w:space="0" w:color="000000"/>
              <w:left w:val="dashed" w:sz="8" w:space="0" w:color="000000"/>
              <w:bottom w:val="single" w:sz="8" w:space="0" w:color="000000"/>
              <w:right w:val="single" w:sz="8" w:space="0" w:color="000000"/>
            </w:tcBorders>
            <w:shd w:val="clear" w:color="auto" w:fill="BDD6EE"/>
            <w:tcMar>
              <w:top w:w="0" w:type="dxa"/>
              <w:left w:w="115" w:type="dxa"/>
              <w:bottom w:w="0" w:type="dxa"/>
              <w:right w:w="115" w:type="dxa"/>
            </w:tcMar>
            <w:vAlign w:val="center"/>
            <w:hideMark/>
          </w:tcPr>
          <w:p w:rsidR="002C34E1" w:rsidRPr="002C34E1" w:rsidP="002C34E1">
            <w:pPr>
              <w:widowControl/>
              <w:jc w:val="center"/>
            </w:pPr>
            <w:r w:rsidRPr="002C34E1">
              <w:rPr>
                <w:rFonts w:ascii="Calibri" w:hAnsi="Calibri" w:cs="Calibri"/>
                <w:b/>
                <w:bCs/>
                <w:color w:val="000000"/>
                <w:sz w:val="16"/>
                <w:szCs w:val="16"/>
              </w:rPr>
              <w:t> </w:t>
            </w:r>
            <w:r>
              <w:rPr>
                <w:rFonts w:ascii="Calibri" w:hAnsi="Calibri" w:cs="Calibri"/>
                <w:b/>
                <w:bCs/>
                <w:color w:val="000000"/>
                <w:sz w:val="16"/>
                <w:szCs w:val="16"/>
              </w:rPr>
              <w:t>1,153</w:t>
            </w:r>
          </w:p>
        </w:tc>
        <w:tc>
          <w:tcPr>
            <w:tcW w:w="0" w:type="auto"/>
            <w:tcBorders>
              <w:top w:val="dotted" w:sz="4" w:space="0" w:color="000000"/>
              <w:left w:val="single" w:sz="8" w:space="0" w:color="000000"/>
              <w:bottom w:val="single" w:sz="8" w:space="0" w:color="000000"/>
              <w:right w:val="single" w:sz="8" w:space="0" w:color="000000"/>
            </w:tcBorders>
            <w:shd w:val="clear" w:color="auto" w:fill="000000"/>
            <w:tcMar>
              <w:top w:w="0" w:type="dxa"/>
              <w:left w:w="115" w:type="dxa"/>
              <w:bottom w:w="0" w:type="dxa"/>
              <w:right w:w="115" w:type="dxa"/>
            </w:tcMar>
            <w:vAlign w:val="center"/>
            <w:hideMark/>
          </w:tcPr>
          <w:p w:rsidR="002C34E1" w:rsidRPr="002C34E1" w:rsidP="002C34E1">
            <w:pPr>
              <w:widowControl/>
              <w:jc w:val="center"/>
            </w:pPr>
            <w:r w:rsidRPr="002C34E1">
              <w:rPr>
                <w:rFonts w:ascii="Calibri" w:hAnsi="Calibri" w:cs="Calibri"/>
                <w:b/>
                <w:bCs/>
                <w:color w:val="000000"/>
                <w:sz w:val="16"/>
                <w:szCs w:val="16"/>
              </w:rPr>
              <w:t> </w:t>
            </w:r>
          </w:p>
        </w:tc>
      </w:tr>
      <w:tr w:rsidTr="00D92BCA">
        <w:tblPrEx>
          <w:tblW w:w="0" w:type="auto"/>
          <w:jc w:val="center"/>
          <w:tblCellMar>
            <w:top w:w="15" w:type="dxa"/>
            <w:left w:w="15" w:type="dxa"/>
            <w:bottom w:w="15" w:type="dxa"/>
            <w:right w:w="15" w:type="dxa"/>
          </w:tblCellMar>
          <w:tblLook w:val="04A0"/>
        </w:tblPrEx>
        <w:trPr>
          <w:trHeight w:val="315"/>
          <w:jc w:val="center"/>
        </w:trPr>
        <w:tc>
          <w:tcPr>
            <w:tcW w:w="1663" w:type="dxa"/>
            <w:tcBorders>
              <w:top w:val="single" w:sz="8" w:space="0" w:color="000000"/>
              <w:left w:val="single" w:sz="8" w:space="0" w:color="000000"/>
              <w:bottom w:val="single" w:sz="8" w:space="0" w:color="000000"/>
              <w:right w:val="single" w:sz="8" w:space="0" w:color="000000"/>
            </w:tcBorders>
            <w:shd w:val="clear" w:color="auto" w:fill="FCE4D6"/>
            <w:tcMar>
              <w:top w:w="0" w:type="dxa"/>
              <w:left w:w="115" w:type="dxa"/>
              <w:bottom w:w="0" w:type="dxa"/>
              <w:right w:w="115" w:type="dxa"/>
            </w:tcMar>
            <w:vAlign w:val="bottom"/>
            <w:hideMark/>
          </w:tcPr>
          <w:p w:rsidR="002C34E1" w:rsidRPr="002C34E1" w:rsidP="002C34E1">
            <w:pPr>
              <w:widowControl/>
              <w:jc w:val="center"/>
            </w:pPr>
            <w:r w:rsidRPr="002C34E1">
              <w:rPr>
                <w:rFonts w:ascii="Calibri" w:hAnsi="Calibri" w:cs="Calibri"/>
                <w:b/>
                <w:bCs/>
                <w:color w:val="000000"/>
                <w:sz w:val="16"/>
                <w:szCs w:val="16"/>
              </w:rPr>
              <w:t>Difference</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CE4D6"/>
            <w:tcMar>
              <w:top w:w="0" w:type="dxa"/>
              <w:left w:w="115" w:type="dxa"/>
              <w:bottom w:w="0" w:type="dxa"/>
              <w:right w:w="115" w:type="dxa"/>
            </w:tcMar>
            <w:vAlign w:val="bottom"/>
            <w:hideMark/>
          </w:tcPr>
          <w:p w:rsidR="002C34E1" w:rsidRPr="002C34E1" w:rsidP="002C34E1">
            <w:pPr>
              <w:widowControl/>
              <w:jc w:val="center"/>
            </w:pPr>
            <w:r>
              <w:rPr>
                <w:rFonts w:ascii="Calibri" w:hAnsi="Calibri" w:cs="Calibri"/>
                <w:color w:val="000000"/>
              </w:rPr>
              <w:t>-500</w:t>
            </w:r>
            <w:r w:rsidRPr="002C34E1">
              <w:rPr>
                <w:rFonts w:ascii="Calibri" w:hAnsi="Calibri" w:cs="Calibri"/>
                <w:color w:val="000000"/>
              </w:rPr>
              <w:t> </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CE4D6"/>
            <w:tcMar>
              <w:top w:w="0" w:type="dxa"/>
              <w:left w:w="115" w:type="dxa"/>
              <w:bottom w:w="0" w:type="dxa"/>
              <w:right w:w="115" w:type="dxa"/>
            </w:tcMar>
            <w:vAlign w:val="bottom"/>
            <w:hideMark/>
          </w:tcPr>
          <w:p w:rsidR="002C34E1" w:rsidRPr="002C34E1" w:rsidP="002C34E1">
            <w:pPr>
              <w:widowControl/>
              <w:jc w:val="center"/>
            </w:pPr>
            <w:r w:rsidRPr="002C34E1">
              <w:rPr>
                <w:rFonts w:ascii="Calibri" w:hAnsi="Calibri" w:cs="Calibri"/>
                <w:color w:val="000000"/>
              </w:rPr>
              <w:t> </w:t>
            </w:r>
            <w:r>
              <w:rPr>
                <w:rFonts w:ascii="Calibri" w:hAnsi="Calibri" w:cs="Calibri"/>
                <w:color w:val="000000"/>
              </w:rPr>
              <w:t>-500</w:t>
            </w:r>
          </w:p>
        </w:tc>
        <w:tc>
          <w:tcPr>
            <w:tcW w:w="0" w:type="auto"/>
            <w:gridSpan w:val="2"/>
            <w:tcBorders>
              <w:top w:val="single" w:sz="8" w:space="0" w:color="000000"/>
              <w:left w:val="single" w:sz="8" w:space="0" w:color="000000"/>
              <w:bottom w:val="single" w:sz="8" w:space="0" w:color="000000"/>
              <w:right w:val="single" w:sz="4" w:space="0" w:color="000000"/>
            </w:tcBorders>
            <w:shd w:val="clear" w:color="auto" w:fill="FCE4D6"/>
            <w:tcMar>
              <w:top w:w="0" w:type="dxa"/>
              <w:left w:w="115" w:type="dxa"/>
              <w:bottom w:w="0" w:type="dxa"/>
              <w:right w:w="115" w:type="dxa"/>
            </w:tcMar>
            <w:vAlign w:val="bottom"/>
            <w:hideMark/>
          </w:tcPr>
          <w:p w:rsidR="002C34E1" w:rsidRPr="002C34E1" w:rsidP="002C34E1">
            <w:pPr>
              <w:widowControl/>
              <w:jc w:val="center"/>
            </w:pPr>
            <w:r w:rsidRPr="002C34E1">
              <w:rPr>
                <w:rFonts w:ascii="Calibri" w:hAnsi="Calibri" w:cs="Calibri"/>
                <w:color w:val="000000"/>
              </w:rPr>
              <w:t> </w:t>
            </w:r>
            <w:r>
              <w:rPr>
                <w:rFonts w:ascii="Calibri" w:hAnsi="Calibri" w:cs="Calibri"/>
                <w:color w:val="000000"/>
              </w:rPr>
              <w:t>-42</w:t>
            </w:r>
          </w:p>
        </w:tc>
        <w:tc>
          <w:tcPr>
            <w:tcW w:w="0" w:type="auto"/>
            <w:tcBorders>
              <w:top w:val="single" w:sz="8" w:space="0" w:color="000000"/>
              <w:left w:val="single" w:sz="4" w:space="0" w:color="000000"/>
              <w:bottom w:val="single" w:sz="8" w:space="0" w:color="000000"/>
              <w:right w:val="single" w:sz="8" w:space="0" w:color="000000"/>
            </w:tcBorders>
            <w:shd w:val="clear" w:color="auto" w:fill="000000"/>
            <w:tcMar>
              <w:top w:w="0" w:type="dxa"/>
              <w:left w:w="115" w:type="dxa"/>
              <w:bottom w:w="0" w:type="dxa"/>
              <w:right w:w="115" w:type="dxa"/>
            </w:tcMar>
            <w:vAlign w:val="bottom"/>
            <w:hideMark/>
          </w:tcPr>
          <w:p w:rsidR="002C34E1" w:rsidRPr="002C34E1" w:rsidP="002C34E1">
            <w:pPr>
              <w:widowControl/>
            </w:pPr>
            <w:r w:rsidRPr="002C34E1">
              <w:rPr>
                <w:rFonts w:ascii="Calibri" w:hAnsi="Calibri" w:cs="Calibri"/>
                <w:color w:val="000000"/>
              </w:rPr>
              <w:t> </w:t>
            </w:r>
          </w:p>
        </w:tc>
      </w:tr>
    </w:tbl>
    <w:p w:rsidR="002C34E1"/>
    <w:p w:rsidR="002C34E1"/>
    <w:p w:rsidR="000F36DC">
      <w:r>
        <w:t xml:space="preserve">This collection (0648-0774) was approved in 2018, however due to the Covid-19 pandemic and delayed </w:t>
      </w:r>
      <w:r w:rsidR="00B97EB6">
        <w:t>funding;</w:t>
      </w:r>
      <w:r>
        <w:t xml:space="preserve"> the survey was not implemented with the exception of a pilot study in North Carolina in 2023 where 71 surveys were conducted at </w:t>
      </w:r>
      <w:r w:rsidR="002C34E1">
        <w:t>three</w:t>
      </w:r>
      <w:r>
        <w:t xml:space="preserve"> sites. The collection previously included a Sea Turtle Incidental Capture Form. This form has been removed from this coll</w:t>
      </w:r>
      <w:r>
        <w:t xml:space="preserve">ection and is now included in the National Sea Turtle Stranding &amp; Salvage Network Stranding &amp; Gear Interaction Data Collection (0648-0496). However, removal of this form did not change any costs associated with the collection, nor did it change the number </w:t>
      </w:r>
      <w:r>
        <w:t xml:space="preserve">of respondents, responses, or burden </w:t>
      </w:r>
      <w:r w:rsidR="002C34E1">
        <w:t>hours,</w:t>
      </w:r>
      <w:r>
        <w:t xml:space="preserve"> as </w:t>
      </w:r>
      <w:r w:rsidR="002C34E1">
        <w:t>the public did not complete this form</w:t>
      </w:r>
      <w:r>
        <w:t>.</w:t>
      </w:r>
    </w:p>
    <w:p w:rsidR="000F36DC">
      <w:pPr>
        <w:rPr>
          <w:color w:val="FF0000"/>
        </w:rPr>
      </w:pPr>
    </w:p>
    <w:p w:rsidR="000F36DC">
      <w:pPr>
        <w:pBdr>
          <w:top w:val="nil"/>
          <w:left w:val="nil"/>
          <w:bottom w:val="nil"/>
          <w:right w:val="nil"/>
          <w:between w:val="nil"/>
        </w:pBdr>
        <w:spacing w:before="7"/>
        <w:rPr>
          <w:b/>
        </w:rPr>
      </w:pPr>
    </w:p>
    <w:p w:rsidR="000F36DC">
      <w:pPr>
        <w:pBdr>
          <w:top w:val="nil"/>
          <w:left w:val="nil"/>
          <w:bottom w:val="nil"/>
          <w:right w:val="nil"/>
          <w:between w:val="nil"/>
        </w:pBdr>
        <w:spacing w:before="7"/>
        <w:rPr>
          <w:b/>
          <w:color w:val="000000"/>
        </w:rPr>
      </w:pPr>
    </w:p>
    <w:p w:rsidR="000F36DC">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 xml:space="preserve">For collections of information whose results will be published, outline plans for tabulation and publication. Address any complex analytical techniques that will be </w:t>
      </w:r>
      <w:r>
        <w:rPr>
          <w:b/>
          <w:color w:val="000000"/>
        </w:rPr>
        <w:t>used. Provide the time schedule for the entire project, including beginning and ending dates of the collection of information, completion of report, publication dates, and other actions.</w:t>
      </w:r>
    </w:p>
    <w:p w:rsidR="000F36DC">
      <w:pPr>
        <w:pBdr>
          <w:top w:val="nil"/>
          <w:left w:val="nil"/>
          <w:bottom w:val="nil"/>
          <w:right w:val="nil"/>
          <w:between w:val="nil"/>
        </w:pBdr>
        <w:tabs>
          <w:tab w:val="left" w:pos="360"/>
        </w:tabs>
        <w:spacing w:before="80"/>
        <w:ind w:left="400"/>
        <w:rPr>
          <w:b/>
        </w:rPr>
      </w:pPr>
    </w:p>
    <w:p w:rsidR="000F36DC">
      <w:pPr>
        <w:ind w:right="130"/>
      </w:pPr>
      <w:r>
        <w:t>The data will be used to develop agency documents as noted above. Fo</w:t>
      </w:r>
      <w:r>
        <w:t>r the 5 states in the Gulf of Mexico for which implementation will be supported by DWH Restoration funds, annual reports will be developed for project activities completed during project duration (2023-2028). We anticipate the angler survey component of th</w:t>
      </w:r>
      <w:r>
        <w:t xml:space="preserve">e project will be completed in the years 2025 and 2026. If appropriate, peer-reviewed publications in scientific literature are anticipated to be made public approximately 2 years after the completion of the project.  </w:t>
      </w:r>
    </w:p>
    <w:p w:rsidR="000F36DC">
      <w:pPr>
        <w:ind w:right="130"/>
        <w:rPr>
          <w:color w:val="38761D"/>
        </w:rPr>
      </w:pPr>
    </w:p>
    <w:p w:rsidR="000F36DC">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If seeking approval to not display t</w:t>
      </w:r>
      <w:r>
        <w:rPr>
          <w:b/>
          <w:color w:val="000000"/>
        </w:rPr>
        <w:t>he expiration date for OMB approval of the information collection, explain the reasons that display would be inappropriate.</w:t>
      </w:r>
    </w:p>
    <w:p w:rsidR="000F36DC">
      <w:pPr>
        <w:spacing w:before="161"/>
      </w:pPr>
      <w:r>
        <w:t>The agency plans to display the expiration date for OMB approval of the information collection on all instruments.</w:t>
      </w:r>
    </w:p>
    <w:p w:rsidR="000F36DC">
      <w:pPr>
        <w:spacing w:before="161"/>
        <w:rPr>
          <w:color w:val="38761D"/>
        </w:rPr>
      </w:pPr>
    </w:p>
    <w:p w:rsidR="000F36DC">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 xml:space="preserve">Explain each </w:t>
      </w:r>
      <w:r>
        <w:rPr>
          <w:b/>
          <w:color w:val="000000"/>
        </w:rPr>
        <w:t>exception to the certification statement identified in “Certification for Paperwork Reduction Act Submissions."</w:t>
      </w:r>
    </w:p>
    <w:p w:rsidR="000F36DC">
      <w:pPr>
        <w:spacing w:before="221" w:line="259" w:lineRule="auto"/>
        <w:jc w:val="both"/>
      </w:pPr>
      <w:r>
        <w:t xml:space="preserve">The agency certifies compliance with </w:t>
      </w:r>
      <w:hyperlink r:id="rId11">
        <w:r>
          <w:rPr>
            <w:u w:val="single"/>
          </w:rPr>
          <w:t>5 CFR 1320.9</w:t>
        </w:r>
      </w:hyperlink>
      <w:hyperlink r:id="rId11">
        <w:r>
          <w:t xml:space="preserve"> </w:t>
        </w:r>
      </w:hyperlink>
      <w:r>
        <w:t xml:space="preserve">and the related provisions of </w:t>
      </w:r>
      <w:hyperlink r:id="rId12">
        <w:r>
          <w:rPr>
            <w:u w:val="single"/>
          </w:rPr>
          <w:t>5 CFR</w:t>
        </w:r>
      </w:hyperlink>
      <w:r>
        <w:t xml:space="preserve"> </w:t>
      </w:r>
      <w:hyperlink r:id="rId12">
        <w:r>
          <w:rPr>
            <w:u w:val="single"/>
          </w:rPr>
          <w:t>1320.8(b)(3)</w:t>
        </w:r>
      </w:hyperlink>
      <w:r>
        <w:t>.</w:t>
      </w:r>
    </w:p>
    <w:p w:rsidR="000F36DC">
      <w:pPr>
        <w:spacing w:before="221" w:line="259" w:lineRule="auto"/>
        <w:jc w:val="both"/>
      </w:pPr>
    </w:p>
    <w:p w:rsidR="000F36DC">
      <w:pPr>
        <w:spacing w:before="221" w:line="259" w:lineRule="auto"/>
        <w:jc w:val="both"/>
        <w:rPr>
          <w:color w:val="1F497D"/>
        </w:rPr>
      </w:pPr>
      <w:bookmarkStart w:id="2" w:name="_heading=h.gjdgxs" w:colFirst="0" w:colLast="0"/>
      <w:bookmarkEnd w:id="2"/>
    </w:p>
    <w:sectPr>
      <w:pgSz w:w="12240" w:h="15840"/>
      <w:pgMar w:top="640" w:right="1080" w:bottom="1200" w:left="1080" w:header="0" w:footer="71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F36DC">
    <w:pPr>
      <w:pBdr>
        <w:top w:val="nil"/>
        <w:left w:val="nil"/>
        <w:bottom w:val="nil"/>
        <w:right w:val="nil"/>
        <w:between w:val="nil"/>
      </w:pBdr>
      <w:spacing w:line="14" w:lineRule="auto"/>
      <w:rPr>
        <w:color w:val="000000"/>
        <w:sz w:val="20"/>
        <w:szCs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DD0125F"/>
    <w:multiLevelType w:val="multilevel"/>
    <w:tmpl w:val="EC586B6A"/>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6DC"/>
    <w:rsid w:val="00046C35"/>
    <w:rsid w:val="000F36DC"/>
    <w:rsid w:val="002C34E1"/>
    <w:rsid w:val="002E2E3B"/>
    <w:rsid w:val="003140D4"/>
    <w:rsid w:val="00403373"/>
    <w:rsid w:val="004C677A"/>
    <w:rsid w:val="00691EB7"/>
    <w:rsid w:val="00917AEA"/>
    <w:rsid w:val="009E74D0"/>
    <w:rsid w:val="00A337D0"/>
    <w:rsid w:val="00B5270A"/>
    <w:rsid w:val="00B97EB6"/>
    <w:rsid w:val="00D836DC"/>
    <w:rsid w:val="00D92BCA"/>
    <w:rsid w:val="00F3461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docId w15:val="{788C560F-54C3-417A-8A7D-12C61E54D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uiPriority w:val="1"/>
    <w:qFormat/>
    <w:pPr>
      <w:spacing w:before="80"/>
      <w:ind w:left="400"/>
      <w:outlineLvl w:val="0"/>
    </w:pPr>
    <w:rPr>
      <w:b/>
      <w:bCs/>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uiPriority w:val="1"/>
    <w:qFormat/>
    <w:pPr>
      <w:spacing w:before="161"/>
      <w:ind w:left="400"/>
    </w:pPr>
  </w:style>
  <w:style w:type="paragraph" w:styleId="ListParagraph">
    <w:name w:val="List Paragraph"/>
    <w:basedOn w:val="Normal"/>
    <w:uiPriority w:val="1"/>
    <w:qFormat/>
    <w:pPr>
      <w:spacing w:before="161"/>
      <w:ind w:left="11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D1431"/>
    <w:rPr>
      <w:sz w:val="16"/>
      <w:szCs w:val="16"/>
    </w:rPr>
  </w:style>
  <w:style w:type="paragraph" w:styleId="CommentText">
    <w:name w:val="annotation text"/>
    <w:basedOn w:val="Normal"/>
    <w:link w:val="CommentTextChar"/>
    <w:uiPriority w:val="99"/>
    <w:semiHidden/>
    <w:unhideWhenUsed/>
    <w:rsid w:val="00AD1431"/>
    <w:pPr>
      <w:widowControl/>
      <w:spacing w:after="149"/>
      <w:ind w:left="426" w:hanging="10"/>
    </w:pPr>
    <w:rPr>
      <w:color w:val="2E5395"/>
      <w:sz w:val="20"/>
      <w:szCs w:val="20"/>
    </w:rPr>
  </w:style>
  <w:style w:type="character" w:customStyle="1" w:styleId="CommentTextChar">
    <w:name w:val="Comment Text Char"/>
    <w:basedOn w:val="DefaultParagraphFont"/>
    <w:link w:val="CommentText"/>
    <w:uiPriority w:val="99"/>
    <w:semiHidden/>
    <w:rsid w:val="00AD1431"/>
    <w:rPr>
      <w:rFonts w:ascii="Arial" w:eastAsia="Arial" w:hAnsi="Arial" w:cs="Arial"/>
      <w:color w:val="2E5395"/>
      <w:sz w:val="20"/>
      <w:szCs w:val="20"/>
    </w:rPr>
  </w:style>
  <w:style w:type="paragraph" w:styleId="BalloonText">
    <w:name w:val="Balloon Text"/>
    <w:basedOn w:val="Normal"/>
    <w:link w:val="BalloonTextChar"/>
    <w:uiPriority w:val="99"/>
    <w:semiHidden/>
    <w:unhideWhenUsed/>
    <w:rsid w:val="00AD14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431"/>
    <w:rPr>
      <w:rFonts w:ascii="Segoe UI" w:eastAsia="Arial" w:hAnsi="Segoe UI" w:cs="Segoe UI"/>
      <w:sz w:val="18"/>
      <w:szCs w:val="18"/>
      <w:lang w:bidi="en-US"/>
    </w:rPr>
  </w:style>
  <w:style w:type="paragraph" w:styleId="Header">
    <w:name w:val="header"/>
    <w:basedOn w:val="Normal"/>
    <w:link w:val="HeaderChar"/>
    <w:uiPriority w:val="99"/>
    <w:unhideWhenUsed/>
    <w:rsid w:val="00F27520"/>
    <w:pPr>
      <w:tabs>
        <w:tab w:val="center" w:pos="4680"/>
        <w:tab w:val="right" w:pos="9360"/>
      </w:tabs>
    </w:pPr>
  </w:style>
  <w:style w:type="character" w:customStyle="1" w:styleId="HeaderChar">
    <w:name w:val="Header Char"/>
    <w:basedOn w:val="DefaultParagraphFont"/>
    <w:link w:val="Header"/>
    <w:uiPriority w:val="99"/>
    <w:rsid w:val="00F27520"/>
  </w:style>
  <w:style w:type="paragraph" w:styleId="Footer">
    <w:name w:val="footer"/>
    <w:basedOn w:val="Normal"/>
    <w:link w:val="FooterChar"/>
    <w:uiPriority w:val="99"/>
    <w:unhideWhenUsed/>
    <w:rsid w:val="00F27520"/>
    <w:pPr>
      <w:tabs>
        <w:tab w:val="center" w:pos="4680"/>
        <w:tab w:val="right" w:pos="9360"/>
      </w:tabs>
    </w:pPr>
  </w:style>
  <w:style w:type="character" w:customStyle="1" w:styleId="FooterChar">
    <w:name w:val="Footer Char"/>
    <w:basedOn w:val="DefaultParagraphFont"/>
    <w:link w:val="Footer"/>
    <w:uiPriority w:val="99"/>
    <w:rsid w:val="00F27520"/>
  </w:style>
  <w:style w:type="character" w:styleId="Hyperlink">
    <w:name w:val="Hyperlink"/>
    <w:basedOn w:val="DefaultParagraphFont"/>
    <w:uiPriority w:val="99"/>
    <w:unhideWhenUsed/>
    <w:rsid w:val="00F0299B"/>
    <w:rPr>
      <w:color w:val="0000FF" w:themeColor="hyperlink"/>
      <w:u w:val="single"/>
    </w:rPr>
  </w:style>
  <w:style w:type="character" w:styleId="FollowedHyperlink">
    <w:name w:val="FollowedHyperlink"/>
    <w:basedOn w:val="DefaultParagraphFont"/>
    <w:uiPriority w:val="99"/>
    <w:semiHidden/>
    <w:unhideWhenUsed/>
    <w:rsid w:val="00F0299B"/>
    <w:rPr>
      <w:color w:val="800080" w:themeColor="followed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0" w:type="dxa"/>
        <w:right w:w="0" w:type="dxa"/>
      </w:tblCellMar>
    </w:tblPr>
  </w:style>
  <w:style w:type="table" w:customStyle="1" w:styleId="a0">
    <w:name w:val="a0"/>
    <w:basedOn w:val="TableNormal"/>
    <w:tblPr>
      <w:tblStyleRowBandSize w:val="1"/>
      <w:tblStyleColBandSize w:val="1"/>
      <w:tblCellMar>
        <w:left w:w="115" w:type="dxa"/>
        <w:right w:w="115" w:type="dxa"/>
      </w:tblCellMar>
    </w:tblPr>
  </w:style>
  <w:style w:type="table" w:customStyle="1" w:styleId="a1">
    <w:name w:val="a1"/>
    <w:basedOn w:val="TableNormal"/>
    <w:tblPr>
      <w:tblStyleRowBandSize w:val="1"/>
      <w:tblStyleColBandSize w:val="1"/>
      <w:tblCellMar>
        <w:left w:w="115" w:type="dxa"/>
        <w:right w:w="115" w:type="dxa"/>
      </w:tblCellMar>
    </w:tblPr>
  </w:style>
  <w:style w:type="table" w:customStyle="1" w:styleId="a2">
    <w:name w:val="a2"/>
    <w:basedOn w:val="TableNormal"/>
    <w:tblPr>
      <w:tblStyleRowBandSize w:val="1"/>
      <w:tblStyleColBandSize w:val="1"/>
      <w:tblCellMar>
        <w:left w:w="115" w:type="dxa"/>
        <w:right w:w="115" w:type="dxa"/>
      </w:tblCellMar>
    </w:tblPr>
  </w:style>
  <w:style w:type="table" w:customStyle="1" w:styleId="a3">
    <w:name w:val="a3"/>
    <w:basedOn w:val="TableNormal"/>
    <w:tblPr>
      <w:tblStyleRowBandSize w:val="1"/>
      <w:tblStyleColBandSize w:val="1"/>
      <w:tblCellMar>
        <w:left w:w="115" w:type="dxa"/>
        <w:right w:w="115" w:type="dxa"/>
      </w:tblCellMar>
    </w:tblPr>
  </w:style>
  <w:style w:type="table" w:customStyle="1" w:styleId="a4">
    <w:name w:val="a4"/>
    <w:basedOn w:val="TableNormal"/>
    <w:tblPr>
      <w:tblStyleRowBandSize w:val="1"/>
      <w:tblStyleColBandSize w:val="1"/>
      <w:tblCellMar>
        <w:top w:w="100" w:type="dxa"/>
        <w:left w:w="100" w:type="dxa"/>
        <w:bottom w:w="100" w:type="dxa"/>
        <w:right w:w="100" w:type="dxa"/>
      </w:tblCellMar>
    </w:tblPr>
  </w:style>
  <w:style w:type="table" w:customStyle="1" w:styleId="a5">
    <w:name w:val="a5"/>
    <w:basedOn w:val="TableNormal"/>
    <w:tblPr>
      <w:tblStyleRowBandSize w:val="1"/>
      <w:tblStyleColBandSize w:val="1"/>
      <w:tblCellMar>
        <w:left w:w="0" w:type="dxa"/>
        <w:right w:w="0" w:type="dxa"/>
      </w:tblCellMar>
    </w:tblPr>
  </w:style>
  <w:style w:type="table" w:customStyle="1" w:styleId="a6">
    <w:name w:val="a6"/>
    <w:basedOn w:val="TableNormal"/>
    <w:tblPr>
      <w:tblStyleRowBandSize w:val="1"/>
      <w:tblStyleColBandSize w:val="1"/>
      <w:tblCellMar>
        <w:left w:w="0" w:type="dxa"/>
        <w:right w:w="0" w:type="dxa"/>
      </w:tblCellMar>
    </w:tblPr>
  </w:style>
  <w:style w:type="table" w:customStyle="1" w:styleId="a7">
    <w:name w:val="a7"/>
    <w:basedOn w:val="TableNormal"/>
    <w:tblPr>
      <w:tblStyleRowBandSize w:val="1"/>
      <w:tblStyleColBandSize w:val="1"/>
      <w:tblCellMar>
        <w:left w:w="0" w:type="dxa"/>
        <w:right w:w="0" w:type="dxa"/>
      </w:tblCellMar>
    </w:tblPr>
  </w:style>
  <w:style w:type="table" w:customStyle="1" w:styleId="a8">
    <w:name w:val="a8"/>
    <w:basedOn w:val="TableNormal"/>
    <w:tblPr>
      <w:tblStyleRowBandSize w:val="1"/>
      <w:tblStyleColBandSize w:val="1"/>
      <w:tblCellMar>
        <w:left w:w="0" w:type="dxa"/>
        <w:right w:w="0" w:type="dxa"/>
      </w:tblCellMar>
    </w:tblPr>
  </w:style>
  <w:style w:type="table" w:customStyle="1" w:styleId="a9">
    <w:name w:val="a9"/>
    <w:basedOn w:val="TableNormal"/>
    <w:tblPr>
      <w:tblStyleRowBandSize w:val="1"/>
      <w:tblStyleColBandSize w:val="1"/>
      <w:tblCellMar>
        <w:left w:w="0" w:type="dxa"/>
        <w:right w:w="0" w:type="dxa"/>
      </w:tblCellMar>
    </w:tblPr>
  </w:style>
  <w:style w:type="table" w:customStyle="1" w:styleId="aa">
    <w:name w:val="aa"/>
    <w:basedOn w:val="TableNormal"/>
    <w:tblPr>
      <w:tblStyleRowBandSize w:val="1"/>
      <w:tblStyleColBandSize w:val="1"/>
      <w:tblCellMar>
        <w:left w:w="0" w:type="dxa"/>
        <w:right w:w="0" w:type="dxa"/>
      </w:tblCellMar>
    </w:tblPr>
  </w:style>
  <w:style w:type="table" w:customStyle="1" w:styleId="ab">
    <w:name w:val="ab"/>
    <w:basedOn w:val="TableNormal"/>
    <w:tblPr>
      <w:tblStyleRowBandSize w:val="1"/>
      <w:tblStyleColBandSize w:val="1"/>
      <w:tblCellMar>
        <w:left w:w="0" w:type="dxa"/>
        <w:right w:w="0" w:type="dxa"/>
      </w:tblCellMar>
    </w:tblPr>
  </w:style>
  <w:style w:type="table" w:customStyle="1" w:styleId="ac">
    <w:name w:val="ac"/>
    <w:basedOn w:val="TableNormal"/>
    <w:tblPr>
      <w:tblStyleRowBandSize w:val="1"/>
      <w:tblStyleColBandSize w:val="1"/>
      <w:tblCellMar>
        <w:left w:w="0" w:type="dxa"/>
        <w:right w:w="0" w:type="dxa"/>
      </w:tblCellMar>
    </w:tblPr>
  </w:style>
  <w:style w:type="table" w:customStyle="1" w:styleId="ad">
    <w:name w:val="ad"/>
    <w:basedOn w:val="TableNormal"/>
    <w:tblPr>
      <w:tblStyleRowBandSize w:val="1"/>
      <w:tblStyleColBandSize w:val="1"/>
      <w:tblCellMar>
        <w:left w:w="0" w:type="dxa"/>
        <w:right w:w="0" w:type="dxa"/>
      </w:tblCellMar>
    </w:tblPr>
  </w:style>
  <w:style w:type="table" w:customStyle="1" w:styleId="ae">
    <w:name w:val="ae"/>
    <w:basedOn w:val="TableNormal"/>
    <w:tblPr>
      <w:tblStyleRowBandSize w:val="1"/>
      <w:tblStyleColBandSize w:val="1"/>
      <w:tblCellMar>
        <w:left w:w="0" w:type="dxa"/>
        <w:right w:w="0" w:type="dxa"/>
      </w:tblCellMar>
    </w:tblPr>
  </w:style>
  <w:style w:type="paragraph" w:styleId="NormalWeb">
    <w:name w:val="Normal (Web)"/>
    <w:basedOn w:val="Normal"/>
    <w:uiPriority w:val="99"/>
    <w:semiHidden/>
    <w:unhideWhenUsed/>
    <w:rsid w:val="002C34E1"/>
    <w:pPr>
      <w:widowControl/>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bls.gov/news.release/ecec.nr0.htm" TargetMode="External" /><Relationship Id="rId11" Type="http://schemas.openxmlformats.org/officeDocument/2006/relationships/hyperlink" Target="http://www.gpo.gov/fdsys/pkg/CFR-2014-title5-vol3/pdf/CFR-2014-title5-vol3-sec1320-9.pdf" TargetMode="External" /><Relationship Id="rId12" Type="http://schemas.openxmlformats.org/officeDocument/2006/relationships/hyperlink" Target="http://www.gpo.gov/fdsys/pkg/CFR-2014-title5-vol3/pdf/CFR-2014-title5-vol3-sec1320-8.pdf" TargetMode="Externa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fws.gov/endangered/esa-library/pdf/ESAall.pdf" TargetMode="External" /><Relationship Id="rId6" Type="http://schemas.openxmlformats.org/officeDocument/2006/relationships/hyperlink" Target="https://www.gulfspillrestoration.noaa.gov/project?id=338" TargetMode="External" /><Relationship Id="rId7" Type="http://schemas.openxmlformats.org/officeDocument/2006/relationships/hyperlink" Target="https://www.gulfspillrestoration.noaa.gov/restoration-areas/regionwide" TargetMode="External" /><Relationship Id="rId8" Type="http://schemas.openxmlformats.org/officeDocument/2006/relationships/hyperlink" Target="http://www.fws.gov/informationquality/section515.html"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9BA4v+EIlmg7szGIngK9HCt6Ow==">CgMxLjAyCWguMzBqMHpsbDIIaC5namRneHM4AHIhMWdya1FZTTVJNEw1ZlF4aUxZX3EtdGhPZmlwWEh2X28y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3988</Words>
  <Characters>22737</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NOAA Fisheries - HQ</Company>
  <LinksUpToDate>false</LinksUpToDate>
  <CharactersWithSpaces>26672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Dumas, Sheleen (Federal)</dc:creator>
  <cp:lastModifiedBy>Adrienne.Thomas</cp:lastModifiedBy>
  <cp:revision>3</cp:revision>
  <dcterms:created xsi:type="dcterms:W3CDTF">2024-11-22T19:23:00Z</dcterms:created>
  <dcterms:modified xsi:type="dcterms:W3CDTF">2024-11-22T19:27:00Z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2020-05-06T00:00:00Z</vt:lpwstr>
  </property>
  <property fmtid="{D5CDD505-2E9C-101B-9397-08002B2CF9AE}" pid="3" name="Creator">
    <vt:lpwstr>Acrobat PDFMaker 17 for Word</vt:lpwstr>
  </property>
  <property fmtid="{D5CDD505-2E9C-101B-9397-08002B2CF9AE}" pid="4" name="LastSaved">
    <vt:lpwstr>2020-05-07T00:00:00Z</vt:lpwstr>
  </property>
</Properties>
</file>