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CD619D" w:rsidP="00CD619D" w14:paraId="4342FDAA"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006B52D3" w:rsidRPr="00CD619D" w:rsidP="00CD619D" w14:paraId="7C0A351A" w14:textId="77777777">
      <w:pPr>
        <w:pStyle w:val="BodyText"/>
        <w:spacing w:line="276" w:lineRule="auto"/>
        <w:ind w:left="360" w:hanging="360"/>
        <w:jc w:val="center"/>
        <w:rPr>
          <w:sz w:val="28"/>
          <w:szCs w:val="28"/>
        </w:rPr>
      </w:pPr>
      <w:r w:rsidRPr="00CD619D">
        <w:rPr>
          <w:sz w:val="28"/>
          <w:szCs w:val="28"/>
        </w:rPr>
        <w:t xml:space="preserve">Supporting </w:t>
      </w:r>
      <w:r w:rsidRPr="00CD619D">
        <w:rPr>
          <w:sz w:val="28"/>
          <w:szCs w:val="28"/>
        </w:rPr>
        <w:t>Statement</w:t>
      </w:r>
      <w:r w:rsidRPr="00CD619D">
        <w:rPr>
          <w:sz w:val="28"/>
          <w:szCs w:val="28"/>
        </w:rPr>
        <w:t xml:space="preserve"> A</w:t>
      </w:r>
    </w:p>
    <w:p w:rsidR="006B52D3" w:rsidRPr="00CD619D" w:rsidP="00CD619D" w14:paraId="2EA41830" w14:textId="77777777">
      <w:pPr>
        <w:pStyle w:val="BodyText"/>
        <w:spacing w:line="276" w:lineRule="auto"/>
        <w:ind w:left="360" w:hanging="360"/>
        <w:jc w:val="center"/>
        <w:rPr>
          <w:sz w:val="28"/>
          <w:szCs w:val="28"/>
        </w:rPr>
      </w:pPr>
      <w:r w:rsidRPr="00CD619D">
        <w:rPr>
          <w:sz w:val="28"/>
          <w:szCs w:val="28"/>
        </w:rPr>
        <w:t>U.S. Department of Commerce</w:t>
      </w:r>
    </w:p>
    <w:p w:rsidR="006B52D3" w:rsidRPr="00CD619D" w:rsidP="00CD619D" w14:paraId="6840B916" w14:textId="77777777">
      <w:pPr>
        <w:pStyle w:val="BodyText"/>
        <w:spacing w:line="276" w:lineRule="auto"/>
        <w:ind w:left="360" w:hanging="360"/>
        <w:jc w:val="center"/>
        <w:rPr>
          <w:sz w:val="28"/>
          <w:szCs w:val="28"/>
        </w:rPr>
      </w:pPr>
      <w:r w:rsidRPr="00CD619D">
        <w:rPr>
          <w:sz w:val="28"/>
          <w:szCs w:val="28"/>
        </w:rPr>
        <w:t>U.S. Census Bureau</w:t>
      </w:r>
    </w:p>
    <w:p w:rsidR="000148AA" w:rsidRPr="003B03D2" w:rsidP="00CD619D" w14:paraId="16095E0E" w14:textId="1728C43B">
      <w:pPr>
        <w:pStyle w:val="BodyText"/>
        <w:spacing w:line="276" w:lineRule="auto"/>
        <w:ind w:left="360" w:hanging="360"/>
        <w:jc w:val="center"/>
        <w:rPr>
          <w:sz w:val="28"/>
          <w:szCs w:val="28"/>
        </w:rPr>
      </w:pPr>
      <w:r w:rsidRPr="003B03D2">
        <w:rPr>
          <w:sz w:val="28"/>
          <w:szCs w:val="28"/>
        </w:rPr>
        <w:t>Voting and Registration Supplement</w:t>
      </w:r>
    </w:p>
    <w:p w:rsidR="000148AA" w:rsidRPr="003B03D2" w:rsidP="00CD619D" w14:paraId="006A097E" w14:textId="36E6B6C0">
      <w:pPr>
        <w:pStyle w:val="BodyText"/>
        <w:tabs>
          <w:tab w:val="left" w:pos="0"/>
        </w:tabs>
        <w:spacing w:line="276" w:lineRule="auto"/>
        <w:ind w:left="360" w:hanging="360"/>
        <w:jc w:val="center"/>
        <w:rPr>
          <w:sz w:val="28"/>
          <w:szCs w:val="28"/>
        </w:rPr>
      </w:pPr>
      <w:r w:rsidRPr="003B03D2">
        <w:rPr>
          <w:sz w:val="28"/>
          <w:szCs w:val="28"/>
        </w:rPr>
        <w:t>OMB Control Number 0607-</w:t>
      </w:r>
      <w:r w:rsidRPr="003B03D2" w:rsidR="003B03D2">
        <w:rPr>
          <w:sz w:val="28"/>
          <w:szCs w:val="28"/>
        </w:rPr>
        <w:t>0466</w:t>
      </w:r>
    </w:p>
    <w:p w:rsidR="000148AA" w:rsidRPr="00CD619D" w:rsidP="0051294C" w14:paraId="7EFAE868" w14:textId="77777777">
      <w:pPr>
        <w:pStyle w:val="BodyText"/>
        <w:spacing w:before="4" w:line="276" w:lineRule="auto"/>
      </w:pPr>
    </w:p>
    <w:p w:rsidR="000148AA" w:rsidRPr="00CD619D" w:rsidP="00CD619D" w14:paraId="7AB2E27A" w14:textId="77777777">
      <w:pPr>
        <w:pStyle w:val="ListParagraph"/>
        <w:tabs>
          <w:tab w:val="left" w:pos="360"/>
        </w:tabs>
        <w:spacing w:line="276" w:lineRule="auto"/>
        <w:ind w:left="36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000148AA" w:rsidRPr="00CD619D" w:rsidP="00CD619D" w14:paraId="3BA764EC" w14:textId="77777777">
      <w:pPr>
        <w:pStyle w:val="BodyText"/>
        <w:spacing w:before="10" w:line="276" w:lineRule="auto"/>
        <w:ind w:left="360" w:hanging="360"/>
      </w:pPr>
    </w:p>
    <w:p w:rsidR="00DE3363" w:rsidRPr="00CD619D" w:rsidP="00CD619D" w14:paraId="1FD77C4A" w14:textId="77777777">
      <w:pPr>
        <w:tabs>
          <w:tab w:val="left" w:pos="840"/>
        </w:tabs>
        <w:spacing w:before="1" w:line="276" w:lineRule="auto"/>
        <w:ind w:left="360" w:right="536" w:hanging="360"/>
        <w:rPr>
          <w:b/>
          <w:sz w:val="24"/>
          <w:szCs w:val="24"/>
          <w:lang w:bidi="he-IL"/>
        </w:rPr>
      </w:pPr>
      <w:r w:rsidRPr="00CD619D">
        <w:rPr>
          <w:b/>
          <w:sz w:val="24"/>
          <w:szCs w:val="24"/>
          <w:lang w:bidi="he-IL"/>
        </w:rPr>
        <w:t xml:space="preserve">1. </w:t>
      </w:r>
      <w:r w:rsidRPr="00CD619D" w:rsidR="009471AF">
        <w:rPr>
          <w:b/>
          <w:sz w:val="24"/>
          <w:szCs w:val="24"/>
          <w:lang w:bidi="he-IL"/>
        </w:rPr>
        <w:tab/>
      </w:r>
      <w:r w:rsidRPr="00CD619D" w:rsidR="008E0A73">
        <w:rPr>
          <w:b/>
          <w:sz w:val="24"/>
          <w:szCs w:val="24"/>
          <w:lang w:bidi="he-IL"/>
        </w:rPr>
        <w:t xml:space="preserve">Explain </w:t>
      </w:r>
      <w:r w:rsidRPr="00CD619D" w:rsidR="00EB6D62">
        <w:rPr>
          <w:b/>
          <w:sz w:val="24"/>
          <w:szCs w:val="24"/>
          <w:lang w:bidi="he-IL"/>
        </w:rPr>
        <w:t>the circumstance</w:t>
      </w:r>
      <w:r w:rsidRPr="00CD619D" w:rsidR="008E0A73">
        <w:rPr>
          <w:b/>
          <w:sz w:val="24"/>
          <w:szCs w:val="24"/>
          <w:lang w:bidi="he-IL"/>
        </w:rPr>
        <w:t>s that make the collection of information necessary. Identify any legal or administrative requirements that necessitate the collection.</w:t>
      </w:r>
      <w:r w:rsidRPr="00CD619D">
        <w:rPr>
          <w:b/>
          <w:sz w:val="24"/>
          <w:szCs w:val="24"/>
          <w:lang w:bidi="he-IL"/>
        </w:rPr>
        <w:t xml:space="preserve"> </w:t>
      </w:r>
      <w:r w:rsidRPr="00CD619D" w:rsidR="008E0A73">
        <w:rPr>
          <w:b/>
          <w:sz w:val="24"/>
          <w:szCs w:val="24"/>
          <w:lang w:bidi="he-IL"/>
        </w:rPr>
        <w:t>Attach a copy of the appropriate section of each statute and regulation mandating or authorizing the collection of information.</w:t>
      </w:r>
    </w:p>
    <w:p w:rsidR="007B609B" w:rsidP="003B03D2" w14:paraId="63A7EB97" w14:textId="77777777">
      <w:pPr>
        <w:widowControl/>
        <w:numPr>
          <w:ilvl w:val="12"/>
          <w:numId w:val="0"/>
        </w:numPr>
        <w:spacing w:line="276" w:lineRule="auto"/>
        <w:ind w:left="450"/>
        <w:rPr>
          <w:sz w:val="24"/>
          <w:szCs w:val="24"/>
        </w:rPr>
      </w:pPr>
    </w:p>
    <w:p w:rsidR="000148AA" w:rsidRPr="00CD619D" w:rsidP="00431918" w14:paraId="19AD4899" w14:textId="197B4298">
      <w:pPr>
        <w:widowControl/>
        <w:numPr>
          <w:ilvl w:val="12"/>
          <w:numId w:val="0"/>
        </w:numPr>
        <w:spacing w:line="276" w:lineRule="auto"/>
        <w:ind w:left="360"/>
      </w:pPr>
      <w:r w:rsidRPr="00D32433">
        <w:rPr>
          <w:sz w:val="24"/>
          <w:szCs w:val="24"/>
        </w:rPr>
        <w:t>The U.S. Census Bureau requests authorization from the Office of Management and Budget (OMB) to co</w:t>
      </w:r>
      <w:r>
        <w:rPr>
          <w:sz w:val="24"/>
          <w:szCs w:val="24"/>
        </w:rPr>
        <w:t xml:space="preserve">nduct the </w:t>
      </w:r>
      <w:r w:rsidRPr="00D32433">
        <w:rPr>
          <w:sz w:val="24"/>
          <w:szCs w:val="24"/>
        </w:rPr>
        <w:t xml:space="preserve">Voting and Registration </w:t>
      </w:r>
      <w:r>
        <w:rPr>
          <w:sz w:val="24"/>
          <w:szCs w:val="24"/>
        </w:rPr>
        <w:t>s</w:t>
      </w:r>
      <w:r w:rsidRPr="00D32433">
        <w:rPr>
          <w:sz w:val="24"/>
          <w:szCs w:val="24"/>
        </w:rPr>
        <w:t xml:space="preserve">upplement to the Current Population Survey (CPS). </w:t>
      </w:r>
      <w:r>
        <w:rPr>
          <w:sz w:val="24"/>
          <w:szCs w:val="24"/>
        </w:rPr>
        <w:t xml:space="preserve"> </w:t>
      </w:r>
      <w:r w:rsidRPr="00D32433">
        <w:rPr>
          <w:sz w:val="24"/>
          <w:szCs w:val="24"/>
        </w:rPr>
        <w:t>The Voting and Registration supplement continues the biennial collection of data concerning voting and registration that has been asked periodically since 1964.</w:t>
      </w:r>
      <w:r>
        <w:rPr>
          <w:sz w:val="24"/>
          <w:szCs w:val="24"/>
        </w:rPr>
        <w:t xml:space="preserve">  The supplement is sponsored by the U.S. Census Bureau, and is conducted in conjunction with the November CPS.  The proposed questions are shown in Attachment A.  </w:t>
      </w:r>
      <w:r w:rsidRPr="00EB5524">
        <w:rPr>
          <w:color w:val="000000"/>
          <w:sz w:val="24"/>
          <w:szCs w:val="24"/>
        </w:rPr>
        <w:t>Title 13</w:t>
      </w:r>
      <w:r>
        <w:rPr>
          <w:color w:val="000000"/>
          <w:sz w:val="24"/>
          <w:szCs w:val="24"/>
        </w:rPr>
        <w:t xml:space="preserve"> United States Code</w:t>
      </w:r>
      <w:r w:rsidR="003842F1">
        <w:rPr>
          <w:color w:val="000000"/>
          <w:sz w:val="24"/>
          <w:szCs w:val="24"/>
        </w:rPr>
        <w:t xml:space="preserve"> (U.S.C.)</w:t>
      </w:r>
      <w:r>
        <w:rPr>
          <w:color w:val="000000"/>
          <w:sz w:val="24"/>
          <w:szCs w:val="24"/>
        </w:rPr>
        <w:t>,</w:t>
      </w:r>
      <w:r w:rsidRPr="00EB5524">
        <w:rPr>
          <w:color w:val="000000"/>
          <w:sz w:val="24"/>
          <w:szCs w:val="24"/>
        </w:rPr>
        <w:t xml:space="preserve"> Sections 8(b), </w:t>
      </w:r>
      <w:r>
        <w:rPr>
          <w:color w:val="000000"/>
          <w:sz w:val="24"/>
          <w:szCs w:val="24"/>
        </w:rPr>
        <w:t>141, and 182</w:t>
      </w:r>
      <w:r w:rsidR="003842F1">
        <w:rPr>
          <w:color w:val="000000"/>
          <w:sz w:val="24"/>
          <w:szCs w:val="24"/>
        </w:rPr>
        <w:t>, and Title 29 U.S.C, Sections 1-9</w:t>
      </w:r>
      <w:r>
        <w:rPr>
          <w:color w:val="000000"/>
          <w:sz w:val="24"/>
          <w:szCs w:val="24"/>
        </w:rPr>
        <w:t xml:space="preserve"> </w:t>
      </w:r>
      <w:r w:rsidRPr="00B67822">
        <w:rPr>
          <w:color w:val="000000"/>
          <w:sz w:val="24"/>
          <w:szCs w:val="24"/>
        </w:rPr>
        <w:t>authorize the collection of</w:t>
      </w:r>
      <w:r>
        <w:rPr>
          <w:color w:val="000000"/>
          <w:sz w:val="24"/>
          <w:szCs w:val="24"/>
        </w:rPr>
        <w:t xml:space="preserve"> information in the CPS.</w:t>
      </w:r>
      <w:r w:rsidRPr="00B67822">
        <w:rPr>
          <w:color w:val="000000"/>
          <w:sz w:val="24"/>
          <w:szCs w:val="24"/>
        </w:rPr>
        <w:t xml:space="preserve"> </w:t>
      </w:r>
      <w:r>
        <w:rPr>
          <w:color w:val="000000"/>
          <w:sz w:val="24"/>
          <w:szCs w:val="24"/>
        </w:rPr>
        <w:t xml:space="preserve"> </w:t>
      </w:r>
      <w:r w:rsidR="00313F88">
        <w:rPr>
          <w:sz w:val="24"/>
          <w:szCs w:val="24"/>
          <w:lang w:bidi="ar-SA"/>
        </w:rPr>
        <w:t xml:space="preserve">See Attachment F for the full text of these statutes.  </w:t>
      </w:r>
      <w:r w:rsidRPr="009655E2">
        <w:rPr>
          <w:color w:val="000000"/>
          <w:sz w:val="24"/>
          <w:szCs w:val="24"/>
        </w:rPr>
        <w:t>The CPS advance letter presently in use (Attachment B) is generic for a</w:t>
      </w:r>
      <w:r>
        <w:rPr>
          <w:color w:val="000000"/>
          <w:sz w:val="24"/>
          <w:szCs w:val="24"/>
        </w:rPr>
        <w:t>ll CPS collections, and cites the legal authorities stated above</w:t>
      </w:r>
      <w:r w:rsidRPr="009655E2">
        <w:rPr>
          <w:color w:val="000000"/>
          <w:sz w:val="24"/>
          <w:szCs w:val="24"/>
        </w:rPr>
        <w:t>.</w:t>
      </w:r>
    </w:p>
    <w:p w:rsidR="002B279C" w:rsidRPr="00CD619D" w:rsidP="00CD619D" w14:paraId="27C6E41C" w14:textId="77777777">
      <w:pPr>
        <w:pStyle w:val="BodyText"/>
        <w:spacing w:before="9" w:line="276" w:lineRule="auto"/>
        <w:ind w:left="360" w:hanging="360"/>
      </w:pPr>
    </w:p>
    <w:p w:rsidR="008A3062" w:rsidRPr="00515B7F" w:rsidP="008A3062" w14:paraId="6794AE3F" w14:textId="1AF53D64">
      <w:pPr>
        <w:pStyle w:val="ListParagraph"/>
        <w:numPr>
          <w:ilvl w:val="0"/>
          <w:numId w:val="5"/>
        </w:numPr>
        <w:adjustRightInd w:val="0"/>
        <w:spacing w:before="240"/>
        <w:rPr>
          <w:b/>
          <w:sz w:val="24"/>
        </w:rPr>
      </w:pPr>
      <w:r w:rsidRPr="00515B7F">
        <w:rPr>
          <w:b/>
          <w:sz w:val="24"/>
        </w:rPr>
        <w:t>Purpose and Use of Information Collection</w:t>
      </w:r>
    </w:p>
    <w:p w:rsidR="007B609B" w:rsidP="008A3062" w14:paraId="4BDBF593" w14:textId="77777777">
      <w:pPr>
        <w:spacing w:line="276" w:lineRule="auto"/>
        <w:ind w:left="360"/>
        <w:rPr>
          <w:sz w:val="24"/>
          <w:szCs w:val="24"/>
          <w:lang w:val="en-CA"/>
        </w:rPr>
      </w:pPr>
    </w:p>
    <w:p w:rsidR="008A3062" w:rsidRPr="008A2417" w:rsidP="008A3062" w14:paraId="0F60AD28" w14:textId="6E83A849">
      <w:pPr>
        <w:spacing w:line="276" w:lineRule="auto"/>
        <w:ind w:left="360"/>
        <w:rPr>
          <w:sz w:val="24"/>
          <w:szCs w:val="24"/>
        </w:rPr>
      </w:pPr>
      <w:r w:rsidRPr="008A2417">
        <w:rPr>
          <w:sz w:val="24"/>
          <w:szCs w:val="24"/>
          <w:lang w:val="en-CA"/>
        </w:rPr>
        <w:fldChar w:fldCharType="begin"/>
      </w:r>
      <w:r w:rsidRPr="008A2417">
        <w:rPr>
          <w:sz w:val="24"/>
          <w:szCs w:val="24"/>
          <w:lang w:val="en-CA"/>
        </w:rPr>
        <w:instrText xml:space="preserve"> SEQ CHAPTER \h \r 1</w:instrText>
      </w:r>
      <w:r w:rsidRPr="008A2417">
        <w:rPr>
          <w:sz w:val="24"/>
          <w:szCs w:val="24"/>
          <w:lang w:val="en-CA"/>
        </w:rPr>
        <w:fldChar w:fldCharType="separate"/>
      </w:r>
      <w:r w:rsidRPr="008A2417">
        <w:rPr>
          <w:sz w:val="24"/>
          <w:szCs w:val="24"/>
          <w:lang w:val="en-CA"/>
        </w:rPr>
        <w:fldChar w:fldCharType="end"/>
      </w:r>
      <w:r w:rsidRPr="008A2417">
        <w:rPr>
          <w:sz w:val="24"/>
          <w:szCs w:val="24"/>
        </w:rPr>
        <w:t xml:space="preserve">The primary purpose of collecting the voting data from the November CPS supplement is to relate demographic characteristics (age, sex, race, education, occupation, and income) to voting and nonvoting behavior.  Federal, state, and local election officials; college institutions; political party committees; research groups; and other private organizations will use the voting and registration data collected in the November CPS supplement.  Election officials use these data to formulate policies relating to the voting and registration process.  Data obtained on duration of residence will allow policymakers and researchers to better determine the relationships between other demographic characteristics and voting behavior.  Previous studies have shown that the voting and registration characteristics of recent movers differ greatly from those of </w:t>
      </w:r>
      <w:r w:rsidRPr="008A2417">
        <w:rPr>
          <w:sz w:val="24"/>
          <w:szCs w:val="24"/>
        </w:rPr>
        <w:t>nonmovers</w:t>
      </w:r>
      <w:r w:rsidRPr="008A2417">
        <w:rPr>
          <w:sz w:val="24"/>
          <w:szCs w:val="24"/>
        </w:rPr>
        <w:t xml:space="preserve">.  By collecting and presenting data at the state level, we will also obtain information on the effectiveness of increased voter registration drives in different regions.  </w:t>
      </w:r>
    </w:p>
    <w:p w:rsidR="008A3062" w:rsidRPr="008A2417" w:rsidP="008A3062" w14:paraId="0ADF8A69" w14:textId="77777777">
      <w:pPr>
        <w:spacing w:line="276" w:lineRule="auto"/>
        <w:ind w:left="360"/>
        <w:rPr>
          <w:sz w:val="24"/>
          <w:szCs w:val="24"/>
        </w:rPr>
      </w:pPr>
    </w:p>
    <w:p w:rsidR="008A3062" w:rsidRPr="00E02A3F" w:rsidP="008A3062" w14:paraId="3743DC52" w14:textId="12486603">
      <w:pPr>
        <w:pStyle w:val="BodyTextIndent2"/>
        <w:tabs>
          <w:tab w:val="left" w:pos="900"/>
        </w:tabs>
        <w:spacing w:line="276" w:lineRule="auto"/>
        <w:rPr>
          <w:sz w:val="24"/>
          <w:szCs w:val="24"/>
        </w:rPr>
      </w:pPr>
      <w:r w:rsidRPr="00E02A3F">
        <w:rPr>
          <w:sz w:val="24"/>
          <w:szCs w:val="24"/>
        </w:rPr>
        <w:t xml:space="preserve">Discontinuance of the Voting and Registration supplement would disrupt a data series that has been in existence for the past 60 years.  Since 1964, these data have provided statistical </w:t>
      </w:r>
      <w:r w:rsidRPr="00E02A3F">
        <w:rPr>
          <w:sz w:val="24"/>
          <w:szCs w:val="24"/>
        </w:rPr>
        <w:t>information for tracking historical trends of voter and nonvoter characteristics in each presidential and congressional election.</w:t>
      </w:r>
    </w:p>
    <w:p w:rsidR="000148AA" w:rsidRPr="00CD619D" w:rsidP="008A3062" w14:paraId="0AA6D28C" w14:textId="41680104">
      <w:pPr>
        <w:tabs>
          <w:tab w:val="left" w:pos="840"/>
        </w:tabs>
        <w:spacing w:before="1" w:line="276" w:lineRule="auto"/>
        <w:ind w:left="360" w:right="122"/>
        <w:rPr>
          <w:color w:val="FF0000"/>
          <w:sz w:val="24"/>
          <w:szCs w:val="24"/>
        </w:rPr>
      </w:pPr>
      <w:r w:rsidRPr="003852B3">
        <w:rPr>
          <w:sz w:val="24"/>
          <w:szCs w:val="24"/>
        </w:rP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2B279C" w:rsidRPr="00CD619D" w:rsidP="00CD619D" w14:paraId="3CE805BF" w14:textId="77777777">
      <w:pPr>
        <w:pStyle w:val="BodyText"/>
        <w:spacing w:before="101" w:line="276" w:lineRule="auto"/>
        <w:ind w:left="360" w:hanging="360"/>
      </w:pPr>
    </w:p>
    <w:p w:rsidR="00B40BF1" w:rsidRPr="00654A68" w:rsidP="00B40BF1" w14:paraId="1B919EA6" w14:textId="77777777">
      <w:pPr>
        <w:widowControl/>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sz w:val="24"/>
          <w:szCs w:val="24"/>
        </w:rPr>
      </w:pPr>
      <w:r w:rsidRPr="00CD619D">
        <w:rPr>
          <w:b/>
          <w:sz w:val="24"/>
          <w:szCs w:val="24"/>
          <w:lang w:bidi="he-IL"/>
        </w:rPr>
        <w:t xml:space="preserve">3. </w:t>
      </w:r>
      <w:r w:rsidRPr="00CD619D">
        <w:rPr>
          <w:b/>
          <w:sz w:val="24"/>
          <w:szCs w:val="24"/>
          <w:lang w:bidi="he-IL"/>
        </w:rPr>
        <w:tab/>
      </w:r>
      <w:r w:rsidRPr="00B40BF1">
        <w:rPr>
          <w:b/>
          <w:sz w:val="24"/>
          <w:szCs w:val="24"/>
        </w:rPr>
        <w:t>Use of Information Technology</w:t>
      </w:r>
    </w:p>
    <w:p w:rsidR="00175AE4" w:rsidRPr="00CD619D" w:rsidP="00431918" w14:paraId="16D73E09" w14:textId="0A7B9D6B">
      <w:pPr>
        <w:pStyle w:val="ListParagraph"/>
        <w:tabs>
          <w:tab w:val="left" w:pos="0"/>
        </w:tabs>
        <w:spacing w:before="227" w:line="276" w:lineRule="auto"/>
        <w:ind w:left="360" w:right="105" w:firstLine="0"/>
      </w:pPr>
      <w:r>
        <w:rPr>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t>
      </w:r>
      <w:r w:rsidRPr="003B510B">
        <w:rPr>
          <w:sz w:val="24"/>
          <w:szCs w:val="24"/>
          <w:lang w:bidi="ar-SA"/>
        </w:rPr>
        <w:t>We are currently examining the use of the Internet as a response mode</w:t>
      </w:r>
      <w:r>
        <w:rPr>
          <w:sz w:val="24"/>
          <w:szCs w:val="24"/>
          <w:lang w:bidi="ar-SA"/>
        </w:rPr>
        <w:t>, to improve both the respondent experience during the survey and the response rate.</w:t>
      </w:r>
      <w:r w:rsidRPr="003B510B">
        <w:rPr>
          <w:sz w:val="24"/>
          <w:szCs w:val="24"/>
          <w:lang w:bidi="ar-SA"/>
        </w:rPr>
        <w:t xml:space="preserve"> </w:t>
      </w:r>
      <w:r w:rsidRPr="00B45DA3">
        <w:rPr>
          <w:sz w:val="24"/>
          <w:szCs w:val="24"/>
          <w:lang w:bidi="ar-SA"/>
        </w:rPr>
        <w:t xml:space="preserve"> </w:t>
      </w:r>
      <w:r w:rsidRPr="00B45DA3">
        <w:rPr>
          <w:color w:val="333333"/>
          <w:sz w:val="24"/>
          <w:szCs w:val="24"/>
          <w:shd w:val="clear" w:color="auto" w:fill="FFFFFF"/>
        </w:rPr>
        <w:t xml:space="preserve">The CPS program leadership from the Census Bureau and </w:t>
      </w:r>
      <w:r>
        <w:rPr>
          <w:color w:val="333333"/>
          <w:sz w:val="24"/>
          <w:szCs w:val="24"/>
          <w:shd w:val="clear" w:color="auto" w:fill="FFFFFF"/>
        </w:rPr>
        <w:t xml:space="preserve">the </w:t>
      </w:r>
      <w:r w:rsidRPr="00B45DA3">
        <w:rPr>
          <w:color w:val="333333"/>
          <w:sz w:val="24"/>
          <w:szCs w:val="24"/>
          <w:shd w:val="clear" w:color="auto" w:fill="FFFFFF"/>
        </w:rPr>
        <w:t>B</w:t>
      </w:r>
      <w:r>
        <w:rPr>
          <w:color w:val="333333"/>
          <w:sz w:val="24"/>
          <w:szCs w:val="24"/>
          <w:shd w:val="clear" w:color="auto" w:fill="FFFFFF"/>
        </w:rPr>
        <w:t xml:space="preserve">ureau of </w:t>
      </w:r>
      <w:r w:rsidRPr="00B45DA3">
        <w:rPr>
          <w:color w:val="333333"/>
          <w:sz w:val="24"/>
          <w:szCs w:val="24"/>
          <w:shd w:val="clear" w:color="auto" w:fill="FFFFFF"/>
        </w:rPr>
        <w:t>L</w:t>
      </w:r>
      <w:r>
        <w:rPr>
          <w:color w:val="333333"/>
          <w:sz w:val="24"/>
          <w:szCs w:val="24"/>
          <w:shd w:val="clear" w:color="auto" w:fill="FFFFFF"/>
        </w:rPr>
        <w:t xml:space="preserve">abor </w:t>
      </w:r>
      <w:r w:rsidRPr="00B45DA3">
        <w:rPr>
          <w:color w:val="333333"/>
          <w:sz w:val="24"/>
          <w:szCs w:val="24"/>
          <w:shd w:val="clear" w:color="auto" w:fill="FFFFFF"/>
        </w:rPr>
        <w:t>S</w:t>
      </w:r>
      <w:r>
        <w:rPr>
          <w:color w:val="333333"/>
          <w:sz w:val="24"/>
          <w:szCs w:val="24"/>
          <w:shd w:val="clear" w:color="auto" w:fill="FFFFFF"/>
        </w:rPr>
        <w:t>tatistics</w:t>
      </w:r>
      <w:r w:rsidRPr="00B45DA3">
        <w:rPr>
          <w:color w:val="333333"/>
          <w:sz w:val="24"/>
          <w:szCs w:val="24"/>
          <w:shd w:val="clear" w:color="auto" w:fill="FFFFFF"/>
        </w:rPr>
        <w:t xml:space="preserve"> have agreed that modernization is needed to ensure the sustainability of the CPS. The Census Bureau and the Bureau of Labor Statistics </w:t>
      </w:r>
      <w:r>
        <w:rPr>
          <w:color w:val="333333"/>
          <w:sz w:val="24"/>
          <w:szCs w:val="24"/>
          <w:shd w:val="clear" w:color="auto" w:fill="FFFFFF"/>
        </w:rPr>
        <w:t>are in</w:t>
      </w:r>
      <w:r w:rsidRPr="00B45DA3">
        <w:rPr>
          <w:color w:val="333333"/>
          <w:sz w:val="24"/>
          <w:szCs w:val="24"/>
          <w:shd w:val="clear" w:color="auto" w:fill="FFFFFF"/>
        </w:rPr>
        <w:t xml:space="preserve"> the early stages of a multi-year effort to improve and modernize the operations of CPS. One of the largest efforts of this process is the introduction of an Internet self-response mode by 2027.</w:t>
      </w:r>
    </w:p>
    <w:p w:rsidR="002B279C" w:rsidRPr="00CD619D" w:rsidP="00CD619D" w14:paraId="5A73ACBE" w14:textId="77777777">
      <w:pPr>
        <w:pStyle w:val="BodyText"/>
        <w:spacing w:before="10" w:line="276" w:lineRule="auto"/>
        <w:ind w:left="360" w:hanging="360"/>
      </w:pPr>
    </w:p>
    <w:p w:rsidR="007B609B" w:rsidRPr="007B609B" w:rsidP="007B609B" w14:paraId="2A806A88" w14:textId="1B83BBAD">
      <w:pPr>
        <w:pStyle w:val="ListParagraph"/>
        <w:numPr>
          <w:ilvl w:val="0"/>
          <w:numId w:val="6"/>
        </w:numPr>
        <w:rPr>
          <w:b/>
          <w:spacing w:val="1"/>
          <w:sz w:val="24"/>
          <w:szCs w:val="24"/>
        </w:rPr>
      </w:pPr>
      <w:r w:rsidRPr="007B609B">
        <w:rPr>
          <w:b/>
          <w:spacing w:val="1"/>
          <w:sz w:val="24"/>
          <w:szCs w:val="24"/>
        </w:rPr>
        <w:t>Efforts to Identify Duplication</w:t>
      </w:r>
    </w:p>
    <w:p w:rsidR="007B609B" w:rsidP="007B609B" w14:paraId="60F9E99A" w14:textId="77777777">
      <w:pPr>
        <w:ind w:left="360"/>
        <w:rPr>
          <w:sz w:val="24"/>
          <w:szCs w:val="24"/>
        </w:rPr>
      </w:pPr>
    </w:p>
    <w:p w:rsidR="002B279C" w:rsidRPr="00CD619D" w:rsidP="00431918" w14:paraId="44F207B1" w14:textId="4352CB0B">
      <w:pPr>
        <w:ind w:left="360"/>
      </w:pPr>
      <w:r w:rsidRPr="007B609B">
        <w:rPr>
          <w:sz w:val="24"/>
          <w:szCs w:val="24"/>
        </w:rPr>
        <w:t>The Voting and Registration supplement's comprehensive set of questions does not duplicate any other single information collection with respect to scope, timeliness, or population of interest. There are no comparable data that can be replicated, substituted, or modified for use as described in section A2 above.</w:t>
      </w:r>
    </w:p>
    <w:p w:rsidR="002B279C" w:rsidRPr="00CD619D" w:rsidP="00CD619D" w14:paraId="141DE2AD" w14:textId="77777777">
      <w:pPr>
        <w:pStyle w:val="BodyText"/>
        <w:spacing w:before="5" w:line="276" w:lineRule="auto"/>
        <w:ind w:left="360" w:hanging="360"/>
      </w:pPr>
    </w:p>
    <w:p w:rsidR="000148AA" w:rsidRPr="00CD619D" w:rsidP="00CD619D" w14:paraId="598DC45D" w14:textId="5C11BEDA">
      <w:pPr>
        <w:pStyle w:val="ListParagraph"/>
        <w:tabs>
          <w:tab w:val="left" w:pos="839"/>
        </w:tabs>
        <w:spacing w:line="276" w:lineRule="auto"/>
        <w:ind w:left="360" w:right="631" w:hanging="360"/>
        <w:rPr>
          <w:b/>
          <w:sz w:val="24"/>
          <w:szCs w:val="24"/>
        </w:rPr>
      </w:pPr>
      <w:r w:rsidRPr="00CD619D">
        <w:rPr>
          <w:b/>
          <w:sz w:val="24"/>
          <w:szCs w:val="24"/>
        </w:rPr>
        <w:t xml:space="preserve">5. </w:t>
      </w:r>
      <w:r w:rsidRPr="00CD619D">
        <w:rPr>
          <w:b/>
          <w:sz w:val="24"/>
          <w:szCs w:val="24"/>
        </w:rPr>
        <w:tab/>
      </w:r>
      <w:r w:rsidR="003A7398">
        <w:rPr>
          <w:b/>
          <w:sz w:val="24"/>
          <w:szCs w:val="24"/>
          <w:lang w:bidi="he-IL"/>
        </w:rPr>
        <w:t>Minimizing Burden</w:t>
      </w:r>
    </w:p>
    <w:p w:rsidR="000148AA" w:rsidP="009B6D2D" w14:paraId="2EB3027F" w14:textId="7FBEE2E3">
      <w:pPr>
        <w:pStyle w:val="BodyText"/>
        <w:spacing w:before="11" w:line="276" w:lineRule="auto"/>
        <w:ind w:firstLine="360"/>
        <w:rPr>
          <w:color w:val="FF0000"/>
        </w:rPr>
      </w:pPr>
    </w:p>
    <w:p w:rsidR="00214F97" w:rsidRPr="00CD619D" w:rsidP="00431918" w14:paraId="24738C65" w14:textId="5A442F2C">
      <w:pPr>
        <w:widowControl/>
        <w:numPr>
          <w:ilvl w:val="12"/>
          <w:numId w:val="0"/>
        </w:numPr>
        <w:tabs>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s>
        <w:ind w:left="360"/>
        <w:rPr>
          <w:b/>
          <w:bCs/>
          <w:sz w:val="24"/>
          <w:szCs w:val="24"/>
        </w:rPr>
      </w:pPr>
      <w:r w:rsidRPr="003A7398">
        <w:rPr>
          <w:sz w:val="24"/>
          <w:szCs w:val="24"/>
        </w:rPr>
        <w:t>The collection of voting and registration information does not involve small businesses or other small entities.</w:t>
      </w:r>
      <w:r>
        <w:rPr>
          <w:sz w:val="24"/>
          <w:szCs w:val="24"/>
        </w:rPr>
        <w:t xml:space="preserve">  </w:t>
      </w:r>
      <w:r w:rsidRPr="003A7398">
        <w:rPr>
          <w:sz w:val="24"/>
          <w:szCs w:val="24"/>
        </w:rPr>
        <w:t>We designed the supplemental questions to obtain the required information with minimal respondent burden.  Further, there are no legal issues that influence respondent burden.</w:t>
      </w:r>
    </w:p>
    <w:p w:rsidR="00CD619D" w:rsidRPr="00CD619D" w:rsidP="00CD619D" w14:paraId="7FDDB263" w14:textId="77777777">
      <w:pPr>
        <w:tabs>
          <w:tab w:val="left" w:pos="840"/>
        </w:tabs>
        <w:spacing w:before="62" w:line="276" w:lineRule="auto"/>
        <w:ind w:right="166"/>
        <w:rPr>
          <w:b/>
          <w:bCs/>
          <w:sz w:val="24"/>
          <w:szCs w:val="24"/>
        </w:rPr>
      </w:pPr>
    </w:p>
    <w:p w:rsidR="00046B07" w:rsidRPr="00CD619D" w:rsidP="00CD619D" w14:paraId="77118CE7" w14:textId="013ECB5B">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003A7398">
        <w:rPr>
          <w:b/>
          <w:sz w:val="24"/>
          <w:szCs w:val="24"/>
          <w:lang w:bidi="he-IL"/>
        </w:rPr>
        <w:t>Consequences of Less Frequent Collection</w:t>
      </w:r>
      <w:r w:rsidRPr="00CD619D" w:rsidR="008E0A73">
        <w:rPr>
          <w:b/>
          <w:sz w:val="24"/>
          <w:szCs w:val="24"/>
        </w:rPr>
        <w:t xml:space="preserve"> </w:t>
      </w:r>
    </w:p>
    <w:p w:rsidR="003A7398" w:rsidP="003A7398" w14:paraId="3FD6BF3F" w14:textId="77777777">
      <w:pPr>
        <w:ind w:left="360"/>
        <w:rPr>
          <w:sz w:val="24"/>
          <w:szCs w:val="24"/>
          <w:lang w:val="en-CA"/>
        </w:rPr>
      </w:pPr>
    </w:p>
    <w:p w:rsidR="000148AA" w:rsidRPr="00CD619D" w:rsidP="00431918" w14:paraId="700C1EFE" w14:textId="1FFB6DC0">
      <w:pPr>
        <w:ind w:left="360"/>
      </w:pPr>
      <w:r w:rsidRPr="00E75A94">
        <w:rPr>
          <w:sz w:val="24"/>
          <w:szCs w:val="24"/>
          <w:lang w:val="en-CA"/>
        </w:rPr>
        <w:fldChar w:fldCharType="begin"/>
      </w:r>
      <w:r w:rsidRPr="00E75A94">
        <w:rPr>
          <w:sz w:val="24"/>
          <w:szCs w:val="24"/>
          <w:lang w:val="en-CA"/>
        </w:rPr>
        <w:instrText xml:space="preserve"> SEQ CHAPTER \h \r 1</w:instrText>
      </w:r>
      <w:r w:rsidRPr="00E75A94">
        <w:rPr>
          <w:sz w:val="24"/>
          <w:szCs w:val="24"/>
          <w:lang w:val="en-CA"/>
        </w:rPr>
        <w:fldChar w:fldCharType="separate"/>
      </w:r>
      <w:r w:rsidRPr="00E75A94">
        <w:rPr>
          <w:sz w:val="24"/>
          <w:szCs w:val="24"/>
          <w:lang w:val="en-CA"/>
        </w:rPr>
        <w:fldChar w:fldCharType="end"/>
      </w:r>
      <w:r w:rsidRPr="00E75A94">
        <w:rPr>
          <w:sz w:val="24"/>
          <w:szCs w:val="24"/>
        </w:rPr>
        <w:t>We must collect voting and registration data at the time of presidential and congressional elections, which are conducted biennially.  These are the only elections that are held on the same date throughout the country.  Less frequent collection would reduce the ability to track changes over time and lessen the quality of the voting data time series.</w:t>
      </w:r>
    </w:p>
    <w:p w:rsidR="000148AA" w:rsidRPr="00CD619D" w:rsidP="003A7398" w14:paraId="3C32D973" w14:textId="42287712">
      <w:pPr>
        <w:pStyle w:val="ListParagraph"/>
        <w:tabs>
          <w:tab w:val="left" w:pos="840"/>
        </w:tabs>
        <w:spacing w:before="217" w:line="276" w:lineRule="auto"/>
        <w:ind w:left="360" w:right="255" w:hanging="360"/>
        <w:rPr>
          <w:bCs/>
          <w:lang w:bidi="he-IL"/>
        </w:rPr>
      </w:pPr>
      <w:r w:rsidRPr="00CD619D">
        <w:rPr>
          <w:b/>
          <w:spacing w:val="-3"/>
          <w:sz w:val="24"/>
          <w:szCs w:val="24"/>
        </w:rPr>
        <w:t xml:space="preserve">7. </w:t>
      </w:r>
      <w:r w:rsidRPr="00CD619D">
        <w:rPr>
          <w:b/>
          <w:spacing w:val="-3"/>
          <w:sz w:val="24"/>
          <w:szCs w:val="24"/>
        </w:rPr>
        <w:tab/>
      </w:r>
      <w:r w:rsidRPr="003A7398" w:rsidR="003A7398">
        <w:rPr>
          <w:b/>
          <w:sz w:val="24"/>
          <w:szCs w:val="24"/>
        </w:rPr>
        <w:t>Consistency with Office of Management and Budget (OMB) Guidelines</w:t>
      </w:r>
    </w:p>
    <w:p w:rsidR="000148AA" w:rsidP="003A7398" w14:paraId="05CCDC9C" w14:textId="72A4E9F8">
      <w:pPr>
        <w:pStyle w:val="BodyText"/>
        <w:spacing w:line="276" w:lineRule="auto"/>
        <w:ind w:left="360"/>
        <w:rPr>
          <w:color w:val="FF0000"/>
        </w:rPr>
      </w:pPr>
    </w:p>
    <w:p w:rsidR="003A7398" w:rsidRPr="003A7398" w:rsidP="003A7398" w14:paraId="1CB2F6D0" w14:textId="3F10F1CF">
      <w:pPr>
        <w:pStyle w:val="BodyText"/>
        <w:spacing w:line="276" w:lineRule="auto"/>
        <w:ind w:left="360"/>
        <w:rPr>
          <w:b w:val="0"/>
          <w:bCs w:val="0"/>
          <w:color w:val="FF0000"/>
        </w:rPr>
      </w:pPr>
      <w:r w:rsidRPr="003A7398">
        <w:rPr>
          <w:b w:val="0"/>
          <w:bCs w:val="0"/>
        </w:rPr>
        <w:t>The data will be collected in a manner consistent with the OMB guidelines.</w:t>
      </w:r>
    </w:p>
    <w:p w:rsidR="00641B5A" w:rsidRPr="00CD619D" w:rsidP="00CD619D" w14:paraId="1F37F942" w14:textId="77777777">
      <w:pPr>
        <w:pStyle w:val="BodyText"/>
        <w:spacing w:line="276" w:lineRule="auto"/>
        <w:ind w:left="360" w:hanging="360"/>
        <w:rPr>
          <w:color w:val="FF0000"/>
        </w:rPr>
      </w:pPr>
    </w:p>
    <w:p w:rsidR="00641B5A" w:rsidRPr="00CD619D" w:rsidP="00CD619D" w14:paraId="41620F60" w14:textId="77777777">
      <w:pPr>
        <w:pStyle w:val="BodyText"/>
        <w:spacing w:line="276" w:lineRule="auto"/>
        <w:ind w:left="360" w:hanging="360"/>
        <w:rPr>
          <w:color w:val="FF0000"/>
        </w:rPr>
      </w:pPr>
    </w:p>
    <w:p w:rsidR="000148AA" w:rsidRPr="00CD619D" w:rsidP="00DE478D" w14:paraId="6B0E51C5" w14:textId="5453E7C2">
      <w:pPr>
        <w:pStyle w:val="ListParagraph"/>
        <w:tabs>
          <w:tab w:val="left" w:pos="857"/>
        </w:tabs>
        <w:spacing w:before="62" w:line="276" w:lineRule="auto"/>
        <w:ind w:left="360" w:right="107" w:hanging="360"/>
        <w:rPr>
          <w:bCs/>
          <w:lang w:bidi="he-IL"/>
        </w:rPr>
      </w:pPr>
      <w:r w:rsidRPr="00CD619D">
        <w:rPr>
          <w:b/>
          <w:sz w:val="24"/>
          <w:szCs w:val="24"/>
        </w:rPr>
        <w:t xml:space="preserve">8. </w:t>
      </w:r>
      <w:r w:rsidRPr="00CD619D">
        <w:rPr>
          <w:b/>
          <w:sz w:val="24"/>
          <w:szCs w:val="24"/>
        </w:rPr>
        <w:tab/>
      </w:r>
      <w:r w:rsidRPr="004F0887" w:rsidR="00413E8D">
        <w:rPr>
          <w:b/>
          <w:iCs/>
          <w:sz w:val="24"/>
        </w:rPr>
        <w:t>Comments in Response to the Federal Register</w:t>
      </w:r>
      <w:r w:rsidRPr="004F0887" w:rsidR="00413E8D">
        <w:rPr>
          <w:b/>
          <w:sz w:val="24"/>
        </w:rPr>
        <w:t xml:space="preserve"> Notice/Outside Consultation</w:t>
      </w:r>
    </w:p>
    <w:p w:rsidR="000148AA" w:rsidP="009B6D2D" w14:paraId="1F63F4CB" w14:textId="05734624">
      <w:pPr>
        <w:pStyle w:val="BodyText"/>
        <w:spacing w:line="276" w:lineRule="auto"/>
        <w:ind w:firstLine="360"/>
        <w:rPr>
          <w:color w:val="FF0000"/>
        </w:rPr>
      </w:pPr>
    </w:p>
    <w:p w:rsidR="00DE478D" w:rsidRPr="00DE478D" w:rsidP="00DE478D" w14:paraId="33AA32C7" w14:textId="76AC650B">
      <w:pPr>
        <w:ind w:left="360"/>
        <w:rPr>
          <w:bCs/>
          <w:color w:val="000000"/>
          <w:sz w:val="24"/>
          <w:szCs w:val="24"/>
        </w:rPr>
      </w:pPr>
      <w:r w:rsidRPr="00DE478D">
        <w:rPr>
          <w:sz w:val="24"/>
          <w:szCs w:val="24"/>
        </w:rPr>
        <w:t xml:space="preserve">The Census Bureau published a notice of our intent to ask the voting and registration questions in the </w:t>
      </w:r>
      <w:r w:rsidR="002177C6">
        <w:rPr>
          <w:sz w:val="24"/>
          <w:szCs w:val="24"/>
        </w:rPr>
        <w:t>April</w:t>
      </w:r>
      <w:r w:rsidRPr="00DE478D">
        <w:rPr>
          <w:sz w:val="24"/>
          <w:szCs w:val="24"/>
        </w:rPr>
        <w:t xml:space="preserve"> 1</w:t>
      </w:r>
      <w:r>
        <w:rPr>
          <w:sz w:val="24"/>
          <w:szCs w:val="24"/>
        </w:rPr>
        <w:t>5</w:t>
      </w:r>
      <w:r w:rsidRPr="00DE478D">
        <w:rPr>
          <w:sz w:val="24"/>
          <w:szCs w:val="24"/>
        </w:rPr>
        <w:t>, 202</w:t>
      </w:r>
      <w:r>
        <w:rPr>
          <w:sz w:val="24"/>
          <w:szCs w:val="24"/>
        </w:rPr>
        <w:t>4</w:t>
      </w:r>
      <w:r w:rsidRPr="00DE478D">
        <w:rPr>
          <w:sz w:val="24"/>
          <w:szCs w:val="24"/>
        </w:rPr>
        <w:t xml:space="preserve">, </w:t>
      </w:r>
      <w:r w:rsidRPr="00DE478D">
        <w:rPr>
          <w:color w:val="000000"/>
          <w:sz w:val="24"/>
          <w:szCs w:val="24"/>
        </w:rPr>
        <w:t>edition of the Federal Register (see 8</w:t>
      </w:r>
      <w:r w:rsidR="006166AD">
        <w:rPr>
          <w:color w:val="000000"/>
          <w:sz w:val="24"/>
          <w:szCs w:val="24"/>
        </w:rPr>
        <w:t>9</w:t>
      </w:r>
      <w:r w:rsidRPr="00DE478D">
        <w:rPr>
          <w:color w:val="000000"/>
          <w:sz w:val="24"/>
          <w:szCs w:val="24"/>
        </w:rPr>
        <w:t xml:space="preserve"> FR </w:t>
      </w:r>
      <w:r w:rsidR="006166AD">
        <w:rPr>
          <w:color w:val="000000"/>
          <w:sz w:val="24"/>
          <w:szCs w:val="24"/>
        </w:rPr>
        <w:t>26123</w:t>
      </w:r>
      <w:r w:rsidRPr="00DE478D">
        <w:rPr>
          <w:color w:val="000000"/>
          <w:sz w:val="24"/>
          <w:szCs w:val="24"/>
        </w:rPr>
        <w:t>)</w:t>
      </w:r>
      <w:r w:rsidRPr="00DE478D">
        <w:rPr>
          <w:b/>
          <w:bCs/>
          <w:color w:val="000000"/>
          <w:sz w:val="24"/>
          <w:szCs w:val="24"/>
        </w:rPr>
        <w:t xml:space="preserve">.  </w:t>
      </w:r>
      <w:r w:rsidRPr="00DE478D">
        <w:rPr>
          <w:bCs/>
          <w:color w:val="000000"/>
          <w:sz w:val="24"/>
          <w:szCs w:val="24"/>
        </w:rPr>
        <w:t>We received</w:t>
      </w:r>
      <w:r w:rsidR="006166AD">
        <w:rPr>
          <w:bCs/>
          <w:color w:val="000000"/>
          <w:sz w:val="24"/>
          <w:szCs w:val="24"/>
        </w:rPr>
        <w:t xml:space="preserve"> no</w:t>
      </w:r>
      <w:r w:rsidRPr="00DE478D">
        <w:rPr>
          <w:bCs/>
          <w:color w:val="000000"/>
          <w:sz w:val="24"/>
          <w:szCs w:val="24"/>
        </w:rPr>
        <w:t xml:space="preserve"> comment</w:t>
      </w:r>
      <w:r w:rsidR="006166AD">
        <w:rPr>
          <w:bCs/>
          <w:color w:val="000000"/>
          <w:sz w:val="24"/>
          <w:szCs w:val="24"/>
        </w:rPr>
        <w:t>s</w:t>
      </w:r>
      <w:r w:rsidRPr="00DE478D">
        <w:rPr>
          <w:bCs/>
          <w:color w:val="000000"/>
          <w:sz w:val="24"/>
          <w:szCs w:val="24"/>
        </w:rPr>
        <w:t xml:space="preserve"> in response to the notice.</w:t>
      </w:r>
    </w:p>
    <w:p w:rsidR="00DE478D" w:rsidRPr="00DE478D" w:rsidP="00DE478D" w14:paraId="236AC6C6" w14:textId="77777777">
      <w:pPr>
        <w:ind w:left="360"/>
        <w:rPr>
          <w:bCs/>
          <w:color w:val="000000"/>
          <w:sz w:val="24"/>
          <w:szCs w:val="24"/>
        </w:rPr>
      </w:pPr>
    </w:p>
    <w:p w:rsidR="00DE478D" w:rsidRPr="00DE478D" w:rsidP="00DE478D" w14:paraId="6CEEBBA8" w14:textId="77777777">
      <w:pPr>
        <w:ind w:left="360"/>
        <w:rPr>
          <w:sz w:val="24"/>
          <w:szCs w:val="24"/>
        </w:rPr>
      </w:pPr>
      <w:r w:rsidRPr="00DE478D">
        <w:rPr>
          <w:sz w:val="24"/>
          <w:szCs w:val="24"/>
        </w:rPr>
        <w:t>The following people have been in frequent consultation concerning the development of this supplement:</w:t>
      </w:r>
    </w:p>
    <w:p w:rsidR="00DE478D" w:rsidRPr="00DE478D" w:rsidP="00DE478D" w14:paraId="1DA2048F" w14:textId="77777777">
      <w:pPr>
        <w:ind w:left="360"/>
        <w:rPr>
          <w:sz w:val="24"/>
          <w:szCs w:val="24"/>
        </w:rPr>
      </w:pPr>
    </w:p>
    <w:p w:rsidR="00DE478D" w:rsidRPr="00DE478D" w:rsidP="00DE478D" w14:paraId="6B95A469" w14:textId="77777777">
      <w:pPr>
        <w:ind w:left="360"/>
        <w:rPr>
          <w:sz w:val="24"/>
          <w:szCs w:val="24"/>
        </w:rPr>
      </w:pPr>
      <w:r w:rsidRPr="00DE478D">
        <w:rPr>
          <w:sz w:val="24"/>
          <w:szCs w:val="24"/>
        </w:rPr>
        <w:t>Royce Crocker</w:t>
      </w:r>
    </w:p>
    <w:p w:rsidR="00DE478D" w:rsidRPr="00DE478D" w:rsidP="00DE478D" w14:paraId="66D12E67" w14:textId="77777777">
      <w:pPr>
        <w:ind w:left="360"/>
        <w:rPr>
          <w:sz w:val="24"/>
          <w:szCs w:val="24"/>
        </w:rPr>
      </w:pPr>
      <w:r w:rsidRPr="00DE478D">
        <w:rPr>
          <w:sz w:val="24"/>
          <w:szCs w:val="24"/>
        </w:rPr>
        <w:t>Election Research Center</w:t>
      </w:r>
    </w:p>
    <w:p w:rsidR="00DE478D" w:rsidRPr="00DE478D" w:rsidP="00DE478D" w14:paraId="01EE12BE" w14:textId="77777777">
      <w:pPr>
        <w:ind w:left="360"/>
        <w:rPr>
          <w:sz w:val="24"/>
          <w:szCs w:val="24"/>
        </w:rPr>
      </w:pPr>
      <w:r w:rsidRPr="00DE478D">
        <w:rPr>
          <w:sz w:val="24"/>
          <w:szCs w:val="24"/>
        </w:rPr>
        <w:t>Congressional Research Service</w:t>
      </w:r>
    </w:p>
    <w:p w:rsidR="00DE478D" w:rsidRPr="00DE478D" w:rsidP="00DE478D" w14:paraId="2551B707" w14:textId="77777777">
      <w:pPr>
        <w:ind w:left="360"/>
        <w:rPr>
          <w:sz w:val="24"/>
          <w:szCs w:val="24"/>
        </w:rPr>
      </w:pPr>
      <w:r w:rsidRPr="00DE478D">
        <w:rPr>
          <w:sz w:val="24"/>
          <w:szCs w:val="24"/>
        </w:rPr>
        <w:t xml:space="preserve">Washington, DC  20450      </w:t>
      </w:r>
    </w:p>
    <w:p w:rsidR="00DE478D" w:rsidRPr="00DE478D" w:rsidP="00DE478D" w14:paraId="4AE73D45" w14:textId="77777777">
      <w:pPr>
        <w:ind w:left="360"/>
        <w:rPr>
          <w:sz w:val="24"/>
          <w:szCs w:val="24"/>
        </w:rPr>
      </w:pPr>
      <w:r w:rsidRPr="00DE478D">
        <w:rPr>
          <w:sz w:val="24"/>
          <w:szCs w:val="24"/>
        </w:rPr>
        <w:t xml:space="preserve"> (202) 707-7871</w:t>
      </w:r>
    </w:p>
    <w:p w:rsidR="00DE478D" w:rsidRPr="00DE478D" w:rsidP="00DE478D" w14:paraId="2426539D" w14:textId="77777777">
      <w:pPr>
        <w:ind w:left="360"/>
        <w:rPr>
          <w:sz w:val="24"/>
          <w:szCs w:val="24"/>
        </w:rPr>
      </w:pPr>
    </w:p>
    <w:p w:rsidR="00DE478D" w:rsidRPr="00DE478D" w:rsidP="00DE478D" w14:paraId="6D6275D0" w14:textId="77777777">
      <w:pPr>
        <w:ind w:left="360"/>
        <w:rPr>
          <w:sz w:val="24"/>
          <w:szCs w:val="24"/>
        </w:rPr>
      </w:pPr>
      <w:r w:rsidRPr="00DE478D">
        <w:rPr>
          <w:sz w:val="24"/>
          <w:szCs w:val="24"/>
        </w:rPr>
        <w:t>Kim Brace</w:t>
      </w:r>
    </w:p>
    <w:p w:rsidR="00DE478D" w:rsidRPr="00DE478D" w:rsidP="00DE478D" w14:paraId="754EAD36" w14:textId="77777777">
      <w:pPr>
        <w:ind w:left="360"/>
        <w:rPr>
          <w:sz w:val="24"/>
          <w:szCs w:val="24"/>
        </w:rPr>
      </w:pPr>
      <w:r w:rsidRPr="00DE478D">
        <w:rPr>
          <w:sz w:val="24"/>
          <w:szCs w:val="24"/>
        </w:rPr>
        <w:t>Election Data Services</w:t>
      </w:r>
    </w:p>
    <w:p w:rsidR="00DE478D" w:rsidRPr="00DE478D" w:rsidP="00DE478D" w14:paraId="6657EC2C" w14:textId="77777777">
      <w:pPr>
        <w:ind w:left="360"/>
        <w:rPr>
          <w:sz w:val="24"/>
          <w:szCs w:val="24"/>
        </w:rPr>
      </w:pPr>
      <w:r w:rsidRPr="00DE478D">
        <w:rPr>
          <w:sz w:val="24"/>
          <w:szCs w:val="24"/>
        </w:rPr>
        <w:t>1225 I Street, NW  Suite 700</w:t>
      </w:r>
    </w:p>
    <w:p w:rsidR="00DE478D" w:rsidRPr="00DE478D" w:rsidP="00DE478D" w14:paraId="560C420E" w14:textId="77777777">
      <w:pPr>
        <w:ind w:left="360"/>
        <w:rPr>
          <w:sz w:val="24"/>
          <w:szCs w:val="24"/>
        </w:rPr>
      </w:pPr>
      <w:r w:rsidRPr="00DE478D">
        <w:rPr>
          <w:sz w:val="24"/>
          <w:szCs w:val="24"/>
        </w:rPr>
        <w:t>Washington, DC  20005</w:t>
      </w:r>
    </w:p>
    <w:p w:rsidR="00DE478D" w:rsidRPr="00DE478D" w:rsidP="00DE478D" w14:paraId="2F4EE668" w14:textId="5580785C">
      <w:pPr>
        <w:ind w:left="360"/>
        <w:rPr>
          <w:sz w:val="24"/>
          <w:szCs w:val="24"/>
        </w:rPr>
      </w:pPr>
      <w:r w:rsidRPr="00DE478D">
        <w:rPr>
          <w:sz w:val="24"/>
          <w:szCs w:val="24"/>
        </w:rPr>
        <w:t>(202) 789-2004</w:t>
      </w:r>
    </w:p>
    <w:p w:rsidR="00DE478D" w:rsidRPr="00DE478D" w:rsidP="00DE478D" w14:paraId="00E9FD06" w14:textId="77777777">
      <w:pPr>
        <w:ind w:left="360"/>
        <w:rPr>
          <w:sz w:val="24"/>
          <w:szCs w:val="24"/>
        </w:rPr>
      </w:pPr>
      <w:r w:rsidRPr="00DE478D">
        <w:rPr>
          <w:sz w:val="24"/>
          <w:szCs w:val="24"/>
        </w:rPr>
        <w:t xml:space="preserve">       </w:t>
      </w:r>
      <w:r w:rsidRPr="00DE478D">
        <w:rPr>
          <w:sz w:val="24"/>
          <w:szCs w:val="24"/>
        </w:rPr>
        <w:tab/>
      </w:r>
      <w:r w:rsidRPr="00DE478D">
        <w:rPr>
          <w:sz w:val="24"/>
          <w:szCs w:val="24"/>
        </w:rPr>
        <w:tab/>
      </w:r>
      <w:r w:rsidRPr="00DE478D">
        <w:rPr>
          <w:sz w:val="24"/>
          <w:szCs w:val="24"/>
        </w:rPr>
        <w:tab/>
      </w:r>
      <w:r w:rsidRPr="00DE478D">
        <w:rPr>
          <w:sz w:val="24"/>
          <w:szCs w:val="24"/>
        </w:rPr>
        <w:tab/>
      </w:r>
      <w:r w:rsidRPr="00DE478D">
        <w:rPr>
          <w:sz w:val="24"/>
          <w:szCs w:val="24"/>
        </w:rPr>
        <w:tab/>
      </w:r>
      <w:r w:rsidRPr="00DE478D">
        <w:rPr>
          <w:sz w:val="24"/>
          <w:szCs w:val="24"/>
        </w:rPr>
        <w:tab/>
      </w:r>
    </w:p>
    <w:p w:rsidR="00DE478D" w:rsidRPr="00DE478D" w:rsidP="00DE478D" w14:paraId="3038C297" w14:textId="452C8862">
      <w:pPr>
        <w:ind w:left="360"/>
        <w:rPr>
          <w:sz w:val="24"/>
          <w:szCs w:val="24"/>
        </w:rPr>
      </w:pPr>
      <w:r w:rsidRPr="00DE478D">
        <w:rPr>
          <w:sz w:val="24"/>
          <w:szCs w:val="24"/>
        </w:rPr>
        <w:t>The result of these consultations is the final set of questions.  In addition, a</w:t>
      </w:r>
      <w:r>
        <w:rPr>
          <w:sz w:val="24"/>
          <w:szCs w:val="24"/>
        </w:rPr>
        <w:t xml:space="preserve"> </w:t>
      </w:r>
      <w:r w:rsidRPr="00DE478D">
        <w:rPr>
          <w:sz w:val="24"/>
          <w:szCs w:val="24"/>
        </w:rPr>
        <w:t xml:space="preserve">statement soliciting comments for improving the CPS data is prominently placed in all the Census Bureau publications that cite the CPS data.  </w:t>
      </w:r>
    </w:p>
    <w:p w:rsidR="00DE478D" w:rsidRPr="00DE478D" w:rsidP="00DE478D" w14:paraId="0C8DF197" w14:textId="77777777">
      <w:pPr>
        <w:ind w:left="360"/>
        <w:rPr>
          <w:sz w:val="24"/>
          <w:szCs w:val="24"/>
        </w:rPr>
      </w:pPr>
    </w:p>
    <w:p w:rsidR="000148AA" w:rsidRPr="00CD619D" w:rsidP="00431918" w14:paraId="58B2DDE5" w14:textId="0BAE2B68">
      <w:pPr>
        <w:pStyle w:val="BodyText"/>
        <w:spacing w:line="276" w:lineRule="auto"/>
        <w:ind w:left="360"/>
      </w:pPr>
      <w:r w:rsidRPr="00DE478D">
        <w:rPr>
          <w:b w:val="0"/>
          <w:bCs w:val="0"/>
        </w:rPr>
        <w:t>We include a similar statement in the technical documentation that accompanies the microdata files.  Finally, the CPS advance letter (see attachment B) provides respondents with an address at the Census Bureau to which they can submit general comments on the survey and specifically those comments regarding respondent burden.</w:t>
      </w:r>
    </w:p>
    <w:p w:rsidR="00641B5A" w:rsidRPr="00CD619D" w:rsidP="00CD619D" w14:paraId="60F78556" w14:textId="77777777">
      <w:pPr>
        <w:pStyle w:val="BodyText"/>
        <w:spacing w:before="10" w:line="276" w:lineRule="auto"/>
        <w:ind w:left="360" w:hanging="360"/>
      </w:pPr>
    </w:p>
    <w:p w:rsidR="000148AA" w:rsidRPr="00413E8D" w:rsidP="00413E8D" w14:paraId="12C32AB5" w14:textId="60BF24D2">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00413E8D">
        <w:rPr>
          <w:b/>
          <w:sz w:val="24"/>
          <w:szCs w:val="24"/>
          <w:lang w:bidi="he-IL"/>
        </w:rPr>
        <w:t>Explanation of any Payment or Gift to Respondents</w:t>
      </w:r>
    </w:p>
    <w:p w:rsidR="00413E8D" w:rsidP="009B6D2D" w14:paraId="01857771" w14:textId="77777777">
      <w:pPr>
        <w:pStyle w:val="BodyText"/>
        <w:spacing w:line="276" w:lineRule="auto"/>
        <w:ind w:firstLine="360"/>
        <w:rPr>
          <w:color w:val="FF0000"/>
        </w:rPr>
      </w:pPr>
    </w:p>
    <w:p w:rsidR="000148AA" w:rsidRPr="00413E8D" w:rsidP="00413E8D" w14:paraId="0A1D1E99" w14:textId="495C3E1A">
      <w:pPr>
        <w:widowControl/>
        <w:autoSpaceDE/>
        <w:autoSpaceDN/>
        <w:spacing w:line="276" w:lineRule="auto"/>
        <w:ind w:firstLine="360"/>
        <w:rPr>
          <w:color w:val="000000"/>
          <w:sz w:val="24"/>
          <w:szCs w:val="24"/>
          <w:lang w:bidi="ar-SA"/>
        </w:rPr>
      </w:pPr>
      <w:r w:rsidRPr="00CB4636">
        <w:rPr>
          <w:color w:val="000000"/>
          <w:sz w:val="24"/>
          <w:szCs w:val="24"/>
          <w:lang w:bidi="ar-SA"/>
        </w:rPr>
        <w:t>We do not make any payments or provide any gifts to individuals participating in the CPS.</w:t>
      </w:r>
    </w:p>
    <w:p w:rsidR="00641B5A" w:rsidRPr="00CD619D" w:rsidP="00CD619D" w14:paraId="1A2B9778" w14:textId="77777777">
      <w:pPr>
        <w:pStyle w:val="BodyText"/>
        <w:spacing w:before="10" w:line="276" w:lineRule="auto"/>
        <w:ind w:left="360" w:hanging="360"/>
      </w:pPr>
    </w:p>
    <w:p w:rsidR="000148AA" w:rsidRPr="00CD619D" w:rsidP="00CD619D" w14:paraId="155E9FCD" w14:textId="1ED0EAEA">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00413E8D">
        <w:rPr>
          <w:b/>
          <w:sz w:val="24"/>
          <w:szCs w:val="24"/>
          <w:lang w:bidi="he-IL"/>
        </w:rPr>
        <w:t>Assurance of Confidentiality Given to Respondents</w:t>
      </w:r>
    </w:p>
    <w:p w:rsidR="000148AA" w:rsidP="009B6D2D" w14:paraId="6A2540B4" w14:textId="402C2041">
      <w:pPr>
        <w:pStyle w:val="BodyText"/>
        <w:spacing w:line="276" w:lineRule="auto"/>
        <w:ind w:firstLine="360"/>
        <w:rPr>
          <w:color w:val="FF0000"/>
        </w:rPr>
      </w:pPr>
    </w:p>
    <w:p w:rsidR="00413E8D" w:rsidRPr="00CB4636" w:rsidP="00413E8D" w14:paraId="433044E4" w14:textId="51D33D9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CB4636">
        <w:rPr>
          <w:color w:val="000000"/>
          <w:sz w:val="24"/>
          <w:szCs w:val="24"/>
          <w:lang w:bidi="ar-SA"/>
        </w:rPr>
        <w:t>The Census Bureau will collect data in compliance with</w:t>
      </w:r>
      <w:r>
        <w:rPr>
          <w:rStyle w:val="CommentReference"/>
        </w:rPr>
        <w:t xml:space="preserve"> </w:t>
      </w:r>
      <w:r w:rsidRPr="00355EE6">
        <w:rPr>
          <w:rStyle w:val="CommentReference"/>
          <w:sz w:val="24"/>
          <w:szCs w:val="24"/>
        </w:rPr>
        <w:t>OM</w:t>
      </w:r>
      <w:r w:rsidRPr="00355EE6">
        <w:rPr>
          <w:color w:val="000000"/>
          <w:sz w:val="24"/>
          <w:szCs w:val="24"/>
          <w:lang w:bidi="ar-SA"/>
        </w:rPr>
        <w:t>B</w:t>
      </w:r>
      <w:r w:rsidRPr="00CB4636">
        <w:rPr>
          <w:color w:val="000000"/>
          <w:sz w:val="24"/>
          <w:szCs w:val="24"/>
          <w:lang w:bidi="ar-SA"/>
        </w:rPr>
        <w:t xml:space="preserve"> Circular A-130.  Each sample household receives an advance letter approximately one week before the start of CPS interviewing (see Attachment</w:t>
      </w:r>
      <w:r>
        <w:rPr>
          <w:color w:val="000000"/>
          <w:sz w:val="24"/>
          <w:szCs w:val="24"/>
          <w:lang w:bidi="ar-SA"/>
        </w:rPr>
        <w:t xml:space="preserve"> B</w:t>
      </w:r>
      <w:r w:rsidRPr="00CB4636">
        <w:rPr>
          <w:color w:val="000000"/>
          <w:sz w:val="24"/>
          <w:szCs w:val="24"/>
          <w:lang w:bidi="ar-SA"/>
        </w:rPr>
        <w:t>).  The letter includes the information required by the</w:t>
      </w:r>
      <w:r>
        <w:rPr>
          <w:color w:val="000000"/>
          <w:sz w:val="24"/>
          <w:szCs w:val="24"/>
          <w:lang w:bidi="ar-SA"/>
        </w:rPr>
        <w:t xml:space="preserve"> Paperwork Reduction Act</w:t>
      </w:r>
      <w:r w:rsidRPr="00CB4636">
        <w:rPr>
          <w:color w:val="000000"/>
          <w:sz w:val="24"/>
          <w:szCs w:val="24"/>
          <w:lang w:bidi="ar-SA"/>
        </w:rPr>
        <w:t xml:space="preserve">,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sidRPr="00CB4636">
        <w:rPr>
          <w:i/>
          <w:color w:val="000000"/>
          <w:sz w:val="24"/>
          <w:szCs w:val="24"/>
          <w:lang w:bidi="ar-SA"/>
        </w:rPr>
        <w:t>The U.S. Census Bureau Respects Your Privacy and Protects Your Personal Information</w:t>
      </w:r>
      <w:r w:rsidRPr="00CB4636">
        <w:rPr>
          <w:color w:val="000000"/>
          <w:sz w:val="24"/>
          <w:szCs w:val="24"/>
          <w:lang w:bidi="ar-SA"/>
        </w:rPr>
        <w:t xml:space="preserve"> (see Attachment</w:t>
      </w:r>
      <w:r>
        <w:rPr>
          <w:color w:val="000000"/>
          <w:sz w:val="24"/>
          <w:szCs w:val="24"/>
          <w:lang w:bidi="ar-SA"/>
        </w:rPr>
        <w:t xml:space="preserve"> C</w:t>
      </w:r>
      <w:r w:rsidRPr="00CB4636">
        <w:rPr>
          <w:color w:val="000000"/>
          <w:sz w:val="24"/>
          <w:szCs w:val="24"/>
          <w:lang w:bidi="ar-SA"/>
        </w:rPr>
        <w:t xml:space="preserve">).  </w:t>
      </w:r>
    </w:p>
    <w:p w:rsidR="00413E8D" w:rsidRPr="00CB4636" w:rsidP="00413E8D" w14:paraId="2DCFC1E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color w:val="000000"/>
          <w:sz w:val="24"/>
          <w:szCs w:val="24"/>
          <w:lang w:bidi="ar-SA"/>
        </w:rPr>
      </w:pPr>
    </w:p>
    <w:p w:rsidR="000148AA" w:rsidRPr="00CD619D" w:rsidP="0067232C" w14:paraId="3230334D" w14:textId="2568E899">
      <w:pPr>
        <w:pStyle w:val="BodyText"/>
        <w:spacing w:line="276" w:lineRule="auto"/>
        <w:ind w:left="360"/>
      </w:pPr>
      <w:r w:rsidRPr="00413E8D">
        <w:rPr>
          <w:b w:val="0"/>
          <w:bCs w:val="0"/>
          <w:color w:val="000000"/>
          <w:lang w:bidi="ar-SA"/>
        </w:rPr>
        <w:t xml:space="preserve">All information given by respondents to Census Bureau employees is held in strict confidence under Title 13, United States Code, Section 9.  </w:t>
      </w:r>
      <w:r w:rsidRPr="00413E8D">
        <w:rPr>
          <w:b w:val="0"/>
          <w:bCs w:val="0"/>
        </w:rPr>
        <w:t xml:space="preserve">Disclosure of the information provided to us is permitted under the Privacy Act of 1974 (5 U.S.C. § 552a) and may be shared with other Census Bureau staff for work-related purposes </w:t>
      </w:r>
      <w:r w:rsidRPr="00413E8D">
        <w:rPr>
          <w:b w:val="0"/>
          <w:bCs w:val="0"/>
          <w:color w:val="000000"/>
        </w:rPr>
        <w:t>identified in the Privacy Act System of Records Notice COMMERCE/Census-COMMERCE/Census-3, Demographic Survey Collection (Census Bureau Sampling Frame).</w:t>
      </w:r>
    </w:p>
    <w:p w:rsidR="00641B5A" w:rsidRPr="00CD619D" w:rsidP="00CD619D" w14:paraId="7E2CD8C0" w14:textId="77777777">
      <w:pPr>
        <w:pStyle w:val="BodyText"/>
        <w:spacing w:before="4" w:line="276" w:lineRule="auto"/>
        <w:ind w:left="360" w:hanging="360"/>
      </w:pPr>
    </w:p>
    <w:p w:rsidR="000148AA" w:rsidRPr="00CD619D" w:rsidP="00CD619D" w14:paraId="19843E68" w14:textId="7CBACBD5">
      <w:pPr>
        <w:pStyle w:val="ListParagraph"/>
        <w:tabs>
          <w:tab w:val="left" w:pos="872"/>
        </w:tabs>
        <w:spacing w:before="1" w:line="276" w:lineRule="auto"/>
        <w:ind w:left="360" w:right="726" w:hanging="360"/>
        <w:rPr>
          <w:b/>
          <w:sz w:val="24"/>
          <w:szCs w:val="24"/>
        </w:rPr>
      </w:pPr>
      <w:r w:rsidRPr="00CD619D">
        <w:rPr>
          <w:b/>
          <w:sz w:val="24"/>
          <w:szCs w:val="24"/>
        </w:rPr>
        <w:t xml:space="preserve">11. </w:t>
      </w:r>
      <w:r w:rsidR="0067232C">
        <w:rPr>
          <w:b/>
          <w:sz w:val="24"/>
          <w:szCs w:val="24"/>
          <w:lang w:bidi="he-IL"/>
        </w:rPr>
        <w:t>Justification for Sensitive Questions</w:t>
      </w:r>
    </w:p>
    <w:p w:rsidR="000148AA" w:rsidP="0067232C" w14:paraId="131BB0AB" w14:textId="77777777">
      <w:pPr>
        <w:pStyle w:val="BodyText"/>
        <w:spacing w:before="4" w:line="276" w:lineRule="auto"/>
        <w:ind w:left="360"/>
      </w:pPr>
    </w:p>
    <w:p w:rsidR="0067232C" w:rsidRPr="0067232C" w:rsidP="0067232C" w14:paraId="61CC2EBE" w14:textId="2C963262">
      <w:pPr>
        <w:pStyle w:val="BodyText"/>
        <w:spacing w:before="4" w:line="276" w:lineRule="auto"/>
        <w:ind w:left="360"/>
        <w:rPr>
          <w:b w:val="0"/>
          <w:bCs w:val="0"/>
        </w:rPr>
      </w:pPr>
      <w:r w:rsidRPr="0067232C">
        <w:rPr>
          <w:b w:val="0"/>
          <w:bCs w:val="0"/>
          <w:lang w:val="en-CA" w:bidi="ar-SA"/>
        </w:rPr>
        <w:t>There are no sensitive questions in the demographic portion of the CPS.</w:t>
      </w:r>
    </w:p>
    <w:p w:rsidR="00641B5A" w:rsidRPr="00CD619D" w:rsidP="0051294C" w14:paraId="28555C7A" w14:textId="77777777">
      <w:pPr>
        <w:pStyle w:val="BodyText"/>
        <w:spacing w:before="4" w:line="276" w:lineRule="auto"/>
      </w:pPr>
    </w:p>
    <w:p w:rsidR="000148AA" w:rsidRPr="00CD619D" w:rsidP="00CD619D" w14:paraId="6DC976D1" w14:textId="192BAD44">
      <w:pPr>
        <w:pStyle w:val="ListParagraph"/>
        <w:tabs>
          <w:tab w:val="left" w:pos="856"/>
        </w:tabs>
        <w:spacing w:line="276" w:lineRule="auto"/>
        <w:ind w:left="360" w:right="1134" w:hanging="360"/>
        <w:rPr>
          <w:b/>
          <w:sz w:val="24"/>
          <w:szCs w:val="24"/>
        </w:rPr>
      </w:pPr>
      <w:r w:rsidRPr="00CD619D">
        <w:rPr>
          <w:b/>
          <w:sz w:val="24"/>
          <w:szCs w:val="24"/>
        </w:rPr>
        <w:t xml:space="preserve">12. </w:t>
      </w:r>
      <w:r w:rsidR="0067232C">
        <w:rPr>
          <w:b/>
          <w:sz w:val="24"/>
          <w:szCs w:val="24"/>
          <w:lang w:bidi="he-IL"/>
        </w:rPr>
        <w:t>Estimates of Annualized Hour and Cost Burden</w:t>
      </w:r>
    </w:p>
    <w:p w:rsidR="000148AA" w:rsidRPr="00CD619D" w:rsidP="00CD619D" w14:paraId="64E024D9" w14:textId="77777777">
      <w:pPr>
        <w:pStyle w:val="BodyText"/>
        <w:spacing w:before="7" w:line="276" w:lineRule="auto"/>
        <w:ind w:left="360" w:hanging="360"/>
      </w:pPr>
    </w:p>
    <w:p w:rsidR="0067232C" w:rsidRPr="0067232C" w:rsidP="0067232C" w14:paraId="45D03631" w14:textId="16DDC876">
      <w:pPr>
        <w:ind w:left="360"/>
        <w:rPr>
          <w:sz w:val="24"/>
          <w:szCs w:val="24"/>
        </w:rPr>
      </w:pPr>
      <w:r w:rsidRPr="0067232C">
        <w:rPr>
          <w:sz w:val="24"/>
          <w:szCs w:val="24"/>
        </w:rPr>
        <w:t>The estimated respondent burden is 1,</w:t>
      </w:r>
      <w:r>
        <w:rPr>
          <w:sz w:val="24"/>
          <w:szCs w:val="24"/>
        </w:rPr>
        <w:t>1</w:t>
      </w:r>
      <w:r w:rsidRPr="0067232C">
        <w:rPr>
          <w:sz w:val="24"/>
          <w:szCs w:val="24"/>
        </w:rPr>
        <w:t xml:space="preserve">00 hours.  Due to age and citizenship requirements for the voting questions, approximately </w:t>
      </w:r>
      <w:r>
        <w:rPr>
          <w:sz w:val="24"/>
          <w:szCs w:val="24"/>
        </w:rPr>
        <w:t>44</w:t>
      </w:r>
      <w:r w:rsidRPr="0067232C">
        <w:rPr>
          <w:sz w:val="24"/>
          <w:szCs w:val="24"/>
        </w:rPr>
        <w:t>,000 households are actually interviewed for the supplement. With each household interview, on average, being one and a half minutes long, this amounts to an hour burden of 1,</w:t>
      </w:r>
      <w:r>
        <w:rPr>
          <w:sz w:val="24"/>
          <w:szCs w:val="24"/>
        </w:rPr>
        <w:t>1</w:t>
      </w:r>
      <w:r w:rsidRPr="0067232C">
        <w:rPr>
          <w:sz w:val="24"/>
          <w:szCs w:val="24"/>
        </w:rPr>
        <w:t xml:space="preserve">00 hours for these questions.  </w:t>
      </w:r>
    </w:p>
    <w:p w:rsidR="0067232C" w:rsidRPr="0067232C" w:rsidP="0067232C" w14:paraId="5FBBDAE1" w14:textId="77777777">
      <w:pPr>
        <w:ind w:left="360"/>
        <w:rPr>
          <w:sz w:val="24"/>
          <w:szCs w:val="24"/>
        </w:rPr>
      </w:pPr>
    </w:p>
    <w:p w:rsidR="0067232C" w:rsidP="0067232C" w14:paraId="36981748" w14:textId="081D5EF6">
      <w:pPr>
        <w:pStyle w:val="BodyText"/>
        <w:spacing w:line="276" w:lineRule="auto"/>
        <w:ind w:left="360"/>
        <w:rPr>
          <w:b w:val="0"/>
        </w:rPr>
      </w:pPr>
      <w:r w:rsidRPr="0067232C">
        <w:rPr>
          <w:b w:val="0"/>
          <w:bCs w:val="0"/>
        </w:rPr>
        <w:t>The estimated total annual respondent cost burden based on these hours i</w:t>
      </w:r>
      <w:r w:rsidRPr="00055ADD">
        <w:rPr>
          <w:b w:val="0"/>
          <w:bCs w:val="0"/>
        </w:rPr>
        <w:t>s $34,</w:t>
      </w:r>
      <w:r w:rsidRPr="00055ADD" w:rsidR="00055ADD">
        <w:rPr>
          <w:b w:val="0"/>
          <w:bCs w:val="0"/>
        </w:rPr>
        <w:t>518</w:t>
      </w:r>
      <w:r w:rsidRPr="0067232C">
        <w:rPr>
          <w:b w:val="0"/>
          <w:bCs w:val="0"/>
        </w:rPr>
        <w:t>.  For individuals, the wage rate is $31.38 per hour based on hourly earnings for employees as reported by the Bureau of Labor Statistics.</w:t>
      </w:r>
    </w:p>
    <w:p w:rsidR="0067232C" w:rsidP="0067232C" w14:paraId="03C1E36D" w14:textId="77777777">
      <w:pPr>
        <w:widowControl/>
        <w:autoSpaceDE/>
        <w:autoSpaceDN/>
        <w:rPr>
          <w:b/>
          <w:sz w:val="24"/>
        </w:rPr>
      </w:pPr>
    </w:p>
    <w:p w:rsidR="0067232C" w:rsidRPr="0045203B" w:rsidP="0067232C" w14:paraId="403E7DE7" w14:textId="77777777">
      <w:pPr>
        <w:widowControl/>
        <w:autoSpaceDE/>
        <w:autoSpaceDN/>
        <w:rPr>
          <w:b/>
          <w:sz w:val="24"/>
        </w:rPr>
      </w:pPr>
      <w:r w:rsidRPr="0045203B">
        <w:rPr>
          <w:b/>
          <w:sz w:val="24"/>
        </w:rPr>
        <w:t>12A. Estimated Annualized Burden Hours</w:t>
      </w:r>
    </w:p>
    <w:p w:rsidR="0067232C" w:rsidRPr="00CD619D" w:rsidP="0067232C" w14:paraId="3870CE53" w14:textId="77777777">
      <w:pPr>
        <w:pStyle w:val="BodyText"/>
        <w:spacing w:line="276" w:lineRule="auto"/>
        <w:ind w:left="360" w:hanging="360"/>
      </w:pPr>
    </w:p>
    <w:tbl>
      <w:tblPr>
        <w:tblpPr w:leftFromText="180" w:rightFromText="180" w:vertAnchor="text" w:horzAnchor="margin" w:tblpY="-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55"/>
        <w:gridCol w:w="2160"/>
        <w:gridCol w:w="1980"/>
      </w:tblGrid>
      <w:tr w14:paraId="2916F0B8" w14:textId="77777777" w:rsidTr="00556AEF">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620" w:type="dxa"/>
            <w:shd w:val="clear" w:color="auto" w:fill="A6A6A6" w:themeFill="background1" w:themeFillShade="A6"/>
            <w:vAlign w:val="bottom"/>
          </w:tcPr>
          <w:p w:rsidR="0067232C" w:rsidRPr="0045203B" w:rsidP="00556AEF" w14:paraId="5AA823F6" w14:textId="77777777">
            <w:pPr>
              <w:widowControl/>
              <w:tabs>
                <w:tab w:val="num" w:pos="1080"/>
              </w:tabs>
              <w:jc w:val="center"/>
              <w:rPr>
                <w:b/>
                <w:bCs/>
              </w:rPr>
            </w:pPr>
            <w:r w:rsidRPr="0045203B">
              <w:rPr>
                <w:b/>
                <w:bCs/>
              </w:rPr>
              <w:t>Type of Respondent</w:t>
            </w:r>
          </w:p>
        </w:tc>
        <w:tc>
          <w:tcPr>
            <w:tcW w:w="1620" w:type="dxa"/>
            <w:shd w:val="clear" w:color="auto" w:fill="A6A6A6" w:themeFill="background1" w:themeFillShade="A6"/>
            <w:vAlign w:val="bottom"/>
          </w:tcPr>
          <w:p w:rsidR="0067232C" w:rsidRPr="0084458A" w:rsidP="00556AEF" w14:paraId="7F787E16" w14:textId="77777777">
            <w:pPr>
              <w:widowControl/>
              <w:tabs>
                <w:tab w:val="num" w:pos="1080"/>
              </w:tabs>
              <w:jc w:val="center"/>
              <w:rPr>
                <w:b/>
                <w:bCs/>
              </w:rPr>
            </w:pPr>
            <w:r w:rsidRPr="0045203B">
              <w:rPr>
                <w:b/>
                <w:bCs/>
              </w:rPr>
              <w:t>Expected Number of Respondents</w:t>
            </w:r>
            <w:r>
              <w:rPr>
                <w:rStyle w:val="FootnoteReference"/>
                <w:rFonts w:ascii="Times New Roman Bold" w:hAnsi="Times New Roman Bold"/>
                <w:b/>
                <w:bCs/>
                <w:vertAlign w:val="superscript"/>
              </w:rPr>
              <w:footnoteReference w:id="2"/>
            </w:r>
          </w:p>
        </w:tc>
        <w:tc>
          <w:tcPr>
            <w:tcW w:w="2155" w:type="dxa"/>
            <w:shd w:val="clear" w:color="auto" w:fill="A6A6A6" w:themeFill="background1" w:themeFillShade="A6"/>
            <w:vAlign w:val="bottom"/>
          </w:tcPr>
          <w:p w:rsidR="0067232C" w:rsidRPr="0084458A" w:rsidP="00556AEF" w14:paraId="4C8A1D82" w14:textId="77777777">
            <w:pPr>
              <w:widowControl/>
              <w:tabs>
                <w:tab w:val="num" w:pos="1080"/>
              </w:tabs>
              <w:jc w:val="center"/>
              <w:rPr>
                <w:b/>
                <w:bCs/>
              </w:rPr>
            </w:pPr>
            <w:r w:rsidRPr="0084458A">
              <w:rPr>
                <w:b/>
                <w:bCs/>
              </w:rPr>
              <w:t>Number of Responses per Respondent</w:t>
            </w:r>
          </w:p>
        </w:tc>
        <w:tc>
          <w:tcPr>
            <w:tcW w:w="2160" w:type="dxa"/>
            <w:shd w:val="clear" w:color="auto" w:fill="A6A6A6" w:themeFill="background1" w:themeFillShade="A6"/>
            <w:vAlign w:val="bottom"/>
          </w:tcPr>
          <w:p w:rsidR="0067232C" w:rsidRPr="0084458A" w:rsidP="00556AEF" w14:paraId="699AE675" w14:textId="77777777">
            <w:pPr>
              <w:widowControl/>
              <w:tabs>
                <w:tab w:val="num" w:pos="1080"/>
              </w:tabs>
              <w:jc w:val="center"/>
              <w:rPr>
                <w:b/>
                <w:bCs/>
              </w:rPr>
            </w:pPr>
            <w:r w:rsidRPr="0084458A">
              <w:rPr>
                <w:b/>
                <w:bCs/>
              </w:rPr>
              <w:t>Average Burden per Response</w:t>
            </w:r>
          </w:p>
          <w:p w:rsidR="0067232C" w:rsidRPr="0084458A" w:rsidP="00556AEF" w14:paraId="7687F55C" w14:textId="77777777">
            <w:pPr>
              <w:widowControl/>
              <w:tabs>
                <w:tab w:val="num" w:pos="1080"/>
              </w:tabs>
              <w:jc w:val="center"/>
              <w:rPr>
                <w:b/>
                <w:bCs/>
              </w:rPr>
            </w:pPr>
            <w:r w:rsidRPr="0084458A">
              <w:rPr>
                <w:b/>
                <w:bCs/>
              </w:rPr>
              <w:t>(in hours)</w:t>
            </w:r>
          </w:p>
        </w:tc>
        <w:tc>
          <w:tcPr>
            <w:tcW w:w="1980" w:type="dxa"/>
            <w:shd w:val="clear" w:color="auto" w:fill="A6A6A6" w:themeFill="background1" w:themeFillShade="A6"/>
            <w:vAlign w:val="bottom"/>
          </w:tcPr>
          <w:p w:rsidR="0067232C" w:rsidRPr="0084458A" w:rsidP="00556AEF" w14:paraId="58DCC8F9" w14:textId="77777777">
            <w:pPr>
              <w:widowControl/>
              <w:tabs>
                <w:tab w:val="num" w:pos="1080"/>
              </w:tabs>
              <w:jc w:val="center"/>
              <w:rPr>
                <w:b/>
                <w:bCs/>
              </w:rPr>
            </w:pPr>
            <w:r w:rsidRPr="0084458A">
              <w:rPr>
                <w:b/>
                <w:bCs/>
              </w:rPr>
              <w:t>Total Burden Hours</w:t>
            </w:r>
          </w:p>
        </w:tc>
      </w:tr>
      <w:tr w14:paraId="419C60A8" w14:textId="77777777" w:rsidTr="0067232C">
        <w:tblPrEx>
          <w:tblW w:w="9535" w:type="dxa"/>
          <w:tblLayout w:type="fixed"/>
          <w:tblLook w:val="01E0"/>
        </w:tblPrEx>
        <w:trPr>
          <w:trHeight w:val="707"/>
        </w:trPr>
        <w:tc>
          <w:tcPr>
            <w:tcW w:w="1620" w:type="dxa"/>
            <w:vAlign w:val="center"/>
          </w:tcPr>
          <w:p w:rsidR="0067232C" w:rsidRPr="0084458A" w:rsidP="00556AEF" w14:paraId="701D8AC6" w14:textId="77777777">
            <w:pPr>
              <w:widowControl/>
              <w:tabs>
                <w:tab w:val="num" w:pos="1080"/>
              </w:tabs>
              <w:spacing w:before="120"/>
              <w:jc w:val="center"/>
              <w:rPr>
                <w:b/>
                <w:bCs/>
              </w:rPr>
            </w:pPr>
            <w:r>
              <w:rPr>
                <w:b/>
                <w:bCs/>
              </w:rPr>
              <w:t>CPS Household Respondent</w:t>
            </w:r>
          </w:p>
        </w:tc>
        <w:tc>
          <w:tcPr>
            <w:tcW w:w="1620" w:type="dxa"/>
            <w:vAlign w:val="center"/>
          </w:tcPr>
          <w:p w:rsidR="0067232C" w:rsidRPr="001367EE" w:rsidP="00556AEF" w14:paraId="3861B628" w14:textId="08D82036">
            <w:pPr>
              <w:jc w:val="center"/>
            </w:pPr>
            <w:r>
              <w:t>44,000</w:t>
            </w:r>
          </w:p>
        </w:tc>
        <w:tc>
          <w:tcPr>
            <w:tcW w:w="2155" w:type="dxa"/>
            <w:vAlign w:val="center"/>
          </w:tcPr>
          <w:p w:rsidR="0067232C" w:rsidRPr="001367EE" w:rsidP="00556AEF" w14:paraId="1795E97C" w14:textId="77777777">
            <w:pPr>
              <w:widowControl/>
              <w:tabs>
                <w:tab w:val="num" w:pos="1080"/>
              </w:tabs>
              <w:spacing w:before="120"/>
              <w:jc w:val="center"/>
            </w:pPr>
            <w:r w:rsidRPr="001367EE">
              <w:t>1</w:t>
            </w:r>
          </w:p>
        </w:tc>
        <w:tc>
          <w:tcPr>
            <w:tcW w:w="2160" w:type="dxa"/>
            <w:vAlign w:val="center"/>
          </w:tcPr>
          <w:p w:rsidR="0067232C" w:rsidRPr="001367EE" w:rsidP="00556AEF" w14:paraId="6D2B026D" w14:textId="3061FF98">
            <w:pPr>
              <w:widowControl/>
              <w:tabs>
                <w:tab w:val="num" w:pos="1080"/>
              </w:tabs>
              <w:spacing w:before="120"/>
              <w:jc w:val="center"/>
            </w:pPr>
            <w:r w:rsidRPr="001367EE">
              <w:t>.</w:t>
            </w:r>
            <w:r>
              <w:t>025</w:t>
            </w:r>
          </w:p>
        </w:tc>
        <w:tc>
          <w:tcPr>
            <w:tcW w:w="1980" w:type="dxa"/>
            <w:vAlign w:val="center"/>
          </w:tcPr>
          <w:p w:rsidR="0067232C" w:rsidRPr="001367EE" w:rsidP="00556AEF" w14:paraId="2608FB46" w14:textId="5BF83F67">
            <w:pPr>
              <w:jc w:val="center"/>
              <w:rPr>
                <w:color w:val="000000"/>
              </w:rPr>
            </w:pPr>
            <w:r>
              <w:rPr>
                <w:color w:val="000000"/>
              </w:rPr>
              <w:t>1,100</w:t>
            </w:r>
          </w:p>
        </w:tc>
      </w:tr>
    </w:tbl>
    <w:p w:rsidR="0067232C" w:rsidP="0067232C" w14:paraId="0EDD5CCC" w14:textId="77777777">
      <w:pPr>
        <w:widowControl/>
        <w:spacing w:before="120"/>
        <w:rPr>
          <w:b/>
          <w:sz w:val="24"/>
        </w:rPr>
      </w:pPr>
      <w:r w:rsidRPr="008979A0">
        <w:rPr>
          <w:b/>
          <w:sz w:val="24"/>
        </w:rPr>
        <w:t>12B. Estimated Annualized Burden Costs</w:t>
      </w:r>
    </w:p>
    <w:p w:rsidR="0067232C" w:rsidRPr="007A70B2" w:rsidP="0067232C" w14:paraId="5D3DBBD9" w14:textId="77777777">
      <w:pPr>
        <w:widowControl/>
        <w:spacing w:before="120"/>
        <w:rPr>
          <w:b/>
        </w:rPr>
      </w:pP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1733"/>
        <w:gridCol w:w="1800"/>
        <w:gridCol w:w="2227"/>
      </w:tblGrid>
      <w:tr w14:paraId="3F41880D" w14:textId="77777777" w:rsidTr="00556AEF">
        <w:tblPrEx>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307" w:type="dxa"/>
            <w:shd w:val="clear" w:color="auto" w:fill="A6A6A6" w:themeFill="background1" w:themeFillShade="A6"/>
            <w:vAlign w:val="bottom"/>
          </w:tcPr>
          <w:p w:rsidR="0067232C" w:rsidRPr="007A70B2" w:rsidP="00556AEF" w14:paraId="245C6773" w14:textId="77777777">
            <w:pPr>
              <w:jc w:val="center"/>
              <w:rPr>
                <w:b/>
                <w:bCs/>
              </w:rPr>
            </w:pPr>
            <w:r w:rsidRPr="007A70B2">
              <w:rPr>
                <w:b/>
                <w:bCs/>
              </w:rPr>
              <w:t>Type of</w:t>
            </w:r>
          </w:p>
          <w:p w:rsidR="0067232C" w:rsidRPr="007A70B2" w:rsidP="00556AEF" w14:paraId="07F964AC" w14:textId="77777777">
            <w:pPr>
              <w:jc w:val="center"/>
            </w:pPr>
            <w:r w:rsidRPr="007A70B2">
              <w:rPr>
                <w:b/>
                <w:bCs/>
              </w:rPr>
              <w:t>Respondent</w:t>
            </w:r>
          </w:p>
        </w:tc>
        <w:tc>
          <w:tcPr>
            <w:tcW w:w="1733" w:type="dxa"/>
            <w:shd w:val="clear" w:color="auto" w:fill="A6A6A6" w:themeFill="background1" w:themeFillShade="A6"/>
            <w:vAlign w:val="bottom"/>
          </w:tcPr>
          <w:p w:rsidR="0067232C" w:rsidRPr="007A70B2" w:rsidP="00556AEF" w14:paraId="0597CF50" w14:textId="77777777">
            <w:pPr>
              <w:jc w:val="center"/>
              <w:rPr>
                <w:b/>
                <w:bCs/>
              </w:rPr>
            </w:pPr>
            <w:r w:rsidRPr="007A70B2">
              <w:rPr>
                <w:b/>
                <w:bCs/>
              </w:rPr>
              <w:t>Total Burden</w:t>
            </w:r>
          </w:p>
          <w:p w:rsidR="0067232C" w:rsidRPr="007A70B2" w:rsidP="00556AEF" w14:paraId="2BF8E5B6" w14:textId="77777777">
            <w:pPr>
              <w:jc w:val="center"/>
            </w:pPr>
            <w:r w:rsidRPr="007A70B2">
              <w:rPr>
                <w:b/>
                <w:bCs/>
              </w:rPr>
              <w:t>Hours</w:t>
            </w:r>
          </w:p>
        </w:tc>
        <w:tc>
          <w:tcPr>
            <w:tcW w:w="1800" w:type="dxa"/>
            <w:shd w:val="clear" w:color="auto" w:fill="A6A6A6" w:themeFill="background1" w:themeFillShade="A6"/>
            <w:vAlign w:val="bottom"/>
          </w:tcPr>
          <w:p w:rsidR="0067232C" w:rsidRPr="007A70B2" w:rsidP="00556AEF" w14:paraId="0691530F" w14:textId="77777777">
            <w:pPr>
              <w:jc w:val="center"/>
              <w:rPr>
                <w:b/>
                <w:bCs/>
              </w:rPr>
            </w:pPr>
            <w:r w:rsidRPr="007A70B2">
              <w:rPr>
                <w:b/>
                <w:bCs/>
              </w:rPr>
              <w:t>Hourly</w:t>
            </w:r>
          </w:p>
          <w:p w:rsidR="0067232C" w:rsidRPr="007A70B2" w:rsidP="00556AEF" w14:paraId="102C150F" w14:textId="77777777">
            <w:pPr>
              <w:jc w:val="center"/>
            </w:pPr>
            <w:r w:rsidRPr="007A70B2">
              <w:rPr>
                <w:b/>
                <w:bCs/>
              </w:rPr>
              <w:t>Wage Rate</w:t>
            </w:r>
          </w:p>
        </w:tc>
        <w:tc>
          <w:tcPr>
            <w:tcW w:w="2227" w:type="dxa"/>
            <w:shd w:val="clear" w:color="auto" w:fill="A6A6A6" w:themeFill="background1" w:themeFillShade="A6"/>
            <w:vAlign w:val="bottom"/>
          </w:tcPr>
          <w:p w:rsidR="0067232C" w:rsidP="00556AEF" w14:paraId="0630932E" w14:textId="77777777">
            <w:pPr>
              <w:jc w:val="center"/>
              <w:rPr>
                <w:b/>
                <w:bCs/>
              </w:rPr>
            </w:pPr>
            <w:r w:rsidRPr="007A70B2">
              <w:rPr>
                <w:b/>
                <w:bCs/>
              </w:rPr>
              <w:t>Total Respondent Costs</w:t>
            </w:r>
            <w:r>
              <w:rPr>
                <w:b/>
                <w:bCs/>
              </w:rPr>
              <w:t xml:space="preserve"> </w:t>
            </w:r>
          </w:p>
          <w:p w:rsidR="0067232C" w:rsidRPr="007A70B2" w:rsidP="00556AEF" w14:paraId="108AFE11" w14:textId="77777777">
            <w:pPr>
              <w:jc w:val="center"/>
            </w:pPr>
            <w:r w:rsidRPr="007A70B2">
              <w:rPr>
                <w:b/>
                <w:bCs/>
                <w:sz w:val="16"/>
              </w:rPr>
              <w:t>(rounded to nearest dollar)</w:t>
            </w:r>
          </w:p>
        </w:tc>
      </w:tr>
      <w:tr w14:paraId="5675B19D" w14:textId="77777777" w:rsidTr="00556AEF">
        <w:tblPrEx>
          <w:tblW w:w="9067" w:type="dxa"/>
          <w:tblInd w:w="378" w:type="dxa"/>
          <w:tblLook w:val="01E0"/>
        </w:tblPrEx>
        <w:trPr>
          <w:trHeight w:val="440"/>
        </w:trPr>
        <w:tc>
          <w:tcPr>
            <w:tcW w:w="3307" w:type="dxa"/>
          </w:tcPr>
          <w:p w:rsidR="0067232C" w:rsidRPr="002132B9" w:rsidP="00556AEF" w14:paraId="500D2533" w14:textId="77777777">
            <w:pPr>
              <w:tabs>
                <w:tab w:val="num" w:pos="1080"/>
              </w:tabs>
              <w:spacing w:before="100" w:beforeAutospacing="1" w:after="100" w:afterAutospacing="1"/>
              <w:rPr>
                <w:b/>
                <w:bCs/>
              </w:rPr>
            </w:pPr>
            <w:r>
              <w:rPr>
                <w:b/>
                <w:bCs/>
              </w:rPr>
              <w:t>Household Respondent</w:t>
            </w:r>
          </w:p>
        </w:tc>
        <w:tc>
          <w:tcPr>
            <w:tcW w:w="1733" w:type="dxa"/>
            <w:vAlign w:val="center"/>
          </w:tcPr>
          <w:p w:rsidR="0067232C" w:rsidRPr="002132B9" w:rsidP="00556AEF" w14:paraId="23590480" w14:textId="50FC283E">
            <w:pPr>
              <w:spacing w:before="100" w:beforeAutospacing="1" w:after="100" w:afterAutospacing="1"/>
              <w:jc w:val="right"/>
              <w:rPr>
                <w:color w:val="000000"/>
              </w:rPr>
            </w:pPr>
            <w:r>
              <w:rPr>
                <w:color w:val="000000"/>
              </w:rPr>
              <w:t>1,100</w:t>
            </w:r>
          </w:p>
        </w:tc>
        <w:tc>
          <w:tcPr>
            <w:tcW w:w="1800" w:type="dxa"/>
            <w:vAlign w:val="center"/>
          </w:tcPr>
          <w:p w:rsidR="0067232C" w:rsidRPr="006F7005" w:rsidP="00556AEF" w14:paraId="290E565A" w14:textId="77777777">
            <w:pPr>
              <w:spacing w:before="100" w:beforeAutospacing="1" w:after="100" w:afterAutospacing="1"/>
              <w:jc w:val="right"/>
            </w:pPr>
            <w:r w:rsidRPr="006F7005">
              <w:rPr>
                <w:color w:val="000000"/>
              </w:rPr>
              <w:t xml:space="preserve">$31.38 </w:t>
            </w:r>
          </w:p>
        </w:tc>
        <w:tc>
          <w:tcPr>
            <w:tcW w:w="2227" w:type="dxa"/>
            <w:vAlign w:val="center"/>
          </w:tcPr>
          <w:p w:rsidR="0067232C" w:rsidRPr="006F7005" w:rsidP="00556AEF" w14:paraId="261388D9" w14:textId="384BE0E1">
            <w:pPr>
              <w:spacing w:before="100" w:beforeAutospacing="1" w:after="100" w:afterAutospacing="1"/>
              <w:jc w:val="right"/>
              <w:rPr>
                <w:color w:val="000000"/>
              </w:rPr>
            </w:pPr>
            <w:r w:rsidRPr="006F7005">
              <w:rPr>
                <w:color w:val="000000"/>
              </w:rPr>
              <w:t>$</w:t>
            </w:r>
            <w:r>
              <w:rPr>
                <w:color w:val="000000"/>
              </w:rPr>
              <w:t>34,518</w:t>
            </w:r>
            <w:r w:rsidRPr="006F7005">
              <w:rPr>
                <w:color w:val="000000"/>
              </w:rPr>
              <w:t xml:space="preserve"> </w:t>
            </w:r>
          </w:p>
        </w:tc>
      </w:tr>
      <w:tr w14:paraId="22F3C188" w14:textId="77777777" w:rsidTr="00556AEF">
        <w:tblPrEx>
          <w:tblW w:w="9067" w:type="dxa"/>
          <w:tblInd w:w="378" w:type="dxa"/>
          <w:tblLook w:val="01E0"/>
        </w:tblPrEx>
        <w:trPr>
          <w:trHeight w:val="440"/>
        </w:trPr>
        <w:tc>
          <w:tcPr>
            <w:tcW w:w="3307" w:type="dxa"/>
          </w:tcPr>
          <w:p w:rsidR="0067232C" w:rsidRPr="002132B9" w:rsidP="00556AEF" w14:paraId="7C2BCA7E" w14:textId="77777777">
            <w:pPr>
              <w:rPr>
                <w:b/>
                <w:bCs/>
              </w:rPr>
            </w:pPr>
            <w:r w:rsidRPr="002132B9">
              <w:rPr>
                <w:b/>
                <w:bCs/>
              </w:rPr>
              <w:t>Total</w:t>
            </w:r>
          </w:p>
        </w:tc>
        <w:tc>
          <w:tcPr>
            <w:tcW w:w="1733" w:type="dxa"/>
            <w:vAlign w:val="center"/>
          </w:tcPr>
          <w:p w:rsidR="0067232C" w:rsidRPr="00F2269C" w:rsidP="00556AEF" w14:paraId="37044AA5" w14:textId="4CF7E419">
            <w:pPr>
              <w:spacing w:before="100" w:beforeAutospacing="1" w:after="100" w:afterAutospacing="1"/>
              <w:jc w:val="right"/>
              <w:rPr>
                <w:b/>
                <w:bCs/>
                <w:color w:val="000000"/>
              </w:rPr>
            </w:pPr>
            <w:r>
              <w:rPr>
                <w:b/>
                <w:bCs/>
                <w:color w:val="000000"/>
              </w:rPr>
              <w:t>1,100</w:t>
            </w:r>
          </w:p>
        </w:tc>
        <w:tc>
          <w:tcPr>
            <w:tcW w:w="1800" w:type="dxa"/>
            <w:vAlign w:val="center"/>
          </w:tcPr>
          <w:p w:rsidR="0067232C" w:rsidRPr="006F7005" w:rsidP="00556AEF" w14:paraId="3AB073FC" w14:textId="77777777">
            <w:pPr>
              <w:jc w:val="right"/>
              <w:rPr>
                <w:color w:val="000000"/>
              </w:rPr>
            </w:pPr>
            <w:r w:rsidRPr="006F7005">
              <w:rPr>
                <w:b/>
                <w:bCs/>
                <w:color w:val="000000"/>
              </w:rPr>
              <w:t> </w:t>
            </w:r>
          </w:p>
        </w:tc>
        <w:tc>
          <w:tcPr>
            <w:tcW w:w="2227" w:type="dxa"/>
            <w:vAlign w:val="center"/>
          </w:tcPr>
          <w:p w:rsidR="0067232C" w:rsidRPr="006F7005" w:rsidP="00556AEF" w14:paraId="1E5E4E6F" w14:textId="43876011">
            <w:pPr>
              <w:spacing w:before="100" w:beforeAutospacing="1" w:after="100" w:afterAutospacing="1"/>
              <w:jc w:val="right"/>
              <w:rPr>
                <w:color w:val="000000"/>
              </w:rPr>
            </w:pPr>
            <w:r w:rsidRPr="006F7005">
              <w:rPr>
                <w:b/>
                <w:bCs/>
                <w:color w:val="000000"/>
              </w:rPr>
              <w:t>$</w:t>
            </w:r>
            <w:r>
              <w:rPr>
                <w:b/>
                <w:bCs/>
                <w:color w:val="000000"/>
              </w:rPr>
              <w:t>34,518</w:t>
            </w:r>
          </w:p>
        </w:tc>
      </w:tr>
    </w:tbl>
    <w:p w:rsidR="00431918" w:rsidP="00631E51" w14:paraId="726A8853" w14:textId="77777777">
      <w:pPr>
        <w:pStyle w:val="ListParagraph"/>
        <w:tabs>
          <w:tab w:val="left" w:pos="920"/>
        </w:tabs>
        <w:spacing w:line="276" w:lineRule="auto"/>
        <w:ind w:left="360" w:right="545" w:hanging="360"/>
        <w:rPr>
          <w:b/>
          <w:sz w:val="24"/>
          <w:szCs w:val="24"/>
        </w:rPr>
      </w:pPr>
    </w:p>
    <w:p w:rsidR="00431918" w:rsidP="00631E51" w14:paraId="2B6A0AD0" w14:textId="77777777">
      <w:pPr>
        <w:pStyle w:val="ListParagraph"/>
        <w:tabs>
          <w:tab w:val="left" w:pos="920"/>
        </w:tabs>
        <w:spacing w:line="276" w:lineRule="auto"/>
        <w:ind w:left="360" w:right="545" w:hanging="360"/>
        <w:rPr>
          <w:b/>
          <w:sz w:val="24"/>
          <w:szCs w:val="24"/>
        </w:rPr>
      </w:pPr>
    </w:p>
    <w:p w:rsidR="00631E51" w:rsidRPr="00CD619D" w:rsidP="00631E51" w14:paraId="647448C8" w14:textId="7BFCC6F8">
      <w:pPr>
        <w:pStyle w:val="ListParagraph"/>
        <w:tabs>
          <w:tab w:val="left" w:pos="920"/>
        </w:tabs>
        <w:spacing w:line="276" w:lineRule="auto"/>
        <w:ind w:left="360" w:right="545" w:hanging="360"/>
      </w:pPr>
      <w:r w:rsidRPr="00CD619D">
        <w:rPr>
          <w:b/>
          <w:sz w:val="24"/>
          <w:szCs w:val="24"/>
        </w:rPr>
        <w:t xml:space="preserve">13. </w:t>
      </w:r>
      <w:r>
        <w:rPr>
          <w:b/>
          <w:spacing w:val="3"/>
          <w:sz w:val="24"/>
          <w:szCs w:val="24"/>
        </w:rPr>
        <w:t>Estimates of Other Total Annual Cost Burden to Respondents</w:t>
      </w:r>
    </w:p>
    <w:p w:rsidR="00631E51" w:rsidP="00631E51" w14:paraId="5C190A01" w14:textId="77777777">
      <w:pPr>
        <w:pStyle w:val="BodyText"/>
        <w:spacing w:before="3" w:line="276" w:lineRule="auto"/>
        <w:ind w:left="360" w:hanging="360"/>
        <w:rPr>
          <w:color w:val="FF0000"/>
        </w:rPr>
      </w:pPr>
    </w:p>
    <w:p w:rsidR="000148AA" w:rsidRPr="00CD619D" w:rsidP="00631E51" w14:paraId="4FE6FD39" w14:textId="47A1B10A">
      <w:pPr>
        <w:pStyle w:val="ListParagraph"/>
        <w:tabs>
          <w:tab w:val="left" w:pos="920"/>
        </w:tabs>
        <w:spacing w:line="276" w:lineRule="auto"/>
        <w:ind w:left="360" w:right="545" w:hanging="360"/>
      </w:pPr>
      <w:r>
        <w:rPr>
          <w:color w:val="000000"/>
          <w:sz w:val="24"/>
          <w:szCs w:val="24"/>
          <w:lang w:bidi="ar-SA"/>
        </w:rPr>
        <w:tab/>
      </w:r>
      <w:r w:rsidRPr="00E405B5">
        <w:rPr>
          <w:color w:val="000000"/>
          <w:sz w:val="24"/>
          <w:szCs w:val="24"/>
          <w:lang w:bidi="ar-SA"/>
        </w:rPr>
        <w:t xml:space="preserve">There are no </w:t>
      </w:r>
      <w:r>
        <w:rPr>
          <w:color w:val="000000"/>
          <w:sz w:val="24"/>
          <w:szCs w:val="24"/>
          <w:lang w:bidi="ar-SA"/>
        </w:rPr>
        <w:t xml:space="preserve">direct </w:t>
      </w:r>
      <w:r w:rsidRPr="00E405B5">
        <w:rPr>
          <w:color w:val="000000"/>
          <w:sz w:val="24"/>
          <w:szCs w:val="24"/>
          <w:lang w:bidi="ar-SA"/>
        </w:rPr>
        <w:t>costs to the respondent other than that of their time to respond.</w:t>
      </w:r>
    </w:p>
    <w:p w:rsidR="00D941D0" w:rsidRPr="00CD619D" w:rsidP="00CD619D" w14:paraId="6B8D563C" w14:textId="77777777">
      <w:pPr>
        <w:pStyle w:val="BodyText"/>
        <w:spacing w:before="3" w:line="276" w:lineRule="auto"/>
        <w:ind w:left="360" w:hanging="360"/>
      </w:pPr>
    </w:p>
    <w:p w:rsidR="0085220A" w:rsidRPr="00CD619D" w:rsidP="00CD619D" w14:paraId="28323688" w14:textId="5F2D2728">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8C0BF8" w:rsidR="00631E51">
        <w:rPr>
          <w:b/>
          <w:bCs/>
          <w:spacing w:val="2"/>
          <w:sz w:val="24"/>
          <w:szCs w:val="24"/>
        </w:rPr>
        <w:t>Annualized Cost to the Federal Government</w:t>
      </w:r>
    </w:p>
    <w:p w:rsidR="00631E51" w:rsidP="00CD619D" w14:paraId="2F9D0C7A" w14:textId="77777777">
      <w:pPr>
        <w:pStyle w:val="ListParagraph"/>
        <w:tabs>
          <w:tab w:val="left" w:pos="0"/>
        </w:tabs>
        <w:spacing w:line="276" w:lineRule="auto"/>
        <w:ind w:left="360" w:right="260" w:hanging="360"/>
        <w:rPr>
          <w:spacing w:val="2"/>
          <w:sz w:val="24"/>
          <w:szCs w:val="24"/>
        </w:rPr>
      </w:pPr>
      <w:r>
        <w:rPr>
          <w:spacing w:val="2"/>
          <w:sz w:val="24"/>
          <w:szCs w:val="24"/>
        </w:rPr>
        <w:tab/>
      </w:r>
    </w:p>
    <w:p w:rsidR="000148AA" w:rsidRPr="00CD619D" w:rsidP="00431918" w14:paraId="4D833699" w14:textId="652B01D2">
      <w:pPr>
        <w:pStyle w:val="ListParagraph"/>
        <w:tabs>
          <w:tab w:val="left" w:pos="0"/>
        </w:tabs>
        <w:spacing w:line="276" w:lineRule="auto"/>
        <w:ind w:left="360" w:right="260" w:firstLine="0"/>
      </w:pPr>
      <w:r w:rsidRPr="00631E51">
        <w:rPr>
          <w:sz w:val="24"/>
          <w:szCs w:val="24"/>
        </w:rPr>
        <w:t xml:space="preserve">The estimated cost of the Voting and Registration supplement, borne by the U.S. Census Bureau, is $275,000.  </w:t>
      </w:r>
      <w:r w:rsidRPr="00631E51">
        <w:rPr>
          <w:color w:val="000000"/>
          <w:sz w:val="24"/>
          <w:szCs w:val="24"/>
        </w:rPr>
        <w:t>This cost includes development of the computer instrument, procedures, and training.  This also include</w:t>
      </w:r>
      <w:r>
        <w:rPr>
          <w:color w:val="000000"/>
          <w:sz w:val="24"/>
          <w:szCs w:val="24"/>
        </w:rPr>
        <w:t>s</w:t>
      </w:r>
      <w:r w:rsidRPr="00631E51">
        <w:rPr>
          <w:color w:val="000000"/>
          <w:sz w:val="24"/>
          <w:szCs w:val="24"/>
        </w:rPr>
        <w:t xml:space="preserve"> the time spent for data collection and all editing and weighting of the data in post processing.</w:t>
      </w:r>
    </w:p>
    <w:p w:rsidR="006665ED" w:rsidRPr="00CD619D" w:rsidP="00CD619D" w14:paraId="3DD25C94" w14:textId="77777777">
      <w:pPr>
        <w:pStyle w:val="BodyText"/>
        <w:spacing w:before="10" w:line="276" w:lineRule="auto"/>
        <w:ind w:left="360" w:hanging="360"/>
      </w:pPr>
    </w:p>
    <w:p w:rsidR="00631E51" w:rsidP="00631E51" w14:paraId="488BD3BB" w14:textId="5A3C8642">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Pr>
          <w:b/>
          <w:sz w:val="24"/>
          <w:szCs w:val="24"/>
          <w:lang w:bidi="he-IL"/>
        </w:rPr>
        <w:t>Expla</w:t>
      </w:r>
      <w:r>
        <w:rPr>
          <w:b/>
          <w:sz w:val="24"/>
          <w:szCs w:val="24"/>
          <w:lang w:bidi="he-IL"/>
        </w:rPr>
        <w:t>nation</w:t>
      </w:r>
      <w:r w:rsidRPr="0051294C">
        <w:rPr>
          <w:b/>
          <w:sz w:val="24"/>
          <w:szCs w:val="24"/>
          <w:lang w:bidi="he-IL"/>
        </w:rPr>
        <w:t xml:space="preserve"> for </w:t>
      </w:r>
      <w:r>
        <w:rPr>
          <w:b/>
          <w:sz w:val="24"/>
          <w:szCs w:val="24"/>
          <w:lang w:bidi="he-IL"/>
        </w:rPr>
        <w:t>P</w:t>
      </w:r>
      <w:r w:rsidRPr="0051294C">
        <w:rPr>
          <w:b/>
          <w:sz w:val="24"/>
          <w:szCs w:val="24"/>
          <w:lang w:bidi="he-IL"/>
        </w:rPr>
        <w:t xml:space="preserve">rogram </w:t>
      </w:r>
      <w:r>
        <w:rPr>
          <w:b/>
          <w:sz w:val="24"/>
          <w:szCs w:val="24"/>
          <w:lang w:bidi="he-IL"/>
        </w:rPr>
        <w:t>C</w:t>
      </w:r>
      <w:r w:rsidRPr="0051294C">
        <w:rPr>
          <w:b/>
          <w:sz w:val="24"/>
          <w:szCs w:val="24"/>
          <w:lang w:bidi="he-IL"/>
        </w:rPr>
        <w:t xml:space="preserve">hanges or </w:t>
      </w:r>
      <w:r>
        <w:rPr>
          <w:b/>
          <w:sz w:val="24"/>
          <w:szCs w:val="24"/>
          <w:lang w:bidi="he-IL"/>
        </w:rPr>
        <w:t>A</w:t>
      </w:r>
      <w:r w:rsidRPr="0051294C">
        <w:rPr>
          <w:b/>
          <w:sz w:val="24"/>
          <w:szCs w:val="24"/>
          <w:lang w:bidi="he-IL"/>
        </w:rPr>
        <w:t>djustments</w:t>
      </w:r>
    </w:p>
    <w:p w:rsidR="00631E51" w:rsidP="00631E51" w14:paraId="0F8EC9BB" w14:textId="77777777">
      <w:pPr>
        <w:pStyle w:val="ListParagraph"/>
        <w:tabs>
          <w:tab w:val="left" w:pos="856"/>
        </w:tabs>
        <w:spacing w:line="276" w:lineRule="auto"/>
        <w:ind w:left="360" w:right="2470" w:hanging="360"/>
        <w:rPr>
          <w:b/>
          <w:color w:val="FF0000"/>
          <w:sz w:val="24"/>
          <w:szCs w:val="24"/>
        </w:rPr>
      </w:pPr>
      <w:r w:rsidRPr="00CD619D">
        <w:rPr>
          <w:b/>
          <w:color w:val="FF0000"/>
          <w:sz w:val="24"/>
          <w:szCs w:val="24"/>
        </w:rPr>
        <w:tab/>
      </w:r>
    </w:p>
    <w:p w:rsidR="000148AA" w:rsidRPr="00CD619D" w:rsidP="00431918" w14:paraId="0D5C9EC9" w14:textId="3DF1D33E">
      <w:pPr>
        <w:pStyle w:val="BodyText"/>
        <w:ind w:left="450"/>
      </w:pPr>
      <w:r w:rsidRPr="00631E51">
        <w:rPr>
          <w:b w:val="0"/>
          <w:bCs w:val="0"/>
        </w:rPr>
        <w:t>The burden represents an increase of 1,</w:t>
      </w:r>
      <w:r>
        <w:rPr>
          <w:b w:val="0"/>
          <w:bCs w:val="0"/>
        </w:rPr>
        <w:t>1</w:t>
      </w:r>
      <w:r w:rsidRPr="00631E51">
        <w:rPr>
          <w:b w:val="0"/>
          <w:bCs w:val="0"/>
        </w:rPr>
        <w:t>00 hours in respondent burden.  The reason for the change in burden is due to this request being a reinstatement of a previously approved collection for which approval has expired.</w:t>
      </w:r>
    </w:p>
    <w:p w:rsidR="006665ED" w:rsidRPr="00CD619D" w:rsidP="00CD619D" w14:paraId="35444A54" w14:textId="77777777">
      <w:pPr>
        <w:pStyle w:val="BodyText"/>
        <w:spacing w:before="9" w:line="276" w:lineRule="auto"/>
        <w:ind w:left="360" w:hanging="360"/>
      </w:pPr>
    </w:p>
    <w:p w:rsidR="000148AA" w:rsidRPr="00CD619D" w:rsidP="00CD619D" w14:paraId="17E45308" w14:textId="5EF76AD7">
      <w:pPr>
        <w:pStyle w:val="ListParagraph"/>
        <w:tabs>
          <w:tab w:val="left" w:pos="856"/>
        </w:tabs>
        <w:spacing w:before="1" w:line="276" w:lineRule="auto"/>
        <w:ind w:left="360" w:right="591" w:hanging="360"/>
        <w:rPr>
          <w:b/>
          <w:sz w:val="24"/>
          <w:szCs w:val="24"/>
        </w:rPr>
      </w:pPr>
      <w:r w:rsidRPr="00CD619D">
        <w:rPr>
          <w:b/>
          <w:sz w:val="24"/>
          <w:szCs w:val="24"/>
        </w:rPr>
        <w:t xml:space="preserve">16. </w:t>
      </w:r>
      <w:r w:rsidRPr="004F0887" w:rsidR="00631E51">
        <w:rPr>
          <w:b/>
          <w:sz w:val="24"/>
        </w:rPr>
        <w:t>Plans for Tabulation, Publication, and Project Time Schedule</w:t>
      </w:r>
    </w:p>
    <w:p w:rsidR="00431918" w:rsidP="00631E51" w14:paraId="77840472" w14:textId="77777777">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631E51" w:rsidRPr="00431918" w:rsidP="00631E51" w14:paraId="59297B9A" w14:textId="620BBDFA">
      <w:pPr>
        <w:widowControl/>
        <w:numPr>
          <w:ilvl w:val="12"/>
          <w:numId w:val="0"/>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31918">
        <w:rPr>
          <w:sz w:val="24"/>
          <w:szCs w:val="24"/>
        </w:rPr>
        <w:t xml:space="preserve">We will conduct the CPS, of which this supplement is a part, during the week of </w:t>
      </w:r>
    </w:p>
    <w:p w:rsidR="000148AA" w:rsidRPr="00CD619D" w:rsidP="00431918" w14:paraId="42451E57" w14:textId="0141D854">
      <w:pPr>
        <w:pStyle w:val="BodyText"/>
        <w:tabs>
          <w:tab w:val="left" w:pos="450"/>
        </w:tabs>
        <w:spacing w:line="276" w:lineRule="auto"/>
        <w:ind w:left="360"/>
      </w:pPr>
      <w:r w:rsidRPr="00431918">
        <w:rPr>
          <w:b w:val="0"/>
          <w:bCs w:val="0"/>
        </w:rPr>
        <w:t>November 1</w:t>
      </w:r>
      <w:r w:rsidRPr="00431918" w:rsidR="00431918">
        <w:rPr>
          <w:b w:val="0"/>
          <w:bCs w:val="0"/>
        </w:rPr>
        <w:t>7</w:t>
      </w:r>
      <w:r w:rsidRPr="00431918">
        <w:rPr>
          <w:b w:val="0"/>
          <w:bCs w:val="0"/>
        </w:rPr>
        <w:t>-</w:t>
      </w:r>
      <w:r w:rsidRPr="00431918" w:rsidR="00431918">
        <w:rPr>
          <w:b w:val="0"/>
          <w:bCs w:val="0"/>
        </w:rPr>
        <w:t>26</w:t>
      </w:r>
      <w:r w:rsidRPr="00431918">
        <w:rPr>
          <w:b w:val="0"/>
          <w:bCs w:val="0"/>
        </w:rPr>
        <w:t>, 2024.  Processing of this supplement will commence in December 2024.  The public use file will be released approximately twelve months later, with voting and registration tabulations released by the U.S. Census Bureau.</w:t>
      </w:r>
    </w:p>
    <w:p w:rsidR="006665ED" w:rsidRPr="00CD619D" w:rsidP="00CD619D" w14:paraId="70A9C133" w14:textId="77777777">
      <w:pPr>
        <w:pStyle w:val="BodyText"/>
        <w:spacing w:before="3" w:line="276" w:lineRule="auto"/>
        <w:ind w:left="360" w:hanging="360"/>
      </w:pPr>
    </w:p>
    <w:p w:rsidR="000148AA" w:rsidRPr="00CD619D" w:rsidP="00CD619D" w14:paraId="3B65BA50" w14:textId="5E0BCD25">
      <w:pPr>
        <w:pStyle w:val="ListParagraph"/>
        <w:tabs>
          <w:tab w:val="left" w:pos="856"/>
        </w:tabs>
        <w:spacing w:line="276" w:lineRule="auto"/>
        <w:ind w:left="360" w:right="702" w:hanging="360"/>
        <w:rPr>
          <w:b/>
          <w:sz w:val="24"/>
          <w:szCs w:val="24"/>
        </w:rPr>
      </w:pPr>
      <w:r w:rsidRPr="00CD619D">
        <w:rPr>
          <w:b/>
          <w:sz w:val="24"/>
          <w:szCs w:val="24"/>
        </w:rPr>
        <w:t xml:space="preserve">17. </w:t>
      </w:r>
      <w:r w:rsidRPr="00C74CD7" w:rsidR="00431918">
        <w:rPr>
          <w:b/>
          <w:sz w:val="24"/>
        </w:rPr>
        <w:t>Reason(s) Display of OMB Expiration Date is Inappropriate</w:t>
      </w:r>
    </w:p>
    <w:p w:rsidR="00431918" w:rsidP="009B6D2D" w14:paraId="142CFD0F" w14:textId="77777777">
      <w:pPr>
        <w:pStyle w:val="BodyText"/>
        <w:spacing w:line="276" w:lineRule="auto"/>
        <w:ind w:firstLine="360"/>
        <w:rPr>
          <w:color w:val="FF0000"/>
        </w:rPr>
      </w:pPr>
    </w:p>
    <w:p w:rsidR="000148AA" w:rsidRPr="00CD619D" w:rsidP="00431918" w14:paraId="250AC486" w14:textId="5614CA15">
      <w:pPr>
        <w:pStyle w:val="BodyText"/>
        <w:spacing w:line="276" w:lineRule="auto"/>
        <w:ind w:left="450"/>
      </w:pPr>
      <w:r w:rsidRPr="00431918">
        <w:rPr>
          <w:b w:val="0"/>
          <w:bCs w:val="0"/>
        </w:rPr>
        <w:t>The Voting and Registration supplement is administered as part of the CPS monthly interview in November every two years.  However, the supplement (as well as all the CPS supplements) bears an OMB control number and expiration date different from the basic CPS interview.  The OMB control number for the CPS basic interview is included in the advance letter we give respondents (see Attachment B).  Because of these complexities and the anticipated respondent confusion involved with expressing a separate control number and expiration date to respondents for the supplement questions, we request a waiver of the requirement to display the OMB control number and expiration date for the CPS Voting and Registration supplement.</w:t>
      </w:r>
    </w:p>
    <w:p w:rsidR="006665ED" w:rsidRPr="00CD619D" w:rsidP="00CD619D" w14:paraId="2922182E" w14:textId="77777777">
      <w:pPr>
        <w:pStyle w:val="BodyText"/>
        <w:spacing w:before="6" w:line="276" w:lineRule="auto"/>
        <w:ind w:left="360" w:hanging="360"/>
      </w:pPr>
    </w:p>
    <w:p w:rsidR="00431918" w:rsidRPr="00C74CD7" w:rsidP="00431918" w14:paraId="5BFE5A28" w14:textId="77777777">
      <w:pPr>
        <w:tabs>
          <w:tab w:val="left" w:pos="856"/>
          <w:tab w:val="left" w:pos="900"/>
        </w:tabs>
        <w:adjustRightInd w:val="0"/>
        <w:spacing w:before="240" w:line="276" w:lineRule="auto"/>
        <w:ind w:left="360" w:right="334" w:hanging="360"/>
        <w:rPr>
          <w:b/>
          <w:sz w:val="24"/>
          <w:szCs w:val="24"/>
        </w:rPr>
      </w:pPr>
      <w:r w:rsidRPr="00CD619D">
        <w:rPr>
          <w:b/>
          <w:spacing w:val="-3"/>
          <w:sz w:val="24"/>
          <w:szCs w:val="24"/>
        </w:rPr>
        <w:t xml:space="preserve">18. </w:t>
      </w:r>
      <w:r w:rsidRPr="00C74CD7">
        <w:rPr>
          <w:b/>
          <w:sz w:val="24"/>
        </w:rPr>
        <w:t>Exceptions to Certification for Paperwork Reduction Act Submissions</w:t>
      </w:r>
    </w:p>
    <w:p w:rsidR="00431918" w:rsidP="00431918" w14:paraId="47D59BAE" w14:textId="77777777">
      <w:pPr>
        <w:pStyle w:val="BodyText"/>
        <w:spacing w:line="276" w:lineRule="auto"/>
        <w:ind w:firstLine="360"/>
        <w:rPr>
          <w:color w:val="FF0000"/>
        </w:rPr>
      </w:pPr>
    </w:p>
    <w:p w:rsidR="00431918" w:rsidRPr="00C21F22" w:rsidP="00431918" w14:paraId="68C2324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color w:val="000000"/>
          <w:sz w:val="24"/>
          <w:szCs w:val="24"/>
          <w:lang w:bidi="ar-SA"/>
        </w:rPr>
      </w:pPr>
      <w:r>
        <w:rPr>
          <w:color w:val="000000"/>
          <w:sz w:val="24"/>
          <w:szCs w:val="24"/>
          <w:lang w:bidi="ar-SA"/>
        </w:rPr>
        <w:t xml:space="preserve">      </w:t>
      </w:r>
      <w:r w:rsidRPr="00A932FC">
        <w:rPr>
          <w:color w:val="000000"/>
          <w:sz w:val="24"/>
          <w:szCs w:val="24"/>
          <w:lang w:bidi="ar-SA"/>
        </w:rPr>
        <w:t>There are no exceptions to the certification.</w:t>
      </w:r>
    </w:p>
    <w:p w:rsidR="000148AA" w:rsidRPr="00CD619D" w:rsidP="00431918" w14:paraId="3D63C363" w14:textId="7D10E134">
      <w:pPr>
        <w:pStyle w:val="ListParagraph"/>
        <w:tabs>
          <w:tab w:val="left" w:pos="856"/>
          <w:tab w:val="left" w:pos="900"/>
        </w:tabs>
        <w:spacing w:line="276" w:lineRule="auto"/>
        <w:ind w:left="360" w:right="334" w:hanging="360"/>
      </w:pPr>
    </w:p>
    <w:sectPr>
      <w:footerReference w:type="default" r:id="rId9"/>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6981E75B" w14:textId="5D4099DC">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0CC2" w14:paraId="69551F19" w14:textId="77777777">
      <w:r>
        <w:separator/>
      </w:r>
    </w:p>
  </w:footnote>
  <w:footnote w:type="continuationSeparator" w:id="1">
    <w:p w:rsidR="00AA0CC2" w14:paraId="0196E13F" w14:textId="77777777">
      <w:r>
        <w:continuationSeparator/>
      </w:r>
    </w:p>
  </w:footnote>
  <w:footnote w:id="2">
    <w:p w:rsidR="0067232C" w:rsidP="0067232C" w14:paraId="5591997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3D1843"/>
    <w:multiLevelType w:val="hybridMultilevel"/>
    <w:tmpl w:val="E09090A8"/>
    <w:lvl w:ilvl="0">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3">
    <w:nsid w:val="2E7633B6"/>
    <w:multiLevelType w:val="hybridMultilevel"/>
    <w:tmpl w:val="2CC842A4"/>
    <w:lvl w:ilvl="0">
      <w:start w:val="4"/>
      <w:numFmt w:val="decimal"/>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1D7109"/>
    <w:multiLevelType w:val="hybridMultilevel"/>
    <w:tmpl w:val="5718BE18"/>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FB623A6"/>
    <w:multiLevelType w:val="hybridMultilevel"/>
    <w:tmpl w:val="A7304994"/>
    <w:lvl w:ilvl="0">
      <w:start w:val="1"/>
      <w:numFmt w:val="lowerLetter"/>
      <w:lvlText w:val="%1)"/>
      <w:lvlJc w:val="left"/>
      <w:pPr>
        <w:ind w:left="870" w:hanging="360"/>
      </w:p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6">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90808710">
    <w:abstractNumId w:val="2"/>
  </w:num>
  <w:num w:numId="2" w16cid:durableId="1157650798">
    <w:abstractNumId w:val="1"/>
  </w:num>
  <w:num w:numId="3" w16cid:durableId="1008486804">
    <w:abstractNumId w:val="6"/>
  </w:num>
  <w:num w:numId="4" w16cid:durableId="1020736534">
    <w:abstractNumId w:val="0"/>
  </w:num>
  <w:num w:numId="5" w16cid:durableId="1956985941">
    <w:abstractNumId w:val="4"/>
  </w:num>
  <w:num w:numId="6" w16cid:durableId="1707366306">
    <w:abstractNumId w:val="3"/>
  </w:num>
  <w:num w:numId="7" w16cid:durableId="162860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drawingGridHorizontalSpacing w:val="110"/>
  <w:displayHorizontalDrawingGridEvery w:val="2"/>
  <w:characterSpacingControl w:val="doNotCompress"/>
  <w:footnotePr>
    <w:footnote w:id="0"/>
    <w:footnote w:id="1"/>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055ADD"/>
    <w:rsid w:val="001169FC"/>
    <w:rsid w:val="001204EA"/>
    <w:rsid w:val="001367EE"/>
    <w:rsid w:val="00175AE4"/>
    <w:rsid w:val="002132B9"/>
    <w:rsid w:val="00214F97"/>
    <w:rsid w:val="002177C6"/>
    <w:rsid w:val="002B279C"/>
    <w:rsid w:val="00313F88"/>
    <w:rsid w:val="00355EE6"/>
    <w:rsid w:val="003842F1"/>
    <w:rsid w:val="003852B3"/>
    <w:rsid w:val="003A7398"/>
    <w:rsid w:val="003B03D2"/>
    <w:rsid w:val="003B510B"/>
    <w:rsid w:val="00413E8D"/>
    <w:rsid w:val="00430030"/>
    <w:rsid w:val="00431918"/>
    <w:rsid w:val="0045203B"/>
    <w:rsid w:val="004F0887"/>
    <w:rsid w:val="0051294C"/>
    <w:rsid w:val="00515B7F"/>
    <w:rsid w:val="00556AEF"/>
    <w:rsid w:val="005C1500"/>
    <w:rsid w:val="00602BCF"/>
    <w:rsid w:val="006166AD"/>
    <w:rsid w:val="00631E51"/>
    <w:rsid w:val="00641B5A"/>
    <w:rsid w:val="00654A68"/>
    <w:rsid w:val="006665ED"/>
    <w:rsid w:val="0067232C"/>
    <w:rsid w:val="00684001"/>
    <w:rsid w:val="00696D6D"/>
    <w:rsid w:val="006B0174"/>
    <w:rsid w:val="006B52D3"/>
    <w:rsid w:val="006F7005"/>
    <w:rsid w:val="007A70B2"/>
    <w:rsid w:val="007B609B"/>
    <w:rsid w:val="00811344"/>
    <w:rsid w:val="00837F3C"/>
    <w:rsid w:val="0084458A"/>
    <w:rsid w:val="0085220A"/>
    <w:rsid w:val="008979A0"/>
    <w:rsid w:val="008A2417"/>
    <w:rsid w:val="008A3062"/>
    <w:rsid w:val="008C0BF8"/>
    <w:rsid w:val="008D3C10"/>
    <w:rsid w:val="008E0A73"/>
    <w:rsid w:val="009471AF"/>
    <w:rsid w:val="009655E2"/>
    <w:rsid w:val="009B6D2D"/>
    <w:rsid w:val="009D0ACE"/>
    <w:rsid w:val="00A932FC"/>
    <w:rsid w:val="00AA0CC2"/>
    <w:rsid w:val="00B40BF1"/>
    <w:rsid w:val="00B45DA3"/>
    <w:rsid w:val="00B67822"/>
    <w:rsid w:val="00BC2C1B"/>
    <w:rsid w:val="00C21F22"/>
    <w:rsid w:val="00C74CD7"/>
    <w:rsid w:val="00CB4636"/>
    <w:rsid w:val="00CD619D"/>
    <w:rsid w:val="00D32433"/>
    <w:rsid w:val="00D941D0"/>
    <w:rsid w:val="00DA0FCF"/>
    <w:rsid w:val="00DE3363"/>
    <w:rsid w:val="00DE478D"/>
    <w:rsid w:val="00E02A3F"/>
    <w:rsid w:val="00E405B5"/>
    <w:rsid w:val="00E75A94"/>
    <w:rsid w:val="00E84A7D"/>
    <w:rsid w:val="00EB5524"/>
    <w:rsid w:val="00EB6D62"/>
    <w:rsid w:val="00F2269C"/>
    <w:rsid w:val="00F27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paragraph" w:styleId="BodyTextIndent2">
    <w:name w:val="Body Text Indent 2"/>
    <w:basedOn w:val="Normal"/>
    <w:link w:val="BodyTextIndent2Char"/>
    <w:uiPriority w:val="99"/>
    <w:semiHidden/>
    <w:unhideWhenUsed/>
    <w:rsid w:val="008A3062"/>
    <w:pPr>
      <w:spacing w:after="120" w:line="480" w:lineRule="auto"/>
      <w:ind w:left="360"/>
    </w:pPr>
  </w:style>
  <w:style w:type="character" w:customStyle="1" w:styleId="BodyTextIndent2Char">
    <w:name w:val="Body Text Indent 2 Char"/>
    <w:basedOn w:val="DefaultParagraphFont"/>
    <w:link w:val="BodyTextIndent2"/>
    <w:uiPriority w:val="99"/>
    <w:semiHidden/>
    <w:rsid w:val="008A3062"/>
    <w:rPr>
      <w:rFonts w:ascii="Times New Roman" w:eastAsia="Times New Roman" w:hAnsi="Times New Roman" w:cs="Times New Roman"/>
      <w:lang w:bidi="en-US"/>
    </w:rPr>
  </w:style>
  <w:style w:type="paragraph" w:customStyle="1" w:styleId="Level2">
    <w:name w:val="Level 2"/>
    <w:uiPriority w:val="99"/>
    <w:rsid w:val="00B40BF1"/>
    <w:pPr>
      <w:adjustRightInd w:val="0"/>
      <w:ind w:left="1440"/>
      <w:jc w:val="both"/>
    </w:pPr>
    <w:rPr>
      <w:rFonts w:ascii="Courier" w:eastAsia="Times New Roman" w:hAnsi="Courier" w:cs="Courier"/>
      <w:sz w:val="24"/>
      <w:szCs w:val="24"/>
    </w:rPr>
  </w:style>
  <w:style w:type="paragraph" w:customStyle="1" w:styleId="Level1">
    <w:name w:val="Level 1"/>
    <w:uiPriority w:val="99"/>
    <w:rsid w:val="003A7398"/>
    <w:pPr>
      <w:adjustRightInd w:val="0"/>
      <w:ind w:left="720"/>
      <w:jc w:val="both"/>
    </w:pPr>
    <w:rPr>
      <w:rFonts w:ascii="Courier" w:eastAsia="Times New Roman" w:hAnsi="Courier" w:cs="Courier"/>
      <w:sz w:val="24"/>
      <w:szCs w:val="24"/>
    </w:rPr>
  </w:style>
  <w:style w:type="character" w:styleId="CommentReference">
    <w:name w:val="annotation reference"/>
    <w:uiPriority w:val="99"/>
    <w:semiHidden/>
    <w:unhideWhenUsed/>
    <w:rsid w:val="003A7398"/>
    <w:rPr>
      <w:rFonts w:cs="Times New Roman"/>
      <w:sz w:val="16"/>
      <w:szCs w:val="16"/>
    </w:rPr>
  </w:style>
  <w:style w:type="paragraph" w:styleId="CommentText">
    <w:name w:val="annotation text"/>
    <w:basedOn w:val="Normal"/>
    <w:link w:val="CommentTextChar"/>
    <w:uiPriority w:val="99"/>
    <w:unhideWhenUsed/>
    <w:rsid w:val="003A7398"/>
    <w:pPr>
      <w:adjustRightInd w:val="0"/>
    </w:pPr>
    <w:rPr>
      <w:rFonts w:ascii="Courier" w:hAnsi="Courier" w:cs="Courier"/>
      <w:sz w:val="20"/>
      <w:szCs w:val="20"/>
      <w:lang w:bidi="ar-SA"/>
    </w:rPr>
  </w:style>
  <w:style w:type="character" w:customStyle="1" w:styleId="CommentTextChar">
    <w:name w:val="Comment Text Char"/>
    <w:basedOn w:val="DefaultParagraphFont"/>
    <w:link w:val="CommentText"/>
    <w:uiPriority w:val="99"/>
    <w:rsid w:val="003A7398"/>
    <w:rPr>
      <w:rFonts w:ascii="Courier" w:eastAsia="Times New Roman" w:hAnsi="Courier" w:cs="Courier"/>
      <w:sz w:val="20"/>
      <w:szCs w:val="20"/>
    </w:rPr>
  </w:style>
  <w:style w:type="paragraph" w:customStyle="1" w:styleId="Default">
    <w:name w:val="Default"/>
    <w:rsid w:val="00DE478D"/>
    <w:pPr>
      <w:widowControl/>
      <w:adjustRightInd w:val="0"/>
    </w:pPr>
    <w:rPr>
      <w:rFonts w:ascii="Times New Roman" w:eastAsia="Times New Roman" w:hAnsi="Times New Roman" w:cs="Times New Roman"/>
      <w:color w:val="000000"/>
      <w:sz w:val="24"/>
      <w:szCs w:val="24"/>
    </w:rPr>
  </w:style>
  <w:style w:type="character" w:styleId="FootnoteReference">
    <w:name w:val="footnote reference"/>
    <w:semiHidden/>
    <w:rsid w:val="0067232C"/>
  </w:style>
  <w:style w:type="paragraph" w:styleId="FootnoteText">
    <w:name w:val="footnote text"/>
    <w:basedOn w:val="Normal"/>
    <w:link w:val="FootnoteTextChar"/>
    <w:semiHidden/>
    <w:unhideWhenUsed/>
    <w:rsid w:val="0067232C"/>
    <w:pPr>
      <w:adjustRightInd w:val="0"/>
    </w:pPr>
    <w:rPr>
      <w:sz w:val="20"/>
      <w:szCs w:val="20"/>
      <w:lang w:bidi="ar-SA"/>
    </w:rPr>
  </w:style>
  <w:style w:type="character" w:customStyle="1" w:styleId="FootnoteTextChar">
    <w:name w:val="Footnote Text Char"/>
    <w:basedOn w:val="DefaultParagraphFont"/>
    <w:link w:val="FootnoteText"/>
    <w:semiHidden/>
    <w:rsid w:val="006723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69FC"/>
    <w:pPr>
      <w:adjustRightInd/>
    </w:pPr>
    <w:rPr>
      <w:rFonts w:ascii="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1169FC"/>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D599-3059-404A-AD48-DC4A439B4F5E}">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683294c6-37a3-4ef1-8fc0-8d465748c9d6"/>
    <ds:schemaRef ds:uri="http://schemas.microsoft.com/office/infopath/2007/PartnerControls"/>
    <ds:schemaRef ds:uri="ddf89d24-da51-4c04-a6b5-936a153adb8f"/>
    <ds:schemaRef ds:uri="http://purl.org/dc/terms/"/>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4.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Roselyn D Rosal Tineo (CENSUS/ADDP FED)</cp:lastModifiedBy>
  <cp:revision>2</cp:revision>
  <dcterms:created xsi:type="dcterms:W3CDTF">2024-07-15T18:33:00Z</dcterms:created>
  <dcterms:modified xsi:type="dcterms:W3CDTF">2024-07-15T18:33:00Z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