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CEC" w:rsidRPr="00680F45" w:rsidP="00F35909" w14:paraId="7C2F3525" w14:textId="77777777">
      <w:pPr>
        <w:ind w:left="720"/>
        <w:rPr>
          <w:rFonts w:ascii="Arial" w:hAnsi="Arial" w:cs="Arial"/>
          <w:sz w:val="24"/>
          <w:szCs w:val="24"/>
        </w:rPr>
      </w:pPr>
    </w:p>
    <w:p w:rsidR="00EE4CEC" w:rsidRPr="00414881" w:rsidP="00414881" w14:paraId="3A16BF9B" w14:textId="77777777">
      <w:pPr>
        <w:pStyle w:val="Heading3"/>
        <w:spacing w:line="480" w:lineRule="auto"/>
        <w:ind w:right="43" w:firstLine="274"/>
        <w:jc w:val="center"/>
        <w:rPr>
          <w:sz w:val="28"/>
          <w:szCs w:val="28"/>
        </w:rPr>
      </w:pPr>
    </w:p>
    <w:p w:rsidR="00680F45" w:rsidRPr="00414881" w:rsidP="00414881" w14:paraId="15C17E32" w14:textId="6E731D2C">
      <w:pPr>
        <w:pStyle w:val="Heading3"/>
        <w:spacing w:line="480" w:lineRule="auto"/>
        <w:ind w:right="43" w:firstLine="274"/>
        <w:jc w:val="center"/>
        <w:rPr>
          <w:sz w:val="28"/>
          <w:szCs w:val="28"/>
        </w:rPr>
      </w:pPr>
      <w:r w:rsidRPr="00414881">
        <w:rPr>
          <w:sz w:val="28"/>
          <w:szCs w:val="28"/>
        </w:rPr>
        <w:t xml:space="preserve"> S</w:t>
      </w:r>
      <w:r w:rsidRPr="00414881" w:rsidR="00EC185D">
        <w:rPr>
          <w:sz w:val="28"/>
          <w:szCs w:val="28"/>
        </w:rPr>
        <w:t>UPPORTING STATEMENT</w:t>
      </w:r>
    </w:p>
    <w:p w:rsidR="00680F45" w:rsidRPr="00414881" w:rsidP="00414881" w14:paraId="60E7096E" w14:textId="33562BA1">
      <w:pPr>
        <w:pStyle w:val="Heading3"/>
        <w:spacing w:line="480" w:lineRule="auto"/>
        <w:ind w:right="43" w:firstLine="274"/>
        <w:jc w:val="center"/>
        <w:rPr>
          <w:sz w:val="28"/>
          <w:szCs w:val="28"/>
        </w:rPr>
      </w:pPr>
      <w:r w:rsidRPr="00414881">
        <w:rPr>
          <w:sz w:val="28"/>
          <w:szCs w:val="28"/>
        </w:rPr>
        <w:t>FOR</w:t>
      </w:r>
      <w:r w:rsidRPr="00414881" w:rsidR="00594DCE">
        <w:rPr>
          <w:sz w:val="28"/>
          <w:szCs w:val="28"/>
        </w:rPr>
        <w:t xml:space="preserve"> OMB CONTROL NUMBER 2900-0154</w:t>
      </w:r>
    </w:p>
    <w:p w:rsidR="00C04C78" w:rsidP="00EC185D" w14:paraId="1A40B899" w14:textId="3FF691C9">
      <w:pPr>
        <w:pStyle w:val="BodyText"/>
        <w:jc w:val="center"/>
        <w:rPr>
          <w:rFonts w:cs="Arial"/>
          <w:b/>
          <w:szCs w:val="24"/>
        </w:rPr>
      </w:pPr>
    </w:p>
    <w:p w:rsidR="00594DCE" w:rsidP="002E3836" w14:paraId="1AA1B30E" w14:textId="4359DDDC">
      <w:pPr>
        <w:pStyle w:val="ListParagraph"/>
        <w:numPr>
          <w:ilvl w:val="0"/>
          <w:numId w:val="4"/>
        </w:numPr>
        <w:ind w:right="-187"/>
        <w:rPr>
          <w:rFonts w:ascii="Arial" w:hAnsi="Arial" w:cs="Arial"/>
          <w:bCs/>
          <w:color w:val="000000" w:themeColor="text1"/>
          <w:sz w:val="24"/>
          <w:szCs w:val="24"/>
        </w:rPr>
      </w:pPr>
      <w:r w:rsidRPr="002E3836">
        <w:rPr>
          <w:rFonts w:ascii="Arial" w:hAnsi="Arial" w:cs="Arial"/>
          <w:bCs/>
          <w:color w:val="000000" w:themeColor="text1"/>
          <w:sz w:val="24"/>
          <w:szCs w:val="24"/>
        </w:rPr>
        <w:t xml:space="preserve">APPLICATION FOR VA EDUCATION BENEFITS VAF </w:t>
      </w:r>
      <w:r w:rsidRPr="002E3836">
        <w:rPr>
          <w:rFonts w:ascii="Arial" w:hAnsi="Arial" w:cs="Arial"/>
          <w:bCs/>
          <w:color w:val="000000" w:themeColor="text1"/>
          <w:sz w:val="24"/>
          <w:szCs w:val="24"/>
        </w:rPr>
        <w:t>22-1990;</w:t>
      </w:r>
    </w:p>
    <w:p w:rsidR="002E3836" w:rsidRPr="002E3836" w:rsidP="002E3836" w14:paraId="69A12327" w14:textId="77777777">
      <w:pPr>
        <w:pStyle w:val="ListParagraph"/>
        <w:ind w:right="-187"/>
        <w:rPr>
          <w:rFonts w:ascii="Arial" w:hAnsi="Arial" w:cs="Arial"/>
          <w:bCs/>
          <w:color w:val="000000" w:themeColor="text1"/>
          <w:sz w:val="24"/>
          <w:szCs w:val="24"/>
        </w:rPr>
      </w:pPr>
    </w:p>
    <w:p w:rsidR="00594DCE" w:rsidP="002E3836" w14:paraId="72CC7D39" w14:textId="65CE6E06">
      <w:pPr>
        <w:pStyle w:val="ListParagraph"/>
        <w:numPr>
          <w:ilvl w:val="0"/>
          <w:numId w:val="4"/>
        </w:numPr>
        <w:ind w:right="-187"/>
        <w:rPr>
          <w:rFonts w:ascii="Arial" w:hAnsi="Arial" w:cs="Arial"/>
          <w:bCs/>
          <w:color w:val="000000" w:themeColor="text1"/>
          <w:sz w:val="24"/>
          <w:szCs w:val="24"/>
        </w:rPr>
      </w:pPr>
      <w:r w:rsidRPr="002E3836">
        <w:rPr>
          <w:rFonts w:ascii="Arial" w:hAnsi="Arial" w:cs="Arial"/>
          <w:bCs/>
          <w:color w:val="000000" w:themeColor="text1"/>
          <w:sz w:val="24"/>
          <w:szCs w:val="24"/>
        </w:rPr>
        <w:t>APPLICATION FOR FAMILY MEMBER TO USE TRANSFERRED BENEFITS VAF 22-</w:t>
      </w:r>
      <w:r w:rsidRPr="002E3836">
        <w:rPr>
          <w:rFonts w:ascii="Arial" w:hAnsi="Arial" w:cs="Arial"/>
          <w:bCs/>
          <w:color w:val="000000" w:themeColor="text1"/>
          <w:sz w:val="24"/>
          <w:szCs w:val="24"/>
        </w:rPr>
        <w:t>1990E;</w:t>
      </w:r>
    </w:p>
    <w:p w:rsidR="002E3836" w:rsidRPr="002E3836" w:rsidP="002E3836" w14:paraId="6757301E" w14:textId="77777777">
      <w:pPr>
        <w:pStyle w:val="ListParagraph"/>
        <w:rPr>
          <w:rFonts w:ascii="Arial" w:hAnsi="Arial" w:cs="Arial"/>
          <w:bCs/>
          <w:color w:val="000000" w:themeColor="text1"/>
          <w:sz w:val="24"/>
          <w:szCs w:val="24"/>
        </w:rPr>
      </w:pPr>
    </w:p>
    <w:p w:rsidR="00594DCE" w:rsidRPr="002E3836" w:rsidP="002E3836" w14:paraId="00E46EE8" w14:textId="567F6597">
      <w:pPr>
        <w:pStyle w:val="ListParagraph"/>
        <w:numPr>
          <w:ilvl w:val="0"/>
          <w:numId w:val="4"/>
        </w:numPr>
        <w:ind w:right="-187"/>
        <w:rPr>
          <w:rFonts w:ascii="Arial" w:hAnsi="Arial" w:cs="Arial"/>
          <w:bCs/>
          <w:color w:val="000000" w:themeColor="text1"/>
          <w:sz w:val="24"/>
          <w:szCs w:val="24"/>
        </w:rPr>
      </w:pPr>
      <w:r w:rsidRPr="002E3836">
        <w:rPr>
          <w:rFonts w:ascii="Arial" w:hAnsi="Arial" w:cs="Arial"/>
          <w:bCs/>
          <w:color w:val="000000" w:themeColor="text1"/>
          <w:sz w:val="24"/>
          <w:szCs w:val="24"/>
        </w:rPr>
        <w:t xml:space="preserve">APPLICATION FOR VA BENEFITS UNDER THE NATIONAL CALL TO </w:t>
      </w:r>
    </w:p>
    <w:p w:rsidR="00EC185D" w:rsidRPr="002E3836" w:rsidP="002E3836" w14:paraId="4C57BC64" w14:textId="0538D45E">
      <w:pPr>
        <w:pStyle w:val="ListParagraph"/>
        <w:ind w:right="-187"/>
        <w:rPr>
          <w:rFonts w:cs="Arial"/>
          <w:bCs/>
          <w:szCs w:val="24"/>
        </w:rPr>
      </w:pPr>
      <w:r w:rsidRPr="002E3836">
        <w:rPr>
          <w:rFonts w:ascii="Arial" w:hAnsi="Arial" w:cs="Arial"/>
          <w:bCs/>
          <w:color w:val="000000" w:themeColor="text1"/>
          <w:sz w:val="24"/>
          <w:szCs w:val="24"/>
        </w:rPr>
        <w:t>SERVICE PROGRAM VAF 22-1990</w:t>
      </w:r>
      <w:r w:rsidR="0084431D">
        <w:rPr>
          <w:rFonts w:ascii="Arial" w:hAnsi="Arial" w:cs="Arial"/>
          <w:bCs/>
          <w:color w:val="000000" w:themeColor="text1"/>
          <w:sz w:val="24"/>
          <w:szCs w:val="24"/>
        </w:rPr>
        <w:t>N</w:t>
      </w:r>
      <w:r w:rsidRPr="002E3836">
        <w:rPr>
          <w:rFonts w:ascii="Arial" w:hAnsi="Arial" w:cs="Arial"/>
          <w:bCs/>
          <w:color w:val="000000" w:themeColor="text1"/>
          <w:sz w:val="24"/>
          <w:szCs w:val="24"/>
        </w:rPr>
        <w:t xml:space="preserve"> </w:t>
      </w:r>
    </w:p>
    <w:p w:rsidR="002C1D10" w:rsidRPr="00680F45" w:rsidP="002C1D10" w14:paraId="5CE31979" w14:textId="77777777">
      <w:pPr>
        <w:pStyle w:val="BodyText"/>
        <w:rPr>
          <w:rFonts w:cs="Arial"/>
          <w:szCs w:val="24"/>
        </w:rPr>
      </w:pPr>
    </w:p>
    <w:p w:rsidR="00795D22" w:rsidRPr="001E5428" w:rsidP="00795D22" w14:paraId="0F552C4C" w14:textId="77777777">
      <w:pPr>
        <w:jc w:val="both"/>
        <w:rPr>
          <w:sz w:val="24"/>
          <w:szCs w:val="24"/>
        </w:rPr>
      </w:pPr>
    </w:p>
    <w:p w:rsidR="0004534F" w:rsidRPr="009A099C" w:rsidP="00414881" w14:paraId="51912451" w14:textId="77777777">
      <w:pPr>
        <w:spacing w:line="360" w:lineRule="auto"/>
        <w:contextualSpacing/>
        <w:jc w:val="both"/>
        <w:rPr>
          <w:rFonts w:ascii="Arial" w:hAnsi="Arial"/>
          <w:b/>
          <w:sz w:val="28"/>
          <w:szCs w:val="28"/>
        </w:rPr>
      </w:pPr>
      <w:r w:rsidRPr="009A099C">
        <w:rPr>
          <w:rFonts w:ascii="Arial" w:hAnsi="Arial"/>
          <w:b/>
          <w:sz w:val="28"/>
          <w:szCs w:val="28"/>
        </w:rPr>
        <w:t>Justification.</w:t>
      </w:r>
    </w:p>
    <w:p w:rsidR="0004534F" w:rsidRPr="00414881" w:rsidP="00EB0104" w14:paraId="482B26EB" w14:textId="77777777">
      <w:pPr>
        <w:jc w:val="both"/>
        <w:rPr>
          <w:rFonts w:ascii="Arial" w:hAnsi="Arial"/>
          <w:b/>
          <w:sz w:val="24"/>
          <w:szCs w:val="24"/>
          <w:u w:val="single"/>
        </w:rPr>
      </w:pPr>
    </w:p>
    <w:p w:rsidR="0004534F" w:rsidRPr="00414881" w:rsidP="00EB0104" w14:paraId="3A80EA00" w14:textId="77777777">
      <w:pPr>
        <w:pStyle w:val="BodyText"/>
        <w:spacing w:line="240" w:lineRule="auto"/>
        <w:rPr>
          <w:b/>
          <w:szCs w:val="24"/>
        </w:rPr>
      </w:pPr>
      <w:r w:rsidRPr="00414881">
        <w:rPr>
          <w:b/>
          <w:szCs w:val="24"/>
        </w:rPr>
        <w:t>1.  Explain the circumstances that make the collection of information necessary.  Identify legal or administrative requirements that necessitate the collection of information.</w:t>
      </w:r>
    </w:p>
    <w:p w:rsidR="0004534F" w:rsidP="0004534F" w14:paraId="7E9DD9AA" w14:textId="77777777">
      <w:pPr>
        <w:jc w:val="both"/>
        <w:rPr>
          <w:rFonts w:ascii="Arial" w:hAnsi="Arial"/>
          <w:b/>
          <w:sz w:val="24"/>
          <w:szCs w:val="24"/>
          <w:u w:val="single"/>
        </w:rPr>
      </w:pPr>
    </w:p>
    <w:p w:rsidR="00795D22" w:rsidRPr="001E5428" w:rsidP="00017465" w14:paraId="08B43C88" w14:textId="0998A9A3">
      <w:pPr>
        <w:tabs>
          <w:tab w:val="left" w:pos="360"/>
          <w:tab w:val="left" w:pos="792"/>
        </w:tabs>
        <w:rPr>
          <w:rFonts w:ascii="Arial" w:hAnsi="Arial"/>
          <w:sz w:val="24"/>
          <w:szCs w:val="24"/>
        </w:rPr>
      </w:pPr>
      <w:r w:rsidRPr="001E5428">
        <w:rPr>
          <w:rFonts w:ascii="Arial" w:hAnsi="Arial"/>
          <w:sz w:val="24"/>
          <w:szCs w:val="24"/>
        </w:rPr>
        <w:t>To</w:t>
      </w:r>
      <w:r w:rsidRPr="001E5428">
        <w:rPr>
          <w:rFonts w:ascii="Arial" w:hAnsi="Arial"/>
          <w:sz w:val="24"/>
          <w:szCs w:val="24"/>
        </w:rPr>
        <w:t xml:space="preserve"> receive VA Educational Assistance Allowance under chapters 3</w:t>
      </w:r>
      <w:r w:rsidR="002D13D8">
        <w:rPr>
          <w:rFonts w:ascii="Arial" w:hAnsi="Arial"/>
          <w:sz w:val="24"/>
          <w:szCs w:val="24"/>
        </w:rPr>
        <w:t>0, 32 and 33</w:t>
      </w:r>
      <w:r w:rsidRPr="001E5428">
        <w:rPr>
          <w:rFonts w:ascii="Arial" w:hAnsi="Arial"/>
          <w:sz w:val="24"/>
          <w:szCs w:val="24"/>
        </w:rPr>
        <w:t xml:space="preserve"> of title 38, U.S.C., chapter 1606 of title 10, U.S.C., and sections 903 of P</w:t>
      </w:r>
      <w:r w:rsidR="00836445">
        <w:rPr>
          <w:rFonts w:ascii="Arial" w:hAnsi="Arial"/>
          <w:sz w:val="24"/>
          <w:szCs w:val="24"/>
        </w:rPr>
        <w:t xml:space="preserve">. L. </w:t>
      </w:r>
      <w:r w:rsidRPr="001E5428">
        <w:rPr>
          <w:rFonts w:ascii="Arial" w:hAnsi="Arial"/>
          <w:sz w:val="24"/>
          <w:szCs w:val="24"/>
        </w:rPr>
        <w:t xml:space="preserve">96-342, </w:t>
      </w:r>
      <w:r w:rsidR="00EC7EBD">
        <w:rPr>
          <w:rFonts w:ascii="Arial" w:hAnsi="Arial"/>
          <w:sz w:val="24"/>
          <w:szCs w:val="24"/>
        </w:rPr>
        <w:t>V</w:t>
      </w:r>
      <w:r w:rsidRPr="001E5428">
        <w:rPr>
          <w:rFonts w:ascii="Arial" w:hAnsi="Arial"/>
          <w:sz w:val="24"/>
          <w:szCs w:val="24"/>
        </w:rPr>
        <w:t xml:space="preserve">eterans, </w:t>
      </w:r>
      <w:r w:rsidR="00EC7EBD">
        <w:rPr>
          <w:rFonts w:ascii="Arial" w:hAnsi="Arial"/>
          <w:sz w:val="24"/>
          <w:szCs w:val="24"/>
        </w:rPr>
        <w:t>S</w:t>
      </w:r>
      <w:r w:rsidRPr="001E5428">
        <w:rPr>
          <w:rFonts w:ascii="Arial" w:hAnsi="Arial"/>
          <w:sz w:val="24"/>
          <w:szCs w:val="24"/>
        </w:rPr>
        <w:t>ervice</w:t>
      </w:r>
      <w:r w:rsidR="00EC7EBD">
        <w:rPr>
          <w:rFonts w:ascii="Arial" w:hAnsi="Arial"/>
          <w:sz w:val="24"/>
          <w:szCs w:val="24"/>
        </w:rPr>
        <w:t xml:space="preserve"> </w:t>
      </w:r>
      <w:r w:rsidR="00155164">
        <w:rPr>
          <w:rFonts w:ascii="Arial" w:hAnsi="Arial"/>
          <w:sz w:val="24"/>
          <w:szCs w:val="24"/>
        </w:rPr>
        <w:t>members</w:t>
      </w:r>
      <w:r w:rsidRPr="001E5428">
        <w:rPr>
          <w:rFonts w:ascii="Arial" w:hAnsi="Arial"/>
          <w:sz w:val="24"/>
          <w:szCs w:val="24"/>
        </w:rPr>
        <w:t xml:space="preserve">, and </w:t>
      </w:r>
      <w:r w:rsidR="00EC7EBD">
        <w:rPr>
          <w:rFonts w:ascii="Arial" w:hAnsi="Arial"/>
          <w:sz w:val="24"/>
          <w:szCs w:val="24"/>
        </w:rPr>
        <w:t>R</w:t>
      </w:r>
      <w:r w:rsidRPr="001E5428">
        <w:rPr>
          <w:rFonts w:ascii="Arial" w:hAnsi="Arial"/>
          <w:sz w:val="24"/>
          <w:szCs w:val="24"/>
        </w:rPr>
        <w:t xml:space="preserve">eservists must complete </w:t>
      </w:r>
      <w:r w:rsidR="0079391F">
        <w:rPr>
          <w:rFonts w:ascii="Arial" w:hAnsi="Arial"/>
          <w:sz w:val="24"/>
          <w:szCs w:val="24"/>
        </w:rPr>
        <w:t xml:space="preserve">the </w:t>
      </w:r>
      <w:r w:rsidRPr="001E5428">
        <w:rPr>
          <w:rFonts w:ascii="Arial" w:hAnsi="Arial"/>
          <w:sz w:val="24"/>
          <w:szCs w:val="24"/>
        </w:rPr>
        <w:t>VA Form 22</w:t>
      </w:r>
      <w:r w:rsidRPr="001E5428">
        <w:rPr>
          <w:rFonts w:ascii="Arial" w:hAnsi="Arial"/>
          <w:sz w:val="24"/>
          <w:szCs w:val="24"/>
        </w:rPr>
        <w:noBreakHyphen/>
        <w:t xml:space="preserve">1990 Application for Education Benefits.  </w:t>
      </w:r>
    </w:p>
    <w:p w:rsidR="00795D22" w:rsidRPr="001E5428" w:rsidP="00795D22" w14:paraId="0582E4EF" w14:textId="77777777">
      <w:pPr>
        <w:tabs>
          <w:tab w:val="left" w:pos="360"/>
          <w:tab w:val="left" w:pos="792"/>
        </w:tabs>
        <w:rPr>
          <w:rFonts w:ascii="Arial" w:hAnsi="Arial"/>
          <w:sz w:val="24"/>
          <w:szCs w:val="24"/>
        </w:rPr>
      </w:pPr>
    </w:p>
    <w:p w:rsidR="00795D22" w:rsidRPr="001E5428" w:rsidP="00795D22" w14:paraId="099548CB" w14:textId="77777777">
      <w:pPr>
        <w:tabs>
          <w:tab w:val="left" w:pos="360"/>
          <w:tab w:val="left" w:pos="792"/>
        </w:tabs>
        <w:rPr>
          <w:rFonts w:ascii="Arial" w:hAnsi="Arial"/>
          <w:sz w:val="24"/>
          <w:szCs w:val="24"/>
        </w:rPr>
      </w:pPr>
      <w:r>
        <w:rPr>
          <w:rFonts w:ascii="Arial" w:hAnsi="Arial"/>
          <w:sz w:val="24"/>
          <w:szCs w:val="24"/>
        </w:rPr>
        <w:t>T</w:t>
      </w:r>
      <w:r w:rsidRPr="001E5428">
        <w:rPr>
          <w:rFonts w:ascii="Arial" w:hAnsi="Arial"/>
          <w:sz w:val="24"/>
          <w:szCs w:val="24"/>
        </w:rPr>
        <w:t>he following administrative and legal requirements necessitate the collection:</w:t>
      </w:r>
    </w:p>
    <w:p w:rsidR="00795D22" w:rsidP="00477D7A" w14:paraId="3F164E6A" w14:textId="6DB7DB6F">
      <w:pPr>
        <w:tabs>
          <w:tab w:val="left" w:pos="360"/>
          <w:tab w:val="left" w:pos="792"/>
        </w:tabs>
        <w:rPr>
          <w:rFonts w:ascii="Arial" w:hAnsi="Arial"/>
          <w:sz w:val="24"/>
          <w:szCs w:val="24"/>
        </w:rPr>
      </w:pPr>
      <w:r w:rsidRPr="001E5428">
        <w:rPr>
          <w:rFonts w:ascii="Arial" w:hAnsi="Arial"/>
          <w:sz w:val="24"/>
          <w:szCs w:val="24"/>
        </w:rPr>
        <w:t xml:space="preserve">38 U.S.C. </w:t>
      </w:r>
      <w:r w:rsidR="00836445">
        <w:rPr>
          <w:rFonts w:ascii="Arial" w:hAnsi="Arial"/>
          <w:sz w:val="24"/>
          <w:szCs w:val="24"/>
        </w:rPr>
        <w:t xml:space="preserve">Sections </w:t>
      </w:r>
      <w:r w:rsidRPr="001E5428">
        <w:rPr>
          <w:rFonts w:ascii="Arial" w:hAnsi="Arial"/>
          <w:sz w:val="24"/>
          <w:szCs w:val="24"/>
        </w:rPr>
        <w:t>3034; 3241, 3323(a), 3471, 5101(a); P</w:t>
      </w:r>
      <w:r w:rsidR="00836445">
        <w:rPr>
          <w:rFonts w:ascii="Arial" w:hAnsi="Arial"/>
          <w:sz w:val="24"/>
          <w:szCs w:val="24"/>
        </w:rPr>
        <w:t>.L.</w:t>
      </w:r>
      <w:r w:rsidRPr="001E5428">
        <w:rPr>
          <w:rFonts w:ascii="Arial" w:hAnsi="Arial"/>
          <w:sz w:val="24"/>
          <w:szCs w:val="24"/>
        </w:rPr>
        <w:t xml:space="preserve"> 96-342, </w:t>
      </w:r>
      <w:r w:rsidR="00836445">
        <w:rPr>
          <w:rFonts w:ascii="Arial" w:hAnsi="Arial"/>
          <w:sz w:val="24"/>
          <w:szCs w:val="24"/>
        </w:rPr>
        <w:t>S</w:t>
      </w:r>
      <w:r w:rsidRPr="001E5428">
        <w:rPr>
          <w:rFonts w:ascii="Arial" w:hAnsi="Arial"/>
          <w:sz w:val="24"/>
          <w:szCs w:val="24"/>
        </w:rPr>
        <w:t xml:space="preserve">ection 903; </w:t>
      </w:r>
      <w:r w:rsidR="00B35FFB">
        <w:rPr>
          <w:rFonts w:ascii="Arial" w:hAnsi="Arial"/>
          <w:sz w:val="24"/>
          <w:szCs w:val="24"/>
        </w:rPr>
        <w:t xml:space="preserve">and </w:t>
      </w:r>
      <w:r w:rsidRPr="001E5428">
        <w:rPr>
          <w:rFonts w:ascii="Arial" w:hAnsi="Arial"/>
          <w:sz w:val="24"/>
          <w:szCs w:val="24"/>
        </w:rPr>
        <w:t xml:space="preserve">10 U.S.C. </w:t>
      </w:r>
      <w:r w:rsidR="00836445">
        <w:rPr>
          <w:rFonts w:ascii="Arial" w:hAnsi="Arial"/>
          <w:sz w:val="24"/>
          <w:szCs w:val="24"/>
        </w:rPr>
        <w:t xml:space="preserve">Section </w:t>
      </w:r>
      <w:r w:rsidRPr="001E5428">
        <w:rPr>
          <w:rFonts w:ascii="Arial" w:hAnsi="Arial"/>
          <w:sz w:val="24"/>
          <w:szCs w:val="24"/>
        </w:rPr>
        <w:t>1613</w:t>
      </w:r>
      <w:r w:rsidR="0053198F">
        <w:rPr>
          <w:rFonts w:ascii="Arial" w:hAnsi="Arial"/>
          <w:sz w:val="24"/>
          <w:szCs w:val="24"/>
        </w:rPr>
        <w:t>1</w:t>
      </w:r>
      <w:r w:rsidRPr="001E5428">
        <w:rPr>
          <w:rFonts w:ascii="Arial" w:hAnsi="Arial"/>
          <w:sz w:val="24"/>
          <w:szCs w:val="24"/>
        </w:rPr>
        <w:t xml:space="preserve">. </w:t>
      </w:r>
    </w:p>
    <w:p w:rsidR="0004534F" w:rsidP="00477D7A" w14:paraId="55CB1AF6" w14:textId="77777777">
      <w:pPr>
        <w:tabs>
          <w:tab w:val="left" w:pos="360"/>
          <w:tab w:val="left" w:pos="792"/>
        </w:tabs>
        <w:rPr>
          <w:rFonts w:ascii="Arial" w:hAnsi="Arial"/>
          <w:sz w:val="24"/>
          <w:szCs w:val="24"/>
        </w:rPr>
      </w:pPr>
    </w:p>
    <w:p w:rsidR="0004534F" w:rsidRPr="00414881" w:rsidP="00ED4639" w14:paraId="6BD64321" w14:textId="77777777">
      <w:pPr>
        <w:pStyle w:val="BodyText"/>
        <w:spacing w:line="240" w:lineRule="auto"/>
        <w:ind w:right="43"/>
        <w:rPr>
          <w:b/>
          <w:szCs w:val="24"/>
        </w:rPr>
      </w:pPr>
      <w:r w:rsidRPr="00414881">
        <w:rPr>
          <w:b/>
          <w:szCs w:val="24"/>
        </w:rPr>
        <w:t>2.  Indicate how, by whom, and for what purposes the information is to be used; indicate actual use the agency has made of the information received from current collection.</w:t>
      </w:r>
    </w:p>
    <w:p w:rsidR="0004534F" w:rsidRPr="00EB0104" w:rsidP="00EB0104" w14:paraId="15DA3B2F" w14:textId="77777777">
      <w:pPr>
        <w:rPr>
          <w:rFonts w:ascii="Arial" w:hAnsi="Arial" w:cs="Arial"/>
          <w:sz w:val="24"/>
          <w:szCs w:val="24"/>
        </w:rPr>
      </w:pPr>
    </w:p>
    <w:p w:rsidR="00F0477B" w:rsidRPr="00EB0104" w:rsidP="00EB0104" w14:paraId="701D26A7" w14:textId="649B1D47">
      <w:pPr>
        <w:rPr>
          <w:rFonts w:ascii="Arial" w:hAnsi="Arial" w:cs="Arial"/>
          <w:sz w:val="24"/>
          <w:szCs w:val="24"/>
        </w:rPr>
      </w:pPr>
      <w:bookmarkStart w:id="0" w:name="_Hlk119924517"/>
      <w:r>
        <w:rPr>
          <w:rFonts w:ascii="Arial" w:hAnsi="Arial" w:cs="Arial"/>
          <w:sz w:val="24"/>
          <w:szCs w:val="24"/>
        </w:rPr>
        <w:t>Applicants</w:t>
      </w:r>
      <w:r w:rsidRPr="00EB0104" w:rsidR="00795D22">
        <w:rPr>
          <w:rFonts w:ascii="Arial" w:hAnsi="Arial" w:cs="Arial"/>
          <w:sz w:val="24"/>
          <w:szCs w:val="24"/>
        </w:rPr>
        <w:t xml:space="preserve"> </w:t>
      </w:r>
      <w:r w:rsidR="00C93DD9">
        <w:rPr>
          <w:rFonts w:ascii="Arial" w:hAnsi="Arial" w:cs="Arial"/>
          <w:sz w:val="24"/>
          <w:szCs w:val="24"/>
        </w:rPr>
        <w:t xml:space="preserve">complete and submit </w:t>
      </w:r>
      <w:r w:rsidRPr="00EB0104" w:rsidR="00795D22">
        <w:rPr>
          <w:rFonts w:ascii="Arial" w:hAnsi="Arial" w:cs="Arial"/>
          <w:sz w:val="24"/>
          <w:szCs w:val="24"/>
        </w:rPr>
        <w:t>th</w:t>
      </w:r>
      <w:r w:rsidR="00C93DD9">
        <w:rPr>
          <w:rFonts w:ascii="Arial" w:hAnsi="Arial" w:cs="Arial"/>
          <w:sz w:val="24"/>
          <w:szCs w:val="24"/>
        </w:rPr>
        <w:t>e Application for Education Benefits, VA Form 22-1990; National Call to Service (NCS), VA Form 22-1990N</w:t>
      </w:r>
      <w:r w:rsidR="008D0621">
        <w:rPr>
          <w:rFonts w:ascii="Arial" w:hAnsi="Arial" w:cs="Arial"/>
          <w:sz w:val="24"/>
          <w:szCs w:val="24"/>
        </w:rPr>
        <w:t xml:space="preserve">, </w:t>
      </w:r>
      <w:r w:rsidR="00C93DD9">
        <w:rPr>
          <w:rFonts w:ascii="Arial" w:hAnsi="Arial" w:cs="Arial"/>
          <w:sz w:val="24"/>
          <w:szCs w:val="24"/>
        </w:rPr>
        <w:t>or the Transfer of Entitlement (TOE)</w:t>
      </w:r>
      <w:r w:rsidR="008D0621">
        <w:rPr>
          <w:rFonts w:ascii="Arial" w:hAnsi="Arial" w:cs="Arial"/>
          <w:sz w:val="24"/>
          <w:szCs w:val="24"/>
        </w:rPr>
        <w:t>,</w:t>
      </w:r>
      <w:r w:rsidR="00C93DD9">
        <w:rPr>
          <w:rFonts w:ascii="Arial" w:hAnsi="Arial" w:cs="Arial"/>
          <w:sz w:val="24"/>
          <w:szCs w:val="24"/>
        </w:rPr>
        <w:t xml:space="preserve"> VA Form 22-1990E </w:t>
      </w:r>
      <w:r w:rsidR="008D0621">
        <w:rPr>
          <w:rFonts w:ascii="Arial" w:hAnsi="Arial" w:cs="Arial"/>
          <w:sz w:val="24"/>
          <w:szCs w:val="24"/>
        </w:rPr>
        <w:t xml:space="preserve">to file their </w:t>
      </w:r>
      <w:r w:rsidRPr="00EB0104" w:rsidR="00795D22">
        <w:rPr>
          <w:rFonts w:ascii="Arial" w:hAnsi="Arial" w:cs="Arial"/>
          <w:sz w:val="24"/>
          <w:szCs w:val="24"/>
        </w:rPr>
        <w:t>claim for VA education benefits</w:t>
      </w:r>
      <w:r w:rsidR="00C93DD9">
        <w:rPr>
          <w:rFonts w:ascii="Arial" w:hAnsi="Arial" w:cs="Arial"/>
          <w:sz w:val="24"/>
          <w:szCs w:val="24"/>
        </w:rPr>
        <w:t>, which all have different eligibility requirements</w:t>
      </w:r>
      <w:r w:rsidRPr="00EB0104" w:rsidR="00795D22">
        <w:rPr>
          <w:rFonts w:ascii="Arial" w:hAnsi="Arial" w:cs="Arial"/>
          <w:sz w:val="24"/>
          <w:szCs w:val="24"/>
        </w:rPr>
        <w:t xml:space="preserve">.  The information requested on </w:t>
      </w:r>
      <w:r w:rsidR="00B20C1B">
        <w:rPr>
          <w:rFonts w:ascii="Arial" w:hAnsi="Arial" w:cs="Arial"/>
          <w:sz w:val="24"/>
          <w:szCs w:val="24"/>
        </w:rPr>
        <w:t>each</w:t>
      </w:r>
      <w:r w:rsidR="008D0621">
        <w:rPr>
          <w:rFonts w:ascii="Arial" w:hAnsi="Arial" w:cs="Arial"/>
          <w:sz w:val="24"/>
          <w:szCs w:val="24"/>
        </w:rPr>
        <w:t xml:space="preserve"> of </w:t>
      </w:r>
      <w:r w:rsidRPr="00EB0104" w:rsidR="00795D22">
        <w:rPr>
          <w:rFonts w:ascii="Arial" w:hAnsi="Arial" w:cs="Arial"/>
          <w:sz w:val="24"/>
          <w:szCs w:val="24"/>
        </w:rPr>
        <w:t>th</w:t>
      </w:r>
      <w:r w:rsidR="00C93DD9">
        <w:rPr>
          <w:rFonts w:ascii="Arial" w:hAnsi="Arial" w:cs="Arial"/>
          <w:sz w:val="24"/>
          <w:szCs w:val="24"/>
        </w:rPr>
        <w:t>ese</w:t>
      </w:r>
      <w:r w:rsidRPr="00EB0104" w:rsidR="00795D22">
        <w:rPr>
          <w:rFonts w:ascii="Arial" w:hAnsi="Arial" w:cs="Arial"/>
          <w:sz w:val="24"/>
          <w:szCs w:val="24"/>
        </w:rPr>
        <w:t xml:space="preserve"> form</w:t>
      </w:r>
      <w:r w:rsidR="008D0621">
        <w:rPr>
          <w:rFonts w:ascii="Arial" w:hAnsi="Arial" w:cs="Arial"/>
          <w:sz w:val="24"/>
          <w:szCs w:val="24"/>
        </w:rPr>
        <w:t>s</w:t>
      </w:r>
      <w:r w:rsidRPr="00EB0104" w:rsidR="00795D22">
        <w:rPr>
          <w:rFonts w:ascii="Arial" w:hAnsi="Arial" w:cs="Arial"/>
          <w:sz w:val="24"/>
          <w:szCs w:val="24"/>
        </w:rPr>
        <w:t xml:space="preserve"> help</w:t>
      </w:r>
      <w:r w:rsidR="00B20C1B">
        <w:rPr>
          <w:rFonts w:ascii="Arial" w:hAnsi="Arial" w:cs="Arial"/>
          <w:sz w:val="24"/>
          <w:szCs w:val="24"/>
        </w:rPr>
        <w:t>s</w:t>
      </w:r>
      <w:r w:rsidRPr="00EB0104" w:rsidR="00795D22">
        <w:rPr>
          <w:rFonts w:ascii="Arial" w:hAnsi="Arial" w:cs="Arial"/>
          <w:sz w:val="24"/>
          <w:szCs w:val="24"/>
        </w:rPr>
        <w:t xml:space="preserve"> VA </w:t>
      </w:r>
      <w:r w:rsidR="008D0621">
        <w:rPr>
          <w:rFonts w:ascii="Arial" w:hAnsi="Arial" w:cs="Arial"/>
          <w:sz w:val="24"/>
          <w:szCs w:val="24"/>
        </w:rPr>
        <w:t xml:space="preserve">to </w:t>
      </w:r>
      <w:r w:rsidRPr="00EB0104" w:rsidR="00795D22">
        <w:rPr>
          <w:rFonts w:ascii="Arial" w:hAnsi="Arial" w:cs="Arial"/>
          <w:sz w:val="24"/>
          <w:szCs w:val="24"/>
        </w:rPr>
        <w:t>determine the applicant’s eligibility to education benefits</w:t>
      </w:r>
      <w:r w:rsidR="008D0621">
        <w:rPr>
          <w:rFonts w:ascii="Arial" w:hAnsi="Arial" w:cs="Arial"/>
          <w:sz w:val="24"/>
          <w:szCs w:val="24"/>
        </w:rPr>
        <w:t>.</w:t>
      </w:r>
      <w:r w:rsidRPr="00EB0104" w:rsidR="00795D22">
        <w:rPr>
          <w:rFonts w:ascii="Arial" w:hAnsi="Arial" w:cs="Arial"/>
          <w:sz w:val="24"/>
          <w:szCs w:val="24"/>
        </w:rPr>
        <w:t xml:space="preserve">  </w:t>
      </w:r>
      <w:r w:rsidR="008D0621">
        <w:rPr>
          <w:rFonts w:ascii="Arial" w:hAnsi="Arial" w:cs="Arial"/>
          <w:sz w:val="24"/>
          <w:szCs w:val="24"/>
        </w:rPr>
        <w:t xml:space="preserve"> </w:t>
      </w:r>
    </w:p>
    <w:bookmarkEnd w:id="0"/>
    <w:p w:rsidR="00795D22" w:rsidRPr="001E5428" w:rsidP="00EB0104" w14:paraId="2960D7CB" w14:textId="77777777">
      <w:pPr>
        <w:pStyle w:val="Heading3"/>
        <w:rPr>
          <w:szCs w:val="24"/>
        </w:rPr>
      </w:pPr>
      <w:r w:rsidRPr="001E5428">
        <w:rPr>
          <w:szCs w:val="24"/>
        </w:rPr>
        <w:t xml:space="preserve">  </w:t>
      </w:r>
    </w:p>
    <w:p w:rsidR="00F0477B" w:rsidRPr="00414881" w:rsidP="00ED4639" w14:paraId="03435BCB" w14:textId="77777777">
      <w:pPr>
        <w:contextualSpacing/>
        <w:rPr>
          <w:rFonts w:ascii="Arial" w:hAnsi="Arial" w:cs="Arial"/>
          <w:b/>
          <w:bCs/>
          <w:sz w:val="28"/>
          <w:szCs w:val="28"/>
        </w:rPr>
      </w:pPr>
      <w:r w:rsidRPr="00414881">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414881">
        <w:rPr>
          <w:rFonts w:ascii="Arial" w:hAnsi="Arial" w:cs="Arial"/>
          <w:b/>
          <w:bCs/>
          <w:sz w:val="24"/>
          <w:szCs w:val="24"/>
        </w:rPr>
        <w:t>e.g.</w:t>
      </w:r>
      <w:r w:rsidRPr="00414881">
        <w:rPr>
          <w:rFonts w:ascii="Arial" w:hAnsi="Arial" w:cs="Arial"/>
          <w:b/>
          <w:bCs/>
          <w:sz w:val="24"/>
          <w:szCs w:val="24"/>
        </w:rPr>
        <w:t xml:space="preserve"> permitting electronic </w:t>
      </w:r>
      <w:r w:rsidRPr="00414881">
        <w:rPr>
          <w:rFonts w:ascii="Arial" w:hAnsi="Arial" w:cs="Arial"/>
          <w:b/>
          <w:bCs/>
          <w:sz w:val="24"/>
          <w:szCs w:val="24"/>
        </w:rPr>
        <w:t>submission of responses, and the basis for the decision for adopting this means of collection.  Also describe any consideration of using information technology to reduce burden</w:t>
      </w:r>
      <w:r w:rsidRPr="00414881">
        <w:rPr>
          <w:rFonts w:ascii="Arial" w:hAnsi="Arial" w:cs="Arial"/>
          <w:b/>
          <w:bCs/>
          <w:sz w:val="28"/>
          <w:szCs w:val="28"/>
        </w:rPr>
        <w:t>.</w:t>
      </w:r>
    </w:p>
    <w:p w:rsidR="00F0477B" w:rsidP="00F0477B" w14:paraId="4A253471" w14:textId="77777777">
      <w:pPr>
        <w:ind w:left="720"/>
        <w:contextualSpacing/>
        <w:rPr>
          <w:rFonts w:ascii="Arial" w:hAnsi="Arial" w:cs="Arial"/>
          <w:sz w:val="24"/>
          <w:szCs w:val="24"/>
        </w:rPr>
      </w:pPr>
    </w:p>
    <w:p w:rsidR="00F0477B" w:rsidP="00F0477B" w14:paraId="1059A7A7" w14:textId="64D96808">
      <w:pPr>
        <w:rPr>
          <w:rFonts w:ascii="Arial" w:hAnsi="Arial" w:cs="Arial"/>
          <w:color w:val="000000"/>
          <w:sz w:val="24"/>
          <w:szCs w:val="24"/>
        </w:rPr>
      </w:pPr>
      <w:r>
        <w:rPr>
          <w:rFonts w:ascii="Arial" w:hAnsi="Arial" w:cs="Arial"/>
          <w:sz w:val="24"/>
          <w:szCs w:val="24"/>
        </w:rPr>
        <w:t xml:space="preserve">Information technology is helping to reduce the burden.  The online electronic collection is </w:t>
      </w:r>
      <w:r w:rsidR="00B35FFB">
        <w:rPr>
          <w:rFonts w:ascii="Arial" w:hAnsi="Arial" w:cs="Arial"/>
          <w:sz w:val="24"/>
          <w:szCs w:val="24"/>
        </w:rPr>
        <w:t xml:space="preserve">available </w:t>
      </w:r>
      <w:r>
        <w:rPr>
          <w:rFonts w:ascii="Arial" w:hAnsi="Arial" w:cs="Arial"/>
          <w:sz w:val="24"/>
          <w:szCs w:val="24"/>
        </w:rPr>
        <w:t xml:space="preserve">via the </w:t>
      </w:r>
      <w:r w:rsidR="00EB0104">
        <w:rPr>
          <w:rFonts w:ascii="Arial" w:hAnsi="Arial" w:cs="Arial"/>
          <w:sz w:val="24"/>
          <w:szCs w:val="24"/>
        </w:rPr>
        <w:t>V</w:t>
      </w:r>
      <w:r w:rsidR="000F3A5A">
        <w:rPr>
          <w:rFonts w:ascii="Arial" w:hAnsi="Arial" w:cs="Arial"/>
          <w:sz w:val="24"/>
          <w:szCs w:val="24"/>
        </w:rPr>
        <w:t>a.gov</w:t>
      </w:r>
      <w:r>
        <w:rPr>
          <w:rFonts w:ascii="Arial" w:hAnsi="Arial" w:cs="Arial"/>
          <w:sz w:val="24"/>
          <w:szCs w:val="24"/>
        </w:rPr>
        <w:t xml:space="preserve"> </w:t>
      </w:r>
      <w:r w:rsidR="00EB0104">
        <w:rPr>
          <w:rFonts w:ascii="Arial" w:hAnsi="Arial" w:cs="Arial"/>
          <w:sz w:val="24"/>
          <w:szCs w:val="24"/>
        </w:rPr>
        <w:t xml:space="preserve">application </w:t>
      </w:r>
      <w:r>
        <w:rPr>
          <w:rFonts w:ascii="Arial" w:hAnsi="Arial" w:cs="Arial"/>
          <w:sz w:val="24"/>
          <w:szCs w:val="24"/>
        </w:rPr>
        <w:t>portal</w:t>
      </w:r>
      <w:r w:rsidR="009277FD">
        <w:rPr>
          <w:rFonts w:ascii="Arial" w:hAnsi="Arial" w:cs="Arial"/>
          <w:sz w:val="24"/>
          <w:szCs w:val="24"/>
        </w:rPr>
        <w:t>,</w:t>
      </w:r>
      <w:r>
        <w:rPr>
          <w:rFonts w:ascii="Arial" w:hAnsi="Arial" w:cs="Arial"/>
          <w:sz w:val="24"/>
          <w:szCs w:val="24"/>
        </w:rPr>
        <w:t xml:space="preserve"> which has been implemented using algorithms that now helps guide the applicant more thoroughly toward completing the application based on the responses </w:t>
      </w:r>
      <w:r w:rsidR="00EB0104">
        <w:rPr>
          <w:rFonts w:ascii="Arial" w:hAnsi="Arial" w:cs="Arial"/>
          <w:sz w:val="24"/>
          <w:szCs w:val="24"/>
        </w:rPr>
        <w:t xml:space="preserve">they provide for the </w:t>
      </w:r>
      <w:r>
        <w:rPr>
          <w:rFonts w:ascii="Arial" w:hAnsi="Arial" w:cs="Arial"/>
          <w:sz w:val="24"/>
          <w:szCs w:val="24"/>
        </w:rPr>
        <w:t xml:space="preserve">questions being asked.  The implementation and use of </w:t>
      </w:r>
      <w:r w:rsidR="00EB0104">
        <w:rPr>
          <w:rFonts w:ascii="Arial" w:hAnsi="Arial" w:cs="Arial"/>
          <w:sz w:val="24"/>
          <w:szCs w:val="24"/>
        </w:rPr>
        <w:t>V</w:t>
      </w:r>
      <w:r w:rsidR="000F3A5A">
        <w:rPr>
          <w:rFonts w:ascii="Arial" w:hAnsi="Arial" w:cs="Arial"/>
          <w:sz w:val="24"/>
          <w:szCs w:val="24"/>
        </w:rPr>
        <w:t>a.gov</w:t>
      </w:r>
      <w:r>
        <w:rPr>
          <w:rFonts w:ascii="Arial" w:hAnsi="Arial" w:cs="Arial"/>
          <w:sz w:val="24"/>
          <w:szCs w:val="24"/>
        </w:rPr>
        <w:t xml:space="preserve"> helps to reduce the burden while continuing to enable the </w:t>
      </w:r>
      <w:r w:rsidR="00BA3864">
        <w:rPr>
          <w:rFonts w:ascii="Arial" w:hAnsi="Arial" w:cs="Arial"/>
          <w:sz w:val="24"/>
          <w:szCs w:val="24"/>
        </w:rPr>
        <w:t xml:space="preserve">claimant </w:t>
      </w:r>
      <w:r>
        <w:rPr>
          <w:rFonts w:ascii="Arial" w:hAnsi="Arial" w:cs="Arial"/>
          <w:sz w:val="24"/>
          <w:szCs w:val="24"/>
        </w:rPr>
        <w:t>to submit the application directly to the Regional Processing Office (RPO) with jurisdiction over the claim, thus reducing potential errors</w:t>
      </w:r>
      <w:r w:rsidR="00EB0104">
        <w:rPr>
          <w:rFonts w:ascii="Arial" w:hAnsi="Arial" w:cs="Arial"/>
          <w:sz w:val="24"/>
          <w:szCs w:val="24"/>
        </w:rPr>
        <w:t>,</w:t>
      </w:r>
      <w:r>
        <w:rPr>
          <w:rFonts w:ascii="Arial" w:hAnsi="Arial" w:cs="Arial"/>
          <w:sz w:val="24"/>
          <w:szCs w:val="24"/>
        </w:rPr>
        <w:t xml:space="preserve"> and speeding up the application process.   </w:t>
      </w:r>
    </w:p>
    <w:p w:rsidR="00795D22" w:rsidRPr="001E5428" w:rsidP="00795D22" w14:paraId="5A81588E" w14:textId="77777777">
      <w:pPr>
        <w:tabs>
          <w:tab w:val="left" w:pos="360"/>
          <w:tab w:val="left" w:pos="792"/>
        </w:tabs>
        <w:rPr>
          <w:rFonts w:ascii="Arial" w:hAnsi="Arial"/>
          <w:sz w:val="24"/>
          <w:szCs w:val="24"/>
        </w:rPr>
      </w:pPr>
      <w:r w:rsidRPr="001E5428">
        <w:rPr>
          <w:rFonts w:ascii="Arial" w:hAnsi="Arial"/>
          <w:sz w:val="24"/>
          <w:szCs w:val="24"/>
        </w:rPr>
        <w:t xml:space="preserve"> </w:t>
      </w:r>
    </w:p>
    <w:p w:rsidR="0004534F" w:rsidRPr="00414881" w:rsidP="00ED4639" w14:paraId="2F2F23D7" w14:textId="77777777">
      <w:pPr>
        <w:pStyle w:val="BodyText"/>
        <w:spacing w:line="240" w:lineRule="auto"/>
        <w:ind w:right="43"/>
        <w:contextualSpacing/>
        <w:rPr>
          <w:b/>
          <w:szCs w:val="24"/>
        </w:rPr>
      </w:pPr>
      <w:r w:rsidRPr="00414881">
        <w:rPr>
          <w:b/>
          <w:szCs w:val="24"/>
        </w:rPr>
        <w:t>4.  Describe efforts to identify duplication.  Show specifically why any similar information already available cannot be used or modified for use for the purposes described in Item 2 above.</w:t>
      </w:r>
    </w:p>
    <w:p w:rsidR="0004534F" w:rsidP="00017465" w14:paraId="3E7ECA4B" w14:textId="77777777">
      <w:pPr>
        <w:rPr>
          <w:rFonts w:ascii="Arial" w:hAnsi="Arial" w:cs="Arial"/>
          <w:sz w:val="24"/>
          <w:szCs w:val="24"/>
        </w:rPr>
      </w:pPr>
    </w:p>
    <w:p w:rsidR="00017465" w:rsidRPr="001E5428" w:rsidP="00017465" w14:paraId="21237B43" w14:textId="23FF305B">
      <w:pPr>
        <w:rPr>
          <w:rFonts w:ascii="Arial" w:hAnsi="Arial" w:cs="Arial"/>
          <w:sz w:val="24"/>
          <w:szCs w:val="24"/>
        </w:rPr>
      </w:pPr>
      <w:r>
        <w:rPr>
          <w:rFonts w:ascii="Arial" w:hAnsi="Arial" w:cs="Arial"/>
          <w:sz w:val="24"/>
          <w:szCs w:val="24"/>
        </w:rPr>
        <w:t>P</w:t>
      </w:r>
      <w:r w:rsidRPr="001E5428">
        <w:rPr>
          <w:rFonts w:ascii="Arial" w:hAnsi="Arial" w:cs="Arial"/>
          <w:sz w:val="24"/>
          <w:szCs w:val="24"/>
        </w:rPr>
        <w:t xml:space="preserve">rogram reviews were conducted to identify potential areas of duplication; however, none were found to exist.  There is no known Department or </w:t>
      </w:r>
      <w:r w:rsidR="009277FD">
        <w:rPr>
          <w:rFonts w:ascii="Arial" w:hAnsi="Arial" w:cs="Arial"/>
          <w:sz w:val="24"/>
          <w:szCs w:val="24"/>
        </w:rPr>
        <w:t>A</w:t>
      </w:r>
      <w:r w:rsidRPr="001E5428">
        <w:rPr>
          <w:rFonts w:ascii="Arial" w:hAnsi="Arial" w:cs="Arial"/>
          <w:sz w:val="24"/>
          <w:szCs w:val="24"/>
        </w:rPr>
        <w:t xml:space="preserve">gency which maintains the necessary information, nor is it available from other sources within our </w:t>
      </w:r>
      <w:r w:rsidRPr="001E5428">
        <w:rPr>
          <w:rFonts w:ascii="Arial" w:hAnsi="Arial" w:cs="Arial"/>
          <w:sz w:val="24"/>
          <w:szCs w:val="24"/>
        </w:rPr>
        <w:t>Department</w:t>
      </w:r>
      <w:r w:rsidRPr="001E5428">
        <w:rPr>
          <w:rFonts w:ascii="Arial" w:hAnsi="Arial" w:cs="Arial"/>
          <w:sz w:val="24"/>
          <w:szCs w:val="24"/>
        </w:rPr>
        <w:t>.</w:t>
      </w:r>
    </w:p>
    <w:p w:rsidR="00795D22" w:rsidRPr="001E5428" w:rsidP="00795D22" w14:paraId="693C6EE9" w14:textId="77777777">
      <w:pPr>
        <w:tabs>
          <w:tab w:val="left" w:pos="360"/>
          <w:tab w:val="left" w:pos="792"/>
        </w:tabs>
        <w:rPr>
          <w:rFonts w:ascii="Arial" w:hAnsi="Arial"/>
          <w:sz w:val="24"/>
          <w:szCs w:val="24"/>
        </w:rPr>
      </w:pPr>
    </w:p>
    <w:p w:rsidR="0004534F" w:rsidRPr="00414881" w:rsidP="00ED4639" w14:paraId="4E77DBFA" w14:textId="77777777">
      <w:pPr>
        <w:pStyle w:val="BodyText"/>
        <w:spacing w:line="240" w:lineRule="auto"/>
        <w:ind w:right="43"/>
        <w:contextualSpacing/>
        <w:rPr>
          <w:b/>
          <w:szCs w:val="24"/>
        </w:rPr>
      </w:pPr>
      <w:r w:rsidRPr="00414881">
        <w:rPr>
          <w:b/>
          <w:szCs w:val="24"/>
        </w:rPr>
        <w:t>5.  If the collection of information impacts small businesses or other small entities, describe any methods used to minimize burden.</w:t>
      </w:r>
    </w:p>
    <w:p w:rsidR="0004534F" w:rsidP="00795D22" w14:paraId="673EDEE8" w14:textId="77777777">
      <w:pPr>
        <w:tabs>
          <w:tab w:val="left" w:pos="360"/>
          <w:tab w:val="left" w:pos="792"/>
        </w:tabs>
        <w:rPr>
          <w:rFonts w:ascii="Arial" w:hAnsi="Arial"/>
          <w:sz w:val="24"/>
          <w:szCs w:val="24"/>
        </w:rPr>
      </w:pPr>
    </w:p>
    <w:p w:rsidR="00795D22" w:rsidRPr="001E5428" w:rsidP="00795D22" w14:paraId="71FA695B" w14:textId="0D814308">
      <w:pPr>
        <w:tabs>
          <w:tab w:val="left" w:pos="360"/>
          <w:tab w:val="left" w:pos="792"/>
        </w:tabs>
        <w:rPr>
          <w:rFonts w:ascii="Arial" w:hAnsi="Arial"/>
          <w:sz w:val="24"/>
          <w:szCs w:val="24"/>
        </w:rPr>
      </w:pPr>
      <w:r w:rsidRPr="001E5428">
        <w:rPr>
          <w:rFonts w:ascii="Arial" w:hAnsi="Arial"/>
          <w:sz w:val="24"/>
          <w:szCs w:val="24"/>
        </w:rPr>
        <w:t>The information collection only involves individuals (</w:t>
      </w:r>
      <w:r w:rsidR="00ED4639">
        <w:rPr>
          <w:rFonts w:ascii="Arial" w:hAnsi="Arial"/>
          <w:sz w:val="24"/>
          <w:szCs w:val="24"/>
        </w:rPr>
        <w:t>V</w:t>
      </w:r>
      <w:r w:rsidRPr="001E5428">
        <w:rPr>
          <w:rFonts w:ascii="Arial" w:hAnsi="Arial"/>
          <w:sz w:val="24"/>
          <w:szCs w:val="24"/>
        </w:rPr>
        <w:t xml:space="preserve">eterans, </w:t>
      </w:r>
      <w:r w:rsidR="00ED4639">
        <w:rPr>
          <w:rFonts w:ascii="Arial" w:hAnsi="Arial"/>
          <w:sz w:val="24"/>
          <w:szCs w:val="24"/>
        </w:rPr>
        <w:t>S</w:t>
      </w:r>
      <w:r w:rsidRPr="001E5428">
        <w:rPr>
          <w:rFonts w:ascii="Arial" w:hAnsi="Arial"/>
          <w:sz w:val="24"/>
          <w:szCs w:val="24"/>
        </w:rPr>
        <w:t>ervice</w:t>
      </w:r>
      <w:r w:rsidR="00ED4639">
        <w:rPr>
          <w:rFonts w:ascii="Arial" w:hAnsi="Arial"/>
          <w:sz w:val="24"/>
          <w:szCs w:val="24"/>
        </w:rPr>
        <w:t xml:space="preserve"> </w:t>
      </w:r>
      <w:r w:rsidRPr="001E5428">
        <w:rPr>
          <w:rFonts w:ascii="Arial" w:hAnsi="Arial"/>
          <w:sz w:val="24"/>
          <w:szCs w:val="24"/>
        </w:rPr>
        <w:t>persons</w:t>
      </w:r>
      <w:r w:rsidR="00ED4639">
        <w:rPr>
          <w:rFonts w:ascii="Arial" w:hAnsi="Arial"/>
          <w:sz w:val="24"/>
          <w:szCs w:val="24"/>
        </w:rPr>
        <w:t>,</w:t>
      </w:r>
      <w:r w:rsidRPr="001E5428">
        <w:rPr>
          <w:rFonts w:ascii="Arial" w:hAnsi="Arial"/>
          <w:sz w:val="24"/>
          <w:szCs w:val="24"/>
        </w:rPr>
        <w:t xml:space="preserve"> </w:t>
      </w:r>
      <w:r w:rsidR="00ED4639">
        <w:rPr>
          <w:rFonts w:ascii="Arial" w:hAnsi="Arial"/>
          <w:sz w:val="24"/>
          <w:szCs w:val="24"/>
        </w:rPr>
        <w:t>R</w:t>
      </w:r>
      <w:r w:rsidRPr="001E5428">
        <w:rPr>
          <w:rFonts w:ascii="Arial" w:hAnsi="Arial"/>
          <w:sz w:val="24"/>
          <w:szCs w:val="24"/>
        </w:rPr>
        <w:t>eservists</w:t>
      </w:r>
      <w:r w:rsidR="00BA3864">
        <w:rPr>
          <w:rFonts w:ascii="Arial" w:hAnsi="Arial"/>
          <w:sz w:val="24"/>
          <w:szCs w:val="24"/>
        </w:rPr>
        <w:t>, and some dependents</w:t>
      </w:r>
      <w:r w:rsidRPr="001E5428">
        <w:rPr>
          <w:rFonts w:ascii="Arial" w:hAnsi="Arial"/>
          <w:sz w:val="24"/>
          <w:szCs w:val="24"/>
        </w:rPr>
        <w:t>).  There is no impact on small businesses</w:t>
      </w:r>
      <w:r w:rsidR="00BA3864">
        <w:rPr>
          <w:rFonts w:ascii="Arial" w:hAnsi="Arial"/>
          <w:sz w:val="24"/>
          <w:szCs w:val="24"/>
        </w:rPr>
        <w:t xml:space="preserve"> or other small entities</w:t>
      </w:r>
      <w:r w:rsidRPr="001E5428">
        <w:rPr>
          <w:rFonts w:ascii="Arial" w:hAnsi="Arial"/>
          <w:sz w:val="24"/>
          <w:szCs w:val="24"/>
        </w:rPr>
        <w:t>.</w:t>
      </w:r>
    </w:p>
    <w:p w:rsidR="00795D22" w:rsidRPr="001E5428" w:rsidP="00795D22" w14:paraId="2EA8CAA9" w14:textId="77777777">
      <w:pPr>
        <w:tabs>
          <w:tab w:val="left" w:pos="360"/>
          <w:tab w:val="left" w:pos="792"/>
        </w:tabs>
        <w:rPr>
          <w:rFonts w:ascii="Arial" w:hAnsi="Arial"/>
          <w:sz w:val="24"/>
          <w:szCs w:val="24"/>
        </w:rPr>
      </w:pPr>
    </w:p>
    <w:p w:rsidR="0004534F" w:rsidRPr="00414881" w:rsidP="00ED4639" w14:paraId="1C737FF3" w14:textId="77777777">
      <w:pPr>
        <w:pStyle w:val="BodyText"/>
        <w:spacing w:line="240" w:lineRule="auto"/>
        <w:ind w:right="43"/>
        <w:contextualSpacing/>
        <w:rPr>
          <w:b/>
          <w:szCs w:val="24"/>
        </w:rPr>
      </w:pPr>
      <w:r w:rsidRPr="00414881">
        <w:rPr>
          <w:b/>
          <w:szCs w:val="24"/>
        </w:rPr>
        <w:t>6.  Describe the consequences to Federal program or policy activities if the collection is not conducted or is conducted less frequently as well as any technical or legal obstacles to reducing burden.</w:t>
      </w:r>
    </w:p>
    <w:p w:rsidR="0004534F" w:rsidRPr="00543C1B" w:rsidP="00414881" w14:paraId="16005CDB" w14:textId="77777777">
      <w:pPr>
        <w:pStyle w:val="BodyText"/>
        <w:spacing w:line="360" w:lineRule="auto"/>
        <w:ind w:right="43"/>
        <w:contextualSpacing/>
        <w:rPr>
          <w:b/>
          <w:szCs w:val="24"/>
        </w:rPr>
      </w:pPr>
    </w:p>
    <w:p w:rsidR="00795D22" w:rsidRPr="001E5428" w:rsidP="00795D22" w14:paraId="26F6ED4A" w14:textId="32F554FC">
      <w:pPr>
        <w:tabs>
          <w:tab w:val="left" w:pos="360"/>
          <w:tab w:val="left" w:pos="792"/>
        </w:tabs>
        <w:rPr>
          <w:rFonts w:ascii="Arial" w:hAnsi="Arial"/>
          <w:sz w:val="24"/>
          <w:szCs w:val="24"/>
        </w:rPr>
      </w:pPr>
      <w:r w:rsidRPr="001E5428">
        <w:rPr>
          <w:rFonts w:ascii="Arial" w:hAnsi="Arial"/>
          <w:sz w:val="24"/>
          <w:szCs w:val="24"/>
        </w:rPr>
        <w:t>If this information is not collected</w:t>
      </w:r>
      <w:r w:rsidR="00ED4639">
        <w:rPr>
          <w:rFonts w:ascii="Arial" w:hAnsi="Arial"/>
          <w:sz w:val="24"/>
          <w:szCs w:val="24"/>
        </w:rPr>
        <w:t>,</w:t>
      </w:r>
      <w:r w:rsidRPr="001E5428">
        <w:rPr>
          <w:rFonts w:ascii="Arial" w:hAnsi="Arial"/>
          <w:sz w:val="24"/>
          <w:szCs w:val="24"/>
        </w:rPr>
        <w:t xml:space="preserve"> or is collected less </w:t>
      </w:r>
      <w:r w:rsidR="00BA3864">
        <w:rPr>
          <w:rFonts w:ascii="Arial" w:hAnsi="Arial"/>
          <w:sz w:val="24"/>
          <w:szCs w:val="24"/>
        </w:rPr>
        <w:t>frequently</w:t>
      </w:r>
      <w:r w:rsidRPr="001E5428">
        <w:rPr>
          <w:rFonts w:ascii="Arial" w:hAnsi="Arial"/>
          <w:sz w:val="24"/>
          <w:szCs w:val="24"/>
        </w:rPr>
        <w:t>, VA could not pay education benefits.  There are no technical or legal obstacles to reducing the burden.</w:t>
      </w:r>
    </w:p>
    <w:p w:rsidR="00795D22" w:rsidRPr="001E5428" w:rsidP="00795D22" w14:paraId="69F9FE68" w14:textId="77777777">
      <w:pPr>
        <w:tabs>
          <w:tab w:val="left" w:pos="360"/>
          <w:tab w:val="left" w:pos="792"/>
        </w:tabs>
        <w:rPr>
          <w:rFonts w:ascii="Arial" w:hAnsi="Arial"/>
          <w:sz w:val="24"/>
          <w:szCs w:val="24"/>
        </w:rPr>
      </w:pPr>
    </w:p>
    <w:p w:rsidR="0004534F" w:rsidRPr="00414881" w:rsidP="00ED4639" w14:paraId="36A1C368" w14:textId="282A3F37">
      <w:pPr>
        <w:pStyle w:val="BodyText"/>
        <w:spacing w:line="240" w:lineRule="auto"/>
        <w:ind w:right="43"/>
        <w:contextualSpacing/>
        <w:rPr>
          <w:b/>
          <w:szCs w:val="24"/>
        </w:rPr>
      </w:pPr>
      <w:r w:rsidRPr="00414881">
        <w:rPr>
          <w:b/>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1591C" w:rsidRPr="00414881" w:rsidP="0004534F" w14:paraId="77C7DDE5" w14:textId="77777777">
      <w:pPr>
        <w:pStyle w:val="BodyText"/>
        <w:rPr>
          <w:b/>
          <w:sz w:val="28"/>
          <w:szCs w:val="28"/>
        </w:rPr>
      </w:pPr>
    </w:p>
    <w:p w:rsidR="0041591C" w:rsidP="00795D22" w14:paraId="7C87DBF5" w14:textId="77777777">
      <w:pPr>
        <w:tabs>
          <w:tab w:val="left" w:pos="360"/>
          <w:tab w:val="left" w:pos="792"/>
        </w:tabs>
        <w:rPr>
          <w:rFonts w:ascii="Arial" w:hAnsi="Arial" w:cs="Arial"/>
          <w:sz w:val="24"/>
          <w:szCs w:val="24"/>
        </w:rPr>
      </w:pPr>
      <w:r w:rsidRPr="007A4E7B">
        <w:rPr>
          <w:rFonts w:ascii="Arial" w:hAnsi="Arial" w:cs="Arial"/>
          <w:sz w:val="24"/>
          <w:szCs w:val="24"/>
        </w:rPr>
        <w:t xml:space="preserve">There is no special circumstance requiring collection in a manner inconsistent with </w:t>
      </w:r>
    </w:p>
    <w:p w:rsidR="00795D22" w:rsidP="00795D22" w14:paraId="4220A517" w14:textId="570A7FE7">
      <w:pPr>
        <w:tabs>
          <w:tab w:val="left" w:pos="360"/>
          <w:tab w:val="left" w:pos="792"/>
        </w:tabs>
        <w:rPr>
          <w:rFonts w:ascii="Arial" w:hAnsi="Arial" w:cs="Arial"/>
          <w:sz w:val="24"/>
          <w:szCs w:val="24"/>
        </w:rPr>
      </w:pPr>
      <w:r w:rsidRPr="007A4E7B">
        <w:rPr>
          <w:rFonts w:ascii="Arial" w:hAnsi="Arial" w:cs="Arial"/>
          <w:sz w:val="24"/>
          <w:szCs w:val="24"/>
        </w:rPr>
        <w:t>5 CFR 1320.6 guidelines</w:t>
      </w:r>
      <w:r>
        <w:rPr>
          <w:rFonts w:ascii="Arial" w:hAnsi="Arial" w:cs="Arial"/>
          <w:sz w:val="24"/>
          <w:szCs w:val="24"/>
        </w:rPr>
        <w:t>.</w:t>
      </w:r>
    </w:p>
    <w:p w:rsidR="00414881" w:rsidRPr="00414881" w:rsidP="00795D22" w14:paraId="48D99789" w14:textId="77777777">
      <w:pPr>
        <w:tabs>
          <w:tab w:val="left" w:pos="360"/>
          <w:tab w:val="left" w:pos="792"/>
        </w:tabs>
        <w:rPr>
          <w:rFonts w:ascii="Arial" w:hAnsi="Arial"/>
          <w:sz w:val="28"/>
          <w:szCs w:val="28"/>
        </w:rPr>
      </w:pPr>
    </w:p>
    <w:p w:rsidR="0004534F" w:rsidRPr="00414881" w:rsidP="00ED4639" w14:paraId="796A3A58" w14:textId="77777777">
      <w:pPr>
        <w:tabs>
          <w:tab w:val="left" w:pos="360"/>
          <w:tab w:val="left" w:pos="792"/>
        </w:tabs>
        <w:contextualSpacing/>
        <w:rPr>
          <w:rFonts w:ascii="Arial" w:hAnsi="Arial" w:cs="Arial"/>
          <w:sz w:val="24"/>
          <w:szCs w:val="24"/>
        </w:rPr>
      </w:pPr>
      <w:r w:rsidRPr="00414881">
        <w:rPr>
          <w:rFonts w:ascii="Arial" w:hAnsi="Arial" w:cs="Arial"/>
          <w:b/>
          <w:sz w:val="24"/>
          <w:szCs w:val="24"/>
        </w:rPr>
        <w:t xml:space="preserve">8.  If applicable, provide a copy and identify the date and page number of </w:t>
      </w:r>
      <w:r w:rsidRPr="00414881" w:rsidR="009A099C">
        <w:rPr>
          <w:rFonts w:ascii="Arial" w:hAnsi="Arial" w:cs="Arial"/>
          <w:b/>
          <w:sz w:val="24"/>
          <w:szCs w:val="24"/>
        </w:rPr>
        <w:t>publications</w:t>
      </w:r>
      <w:r w:rsidRPr="00414881">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w:t>
      </w:r>
      <w:r w:rsidRPr="00414881">
        <w:rPr>
          <w:rFonts w:ascii="Arial" w:hAnsi="Arial" w:cs="Arial"/>
          <w:b/>
          <w:color w:val="000000" w:themeColor="text1"/>
          <w:sz w:val="24"/>
          <w:szCs w:val="24"/>
        </w:rPr>
        <w:t xml:space="preserve">to that notice and describe actions taken by the sponsor in responses to these comments.  Specifically address comments received on cost and hour burden.   </w:t>
      </w:r>
    </w:p>
    <w:p w:rsidR="0004534F" w:rsidP="005C6F40" w14:paraId="7B4D3DBF" w14:textId="77777777">
      <w:pPr>
        <w:tabs>
          <w:tab w:val="left" w:pos="360"/>
          <w:tab w:val="left" w:pos="792"/>
        </w:tabs>
        <w:rPr>
          <w:rFonts w:ascii="Arial" w:hAnsi="Arial"/>
          <w:sz w:val="24"/>
          <w:szCs w:val="24"/>
        </w:rPr>
      </w:pPr>
    </w:p>
    <w:p w:rsidR="00795D22" w:rsidRPr="00ED4639" w:rsidP="005C6F40" w14:paraId="5D46CB49" w14:textId="3DAC549F">
      <w:pPr>
        <w:tabs>
          <w:tab w:val="left" w:pos="360"/>
          <w:tab w:val="left" w:pos="792"/>
        </w:tabs>
        <w:rPr>
          <w:rFonts w:ascii="Arial" w:hAnsi="Arial"/>
          <w:sz w:val="24"/>
          <w:szCs w:val="24"/>
        </w:rPr>
      </w:pPr>
      <w:r w:rsidRPr="00ED4639">
        <w:rPr>
          <w:rFonts w:ascii="Arial" w:hAnsi="Arial"/>
          <w:sz w:val="24"/>
          <w:szCs w:val="24"/>
        </w:rPr>
        <w:t xml:space="preserve">The Department notice </w:t>
      </w:r>
      <w:r w:rsidRPr="00ED4639" w:rsidR="000E280D">
        <w:rPr>
          <w:rFonts w:ascii="Arial" w:hAnsi="Arial"/>
          <w:sz w:val="24"/>
          <w:szCs w:val="24"/>
        </w:rPr>
        <w:t>w</w:t>
      </w:r>
      <w:r w:rsidRPr="00ED4639" w:rsidR="0004534F">
        <w:rPr>
          <w:rFonts w:ascii="Arial" w:hAnsi="Arial"/>
          <w:sz w:val="24"/>
          <w:szCs w:val="24"/>
        </w:rPr>
        <w:t>as</w:t>
      </w:r>
      <w:r w:rsidRPr="00ED4639">
        <w:rPr>
          <w:rFonts w:ascii="Arial" w:hAnsi="Arial"/>
          <w:sz w:val="24"/>
          <w:szCs w:val="24"/>
        </w:rPr>
        <w:t xml:space="preserve"> published in the Fed</w:t>
      </w:r>
      <w:r w:rsidRPr="00ED4639" w:rsidR="004F531A">
        <w:rPr>
          <w:rFonts w:ascii="Arial" w:hAnsi="Arial"/>
          <w:sz w:val="24"/>
          <w:szCs w:val="24"/>
        </w:rPr>
        <w:t>eral Register on</w:t>
      </w:r>
      <w:r w:rsidRPr="00ED4639" w:rsidR="006B1435">
        <w:rPr>
          <w:rFonts w:ascii="Arial" w:hAnsi="Arial"/>
          <w:sz w:val="24"/>
          <w:szCs w:val="24"/>
        </w:rPr>
        <w:t xml:space="preserve"> </w:t>
      </w:r>
      <w:r w:rsidR="00913363">
        <w:rPr>
          <w:rFonts w:ascii="Arial" w:hAnsi="Arial"/>
          <w:sz w:val="24"/>
          <w:szCs w:val="24"/>
        </w:rPr>
        <w:t xml:space="preserve">December 2, 2022, </w:t>
      </w:r>
      <w:r w:rsidRPr="00ED4639" w:rsidR="006B1435">
        <w:rPr>
          <w:rFonts w:ascii="Arial" w:hAnsi="Arial"/>
          <w:sz w:val="24"/>
          <w:szCs w:val="24"/>
        </w:rPr>
        <w:t xml:space="preserve"> Volume </w:t>
      </w:r>
      <w:r w:rsidR="00913363">
        <w:rPr>
          <w:rFonts w:ascii="Arial" w:hAnsi="Arial"/>
          <w:sz w:val="24"/>
          <w:szCs w:val="24"/>
        </w:rPr>
        <w:t>87</w:t>
      </w:r>
      <w:r w:rsidRPr="00ED4639" w:rsidR="006B1435">
        <w:rPr>
          <w:rFonts w:ascii="Arial" w:hAnsi="Arial"/>
          <w:sz w:val="24"/>
          <w:szCs w:val="24"/>
        </w:rPr>
        <w:t>, N</w:t>
      </w:r>
      <w:r w:rsidR="00ED4639">
        <w:rPr>
          <w:rFonts w:ascii="Arial" w:hAnsi="Arial"/>
          <w:sz w:val="24"/>
          <w:szCs w:val="24"/>
        </w:rPr>
        <w:t xml:space="preserve">o. </w:t>
      </w:r>
      <w:r w:rsidR="00913363">
        <w:rPr>
          <w:rFonts w:ascii="Arial" w:hAnsi="Arial"/>
          <w:sz w:val="24"/>
          <w:szCs w:val="24"/>
        </w:rPr>
        <w:t>231</w:t>
      </w:r>
      <w:r w:rsidRPr="00ED4639" w:rsidR="006B1435">
        <w:rPr>
          <w:rFonts w:ascii="Arial" w:hAnsi="Arial"/>
          <w:sz w:val="24"/>
          <w:szCs w:val="24"/>
        </w:rPr>
        <w:t>, page</w:t>
      </w:r>
      <w:r w:rsidRPr="00ED4639" w:rsidR="00317F28">
        <w:rPr>
          <w:rFonts w:ascii="Arial" w:hAnsi="Arial"/>
          <w:sz w:val="24"/>
          <w:szCs w:val="24"/>
        </w:rPr>
        <w:t xml:space="preserve">s </w:t>
      </w:r>
      <w:r w:rsidR="00913363">
        <w:rPr>
          <w:rFonts w:ascii="Arial" w:hAnsi="Arial"/>
          <w:sz w:val="24"/>
          <w:szCs w:val="24"/>
        </w:rPr>
        <w:t>74214</w:t>
      </w:r>
      <w:r w:rsidRPr="00ED4639">
        <w:rPr>
          <w:rFonts w:ascii="Arial" w:hAnsi="Arial"/>
          <w:sz w:val="24"/>
          <w:szCs w:val="24"/>
        </w:rPr>
        <w:t xml:space="preserve">.  </w:t>
      </w:r>
      <w:r w:rsidRPr="00ED4639" w:rsidR="0004534F">
        <w:rPr>
          <w:rFonts w:ascii="Arial" w:hAnsi="Arial"/>
          <w:sz w:val="24"/>
          <w:szCs w:val="24"/>
        </w:rPr>
        <w:t>No comments were received.</w:t>
      </w:r>
    </w:p>
    <w:p w:rsidR="0004534F" w:rsidRPr="00ED4639" w:rsidP="00414881" w14:paraId="7FF195F1" w14:textId="77777777">
      <w:pPr>
        <w:pStyle w:val="BodyText"/>
        <w:spacing w:line="360" w:lineRule="auto"/>
        <w:ind w:right="43"/>
        <w:contextualSpacing/>
        <w:rPr>
          <w:szCs w:val="24"/>
        </w:rPr>
      </w:pPr>
    </w:p>
    <w:p w:rsidR="0004534F" w:rsidRPr="00414881" w:rsidP="00ED4639" w14:paraId="42BBCFE4" w14:textId="5764E870">
      <w:pPr>
        <w:pStyle w:val="BodyText"/>
        <w:spacing w:line="240" w:lineRule="auto"/>
        <w:ind w:right="43"/>
        <w:contextualSpacing/>
        <w:rPr>
          <w:b/>
          <w:szCs w:val="24"/>
        </w:rPr>
      </w:pPr>
      <w:r w:rsidRPr="00414881">
        <w:rPr>
          <w:b/>
          <w:szCs w:val="24"/>
        </w:rPr>
        <w:t>9.  Explain any decision to provide any payment or gift to respondents, other</w:t>
      </w:r>
      <w:r w:rsidRPr="00414881" w:rsidR="00414881">
        <w:rPr>
          <w:b/>
          <w:szCs w:val="24"/>
        </w:rPr>
        <w:t xml:space="preserve"> </w:t>
      </w:r>
      <w:r w:rsidRPr="00414881">
        <w:rPr>
          <w:b/>
          <w:szCs w:val="24"/>
        </w:rPr>
        <w:t>than remuneration of contractors or grantees.</w:t>
      </w:r>
    </w:p>
    <w:p w:rsidR="0004534F" w:rsidRPr="00414881" w:rsidP="00477D7A" w14:paraId="3A232C47" w14:textId="77777777">
      <w:pPr>
        <w:tabs>
          <w:tab w:val="left" w:pos="360"/>
          <w:tab w:val="left" w:pos="792"/>
        </w:tabs>
        <w:rPr>
          <w:rFonts w:ascii="Arial" w:hAnsi="Arial"/>
          <w:sz w:val="28"/>
          <w:szCs w:val="28"/>
        </w:rPr>
      </w:pPr>
    </w:p>
    <w:p w:rsidR="00795D22" w:rsidRPr="001E5428" w:rsidP="00477D7A" w14:paraId="72668073" w14:textId="77777777">
      <w:pPr>
        <w:tabs>
          <w:tab w:val="left" w:pos="360"/>
          <w:tab w:val="left" w:pos="792"/>
        </w:tabs>
        <w:rPr>
          <w:rFonts w:ascii="Arial" w:hAnsi="Arial"/>
          <w:sz w:val="24"/>
          <w:szCs w:val="24"/>
        </w:rPr>
      </w:pPr>
      <w:r w:rsidRPr="001E5428">
        <w:rPr>
          <w:rFonts w:ascii="Arial" w:hAnsi="Arial"/>
          <w:sz w:val="24"/>
          <w:szCs w:val="24"/>
        </w:rPr>
        <w:t>VA does not provide any payment or gift to respondents.</w:t>
      </w:r>
    </w:p>
    <w:p w:rsidR="00477D7A" w:rsidRPr="001E5428" w:rsidP="00414881" w14:paraId="615AA1C1" w14:textId="77777777">
      <w:pPr>
        <w:tabs>
          <w:tab w:val="left" w:pos="360"/>
          <w:tab w:val="left" w:pos="792"/>
        </w:tabs>
        <w:spacing w:line="360" w:lineRule="auto"/>
        <w:contextualSpacing/>
        <w:rPr>
          <w:rFonts w:ascii="Arial" w:hAnsi="Arial"/>
          <w:sz w:val="24"/>
          <w:szCs w:val="24"/>
        </w:rPr>
      </w:pPr>
    </w:p>
    <w:p w:rsidR="00405846" w:rsidRPr="00414881" w:rsidP="00ED4639" w14:paraId="6CFC4B31" w14:textId="77777777">
      <w:pPr>
        <w:pStyle w:val="BodyText"/>
        <w:spacing w:line="240" w:lineRule="auto"/>
        <w:ind w:right="43"/>
        <w:contextualSpacing/>
        <w:rPr>
          <w:b/>
          <w:color w:val="000000"/>
          <w:szCs w:val="24"/>
        </w:rPr>
      </w:pPr>
      <w:r w:rsidRPr="00414881">
        <w:rPr>
          <w:b/>
          <w:szCs w:val="24"/>
        </w:rPr>
        <w:t xml:space="preserve">10. </w:t>
      </w:r>
      <w:r w:rsidRPr="00414881">
        <w:rPr>
          <w:b/>
          <w:color w:val="000000"/>
          <w:szCs w:val="24"/>
        </w:rPr>
        <w:t>Describe any assurance of confidentiality provided to respondents and the basis for the assurance in statute, regulation, or agency policy.</w:t>
      </w:r>
    </w:p>
    <w:p w:rsidR="00405846" w:rsidP="00795D22" w14:paraId="25DD8E17" w14:textId="77777777">
      <w:pPr>
        <w:tabs>
          <w:tab w:val="left" w:pos="360"/>
          <w:tab w:val="left" w:pos="792"/>
        </w:tabs>
        <w:rPr>
          <w:rFonts w:ascii="Arial" w:hAnsi="Arial"/>
          <w:sz w:val="24"/>
          <w:szCs w:val="24"/>
        </w:rPr>
      </w:pPr>
    </w:p>
    <w:p w:rsidR="00795D22" w:rsidRPr="001E5428" w:rsidP="00795D22" w14:paraId="3FA0C26D" w14:textId="05C2416C">
      <w:pPr>
        <w:tabs>
          <w:tab w:val="left" w:pos="360"/>
          <w:tab w:val="left" w:pos="792"/>
        </w:tabs>
        <w:rPr>
          <w:rFonts w:ascii="Arial" w:hAnsi="Arial"/>
          <w:sz w:val="24"/>
          <w:szCs w:val="24"/>
        </w:rPr>
      </w:pPr>
      <w:r>
        <w:rPr>
          <w:rFonts w:ascii="Arial" w:hAnsi="Arial"/>
          <w:sz w:val="24"/>
          <w:szCs w:val="24"/>
        </w:rPr>
        <w:t xml:space="preserve">The </w:t>
      </w:r>
      <w:r w:rsidRPr="001E5428">
        <w:rPr>
          <w:rFonts w:ascii="Arial" w:hAnsi="Arial"/>
          <w:sz w:val="24"/>
          <w:szCs w:val="24"/>
        </w:rPr>
        <w:t>VA Form</w:t>
      </w:r>
      <w:r w:rsidR="008D0621">
        <w:rPr>
          <w:rFonts w:ascii="Arial" w:hAnsi="Arial"/>
          <w:sz w:val="24"/>
          <w:szCs w:val="24"/>
        </w:rPr>
        <w:t>s</w:t>
      </w:r>
      <w:r w:rsidRPr="001E5428">
        <w:rPr>
          <w:rFonts w:ascii="Arial" w:hAnsi="Arial"/>
          <w:sz w:val="24"/>
          <w:szCs w:val="24"/>
        </w:rPr>
        <w:t xml:space="preserve"> 22-1990</w:t>
      </w:r>
      <w:r w:rsidR="008D0621">
        <w:rPr>
          <w:rFonts w:ascii="Arial" w:hAnsi="Arial"/>
          <w:sz w:val="24"/>
          <w:szCs w:val="24"/>
        </w:rPr>
        <w:t>,1990N, and 1990E are</w:t>
      </w:r>
      <w:r w:rsidRPr="001E5428">
        <w:rPr>
          <w:rFonts w:ascii="Arial" w:hAnsi="Arial"/>
          <w:sz w:val="24"/>
          <w:szCs w:val="24"/>
        </w:rPr>
        <w:t xml:space="preserve"> retained permanently in the student’s education file.  Our assurance of confidentiality is covered by our System of Records, </w:t>
      </w:r>
      <w:r w:rsidRPr="001E5428">
        <w:rPr>
          <w:rFonts w:ascii="Arial" w:hAnsi="Arial"/>
          <w:sz w:val="24"/>
          <w:szCs w:val="24"/>
          <w:u w:val="single"/>
        </w:rPr>
        <w:t>Compensation, Pension, Education</w:t>
      </w:r>
      <w:r>
        <w:rPr>
          <w:rFonts w:ascii="Arial" w:hAnsi="Arial"/>
          <w:sz w:val="24"/>
          <w:szCs w:val="24"/>
          <w:u w:val="single"/>
        </w:rPr>
        <w:t xml:space="preserve"> and Veteran Readiness and Employment Records-VA</w:t>
      </w:r>
      <w:bookmarkStart w:id="1" w:name="_Hlk14346065"/>
      <w:r>
        <w:rPr>
          <w:rFonts w:ascii="Arial" w:hAnsi="Arial"/>
          <w:sz w:val="24"/>
          <w:szCs w:val="24"/>
          <w:u w:val="single"/>
        </w:rPr>
        <w:t>,</w:t>
      </w:r>
      <w:r w:rsidRPr="001E5428">
        <w:rPr>
          <w:rFonts w:ascii="Arial" w:hAnsi="Arial"/>
          <w:sz w:val="24"/>
          <w:szCs w:val="24"/>
          <w:u w:val="single"/>
        </w:rPr>
        <w:t xml:space="preserve"> (58VA21/22/28)</w:t>
      </w:r>
      <w:r w:rsidR="009277FD">
        <w:rPr>
          <w:rFonts w:ascii="Arial" w:hAnsi="Arial"/>
          <w:sz w:val="24"/>
          <w:szCs w:val="24"/>
          <w:u w:val="single"/>
        </w:rPr>
        <w:t>,</w:t>
      </w:r>
      <w:r w:rsidRPr="001E5428">
        <w:rPr>
          <w:rFonts w:ascii="Arial" w:hAnsi="Arial"/>
          <w:sz w:val="24"/>
          <w:szCs w:val="24"/>
        </w:rPr>
        <w:t xml:space="preserve"> which are contained in the Privacy Act Issuances, 20</w:t>
      </w:r>
      <w:r w:rsidRPr="001E5428" w:rsidR="004F531A">
        <w:rPr>
          <w:rFonts w:ascii="Arial" w:hAnsi="Arial"/>
          <w:sz w:val="24"/>
          <w:szCs w:val="24"/>
        </w:rPr>
        <w:t>12</w:t>
      </w:r>
      <w:r w:rsidRPr="001E5428">
        <w:rPr>
          <w:rFonts w:ascii="Arial" w:hAnsi="Arial"/>
          <w:sz w:val="24"/>
          <w:szCs w:val="24"/>
        </w:rPr>
        <w:t xml:space="preserve"> Compilation</w:t>
      </w:r>
      <w:bookmarkEnd w:id="1"/>
      <w:r w:rsidRPr="001E5428">
        <w:rPr>
          <w:rFonts w:ascii="Arial" w:hAnsi="Arial"/>
          <w:sz w:val="24"/>
          <w:szCs w:val="24"/>
        </w:rPr>
        <w:t>.</w:t>
      </w:r>
    </w:p>
    <w:p w:rsidR="00795D22" w:rsidRPr="001E5428" w:rsidP="00795D22" w14:paraId="154FA0AC" w14:textId="77777777">
      <w:pPr>
        <w:tabs>
          <w:tab w:val="left" w:pos="360"/>
          <w:tab w:val="left" w:pos="792"/>
        </w:tabs>
        <w:rPr>
          <w:rFonts w:ascii="Arial" w:hAnsi="Arial"/>
          <w:sz w:val="24"/>
          <w:szCs w:val="24"/>
        </w:rPr>
      </w:pPr>
    </w:p>
    <w:p w:rsidR="00405846" w:rsidRPr="00414881" w:rsidP="00ED4639" w14:paraId="2AD3AE7E" w14:textId="77777777">
      <w:pPr>
        <w:pStyle w:val="BodyText"/>
        <w:spacing w:line="240" w:lineRule="auto"/>
        <w:ind w:right="43"/>
        <w:contextualSpacing/>
        <w:rPr>
          <w:b/>
          <w:szCs w:val="24"/>
        </w:rPr>
      </w:pPr>
      <w:r w:rsidRPr="00414881">
        <w:rPr>
          <w:b/>
          <w:szCs w:val="24"/>
        </w:rPr>
        <w:t>11. Provide additional justification for any questions of a sensitive nature</w:t>
      </w:r>
      <w:r w:rsidRPr="00414881">
        <w:rPr>
          <w:b/>
          <w:color w:val="0000FF"/>
          <w:szCs w:val="24"/>
        </w:rPr>
        <w:t xml:space="preserve"> </w:t>
      </w:r>
      <w:r w:rsidRPr="00414881">
        <w:rPr>
          <w:b/>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05846" w:rsidP="00795D22" w14:paraId="15D9E09B" w14:textId="77777777">
      <w:pPr>
        <w:tabs>
          <w:tab w:val="left" w:pos="360"/>
          <w:tab w:val="left" w:pos="792"/>
        </w:tabs>
        <w:rPr>
          <w:rFonts w:ascii="Arial" w:hAnsi="Arial"/>
          <w:sz w:val="24"/>
          <w:szCs w:val="24"/>
        </w:rPr>
      </w:pPr>
    </w:p>
    <w:p w:rsidR="00795D22" w:rsidRPr="001E5428" w:rsidP="00795D22" w14:paraId="628A6310" w14:textId="77777777">
      <w:pPr>
        <w:tabs>
          <w:tab w:val="left" w:pos="360"/>
          <w:tab w:val="left" w:pos="792"/>
        </w:tabs>
        <w:rPr>
          <w:rFonts w:ascii="Arial" w:hAnsi="Arial"/>
          <w:sz w:val="24"/>
          <w:szCs w:val="24"/>
        </w:rPr>
      </w:pPr>
      <w:r w:rsidRPr="001E5428">
        <w:rPr>
          <w:rFonts w:ascii="Arial" w:hAnsi="Arial"/>
          <w:sz w:val="24"/>
          <w:szCs w:val="24"/>
        </w:rPr>
        <w:t xml:space="preserve">None of the questions on the application </w:t>
      </w:r>
      <w:r w:rsidRPr="001E5428" w:rsidR="009A099C">
        <w:rPr>
          <w:rFonts w:ascii="Arial" w:hAnsi="Arial"/>
          <w:sz w:val="24"/>
          <w:szCs w:val="24"/>
        </w:rPr>
        <w:t>are</w:t>
      </w:r>
      <w:r w:rsidRPr="001E5428">
        <w:rPr>
          <w:rFonts w:ascii="Arial" w:hAnsi="Arial"/>
          <w:sz w:val="24"/>
          <w:szCs w:val="24"/>
        </w:rPr>
        <w:t xml:space="preserve"> of a sensitive nature. </w:t>
      </w:r>
    </w:p>
    <w:p w:rsidR="00FA6EBA" w:rsidP="00FA6EBA" w14:paraId="7E24BB63" w14:textId="77777777">
      <w:pPr>
        <w:rPr>
          <w:rFonts w:ascii="Arial" w:hAnsi="Arial" w:cs="Arial"/>
          <w:b/>
          <w:bCs/>
          <w:sz w:val="24"/>
          <w:szCs w:val="24"/>
        </w:rPr>
      </w:pPr>
    </w:p>
    <w:p w:rsidR="00FA6EBA" w:rsidRPr="007A4E7B" w:rsidP="00ED4639" w14:paraId="7B66D8E6" w14:textId="339BE173">
      <w:pPr>
        <w:contextualSpacing/>
        <w:rPr>
          <w:rFonts w:ascii="Arial" w:hAnsi="Arial" w:cs="Arial"/>
          <w:sz w:val="24"/>
          <w:szCs w:val="24"/>
        </w:rPr>
      </w:pPr>
      <w:r w:rsidRPr="007A4E7B">
        <w:rPr>
          <w:rFonts w:ascii="Arial" w:hAnsi="Arial" w:cs="Arial"/>
          <w:b/>
          <w:bCs/>
          <w:sz w:val="24"/>
          <w:szCs w:val="24"/>
        </w:rPr>
        <w:t>12.  Estimate of the hour burden of the collection of information.  Please show mathematical calculations:</w:t>
      </w:r>
      <w:r w:rsidRPr="007A4E7B">
        <w:rPr>
          <w:rFonts w:ascii="Arial" w:hAnsi="Arial" w:cs="Arial"/>
          <w:sz w:val="24"/>
          <w:szCs w:val="24"/>
        </w:rPr>
        <w:t> </w:t>
      </w:r>
    </w:p>
    <w:p w:rsidR="002C1D10" w:rsidP="002C1D10" w14:paraId="00F9C231" w14:textId="77777777">
      <w:pPr>
        <w:pStyle w:val="BodyText"/>
        <w:rPr>
          <w:szCs w:val="24"/>
        </w:rPr>
      </w:pPr>
    </w:p>
    <w:p w:rsidR="002C1D10" w:rsidRPr="00511CA9" w:rsidP="002C1D10" w14:paraId="089B7B77" w14:textId="7B3A653C">
      <w:pPr>
        <w:pStyle w:val="BodyText"/>
        <w:rPr>
          <w:szCs w:val="24"/>
        </w:rPr>
      </w:pPr>
      <w:r w:rsidRPr="00511CA9">
        <w:rPr>
          <w:szCs w:val="24"/>
        </w:rPr>
        <w:t xml:space="preserve">The estimated </w:t>
      </w:r>
      <w:r>
        <w:rPr>
          <w:szCs w:val="24"/>
        </w:rPr>
        <w:t xml:space="preserve">annual burden hours, as indicated below, for the collection of this information is </w:t>
      </w:r>
      <w:r w:rsidR="00ED0CEF">
        <w:rPr>
          <w:szCs w:val="24"/>
        </w:rPr>
        <w:t>170,780</w:t>
      </w:r>
      <w:r w:rsidRPr="00372791">
        <w:rPr>
          <w:b/>
          <w:szCs w:val="24"/>
        </w:rPr>
        <w:t xml:space="preserve"> burden hours</w:t>
      </w:r>
      <w:r>
        <w:rPr>
          <w:szCs w:val="24"/>
        </w:rPr>
        <w:t xml:space="preserve">, calculated based on </w:t>
      </w:r>
      <w:r w:rsidR="00EF4D0D">
        <w:rPr>
          <w:szCs w:val="24"/>
        </w:rPr>
        <w:t xml:space="preserve">the </w:t>
      </w:r>
      <w:r>
        <w:rPr>
          <w:szCs w:val="24"/>
        </w:rPr>
        <w:t>tota</w:t>
      </w:r>
      <w:r w:rsidR="00F20805">
        <w:rPr>
          <w:szCs w:val="24"/>
        </w:rPr>
        <w:t xml:space="preserve">l number of paper and electronic </w:t>
      </w:r>
      <w:r>
        <w:rPr>
          <w:szCs w:val="24"/>
        </w:rPr>
        <w:t>responses</w:t>
      </w:r>
      <w:r w:rsidR="00F20805">
        <w:rPr>
          <w:szCs w:val="24"/>
        </w:rPr>
        <w:t xml:space="preserve"> of </w:t>
      </w:r>
      <w:r w:rsidR="00686BAF">
        <w:rPr>
          <w:szCs w:val="24"/>
        </w:rPr>
        <w:t>2,049,36</w:t>
      </w:r>
      <w:r w:rsidR="00BA3803">
        <w:rPr>
          <w:szCs w:val="24"/>
        </w:rPr>
        <w:t>8</w:t>
      </w:r>
      <w:r w:rsidR="00F20805">
        <w:rPr>
          <w:szCs w:val="24"/>
        </w:rPr>
        <w:t xml:space="preserve"> that were </w:t>
      </w:r>
      <w:r>
        <w:rPr>
          <w:szCs w:val="24"/>
        </w:rPr>
        <w:t>received for 20</w:t>
      </w:r>
      <w:r w:rsidR="00F20805">
        <w:rPr>
          <w:szCs w:val="24"/>
        </w:rPr>
        <w:t>19</w:t>
      </w:r>
      <w:r>
        <w:rPr>
          <w:szCs w:val="24"/>
        </w:rPr>
        <w:t xml:space="preserve">, </w:t>
      </w:r>
      <w:r w:rsidR="00F20805">
        <w:rPr>
          <w:szCs w:val="24"/>
        </w:rPr>
        <w:t>2020,</w:t>
      </w:r>
      <w:r>
        <w:rPr>
          <w:szCs w:val="24"/>
        </w:rPr>
        <w:t xml:space="preserve"> and 20</w:t>
      </w:r>
      <w:r w:rsidR="00F20805">
        <w:rPr>
          <w:szCs w:val="24"/>
        </w:rPr>
        <w:t>21</w:t>
      </w:r>
      <w:r>
        <w:rPr>
          <w:szCs w:val="24"/>
        </w:rPr>
        <w:t>.</w:t>
      </w:r>
    </w:p>
    <w:p w:rsidR="002C1D10" w:rsidP="002C1D10" w14:paraId="4FDC3768" w14:textId="77777777">
      <w:pPr>
        <w:pStyle w:val="BodyText"/>
        <w:rPr>
          <w:szCs w:val="24"/>
        </w:rPr>
      </w:pPr>
    </w:p>
    <w:p w:rsidR="002C1D10" w:rsidP="00F92FE3" w14:paraId="4E467872" w14:textId="260F886D">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Pr>
          <w:szCs w:val="24"/>
        </w:rPr>
        <w:t xml:space="preserve">Number of Respondents:  </w:t>
      </w:r>
      <w:r w:rsidR="00360397">
        <w:rPr>
          <w:szCs w:val="24"/>
        </w:rPr>
        <w:t xml:space="preserve">             </w:t>
      </w:r>
      <w:r w:rsidR="00F20805">
        <w:rPr>
          <w:szCs w:val="24"/>
        </w:rPr>
        <w:t>683,1</w:t>
      </w:r>
      <w:r w:rsidR="00D30EBD">
        <w:rPr>
          <w:szCs w:val="24"/>
        </w:rPr>
        <w:t>2</w:t>
      </w:r>
      <w:r w:rsidR="00BA3803">
        <w:rPr>
          <w:szCs w:val="24"/>
        </w:rPr>
        <w:t>2</w:t>
      </w:r>
      <w:r w:rsidR="00F20805">
        <w:rPr>
          <w:szCs w:val="24"/>
        </w:rPr>
        <w:t xml:space="preserve"> (</w:t>
      </w:r>
      <w:r w:rsidR="00D30EBD">
        <w:rPr>
          <w:szCs w:val="24"/>
        </w:rPr>
        <w:t>2,049,36</w:t>
      </w:r>
      <w:r w:rsidR="00BA3803">
        <w:rPr>
          <w:szCs w:val="24"/>
        </w:rPr>
        <w:t>8</w:t>
      </w:r>
      <w:r w:rsidR="00F20805">
        <w:rPr>
          <w:szCs w:val="24"/>
        </w:rPr>
        <w:t xml:space="preserve"> / 3</w:t>
      </w:r>
      <w:r w:rsidR="009F167F">
        <w:rPr>
          <w:szCs w:val="24"/>
        </w:rPr>
        <w:t xml:space="preserve"> </w:t>
      </w:r>
      <w:r w:rsidR="00F20805">
        <w:rPr>
          <w:szCs w:val="24"/>
        </w:rPr>
        <w:t>years)</w:t>
      </w:r>
    </w:p>
    <w:p w:rsidR="00F92FE3" w:rsidP="00F92FE3" w14:paraId="1CB265DA" w14:textId="77777777">
      <w:pPr>
        <w:pStyle w:val="BodyText"/>
        <w:widowControl w:val="0"/>
        <w:tabs>
          <w:tab w:val="clear" w:pos="480"/>
          <w:tab w:val="clear" w:pos="1080"/>
          <w:tab w:val="clear" w:pos="1680"/>
          <w:tab w:val="clear" w:pos="2280"/>
          <w:tab w:val="clear" w:pos="2880"/>
        </w:tabs>
        <w:overflowPunct/>
        <w:autoSpaceDE/>
        <w:autoSpaceDN/>
        <w:adjustRightInd/>
        <w:spacing w:line="240" w:lineRule="auto"/>
        <w:ind w:left="1216" w:right="0"/>
        <w:textAlignment w:val="auto"/>
        <w:rPr>
          <w:szCs w:val="24"/>
        </w:rPr>
      </w:pPr>
    </w:p>
    <w:p w:rsidR="002C1D10" w:rsidRPr="00D30EBD" w:rsidP="00D30EBD" w14:paraId="00877F8A" w14:textId="7039A301">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sidRPr="00D30EBD">
        <w:rPr>
          <w:szCs w:val="24"/>
        </w:rPr>
        <w:t xml:space="preserve">Frequency of Response:  </w:t>
      </w:r>
      <w:r w:rsidRPr="00D30EBD" w:rsidR="00360397">
        <w:rPr>
          <w:szCs w:val="24"/>
        </w:rPr>
        <w:t xml:space="preserve">              </w:t>
      </w:r>
      <w:r w:rsidRPr="00D30EBD" w:rsidR="00EC185D">
        <w:rPr>
          <w:szCs w:val="24"/>
        </w:rPr>
        <w:t>On</w:t>
      </w:r>
      <w:r w:rsidRPr="00D30EBD" w:rsidR="009F167F">
        <w:rPr>
          <w:szCs w:val="24"/>
        </w:rPr>
        <w:t>ce</w:t>
      </w:r>
    </w:p>
    <w:p w:rsidR="00F92FE3" w:rsidP="00F92FE3" w14:paraId="6609BD38" w14:textId="77777777">
      <w:pPr>
        <w:pStyle w:val="ListParagraph"/>
        <w:rPr>
          <w:szCs w:val="24"/>
        </w:rPr>
      </w:pPr>
    </w:p>
    <w:p w:rsidR="009F167F" w:rsidRPr="009F167F" w:rsidP="009F167F" w14:paraId="7B2802C9" w14:textId="59B7D8C6">
      <w:pPr>
        <w:pStyle w:val="BodyText"/>
        <w:widowControl w:val="0"/>
        <w:tabs>
          <w:tab w:val="clear" w:pos="480"/>
          <w:tab w:val="clear" w:pos="1080"/>
          <w:tab w:val="clear" w:pos="1680"/>
          <w:tab w:val="clear" w:pos="2280"/>
          <w:tab w:val="clear" w:pos="2880"/>
        </w:tabs>
        <w:overflowPunct/>
        <w:autoSpaceDE/>
        <w:autoSpaceDN/>
        <w:adjustRightInd/>
        <w:spacing w:line="240" w:lineRule="auto"/>
        <w:ind w:left="1216" w:right="0"/>
        <w:jc w:val="center"/>
        <w:textAlignment w:val="auto"/>
        <w:rPr>
          <w:b/>
          <w:bCs/>
          <w:szCs w:val="24"/>
        </w:rPr>
      </w:pPr>
      <w:r>
        <w:rPr>
          <w:b/>
          <w:bCs/>
          <w:szCs w:val="24"/>
        </w:rPr>
        <w:t xml:space="preserve">MATHMATICAL </w:t>
      </w:r>
      <w:r w:rsidRPr="009F167F">
        <w:rPr>
          <w:b/>
          <w:bCs/>
          <w:szCs w:val="24"/>
        </w:rPr>
        <w:t>CALCULATIONS FOR THE ABOVE</w:t>
      </w:r>
      <w:r w:rsidR="00155164">
        <w:rPr>
          <w:b/>
          <w:bCs/>
          <w:szCs w:val="24"/>
        </w:rPr>
        <w:t xml:space="preserve"> AND BELOW BURDEN FIGURES</w:t>
      </w:r>
    </w:p>
    <w:p w:rsidR="009F167F" w:rsidP="009F167F" w14:paraId="48FFCFC8" w14:textId="77777777">
      <w:pPr>
        <w:pStyle w:val="ListParagraph"/>
        <w:rPr>
          <w:color w:val="000000" w:themeColor="text1"/>
          <w:szCs w:val="24"/>
        </w:rPr>
      </w:pPr>
    </w:p>
    <w:p w:rsidR="002C1D10" w:rsidP="002C1D10" w14:paraId="6934879A" w14:textId="55127DBE">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sidRPr="00D20BB1">
        <w:rPr>
          <w:color w:val="000000" w:themeColor="text1"/>
          <w:szCs w:val="24"/>
        </w:rPr>
        <w:t xml:space="preserve">Annual </w:t>
      </w:r>
      <w:r w:rsidRPr="00F2769B">
        <w:rPr>
          <w:szCs w:val="24"/>
        </w:rPr>
        <w:t>Burden Hour</w:t>
      </w:r>
      <w:r w:rsidR="00331AED">
        <w:rPr>
          <w:szCs w:val="24"/>
        </w:rPr>
        <w:t>s</w:t>
      </w:r>
      <w:r w:rsidR="009277FD">
        <w:rPr>
          <w:szCs w:val="24"/>
        </w:rPr>
        <w:t xml:space="preserve"> (V</w:t>
      </w:r>
      <w:r w:rsidR="00331AED">
        <w:rPr>
          <w:szCs w:val="24"/>
        </w:rPr>
        <w:t>a.gov</w:t>
      </w:r>
      <w:r w:rsidR="00360397">
        <w:rPr>
          <w:szCs w:val="24"/>
        </w:rPr>
        <w:t>)</w:t>
      </w:r>
      <w:r w:rsidRPr="00F2769B">
        <w:rPr>
          <w:szCs w:val="24"/>
        </w:rPr>
        <w:t xml:space="preserve">: </w:t>
      </w:r>
      <w:r w:rsidR="009726D5">
        <w:rPr>
          <w:szCs w:val="24"/>
        </w:rPr>
        <w:t>119,5</w:t>
      </w:r>
      <w:r w:rsidR="00D93721">
        <w:rPr>
          <w:szCs w:val="24"/>
        </w:rPr>
        <w:t>46</w:t>
      </w:r>
      <w:r>
        <w:rPr>
          <w:szCs w:val="24"/>
        </w:rPr>
        <w:t xml:space="preserve"> (</w:t>
      </w:r>
      <w:r w:rsidR="009F167F">
        <w:rPr>
          <w:szCs w:val="24"/>
        </w:rPr>
        <w:t>478,</w:t>
      </w:r>
      <w:r w:rsidR="00D30EBD">
        <w:rPr>
          <w:szCs w:val="24"/>
        </w:rPr>
        <w:t>186</w:t>
      </w:r>
      <w:r>
        <w:rPr>
          <w:szCs w:val="24"/>
        </w:rPr>
        <w:t xml:space="preserve"> X </w:t>
      </w:r>
      <w:r w:rsidR="009726D5">
        <w:rPr>
          <w:szCs w:val="24"/>
        </w:rPr>
        <w:t>15</w:t>
      </w:r>
      <w:r>
        <w:rPr>
          <w:szCs w:val="24"/>
        </w:rPr>
        <w:t xml:space="preserve"> / 60 = </w:t>
      </w:r>
      <w:r w:rsidR="009726D5">
        <w:rPr>
          <w:szCs w:val="24"/>
        </w:rPr>
        <w:t>119,5</w:t>
      </w:r>
      <w:r w:rsidR="00D93721">
        <w:rPr>
          <w:szCs w:val="24"/>
        </w:rPr>
        <w:t>46</w:t>
      </w:r>
      <w:r>
        <w:rPr>
          <w:szCs w:val="24"/>
        </w:rPr>
        <w:t>)</w:t>
      </w:r>
    </w:p>
    <w:p w:rsidR="000816D9" w:rsidP="000816D9" w14:paraId="1F43212D" w14:textId="4EB9EF83">
      <w:pPr>
        <w:pStyle w:val="BodyText"/>
        <w:widowControl w:val="0"/>
        <w:tabs>
          <w:tab w:val="clear" w:pos="480"/>
          <w:tab w:val="clear" w:pos="1080"/>
          <w:tab w:val="clear" w:pos="1680"/>
          <w:tab w:val="clear" w:pos="2280"/>
          <w:tab w:val="clear" w:pos="2880"/>
        </w:tabs>
        <w:overflowPunct/>
        <w:autoSpaceDE/>
        <w:autoSpaceDN/>
        <w:adjustRightInd/>
        <w:spacing w:line="240" w:lineRule="auto"/>
        <w:ind w:left="1216" w:right="0"/>
        <w:textAlignment w:val="auto"/>
        <w:rPr>
          <w:color w:val="000000" w:themeColor="text1"/>
          <w:szCs w:val="24"/>
        </w:rPr>
      </w:pPr>
      <w:r>
        <w:rPr>
          <w:color w:val="000000" w:themeColor="text1"/>
          <w:szCs w:val="24"/>
        </w:rPr>
        <w:t>Annual Burden Hours</w:t>
      </w:r>
      <w:r w:rsidR="00360397">
        <w:rPr>
          <w:color w:val="000000" w:themeColor="text1"/>
          <w:szCs w:val="24"/>
        </w:rPr>
        <w:t xml:space="preserve"> (Paper)</w:t>
      </w:r>
      <w:r>
        <w:rPr>
          <w:color w:val="000000" w:themeColor="text1"/>
          <w:szCs w:val="24"/>
        </w:rPr>
        <w:t>:</w:t>
      </w:r>
      <w:r w:rsidR="00360397">
        <w:rPr>
          <w:color w:val="000000" w:themeColor="text1"/>
          <w:szCs w:val="24"/>
        </w:rPr>
        <w:t xml:space="preserve">  </w:t>
      </w:r>
      <w:r w:rsidR="009F167F">
        <w:rPr>
          <w:color w:val="000000" w:themeColor="text1"/>
          <w:szCs w:val="24"/>
        </w:rPr>
        <w:t xml:space="preserve">   51,23</w:t>
      </w:r>
      <w:r w:rsidR="00D93721">
        <w:rPr>
          <w:color w:val="000000" w:themeColor="text1"/>
          <w:szCs w:val="24"/>
        </w:rPr>
        <w:t>4</w:t>
      </w:r>
      <w:r>
        <w:rPr>
          <w:color w:val="000000" w:themeColor="text1"/>
          <w:szCs w:val="24"/>
        </w:rPr>
        <w:t xml:space="preserve"> (</w:t>
      </w:r>
      <w:r w:rsidR="009F167F">
        <w:rPr>
          <w:color w:val="000000" w:themeColor="text1"/>
          <w:szCs w:val="24"/>
        </w:rPr>
        <w:t>204,</w:t>
      </w:r>
      <w:r w:rsidR="00D30EBD">
        <w:rPr>
          <w:color w:val="000000" w:themeColor="text1"/>
          <w:szCs w:val="24"/>
        </w:rPr>
        <w:t>936</w:t>
      </w:r>
      <w:r>
        <w:rPr>
          <w:color w:val="000000" w:themeColor="text1"/>
          <w:szCs w:val="24"/>
        </w:rPr>
        <w:t xml:space="preserve"> X 15 / 60 = </w:t>
      </w:r>
      <w:r w:rsidR="009F167F">
        <w:rPr>
          <w:color w:val="000000" w:themeColor="text1"/>
          <w:szCs w:val="24"/>
        </w:rPr>
        <w:t xml:space="preserve">  51,23</w:t>
      </w:r>
      <w:r w:rsidR="00D93721">
        <w:rPr>
          <w:color w:val="000000" w:themeColor="text1"/>
          <w:szCs w:val="24"/>
        </w:rPr>
        <w:t>4</w:t>
      </w:r>
      <w:r>
        <w:rPr>
          <w:color w:val="000000" w:themeColor="text1"/>
          <w:szCs w:val="24"/>
        </w:rPr>
        <w:t>)</w:t>
      </w:r>
    </w:p>
    <w:p w:rsidR="00F92FE3" w:rsidP="000816D9" w14:paraId="6C5B6EA8" w14:textId="77777777">
      <w:pPr>
        <w:pStyle w:val="BodyText"/>
        <w:widowControl w:val="0"/>
        <w:tabs>
          <w:tab w:val="clear" w:pos="480"/>
          <w:tab w:val="clear" w:pos="1080"/>
          <w:tab w:val="clear" w:pos="1680"/>
          <w:tab w:val="clear" w:pos="2280"/>
          <w:tab w:val="clear" w:pos="2880"/>
        </w:tabs>
        <w:overflowPunct/>
        <w:autoSpaceDE/>
        <w:autoSpaceDN/>
        <w:adjustRightInd/>
        <w:spacing w:line="240" w:lineRule="auto"/>
        <w:ind w:left="1216" w:right="0"/>
        <w:textAlignment w:val="auto"/>
        <w:rPr>
          <w:color w:val="000000" w:themeColor="text1"/>
          <w:szCs w:val="24"/>
        </w:rPr>
      </w:pPr>
    </w:p>
    <w:p w:rsidR="002C1D10" w:rsidP="002C1D10" w14:paraId="0E0606F9" w14:textId="54A73F3F">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Pr>
          <w:szCs w:val="24"/>
        </w:rPr>
        <w:t>Estimated Completion Time</w:t>
      </w:r>
      <w:r w:rsidR="000816D9">
        <w:rPr>
          <w:szCs w:val="24"/>
        </w:rPr>
        <w:t xml:space="preserve"> for </w:t>
      </w:r>
      <w:r w:rsidR="000B1F16">
        <w:rPr>
          <w:szCs w:val="24"/>
        </w:rPr>
        <w:t xml:space="preserve">both </w:t>
      </w:r>
      <w:r w:rsidR="000816D9">
        <w:rPr>
          <w:szCs w:val="24"/>
        </w:rPr>
        <w:t>Electronic</w:t>
      </w:r>
      <w:r w:rsidR="000B1F16">
        <w:rPr>
          <w:szCs w:val="24"/>
        </w:rPr>
        <w:t xml:space="preserve"> and </w:t>
      </w:r>
      <w:r w:rsidR="000816D9">
        <w:rPr>
          <w:szCs w:val="24"/>
        </w:rPr>
        <w:t>Paper</w:t>
      </w:r>
      <w:r>
        <w:rPr>
          <w:szCs w:val="24"/>
        </w:rPr>
        <w:t xml:space="preserve">: </w:t>
      </w:r>
      <w:r w:rsidR="00505905">
        <w:rPr>
          <w:szCs w:val="24"/>
        </w:rPr>
        <w:t xml:space="preserve"> </w:t>
      </w:r>
      <w:r w:rsidR="00EC185D">
        <w:rPr>
          <w:szCs w:val="24"/>
        </w:rPr>
        <w:t>15</w:t>
      </w:r>
      <w:r>
        <w:rPr>
          <w:szCs w:val="24"/>
        </w:rPr>
        <w:t xml:space="preserve"> minutes</w:t>
      </w:r>
      <w:r w:rsidR="000B1F16">
        <w:rPr>
          <w:szCs w:val="24"/>
        </w:rPr>
        <w:t>.</w:t>
      </w:r>
      <w:r>
        <w:rPr>
          <w:szCs w:val="24"/>
        </w:rPr>
        <w:t xml:space="preserve">  </w:t>
      </w:r>
    </w:p>
    <w:p w:rsidR="00795D22" w:rsidRPr="001E5428" w:rsidP="00795D22" w14:paraId="1846462B" w14:textId="77777777">
      <w:pPr>
        <w:tabs>
          <w:tab w:val="left" w:pos="360"/>
          <w:tab w:val="left" w:pos="792"/>
        </w:tabs>
        <w:rPr>
          <w:rFonts w:ascii="Arial" w:hAnsi="Arial"/>
          <w:sz w:val="24"/>
          <w:szCs w:val="24"/>
        </w:rPr>
      </w:pPr>
    </w:p>
    <w:p w:rsidR="00414881" w:rsidP="00414881" w14:paraId="41645A6D" w14:textId="006937A8">
      <w:pPr>
        <w:ind w:right="684"/>
        <w:rPr>
          <w:rFonts w:ascii="Arial" w:hAnsi="Arial" w:cs="Arial"/>
          <w:sz w:val="24"/>
          <w:szCs w:val="24"/>
        </w:rPr>
      </w:pPr>
      <w:r>
        <w:rPr>
          <w:rFonts w:ascii="Arial" w:hAnsi="Arial" w:cs="Arial"/>
          <w:sz w:val="24"/>
          <w:szCs w:val="24"/>
        </w:rPr>
        <w:t>e. T</w:t>
      </w:r>
      <w:r w:rsidRPr="000B1F16" w:rsidR="00F0477B">
        <w:rPr>
          <w:rFonts w:ascii="Arial" w:hAnsi="Arial" w:cs="Arial"/>
          <w:sz w:val="24"/>
          <w:szCs w:val="24"/>
        </w:rPr>
        <w:t xml:space="preserve">he respondent population for </w:t>
      </w:r>
      <w:r w:rsidRPr="000B1F16" w:rsidR="00F0477B">
        <w:rPr>
          <w:rFonts w:ascii="Arial" w:hAnsi="Arial" w:cs="Arial"/>
          <w:color w:val="000000"/>
          <w:sz w:val="24"/>
          <w:szCs w:val="24"/>
        </w:rPr>
        <w:t>VA Form</w:t>
      </w:r>
      <w:r w:rsidRPr="000B1F16">
        <w:rPr>
          <w:rFonts w:ascii="Arial" w:hAnsi="Arial" w:cs="Arial"/>
          <w:color w:val="000000"/>
          <w:sz w:val="24"/>
          <w:szCs w:val="24"/>
        </w:rPr>
        <w:t>s</w:t>
      </w:r>
      <w:r w:rsidRPr="000B1F16" w:rsidR="00F0477B">
        <w:rPr>
          <w:rFonts w:ascii="Arial" w:hAnsi="Arial" w:cs="Arial"/>
          <w:color w:val="000000"/>
          <w:sz w:val="24"/>
          <w:szCs w:val="24"/>
        </w:rPr>
        <w:t xml:space="preserve"> </w:t>
      </w:r>
      <w:r w:rsidRPr="000B1F16" w:rsidR="00CC2AA3">
        <w:rPr>
          <w:rFonts w:ascii="Arial" w:hAnsi="Arial" w:cs="Arial"/>
          <w:color w:val="000000"/>
          <w:sz w:val="24"/>
          <w:szCs w:val="24"/>
        </w:rPr>
        <w:t>22-1990</w:t>
      </w:r>
      <w:r w:rsidRPr="000B1F16" w:rsidR="0041591C">
        <w:rPr>
          <w:rFonts w:ascii="Arial" w:hAnsi="Arial" w:cs="Arial"/>
          <w:color w:val="000000"/>
          <w:sz w:val="24"/>
          <w:szCs w:val="24"/>
        </w:rPr>
        <w:t>, 1990</w:t>
      </w:r>
      <w:r w:rsidR="00D93721">
        <w:rPr>
          <w:rFonts w:ascii="Arial" w:hAnsi="Arial" w:cs="Arial"/>
          <w:color w:val="000000"/>
          <w:sz w:val="24"/>
          <w:szCs w:val="24"/>
        </w:rPr>
        <w:t>E</w:t>
      </w:r>
      <w:r w:rsidRPr="000B1F16" w:rsidR="0041591C">
        <w:rPr>
          <w:rFonts w:ascii="Arial" w:hAnsi="Arial" w:cs="Arial"/>
          <w:color w:val="000000"/>
          <w:sz w:val="24"/>
          <w:szCs w:val="24"/>
        </w:rPr>
        <w:t xml:space="preserve"> and 1990</w:t>
      </w:r>
      <w:r w:rsidR="00D93721">
        <w:rPr>
          <w:rFonts w:ascii="Arial" w:hAnsi="Arial" w:cs="Arial"/>
          <w:color w:val="000000"/>
          <w:sz w:val="24"/>
          <w:szCs w:val="24"/>
        </w:rPr>
        <w:t>N</w:t>
      </w:r>
      <w:r w:rsidRPr="000B1F16" w:rsidR="00F0477B">
        <w:rPr>
          <w:rFonts w:ascii="Arial" w:hAnsi="Arial" w:cs="Arial"/>
          <w:sz w:val="24"/>
          <w:szCs w:val="24"/>
        </w:rPr>
        <w:t xml:space="preserve"> is composed of individuals who are</w:t>
      </w:r>
      <w:r w:rsidRPr="000B1F16" w:rsidR="002F1A2A">
        <w:rPr>
          <w:rFonts w:ascii="Arial" w:hAnsi="Arial" w:cs="Arial"/>
          <w:sz w:val="24"/>
          <w:szCs w:val="24"/>
        </w:rPr>
        <w:t xml:space="preserve"> Veterans</w:t>
      </w:r>
      <w:r w:rsidRPr="000B1F16" w:rsidR="007E45F9">
        <w:rPr>
          <w:rFonts w:ascii="Arial" w:hAnsi="Arial" w:cs="Arial"/>
          <w:sz w:val="24"/>
          <w:szCs w:val="24"/>
        </w:rPr>
        <w:t xml:space="preserve">, </w:t>
      </w:r>
      <w:r w:rsidRPr="000B1F16">
        <w:rPr>
          <w:rFonts w:ascii="Arial" w:hAnsi="Arial" w:cs="Arial"/>
          <w:sz w:val="24"/>
          <w:szCs w:val="24"/>
        </w:rPr>
        <w:t>S</w:t>
      </w:r>
      <w:r w:rsidRPr="000B1F16" w:rsidR="007E45F9">
        <w:rPr>
          <w:rFonts w:ascii="Arial" w:hAnsi="Arial" w:cs="Arial"/>
          <w:sz w:val="24"/>
          <w:szCs w:val="24"/>
        </w:rPr>
        <w:t>ervice</w:t>
      </w:r>
      <w:r w:rsidRPr="000B1F16">
        <w:rPr>
          <w:rFonts w:ascii="Arial" w:hAnsi="Arial" w:cs="Arial"/>
          <w:sz w:val="24"/>
          <w:szCs w:val="24"/>
        </w:rPr>
        <w:t xml:space="preserve"> </w:t>
      </w:r>
      <w:r w:rsidR="00155164">
        <w:rPr>
          <w:rFonts w:ascii="Arial" w:hAnsi="Arial" w:cs="Arial"/>
          <w:sz w:val="24"/>
          <w:szCs w:val="24"/>
        </w:rPr>
        <w:t>members</w:t>
      </w:r>
      <w:r w:rsidRPr="000B1F16" w:rsidR="007E45F9">
        <w:rPr>
          <w:rFonts w:ascii="Arial" w:hAnsi="Arial" w:cs="Arial"/>
          <w:sz w:val="24"/>
          <w:szCs w:val="24"/>
        </w:rPr>
        <w:t xml:space="preserve">, </w:t>
      </w:r>
      <w:r w:rsidRPr="000B1F16">
        <w:rPr>
          <w:rFonts w:ascii="Arial" w:hAnsi="Arial" w:cs="Arial"/>
          <w:sz w:val="24"/>
          <w:szCs w:val="24"/>
        </w:rPr>
        <w:t>R</w:t>
      </w:r>
      <w:r w:rsidRPr="000B1F16" w:rsidR="007E45F9">
        <w:rPr>
          <w:rFonts w:ascii="Arial" w:hAnsi="Arial" w:cs="Arial"/>
          <w:sz w:val="24"/>
          <w:szCs w:val="24"/>
        </w:rPr>
        <w:t>eservists</w:t>
      </w:r>
      <w:r w:rsidRPr="000B1F16" w:rsidR="002F1A2A">
        <w:rPr>
          <w:rFonts w:ascii="Arial" w:hAnsi="Arial" w:cs="Arial"/>
          <w:sz w:val="24"/>
          <w:szCs w:val="24"/>
        </w:rPr>
        <w:t xml:space="preserve"> and dependent</w:t>
      </w:r>
      <w:r w:rsidR="00F11E67">
        <w:rPr>
          <w:rFonts w:ascii="Arial" w:hAnsi="Arial" w:cs="Arial"/>
          <w:sz w:val="24"/>
          <w:szCs w:val="24"/>
        </w:rPr>
        <w:t>s</w:t>
      </w:r>
      <w:r w:rsidRPr="000B1F16" w:rsidR="002F1A2A">
        <w:rPr>
          <w:rFonts w:ascii="Arial" w:hAnsi="Arial" w:cs="Arial"/>
          <w:sz w:val="24"/>
          <w:szCs w:val="24"/>
        </w:rPr>
        <w:t>.</w:t>
      </w:r>
      <w:r w:rsidRPr="000B1F16" w:rsidR="00F0477B">
        <w:rPr>
          <w:rFonts w:ascii="Arial" w:hAnsi="Arial" w:cs="Arial"/>
          <w:sz w:val="24"/>
          <w:szCs w:val="24"/>
        </w:rPr>
        <w:t xml:space="preserve"> </w:t>
      </w:r>
      <w:r w:rsidRPr="000B1F16" w:rsidR="004776B2">
        <w:rPr>
          <w:rFonts w:ascii="Arial" w:hAnsi="Arial" w:cs="Arial"/>
          <w:sz w:val="24"/>
          <w:szCs w:val="24"/>
        </w:rPr>
        <w:t xml:space="preserve">VBA </w:t>
      </w:r>
      <w:r w:rsidRPr="000B1F16" w:rsidR="00F0477B">
        <w:rPr>
          <w:rFonts w:ascii="Arial" w:hAnsi="Arial" w:cs="Arial"/>
          <w:sz w:val="24"/>
          <w:szCs w:val="24"/>
        </w:rPr>
        <w:t>cannot make further assumptions about the population of respondents because of the variability of factors</w:t>
      </w:r>
      <w:r w:rsidRPr="000B1F16" w:rsidR="00396EBE">
        <w:rPr>
          <w:rFonts w:ascii="Arial" w:hAnsi="Arial" w:cs="Arial"/>
          <w:sz w:val="24"/>
          <w:szCs w:val="24"/>
        </w:rPr>
        <w:t>,</w:t>
      </w:r>
      <w:r w:rsidRPr="000B1F16" w:rsidR="00F0477B">
        <w:rPr>
          <w:rFonts w:ascii="Arial" w:hAnsi="Arial" w:cs="Arial"/>
          <w:sz w:val="24"/>
          <w:szCs w:val="24"/>
        </w:rPr>
        <w:t xml:space="preserve"> such as the educational background and wage potential of </w:t>
      </w:r>
      <w:r w:rsidRPr="000B1F16" w:rsidR="002F1A2A">
        <w:rPr>
          <w:rFonts w:ascii="Arial" w:hAnsi="Arial" w:cs="Arial"/>
          <w:sz w:val="24"/>
          <w:szCs w:val="24"/>
        </w:rPr>
        <w:t>r</w:t>
      </w:r>
      <w:r w:rsidRPr="000B1F16" w:rsidR="00F0477B">
        <w:rPr>
          <w:rFonts w:ascii="Arial" w:hAnsi="Arial" w:cs="Arial"/>
          <w:sz w:val="24"/>
          <w:szCs w:val="24"/>
        </w:rPr>
        <w:t xml:space="preserve">espondents.  Therefore, </w:t>
      </w:r>
      <w:r w:rsidRPr="000B1F16" w:rsidR="004776B2">
        <w:rPr>
          <w:rFonts w:ascii="Arial" w:hAnsi="Arial" w:cs="Arial"/>
          <w:sz w:val="24"/>
          <w:szCs w:val="24"/>
        </w:rPr>
        <w:t>VBA</w:t>
      </w:r>
      <w:r w:rsidRPr="000B1F16" w:rsidR="00F0477B">
        <w:rPr>
          <w:rFonts w:ascii="Arial" w:hAnsi="Arial" w:cs="Arial"/>
          <w:sz w:val="24"/>
          <w:szCs w:val="24"/>
        </w:rPr>
        <w:t xml:space="preserve"> used general wage data to estimate the respondents’ costs associated with completing the collection. </w:t>
      </w:r>
    </w:p>
    <w:tbl>
      <w:tblPr>
        <w:tblpPr w:leftFromText="180" w:rightFromText="180" w:tblpXSpec="center" w:tblpY="1283"/>
        <w:tblW w:w="9735" w:type="dxa"/>
        <w:tblLayout w:type="fixed"/>
        <w:tblLook w:val="0000"/>
      </w:tblPr>
      <w:tblGrid>
        <w:gridCol w:w="2448"/>
        <w:gridCol w:w="1584"/>
        <w:gridCol w:w="1833"/>
        <w:gridCol w:w="1623"/>
        <w:gridCol w:w="2247"/>
      </w:tblGrid>
      <w:tr w14:paraId="4A0225B0" w14:textId="77777777" w:rsidTr="001E18E6">
        <w:tblPrEx>
          <w:tblW w:w="9735" w:type="dxa"/>
          <w:tblLayout w:type="fixed"/>
          <w:tblLook w:val="0000"/>
        </w:tblPrEx>
        <w:trPr>
          <w:cantSplit/>
        </w:trPr>
        <w:tc>
          <w:tcPr>
            <w:tcW w:w="2448" w:type="dxa"/>
            <w:tcBorders>
              <w:top w:val="single" w:sz="12" w:space="0" w:color="auto"/>
              <w:left w:val="single" w:sz="12" w:space="0" w:color="auto"/>
              <w:bottom w:val="single" w:sz="6" w:space="0" w:color="auto"/>
              <w:right w:val="single" w:sz="6" w:space="0" w:color="auto"/>
            </w:tcBorders>
          </w:tcPr>
          <w:p w:rsidR="00414881" w:rsidRPr="00FB6300" w:rsidP="001E18E6" w14:paraId="15784C46" w14:textId="77777777">
            <w:pPr>
              <w:tabs>
                <w:tab w:val="left" w:pos="384"/>
                <w:tab w:val="left" w:pos="6816"/>
                <w:tab w:val="right" w:pos="9900"/>
              </w:tabs>
              <w:spacing w:line="240" w:lineRule="exact"/>
              <w:ind w:right="36"/>
              <w:rPr>
                <w:rFonts w:ascii="Arial" w:hAnsi="Arial"/>
                <w:b/>
                <w:color w:val="002060"/>
                <w:sz w:val="24"/>
                <w:szCs w:val="24"/>
              </w:rPr>
            </w:pPr>
            <w:r w:rsidRPr="00FB6300">
              <w:rPr>
                <w:rFonts w:ascii="Arial" w:hAnsi="Arial"/>
                <w:b/>
                <w:color w:val="002060"/>
                <w:sz w:val="24"/>
                <w:szCs w:val="24"/>
              </w:rPr>
              <w:t>Type of Submission</w:t>
            </w:r>
          </w:p>
        </w:tc>
        <w:tc>
          <w:tcPr>
            <w:tcW w:w="1584" w:type="dxa"/>
            <w:tcBorders>
              <w:top w:val="single" w:sz="12" w:space="0" w:color="auto"/>
              <w:left w:val="nil"/>
              <w:bottom w:val="single" w:sz="6" w:space="0" w:color="auto"/>
              <w:right w:val="single" w:sz="6" w:space="0" w:color="auto"/>
            </w:tcBorders>
          </w:tcPr>
          <w:p w:rsidR="00414881" w:rsidRPr="00FB6300" w:rsidP="001E18E6" w14:paraId="4312DB71" w14:textId="7777777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 xml:space="preserve">% </w:t>
            </w:r>
          </w:p>
        </w:tc>
        <w:tc>
          <w:tcPr>
            <w:tcW w:w="1833" w:type="dxa"/>
            <w:tcBorders>
              <w:top w:val="single" w:sz="12" w:space="0" w:color="auto"/>
              <w:left w:val="nil"/>
              <w:bottom w:val="single" w:sz="6" w:space="0" w:color="auto"/>
              <w:right w:val="nil"/>
            </w:tcBorders>
          </w:tcPr>
          <w:p w:rsidR="00414881" w:rsidRPr="00FB6300" w:rsidP="001E18E6" w14:paraId="457958DD" w14:textId="7777777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Number of Respondents</w:t>
            </w:r>
          </w:p>
        </w:tc>
        <w:tc>
          <w:tcPr>
            <w:tcW w:w="1623" w:type="dxa"/>
            <w:tcBorders>
              <w:top w:val="single" w:sz="12" w:space="0" w:color="auto"/>
              <w:left w:val="single" w:sz="6" w:space="0" w:color="auto"/>
              <w:bottom w:val="single" w:sz="6" w:space="0" w:color="auto"/>
              <w:right w:val="single" w:sz="6" w:space="0" w:color="auto"/>
            </w:tcBorders>
          </w:tcPr>
          <w:p w:rsidR="00414881" w:rsidRPr="00FB6300" w:rsidP="001E18E6" w14:paraId="5B52F5D1" w14:textId="7777777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Minutes Each</w:t>
            </w:r>
          </w:p>
        </w:tc>
        <w:tc>
          <w:tcPr>
            <w:tcW w:w="2247" w:type="dxa"/>
            <w:tcBorders>
              <w:top w:val="single" w:sz="12" w:space="0" w:color="auto"/>
              <w:left w:val="nil"/>
              <w:bottom w:val="single" w:sz="6" w:space="0" w:color="auto"/>
              <w:right w:val="single" w:sz="12" w:space="0" w:color="auto"/>
            </w:tcBorders>
          </w:tcPr>
          <w:p w:rsidR="00414881" w:rsidRPr="00FB6300" w:rsidP="001E18E6" w14:paraId="18AD4379" w14:textId="7777777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Burden Hours</w:t>
            </w:r>
          </w:p>
        </w:tc>
      </w:tr>
      <w:tr w14:paraId="6E83012F" w14:textId="77777777" w:rsidTr="001E18E6">
        <w:tblPrEx>
          <w:tblW w:w="9735" w:type="dxa"/>
          <w:tblLayout w:type="fixed"/>
          <w:tblLook w:val="0000"/>
        </w:tblPrEx>
        <w:trPr>
          <w:cantSplit/>
        </w:trPr>
        <w:tc>
          <w:tcPr>
            <w:tcW w:w="2448" w:type="dxa"/>
            <w:tcBorders>
              <w:top w:val="single" w:sz="6" w:space="0" w:color="auto"/>
              <w:left w:val="single" w:sz="12" w:space="0" w:color="auto"/>
              <w:bottom w:val="nil"/>
              <w:right w:val="single" w:sz="6" w:space="0" w:color="auto"/>
            </w:tcBorders>
          </w:tcPr>
          <w:p w:rsidR="00414881" w:rsidRPr="00FB6300" w:rsidP="001E18E6" w14:paraId="4F6CBBA3" w14:textId="639CBC5D">
            <w:pPr>
              <w:tabs>
                <w:tab w:val="left" w:pos="384"/>
                <w:tab w:val="left" w:pos="6816"/>
                <w:tab w:val="right" w:pos="9900"/>
              </w:tabs>
              <w:spacing w:line="240" w:lineRule="exact"/>
              <w:ind w:right="36"/>
              <w:jc w:val="both"/>
              <w:rPr>
                <w:rFonts w:ascii="Arial" w:hAnsi="Arial"/>
                <w:color w:val="002060"/>
                <w:sz w:val="24"/>
                <w:szCs w:val="24"/>
              </w:rPr>
            </w:pPr>
            <w:r w:rsidRPr="00FB6300">
              <w:rPr>
                <w:rFonts w:ascii="Arial" w:hAnsi="Arial"/>
                <w:color w:val="002060"/>
                <w:sz w:val="24"/>
                <w:szCs w:val="24"/>
              </w:rPr>
              <w:t>VA.gov</w:t>
            </w:r>
            <w:r w:rsidR="00D30EBD">
              <w:rPr>
                <w:rFonts w:ascii="Arial" w:hAnsi="Arial"/>
                <w:color w:val="002060"/>
                <w:sz w:val="24"/>
                <w:szCs w:val="24"/>
              </w:rPr>
              <w:t xml:space="preserve"> (</w:t>
            </w:r>
            <w:r w:rsidR="00D30EBD">
              <w:rPr>
                <w:rFonts w:ascii="Arial" w:hAnsi="Arial"/>
                <w:color w:val="002060"/>
                <w:sz w:val="24"/>
                <w:szCs w:val="24"/>
              </w:rPr>
              <w:t>elec</w:t>
            </w:r>
            <w:r w:rsidR="00D30EBD">
              <w:rPr>
                <w:rFonts w:ascii="Arial" w:hAnsi="Arial"/>
                <w:color w:val="002060"/>
                <w:sz w:val="24"/>
                <w:szCs w:val="24"/>
              </w:rPr>
              <w:t>)</w:t>
            </w:r>
          </w:p>
        </w:tc>
        <w:tc>
          <w:tcPr>
            <w:tcW w:w="1584" w:type="dxa"/>
            <w:tcBorders>
              <w:top w:val="single" w:sz="6" w:space="0" w:color="auto"/>
              <w:left w:val="nil"/>
              <w:bottom w:val="nil"/>
              <w:right w:val="single" w:sz="6" w:space="0" w:color="auto"/>
            </w:tcBorders>
          </w:tcPr>
          <w:p w:rsidR="00414881" w:rsidRPr="00FB6300" w:rsidP="001E18E6" w14:paraId="196728DF" w14:textId="7777777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70%</w:t>
            </w:r>
          </w:p>
        </w:tc>
        <w:tc>
          <w:tcPr>
            <w:tcW w:w="1833" w:type="dxa"/>
            <w:tcBorders>
              <w:top w:val="single" w:sz="6" w:space="0" w:color="auto"/>
              <w:left w:val="nil"/>
              <w:bottom w:val="nil"/>
              <w:right w:val="nil"/>
            </w:tcBorders>
          </w:tcPr>
          <w:p w:rsidR="00414881" w:rsidRPr="00FB6300" w:rsidP="001E18E6" w14:paraId="25979F85" w14:textId="00296925">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478</w:t>
            </w:r>
            <w:r w:rsidR="009F167F">
              <w:rPr>
                <w:rFonts w:ascii="Arial" w:hAnsi="Arial"/>
                <w:color w:val="002060"/>
                <w:sz w:val="24"/>
                <w:szCs w:val="24"/>
              </w:rPr>
              <w:t>,</w:t>
            </w:r>
            <w:r w:rsidR="00D30EBD">
              <w:rPr>
                <w:rFonts w:ascii="Arial" w:hAnsi="Arial"/>
                <w:color w:val="002060"/>
                <w:sz w:val="24"/>
                <w:szCs w:val="24"/>
              </w:rPr>
              <w:t>186</w:t>
            </w:r>
          </w:p>
        </w:tc>
        <w:tc>
          <w:tcPr>
            <w:tcW w:w="1623" w:type="dxa"/>
            <w:tcBorders>
              <w:top w:val="single" w:sz="6" w:space="0" w:color="auto"/>
              <w:left w:val="single" w:sz="6" w:space="0" w:color="auto"/>
              <w:bottom w:val="nil"/>
              <w:right w:val="single" w:sz="6" w:space="0" w:color="auto"/>
            </w:tcBorders>
          </w:tcPr>
          <w:p w:rsidR="00414881" w:rsidRPr="00FB6300" w:rsidP="001E18E6" w14:paraId="44CF871C" w14:textId="5AA509B3">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15</w:t>
            </w:r>
          </w:p>
        </w:tc>
        <w:tc>
          <w:tcPr>
            <w:tcW w:w="2247" w:type="dxa"/>
            <w:tcBorders>
              <w:top w:val="single" w:sz="6" w:space="0" w:color="auto"/>
              <w:left w:val="nil"/>
              <w:bottom w:val="nil"/>
              <w:right w:val="single" w:sz="12" w:space="0" w:color="auto"/>
            </w:tcBorders>
          </w:tcPr>
          <w:p w:rsidR="00414881" w:rsidRPr="00FB6300" w:rsidP="001E18E6" w14:paraId="687F162F" w14:textId="3F43A396">
            <w:pPr>
              <w:tabs>
                <w:tab w:val="left" w:pos="384"/>
                <w:tab w:val="left" w:pos="6816"/>
                <w:tab w:val="right" w:pos="9900"/>
              </w:tabs>
              <w:spacing w:line="240" w:lineRule="exact"/>
              <w:ind w:right="36"/>
              <w:jc w:val="center"/>
              <w:rPr>
                <w:rFonts w:ascii="Arial" w:hAnsi="Arial"/>
                <w:color w:val="002060"/>
                <w:sz w:val="24"/>
                <w:szCs w:val="24"/>
                <w:highlight w:val="yellow"/>
              </w:rPr>
            </w:pPr>
            <w:r>
              <w:rPr>
                <w:rFonts w:ascii="Arial" w:hAnsi="Arial"/>
                <w:color w:val="002060"/>
                <w:sz w:val="24"/>
                <w:szCs w:val="24"/>
              </w:rPr>
              <w:t>1</w:t>
            </w:r>
            <w:r w:rsidR="009726D5">
              <w:rPr>
                <w:rFonts w:ascii="Arial" w:hAnsi="Arial"/>
                <w:color w:val="002060"/>
                <w:sz w:val="24"/>
                <w:szCs w:val="24"/>
              </w:rPr>
              <w:t>19,5</w:t>
            </w:r>
            <w:r w:rsidR="00D30EBD">
              <w:rPr>
                <w:rFonts w:ascii="Arial" w:hAnsi="Arial"/>
                <w:color w:val="002060"/>
                <w:sz w:val="24"/>
                <w:szCs w:val="24"/>
              </w:rPr>
              <w:t>46</w:t>
            </w:r>
          </w:p>
        </w:tc>
      </w:tr>
      <w:tr w14:paraId="748F1E1B" w14:textId="77777777" w:rsidTr="001E18E6">
        <w:tblPrEx>
          <w:tblW w:w="9735" w:type="dxa"/>
          <w:tblLayout w:type="fixed"/>
          <w:tblLook w:val="0000"/>
        </w:tblPrEx>
        <w:trPr>
          <w:cantSplit/>
        </w:trPr>
        <w:tc>
          <w:tcPr>
            <w:tcW w:w="2448" w:type="dxa"/>
            <w:tcBorders>
              <w:top w:val="single" w:sz="6" w:space="0" w:color="auto"/>
              <w:left w:val="single" w:sz="12" w:space="0" w:color="auto"/>
              <w:bottom w:val="nil"/>
              <w:right w:val="single" w:sz="6" w:space="0" w:color="auto"/>
            </w:tcBorders>
          </w:tcPr>
          <w:p w:rsidR="00414881" w:rsidRPr="00FB6300" w:rsidP="001E18E6" w14:paraId="32D1486F" w14:textId="77777777">
            <w:pPr>
              <w:tabs>
                <w:tab w:val="left" w:pos="384"/>
                <w:tab w:val="left" w:pos="6816"/>
                <w:tab w:val="right" w:pos="9900"/>
              </w:tabs>
              <w:spacing w:line="240" w:lineRule="exact"/>
              <w:ind w:right="36"/>
              <w:jc w:val="both"/>
              <w:rPr>
                <w:rFonts w:ascii="Arial" w:hAnsi="Arial"/>
                <w:color w:val="002060"/>
                <w:sz w:val="24"/>
                <w:szCs w:val="24"/>
              </w:rPr>
            </w:pPr>
            <w:r w:rsidRPr="00FB6300">
              <w:rPr>
                <w:rFonts w:ascii="Arial" w:hAnsi="Arial"/>
                <w:color w:val="002060"/>
                <w:sz w:val="24"/>
                <w:szCs w:val="24"/>
              </w:rPr>
              <w:t>Paper</w:t>
            </w:r>
          </w:p>
        </w:tc>
        <w:tc>
          <w:tcPr>
            <w:tcW w:w="1584" w:type="dxa"/>
            <w:tcBorders>
              <w:top w:val="single" w:sz="6" w:space="0" w:color="auto"/>
              <w:left w:val="nil"/>
              <w:bottom w:val="nil"/>
              <w:right w:val="single" w:sz="6" w:space="0" w:color="auto"/>
            </w:tcBorders>
          </w:tcPr>
          <w:p w:rsidR="00414881" w:rsidRPr="00FB6300" w:rsidP="001E18E6" w14:paraId="21D49495" w14:textId="7777777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30%</w:t>
            </w:r>
          </w:p>
        </w:tc>
        <w:tc>
          <w:tcPr>
            <w:tcW w:w="1833" w:type="dxa"/>
            <w:tcBorders>
              <w:top w:val="single" w:sz="6" w:space="0" w:color="auto"/>
              <w:left w:val="nil"/>
              <w:bottom w:val="nil"/>
              <w:right w:val="nil"/>
            </w:tcBorders>
          </w:tcPr>
          <w:p w:rsidR="00414881" w:rsidRPr="00FB6300" w:rsidP="001E18E6" w14:paraId="7354CBD4" w14:textId="4FB355FB">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20</w:t>
            </w:r>
            <w:r w:rsidR="009F167F">
              <w:rPr>
                <w:rFonts w:ascii="Arial" w:hAnsi="Arial"/>
                <w:color w:val="002060"/>
                <w:sz w:val="24"/>
                <w:szCs w:val="24"/>
              </w:rPr>
              <w:t>4,</w:t>
            </w:r>
            <w:r w:rsidR="00D30EBD">
              <w:rPr>
                <w:rFonts w:ascii="Arial" w:hAnsi="Arial"/>
                <w:color w:val="002060"/>
                <w:sz w:val="24"/>
                <w:szCs w:val="24"/>
              </w:rPr>
              <w:t>936</w:t>
            </w:r>
          </w:p>
        </w:tc>
        <w:tc>
          <w:tcPr>
            <w:tcW w:w="1623" w:type="dxa"/>
            <w:tcBorders>
              <w:top w:val="single" w:sz="6" w:space="0" w:color="auto"/>
              <w:left w:val="single" w:sz="6" w:space="0" w:color="auto"/>
              <w:bottom w:val="nil"/>
              <w:right w:val="single" w:sz="6" w:space="0" w:color="auto"/>
            </w:tcBorders>
          </w:tcPr>
          <w:p w:rsidR="00414881" w:rsidRPr="00FB6300" w:rsidP="001E18E6" w14:paraId="171C6A98" w14:textId="7777777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15</w:t>
            </w:r>
          </w:p>
        </w:tc>
        <w:tc>
          <w:tcPr>
            <w:tcW w:w="2247" w:type="dxa"/>
            <w:tcBorders>
              <w:top w:val="single" w:sz="6" w:space="0" w:color="auto"/>
              <w:left w:val="nil"/>
              <w:bottom w:val="nil"/>
              <w:right w:val="single" w:sz="12" w:space="0" w:color="auto"/>
            </w:tcBorders>
          </w:tcPr>
          <w:p w:rsidR="00414881" w:rsidRPr="00FB6300" w:rsidP="001E18E6" w14:paraId="38321652" w14:textId="20E78BEF">
            <w:pPr>
              <w:tabs>
                <w:tab w:val="left" w:pos="384"/>
                <w:tab w:val="left" w:pos="6816"/>
                <w:tab w:val="right" w:pos="9900"/>
              </w:tabs>
              <w:spacing w:line="240" w:lineRule="exact"/>
              <w:ind w:right="36"/>
              <w:jc w:val="center"/>
              <w:rPr>
                <w:rFonts w:ascii="Arial" w:hAnsi="Arial"/>
                <w:color w:val="002060"/>
                <w:sz w:val="24"/>
                <w:szCs w:val="24"/>
                <w:highlight w:val="yellow"/>
              </w:rPr>
            </w:pPr>
            <w:r>
              <w:rPr>
                <w:rFonts w:ascii="Arial" w:hAnsi="Arial"/>
                <w:color w:val="002060"/>
                <w:sz w:val="24"/>
                <w:szCs w:val="24"/>
              </w:rPr>
              <w:t>51,</w:t>
            </w:r>
            <w:r w:rsidR="00D30EBD">
              <w:rPr>
                <w:rFonts w:ascii="Arial" w:hAnsi="Arial"/>
                <w:color w:val="002060"/>
                <w:sz w:val="24"/>
                <w:szCs w:val="24"/>
              </w:rPr>
              <w:t>234</w:t>
            </w:r>
          </w:p>
        </w:tc>
      </w:tr>
      <w:tr w14:paraId="6D851E91" w14:textId="77777777" w:rsidTr="001E18E6">
        <w:tblPrEx>
          <w:tblW w:w="9735" w:type="dxa"/>
          <w:tblLayout w:type="fixed"/>
          <w:tblLook w:val="0000"/>
        </w:tblPrEx>
        <w:trPr>
          <w:cantSplit/>
        </w:trPr>
        <w:tc>
          <w:tcPr>
            <w:tcW w:w="2448" w:type="dxa"/>
            <w:tcBorders>
              <w:top w:val="single" w:sz="12" w:space="0" w:color="auto"/>
              <w:left w:val="single" w:sz="12" w:space="0" w:color="auto"/>
              <w:bottom w:val="single" w:sz="12" w:space="0" w:color="auto"/>
              <w:right w:val="single" w:sz="6" w:space="0" w:color="auto"/>
            </w:tcBorders>
          </w:tcPr>
          <w:p w:rsidR="00414881" w:rsidRPr="00FB6300" w:rsidP="001E18E6" w14:paraId="3182D53D" w14:textId="77777777">
            <w:pPr>
              <w:tabs>
                <w:tab w:val="left" w:pos="384"/>
                <w:tab w:val="left" w:pos="6816"/>
                <w:tab w:val="right" w:pos="9900"/>
              </w:tabs>
              <w:spacing w:line="240" w:lineRule="exact"/>
              <w:ind w:right="36"/>
              <w:jc w:val="both"/>
              <w:rPr>
                <w:rFonts w:ascii="Arial" w:hAnsi="Arial"/>
                <w:b/>
                <w:color w:val="002060"/>
                <w:sz w:val="24"/>
                <w:szCs w:val="24"/>
              </w:rPr>
            </w:pPr>
            <w:r w:rsidRPr="00FB6300">
              <w:rPr>
                <w:rFonts w:ascii="Arial" w:hAnsi="Arial"/>
                <w:b/>
                <w:color w:val="002060"/>
                <w:sz w:val="24"/>
                <w:szCs w:val="24"/>
              </w:rPr>
              <w:t xml:space="preserve">Total </w:t>
            </w:r>
          </w:p>
          <w:p w:rsidR="00414881" w:rsidRPr="00FB6300" w:rsidP="001E18E6" w14:paraId="033B6080" w14:textId="77777777">
            <w:pPr>
              <w:tabs>
                <w:tab w:val="left" w:pos="384"/>
                <w:tab w:val="left" w:pos="6816"/>
                <w:tab w:val="right" w:pos="9900"/>
              </w:tabs>
              <w:spacing w:line="240" w:lineRule="exact"/>
              <w:ind w:right="36"/>
              <w:jc w:val="both"/>
              <w:rPr>
                <w:rFonts w:ascii="Arial" w:hAnsi="Arial"/>
                <w:b/>
                <w:color w:val="002060"/>
                <w:sz w:val="24"/>
                <w:szCs w:val="24"/>
              </w:rPr>
            </w:pPr>
            <w:r w:rsidRPr="00FB6300">
              <w:rPr>
                <w:rFonts w:ascii="Arial" w:hAnsi="Arial"/>
                <w:b/>
                <w:color w:val="002060"/>
                <w:sz w:val="24"/>
                <w:szCs w:val="24"/>
              </w:rPr>
              <w:t>Burden Hours</w:t>
            </w:r>
          </w:p>
        </w:tc>
        <w:tc>
          <w:tcPr>
            <w:tcW w:w="1584" w:type="dxa"/>
            <w:tcBorders>
              <w:top w:val="single" w:sz="12" w:space="0" w:color="auto"/>
              <w:left w:val="nil"/>
              <w:bottom w:val="single" w:sz="12" w:space="0" w:color="auto"/>
              <w:right w:val="single" w:sz="6" w:space="0" w:color="auto"/>
            </w:tcBorders>
          </w:tcPr>
          <w:p w:rsidR="00414881" w:rsidRPr="00FB6300" w:rsidP="001E18E6" w14:paraId="17F1D217" w14:textId="7777777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100%</w:t>
            </w:r>
          </w:p>
        </w:tc>
        <w:tc>
          <w:tcPr>
            <w:tcW w:w="1833" w:type="dxa"/>
            <w:tcBorders>
              <w:top w:val="single" w:sz="12" w:space="0" w:color="auto"/>
              <w:left w:val="nil"/>
              <w:bottom w:val="single" w:sz="12" w:space="0" w:color="auto"/>
              <w:right w:val="nil"/>
            </w:tcBorders>
          </w:tcPr>
          <w:p w:rsidR="00414881" w:rsidRPr="00FB6300" w:rsidP="001E18E6" w14:paraId="331569B1" w14:textId="565F0934">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683,1</w:t>
            </w:r>
            <w:r w:rsidR="00D30EBD">
              <w:rPr>
                <w:rFonts w:ascii="Arial" w:hAnsi="Arial"/>
                <w:color w:val="002060"/>
                <w:sz w:val="24"/>
                <w:szCs w:val="24"/>
              </w:rPr>
              <w:t>22</w:t>
            </w:r>
          </w:p>
        </w:tc>
        <w:tc>
          <w:tcPr>
            <w:tcW w:w="1623" w:type="dxa"/>
            <w:tcBorders>
              <w:top w:val="single" w:sz="12" w:space="0" w:color="auto"/>
              <w:left w:val="single" w:sz="6" w:space="0" w:color="auto"/>
              <w:bottom w:val="single" w:sz="12" w:space="0" w:color="auto"/>
              <w:right w:val="single" w:sz="6" w:space="0" w:color="auto"/>
            </w:tcBorders>
          </w:tcPr>
          <w:p w:rsidR="00414881" w:rsidRPr="00FB6300" w:rsidP="001E18E6" w14:paraId="578471A8" w14:textId="77777777">
            <w:pPr>
              <w:tabs>
                <w:tab w:val="left" w:pos="384"/>
                <w:tab w:val="left" w:pos="6816"/>
                <w:tab w:val="right" w:pos="9900"/>
              </w:tabs>
              <w:spacing w:line="240" w:lineRule="exact"/>
              <w:ind w:right="36"/>
              <w:jc w:val="center"/>
              <w:rPr>
                <w:rFonts w:ascii="Arial" w:hAnsi="Arial"/>
                <w:color w:val="002060"/>
                <w:sz w:val="24"/>
                <w:szCs w:val="24"/>
                <w:highlight w:val="yellow"/>
              </w:rPr>
            </w:pPr>
            <w:r w:rsidRPr="00FB6300">
              <w:rPr>
                <w:rFonts w:ascii="Arial" w:hAnsi="Arial"/>
                <w:color w:val="002060"/>
                <w:sz w:val="24"/>
                <w:szCs w:val="24"/>
              </w:rPr>
              <w:t>N/A</w:t>
            </w:r>
          </w:p>
        </w:tc>
        <w:tc>
          <w:tcPr>
            <w:tcW w:w="2247" w:type="dxa"/>
            <w:tcBorders>
              <w:top w:val="single" w:sz="12" w:space="0" w:color="auto"/>
              <w:left w:val="nil"/>
              <w:bottom w:val="single" w:sz="12" w:space="0" w:color="auto"/>
              <w:right w:val="single" w:sz="12" w:space="0" w:color="auto"/>
            </w:tcBorders>
          </w:tcPr>
          <w:p w:rsidR="00414881" w:rsidRPr="00FB6300" w:rsidP="001E18E6" w14:paraId="0F092961" w14:textId="676AB10F">
            <w:pPr>
              <w:tabs>
                <w:tab w:val="left" w:pos="384"/>
                <w:tab w:val="left" w:pos="6816"/>
                <w:tab w:val="right" w:pos="9900"/>
              </w:tabs>
              <w:spacing w:line="240" w:lineRule="exact"/>
              <w:ind w:right="36"/>
              <w:jc w:val="center"/>
              <w:rPr>
                <w:rFonts w:ascii="Arial" w:hAnsi="Arial"/>
                <w:b/>
                <w:color w:val="002060"/>
                <w:sz w:val="24"/>
                <w:szCs w:val="24"/>
                <w:highlight w:val="yellow"/>
              </w:rPr>
            </w:pPr>
            <w:r>
              <w:rPr>
                <w:rFonts w:ascii="Arial" w:hAnsi="Arial"/>
                <w:b/>
                <w:color w:val="002060"/>
                <w:sz w:val="24"/>
                <w:szCs w:val="24"/>
              </w:rPr>
              <w:t>170,78</w:t>
            </w:r>
            <w:r w:rsidR="00D30EBD">
              <w:rPr>
                <w:rFonts w:ascii="Arial" w:hAnsi="Arial"/>
                <w:b/>
                <w:color w:val="002060"/>
                <w:sz w:val="24"/>
                <w:szCs w:val="24"/>
              </w:rPr>
              <w:t>0</w:t>
            </w:r>
          </w:p>
        </w:tc>
      </w:tr>
      <w:tr w14:paraId="1363A143" w14:textId="77777777" w:rsidTr="009F167F">
        <w:tblPrEx>
          <w:tblW w:w="9735" w:type="dxa"/>
          <w:tblLayout w:type="fixed"/>
          <w:tblLook w:val="0000"/>
        </w:tblPrEx>
        <w:trPr>
          <w:cantSplit/>
        </w:trPr>
        <w:tc>
          <w:tcPr>
            <w:tcW w:w="9735" w:type="dxa"/>
            <w:gridSpan w:val="5"/>
            <w:tcBorders>
              <w:top w:val="single" w:sz="12" w:space="0" w:color="auto"/>
              <w:left w:val="single" w:sz="12" w:space="0" w:color="auto"/>
              <w:bottom w:val="single" w:sz="12" w:space="0" w:color="auto"/>
              <w:right w:val="single" w:sz="12" w:space="0" w:color="auto"/>
            </w:tcBorders>
            <w:shd w:val="clear" w:color="auto" w:fill="DDD9C4" w:themeFill="background2" w:themeFillShade="E6"/>
          </w:tcPr>
          <w:p w:rsidR="009F167F" w:rsidP="001E18E6" w14:paraId="5888CE6A" w14:textId="77777777">
            <w:pPr>
              <w:tabs>
                <w:tab w:val="left" w:pos="384"/>
                <w:tab w:val="left" w:pos="6816"/>
                <w:tab w:val="right" w:pos="9900"/>
              </w:tabs>
              <w:spacing w:line="240" w:lineRule="exact"/>
              <w:ind w:right="36"/>
              <w:jc w:val="center"/>
              <w:rPr>
                <w:rFonts w:ascii="Arial" w:hAnsi="Arial"/>
                <w:b/>
                <w:color w:val="002060"/>
                <w:sz w:val="24"/>
                <w:szCs w:val="24"/>
              </w:rPr>
            </w:pPr>
          </w:p>
        </w:tc>
      </w:tr>
      <w:tr w14:paraId="3C865599" w14:textId="77777777" w:rsidTr="009F167F">
        <w:tblPrEx>
          <w:tblW w:w="9735" w:type="dxa"/>
          <w:tblLayout w:type="fixed"/>
          <w:tblLook w:val="0000"/>
        </w:tblPrEx>
        <w:trPr>
          <w:cantSplit/>
        </w:trPr>
        <w:tc>
          <w:tcPr>
            <w:tcW w:w="9735" w:type="dxa"/>
            <w:gridSpan w:val="5"/>
            <w:tcBorders>
              <w:top w:val="single" w:sz="12" w:space="0" w:color="auto"/>
              <w:left w:val="single" w:sz="12" w:space="0" w:color="auto"/>
              <w:bottom w:val="single" w:sz="12" w:space="0" w:color="auto"/>
              <w:right w:val="single" w:sz="12" w:space="0" w:color="auto"/>
            </w:tcBorders>
            <w:shd w:val="clear" w:color="auto" w:fill="DDD9C4" w:themeFill="background2" w:themeFillShade="E6"/>
          </w:tcPr>
          <w:p w:rsidR="00D30EBD" w:rsidP="001E18E6" w14:paraId="663C90A7" w14:textId="77777777">
            <w:pPr>
              <w:tabs>
                <w:tab w:val="left" w:pos="384"/>
                <w:tab w:val="left" w:pos="6816"/>
                <w:tab w:val="right" w:pos="9900"/>
              </w:tabs>
              <w:spacing w:line="240" w:lineRule="exact"/>
              <w:ind w:right="36"/>
              <w:jc w:val="center"/>
              <w:rPr>
                <w:rFonts w:ascii="Arial" w:hAnsi="Arial"/>
                <w:b/>
                <w:color w:val="002060"/>
                <w:sz w:val="24"/>
                <w:szCs w:val="24"/>
              </w:rPr>
            </w:pPr>
          </w:p>
        </w:tc>
      </w:tr>
    </w:tbl>
    <w:p w:rsidR="00414881" w:rsidRPr="00F0477B" w:rsidP="00F0477B" w14:paraId="403BC126" w14:textId="77777777">
      <w:pPr>
        <w:ind w:left="720"/>
        <w:rPr>
          <w:rFonts w:ascii="Arial" w:hAnsi="Arial" w:cs="Arial"/>
          <w:sz w:val="24"/>
          <w:szCs w:val="24"/>
        </w:rPr>
      </w:pPr>
    </w:p>
    <w:p w:rsidR="0041591C" w:rsidRPr="0041591C" w:rsidP="0041591C" w14:paraId="2579ED91" w14:textId="77777777">
      <w:pPr>
        <w:spacing w:line="276" w:lineRule="auto"/>
        <w:jc w:val="both"/>
        <w:rPr>
          <w:rFonts w:ascii="Arial" w:hAnsi="Arial" w:cs="Arial"/>
          <w:sz w:val="24"/>
          <w:szCs w:val="24"/>
        </w:rPr>
      </w:pPr>
      <w:r w:rsidRPr="0041591C">
        <w:rPr>
          <w:rFonts w:ascii="Arial" w:eastAsia="Arial" w:hAnsi="Arial" w:cs="Arial"/>
          <w:sz w:val="24"/>
          <w:szCs w:val="24"/>
        </w:rPr>
        <w:t xml:space="preserve">The Bureau of Labor Statistics (BLS) gathers information on full-time wage and salary workers.  According to the latest available BLS data, the mean weekly earnings of full-time wage and salary workers are $1,120.40.  Assuming a forty (40) hour work week, the </w:t>
      </w:r>
      <w:r w:rsidRPr="0041591C">
        <w:rPr>
          <w:rFonts w:ascii="Arial" w:eastAsia="Arial" w:hAnsi="Arial" w:cs="Arial"/>
          <w:b/>
          <w:bCs/>
          <w:sz w:val="24"/>
          <w:szCs w:val="24"/>
        </w:rPr>
        <w:t>mean hourly wage is $28.01 based on the BLS wage code – “00-0000 All Occupations.”  ($28.01 X 40 hours). This</w:t>
      </w:r>
      <w:r w:rsidRPr="0041591C">
        <w:rPr>
          <w:rFonts w:ascii="Arial" w:eastAsia="Arial" w:hAnsi="Arial" w:cs="Arial"/>
          <w:sz w:val="24"/>
          <w:szCs w:val="24"/>
        </w:rPr>
        <w:t xml:space="preserve"> information was taken from the following website:  </w:t>
      </w:r>
      <w:hyperlink r:id="rId9">
        <w:r w:rsidRPr="0041591C">
          <w:rPr>
            <w:rStyle w:val="Hyperlink"/>
            <w:rFonts w:ascii="Arial" w:eastAsia="Arial" w:hAnsi="Arial" w:cs="Arial"/>
            <w:sz w:val="24"/>
            <w:szCs w:val="24"/>
          </w:rPr>
          <w:t>https://www.bls.gov/oes/current/oes_nat.htm</w:t>
        </w:r>
      </w:hyperlink>
      <w:r w:rsidRPr="0041591C">
        <w:rPr>
          <w:rFonts w:ascii="Arial" w:eastAsia="Arial" w:hAnsi="Arial" w:cs="Arial"/>
          <w:sz w:val="24"/>
          <w:szCs w:val="24"/>
        </w:rPr>
        <w:t xml:space="preserve"> May 2021.</w:t>
      </w:r>
    </w:p>
    <w:p w:rsidR="0041591C" w:rsidRPr="0041591C" w:rsidP="0041591C" w14:paraId="5DB75A9B" w14:textId="77777777">
      <w:pPr>
        <w:rPr>
          <w:rFonts w:ascii="Arial" w:eastAsia="Arial" w:hAnsi="Arial" w:cs="Arial"/>
          <w:sz w:val="24"/>
          <w:szCs w:val="24"/>
        </w:rPr>
      </w:pPr>
    </w:p>
    <w:p w:rsidR="0041591C" w:rsidRPr="0041591C" w:rsidP="0041591C" w14:paraId="519B885A" w14:textId="393913BF">
      <w:pPr>
        <w:rPr>
          <w:rFonts w:ascii="Arial" w:hAnsi="Arial" w:cs="Arial"/>
          <w:sz w:val="24"/>
          <w:szCs w:val="24"/>
        </w:rPr>
      </w:pPr>
      <w:r w:rsidRPr="0041591C">
        <w:rPr>
          <w:rFonts w:ascii="Arial" w:eastAsia="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w:t>
      </w:r>
    </w:p>
    <w:p w:rsidR="0041591C" w:rsidRPr="0041591C" w:rsidP="0041591C" w14:paraId="6B7EE69C" w14:textId="77777777">
      <w:pPr>
        <w:rPr>
          <w:rFonts w:ascii="Arial" w:eastAsia="Arial" w:hAnsi="Arial" w:cs="Arial"/>
          <w:sz w:val="24"/>
          <w:szCs w:val="24"/>
        </w:rPr>
      </w:pPr>
    </w:p>
    <w:p w:rsidR="0041591C" w:rsidRPr="0041591C" w:rsidP="0041591C" w14:paraId="56CAB2C5" w14:textId="79A25D66">
      <w:pPr>
        <w:rPr>
          <w:rFonts w:ascii="Arial" w:eastAsia="Arial" w:hAnsi="Arial" w:cs="Arial"/>
          <w:strike/>
          <w:sz w:val="24"/>
          <w:szCs w:val="24"/>
        </w:rPr>
      </w:pPr>
      <w:r w:rsidRPr="0041591C">
        <w:rPr>
          <w:rFonts w:ascii="Arial" w:eastAsia="Arial" w:hAnsi="Arial" w:cs="Arial"/>
          <w:sz w:val="24"/>
          <w:szCs w:val="24"/>
        </w:rPr>
        <w:t xml:space="preserve">Therefore, there are no expected overhead costs for completing the information </w:t>
      </w:r>
      <w:r w:rsidR="000B1F16">
        <w:rPr>
          <w:rFonts w:ascii="Arial" w:eastAsia="Arial" w:hAnsi="Arial" w:cs="Arial"/>
          <w:sz w:val="24"/>
          <w:szCs w:val="24"/>
        </w:rPr>
        <w:t xml:space="preserve"> </w:t>
      </w:r>
      <w:r w:rsidRPr="0041591C">
        <w:rPr>
          <w:rFonts w:ascii="Arial" w:eastAsia="Arial" w:hAnsi="Arial" w:cs="Arial"/>
          <w:sz w:val="24"/>
          <w:szCs w:val="24"/>
        </w:rPr>
        <w:t xml:space="preserve">collection.  VBA estimates the total cost to all respondents to be </w:t>
      </w:r>
      <w:r w:rsidR="000B1F16">
        <w:rPr>
          <w:rFonts w:ascii="Arial" w:eastAsia="Arial" w:hAnsi="Arial" w:cs="Arial"/>
          <w:sz w:val="24"/>
          <w:szCs w:val="24"/>
        </w:rPr>
        <w:t>4,783,</w:t>
      </w:r>
      <w:r w:rsidR="00D93721">
        <w:rPr>
          <w:rFonts w:ascii="Arial" w:eastAsia="Arial" w:hAnsi="Arial" w:cs="Arial"/>
          <w:sz w:val="24"/>
          <w:szCs w:val="24"/>
        </w:rPr>
        <w:t>547</w:t>
      </w:r>
      <w:r w:rsidR="000B1F16">
        <w:rPr>
          <w:rFonts w:ascii="Arial" w:eastAsia="Arial" w:hAnsi="Arial" w:cs="Arial"/>
          <w:sz w:val="24"/>
          <w:szCs w:val="24"/>
        </w:rPr>
        <w:t xml:space="preserve"> </w:t>
      </w:r>
      <w:r w:rsidRPr="0041591C">
        <w:rPr>
          <w:rFonts w:ascii="Arial" w:eastAsia="Arial" w:hAnsi="Arial" w:cs="Arial"/>
          <w:sz w:val="24"/>
          <w:szCs w:val="24"/>
        </w:rPr>
        <w:t>(</w:t>
      </w:r>
      <w:r w:rsidR="000B1F16">
        <w:rPr>
          <w:rFonts w:ascii="Arial" w:eastAsia="Arial" w:hAnsi="Arial" w:cs="Arial"/>
          <w:sz w:val="24"/>
          <w:szCs w:val="24"/>
        </w:rPr>
        <w:t>170,78</w:t>
      </w:r>
      <w:r w:rsidR="00D93721">
        <w:rPr>
          <w:rFonts w:ascii="Arial" w:eastAsia="Arial" w:hAnsi="Arial" w:cs="Arial"/>
          <w:sz w:val="24"/>
          <w:szCs w:val="24"/>
        </w:rPr>
        <w:t>0</w:t>
      </w:r>
      <w:r w:rsidR="000B1F16">
        <w:rPr>
          <w:rFonts w:ascii="Arial" w:eastAsia="Arial" w:hAnsi="Arial" w:cs="Arial"/>
          <w:sz w:val="24"/>
          <w:szCs w:val="24"/>
        </w:rPr>
        <w:t xml:space="preserve"> X $28.01 per hour).</w:t>
      </w:r>
    </w:p>
    <w:p w:rsidR="00F0477B" w:rsidRPr="00414881" w:rsidP="00795D22" w14:paraId="6A073761" w14:textId="77777777">
      <w:pPr>
        <w:tabs>
          <w:tab w:val="left" w:pos="360"/>
          <w:tab w:val="left" w:pos="792"/>
        </w:tabs>
        <w:rPr>
          <w:rFonts w:ascii="Arial" w:hAnsi="Arial" w:cs="Arial"/>
          <w:sz w:val="28"/>
          <w:szCs w:val="28"/>
        </w:rPr>
      </w:pPr>
    </w:p>
    <w:p w:rsidR="002C1D10" w:rsidRPr="00F92FE3" w:rsidP="00ED4639" w14:paraId="31E47FDF" w14:textId="77777777">
      <w:pPr>
        <w:pStyle w:val="BodyText"/>
        <w:spacing w:line="240" w:lineRule="auto"/>
        <w:ind w:right="43"/>
        <w:contextualSpacing/>
        <w:rPr>
          <w:b/>
          <w:szCs w:val="24"/>
        </w:rPr>
      </w:pPr>
      <w:r w:rsidRPr="00F92FE3">
        <w:rPr>
          <w:b/>
          <w:szCs w:val="24"/>
        </w:rPr>
        <w:t>13. Provide estimates of the total annual cost burden to respondents or recordkeepers resulting from the collection of information.  (Do not include the cost of any hour burden shown in Items 12 and 14).</w:t>
      </w:r>
    </w:p>
    <w:p w:rsidR="002C1D10" w:rsidP="00795D22" w14:paraId="260A5C9D" w14:textId="77777777">
      <w:pPr>
        <w:tabs>
          <w:tab w:val="left" w:pos="360"/>
          <w:tab w:val="left" w:pos="792"/>
        </w:tabs>
        <w:rPr>
          <w:rFonts w:ascii="Arial" w:hAnsi="Arial"/>
          <w:sz w:val="24"/>
          <w:szCs w:val="24"/>
        </w:rPr>
      </w:pPr>
    </w:p>
    <w:p w:rsidR="00795D22" w:rsidRPr="001E5428" w:rsidP="00795D22" w14:paraId="768FBB43" w14:textId="77777777">
      <w:pPr>
        <w:tabs>
          <w:tab w:val="left" w:pos="360"/>
          <w:tab w:val="left" w:pos="792"/>
        </w:tabs>
        <w:rPr>
          <w:rFonts w:ascii="Arial" w:hAnsi="Arial"/>
          <w:sz w:val="24"/>
          <w:szCs w:val="24"/>
        </w:rPr>
      </w:pPr>
      <w:r w:rsidRPr="001E5428">
        <w:rPr>
          <w:rFonts w:ascii="Arial" w:hAnsi="Arial"/>
          <w:sz w:val="24"/>
          <w:szCs w:val="24"/>
        </w:rPr>
        <w:t>This submission does not involve any record keeping costs.</w:t>
      </w:r>
    </w:p>
    <w:p w:rsidR="00795D22" w:rsidRPr="00414881" w:rsidP="00795D22" w14:paraId="030FFD71" w14:textId="77777777">
      <w:pPr>
        <w:tabs>
          <w:tab w:val="left" w:pos="360"/>
          <w:tab w:val="left" w:pos="792"/>
        </w:tabs>
        <w:rPr>
          <w:rFonts w:ascii="Arial" w:hAnsi="Arial"/>
          <w:sz w:val="28"/>
          <w:szCs w:val="28"/>
          <w:highlight w:val="yellow"/>
        </w:rPr>
      </w:pPr>
    </w:p>
    <w:p w:rsidR="002C1D10" w:rsidRPr="00F92FE3" w:rsidP="00ED4639" w14:paraId="177A9485" w14:textId="77777777">
      <w:pPr>
        <w:pStyle w:val="BodyText"/>
        <w:spacing w:line="240" w:lineRule="auto"/>
        <w:ind w:right="43"/>
        <w:contextualSpacing/>
        <w:rPr>
          <w:b/>
          <w:szCs w:val="24"/>
        </w:rPr>
      </w:pPr>
      <w:r w:rsidRPr="00F92FE3">
        <w:rPr>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C1D10" w:rsidRPr="00F92FE3" w:rsidP="00F92FE3" w14:paraId="54A07C32" w14:textId="77777777">
      <w:pPr>
        <w:tabs>
          <w:tab w:val="left" w:pos="360"/>
          <w:tab w:val="left" w:pos="792"/>
        </w:tabs>
        <w:spacing w:line="360" w:lineRule="auto"/>
        <w:contextualSpacing/>
        <w:rPr>
          <w:rFonts w:ascii="Arial" w:hAnsi="Arial"/>
          <w:b/>
          <w:bCs/>
          <w:sz w:val="24"/>
          <w:szCs w:val="24"/>
        </w:rPr>
      </w:pPr>
    </w:p>
    <w:p w:rsidR="002C1D10" w:rsidP="002C1D10" w14:paraId="2BC97EC1" w14:textId="751930C1">
      <w:pPr>
        <w:pStyle w:val="BodyText"/>
        <w:rPr>
          <w:b/>
          <w:bCs/>
          <w:szCs w:val="24"/>
        </w:rPr>
      </w:pPr>
      <w:r w:rsidRPr="0041591C">
        <w:rPr>
          <w:b/>
          <w:bCs/>
          <w:szCs w:val="24"/>
        </w:rPr>
        <w:t>Estimated</w:t>
      </w:r>
      <w:r w:rsidRPr="0041591C">
        <w:rPr>
          <w:b/>
          <w:bCs/>
          <w:spacing w:val="26"/>
          <w:szCs w:val="24"/>
        </w:rPr>
        <w:t xml:space="preserve"> </w:t>
      </w:r>
      <w:r w:rsidRPr="0041591C">
        <w:rPr>
          <w:b/>
          <w:bCs/>
          <w:szCs w:val="24"/>
        </w:rPr>
        <w:t>Costs</w:t>
      </w:r>
      <w:r w:rsidRPr="0041591C">
        <w:rPr>
          <w:b/>
          <w:bCs/>
          <w:spacing w:val="13"/>
          <w:szCs w:val="24"/>
        </w:rPr>
        <w:t xml:space="preserve"> </w:t>
      </w:r>
      <w:r w:rsidRPr="0041591C">
        <w:rPr>
          <w:b/>
          <w:bCs/>
          <w:szCs w:val="24"/>
        </w:rPr>
        <w:t>to</w:t>
      </w:r>
      <w:r w:rsidRPr="0041591C">
        <w:rPr>
          <w:b/>
          <w:bCs/>
          <w:spacing w:val="21"/>
          <w:szCs w:val="24"/>
        </w:rPr>
        <w:t xml:space="preserve"> </w:t>
      </w:r>
      <w:r w:rsidRPr="0041591C">
        <w:rPr>
          <w:b/>
          <w:bCs/>
          <w:szCs w:val="24"/>
        </w:rPr>
        <w:t>the</w:t>
      </w:r>
      <w:r w:rsidRPr="0041591C">
        <w:rPr>
          <w:b/>
          <w:bCs/>
          <w:spacing w:val="32"/>
          <w:szCs w:val="24"/>
        </w:rPr>
        <w:t xml:space="preserve"> </w:t>
      </w:r>
      <w:r w:rsidRPr="0041591C">
        <w:rPr>
          <w:b/>
          <w:bCs/>
          <w:szCs w:val="24"/>
        </w:rPr>
        <w:t>Federal</w:t>
      </w:r>
      <w:r w:rsidRPr="0041591C">
        <w:rPr>
          <w:b/>
          <w:bCs/>
          <w:spacing w:val="16"/>
          <w:szCs w:val="24"/>
        </w:rPr>
        <w:t xml:space="preserve"> </w:t>
      </w:r>
      <w:r w:rsidRPr="0041591C" w:rsidR="0041591C">
        <w:rPr>
          <w:b/>
          <w:bCs/>
          <w:szCs w:val="24"/>
        </w:rPr>
        <w:t>Government</w:t>
      </w:r>
      <w:r w:rsidRPr="00D35C30" w:rsidR="0041591C">
        <w:rPr>
          <w:b/>
          <w:bCs/>
          <w:szCs w:val="24"/>
        </w:rPr>
        <w:t>:</w:t>
      </w:r>
      <w:r w:rsidRPr="00D35C30" w:rsidR="00D35C30">
        <w:rPr>
          <w:b/>
          <w:bCs/>
          <w:szCs w:val="24"/>
        </w:rPr>
        <w:t xml:space="preserve">    </w:t>
      </w:r>
      <w:r w:rsidRPr="00D35C30" w:rsidR="00D35C30">
        <w:rPr>
          <w:rStyle w:val="Hyperlink"/>
          <w:rFonts w:eastAsiaTheme="majorEastAsia" w:cs="Arial"/>
          <w:b/>
          <w:bCs/>
          <w:color w:val="000000" w:themeColor="text1"/>
          <w:u w:val="none"/>
        </w:rPr>
        <w:t>$10,278,606.44</w:t>
      </w:r>
    </w:p>
    <w:p w:rsidR="0041591C" w:rsidRPr="0041591C" w:rsidP="002C1D10" w14:paraId="182A1972" w14:textId="77777777">
      <w:pPr>
        <w:pStyle w:val="BodyText"/>
        <w:rPr>
          <w:rStyle w:val="Hyperlink"/>
          <w:rFonts w:eastAsiaTheme="majorEastAsia" w:cs="Arial"/>
          <w:b/>
          <w:bCs/>
          <w:szCs w:val="24"/>
        </w:rPr>
      </w:pPr>
    </w:p>
    <w:p w:rsidR="002C1D10" w:rsidRPr="0041591C" w:rsidP="002C1D10" w14:paraId="6C107DDD" w14:textId="77777777">
      <w:pPr>
        <w:pStyle w:val="BodyText"/>
        <w:rPr>
          <w:rStyle w:val="Hyperlink"/>
          <w:rFonts w:eastAsiaTheme="majorEastAsia" w:cs="Arial"/>
          <w:b/>
          <w:bCs/>
          <w:szCs w:val="24"/>
        </w:rPr>
      </w:pPr>
    </w:p>
    <w:tbl>
      <w:tblPr>
        <w:tblStyle w:val="TableGrid"/>
        <w:tblW w:w="9408" w:type="dxa"/>
        <w:jc w:val="center"/>
        <w:tblLook w:val="04A0"/>
      </w:tblPr>
      <w:tblGrid>
        <w:gridCol w:w="996"/>
        <w:gridCol w:w="772"/>
        <w:gridCol w:w="1335"/>
        <w:gridCol w:w="1007"/>
        <w:gridCol w:w="883"/>
        <w:gridCol w:w="2494"/>
        <w:gridCol w:w="1921"/>
      </w:tblGrid>
      <w:tr w14:paraId="7618F27D" w14:textId="77777777" w:rsidTr="0041591C">
        <w:tblPrEx>
          <w:tblW w:w="9408" w:type="dxa"/>
          <w:jc w:val="center"/>
          <w:tblLook w:val="04A0"/>
        </w:tblPrEx>
        <w:trPr>
          <w:trHeight w:val="1255"/>
          <w:jc w:val="center"/>
        </w:trPr>
        <w:tc>
          <w:tcPr>
            <w:tcW w:w="1213" w:type="dxa"/>
          </w:tcPr>
          <w:p w:rsidR="002C1D10" w:rsidRPr="00A638C0" w:rsidP="008605A5" w14:paraId="5914674F"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Grade</w:t>
            </w:r>
          </w:p>
        </w:tc>
        <w:tc>
          <w:tcPr>
            <w:tcW w:w="844" w:type="dxa"/>
          </w:tcPr>
          <w:p w:rsidR="002C1D10" w:rsidRPr="00A638C0" w:rsidP="008605A5" w14:paraId="7ECC33E3"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Step</w:t>
            </w:r>
          </w:p>
        </w:tc>
        <w:tc>
          <w:tcPr>
            <w:tcW w:w="1375" w:type="dxa"/>
          </w:tcPr>
          <w:p w:rsidR="002C1D10" w:rsidRPr="00A638C0" w:rsidP="008605A5" w14:paraId="7AEF84C5"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Burden Time Employee</w:t>
            </w:r>
          </w:p>
        </w:tc>
        <w:tc>
          <w:tcPr>
            <w:tcW w:w="1061" w:type="dxa"/>
          </w:tcPr>
          <w:p w:rsidR="002C1D10" w:rsidRPr="00A638C0" w:rsidP="008605A5" w14:paraId="51C57CC4" w14:textId="77777777">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Hourly Wage Rate</w:t>
            </w:r>
          </w:p>
        </w:tc>
        <w:tc>
          <w:tcPr>
            <w:tcW w:w="1524" w:type="dxa"/>
          </w:tcPr>
          <w:p w:rsidR="002C1D10" w:rsidRPr="00A638C0" w:rsidP="008605A5" w14:paraId="20504724" w14:textId="4B6FE4B9">
            <w:pPr>
              <w:pStyle w:val="BodyText"/>
              <w:rPr>
                <w:rStyle w:val="Hyperlink"/>
                <w:rFonts w:eastAsiaTheme="majorEastAsia" w:cs="Arial"/>
                <w:color w:val="auto"/>
                <w:szCs w:val="24"/>
                <w:u w:val="none"/>
              </w:rPr>
            </w:pPr>
            <w:r w:rsidRPr="00A638C0">
              <w:rPr>
                <w:rStyle w:val="Hyperlink"/>
                <w:rFonts w:eastAsiaTheme="majorEastAsia" w:cs="Arial"/>
                <w:color w:val="auto"/>
                <w:szCs w:val="24"/>
                <w:u w:val="none"/>
              </w:rPr>
              <w:t xml:space="preserve"> </w:t>
            </w:r>
            <w:r w:rsidRPr="00E56603">
              <w:rPr>
                <w:rStyle w:val="Hyperlink"/>
                <w:rFonts w:eastAsiaTheme="majorEastAsia" w:cs="Arial"/>
                <w:color w:val="auto"/>
                <w:szCs w:val="24"/>
                <w:u w:val="none"/>
              </w:rPr>
              <w:t>N/A</w:t>
            </w:r>
          </w:p>
        </w:tc>
        <w:tc>
          <w:tcPr>
            <w:tcW w:w="1486" w:type="dxa"/>
          </w:tcPr>
          <w:p w:rsidR="002C1D10" w:rsidRPr="00A638C0" w:rsidP="008605A5" w14:paraId="42C6050C" w14:textId="13C8453D">
            <w:pPr>
              <w:pStyle w:val="BodyText"/>
              <w:rPr>
                <w:rStyle w:val="Hyperlink"/>
                <w:rFonts w:eastAsiaTheme="majorEastAsia" w:cs="Arial"/>
                <w:color w:val="auto"/>
                <w:szCs w:val="24"/>
                <w:u w:val="none"/>
              </w:rPr>
            </w:pPr>
            <w:r w:rsidRPr="00A638C0">
              <w:rPr>
                <w:rStyle w:val="Hyperlink"/>
                <w:rFonts w:eastAsiaTheme="majorEastAsia"/>
                <w:color w:val="auto"/>
                <w:u w:val="none"/>
              </w:rPr>
              <w:t>C</w:t>
            </w:r>
            <w:r w:rsidRPr="00A70BE2">
              <w:rPr>
                <w:rStyle w:val="Hyperlink"/>
                <w:rFonts w:eastAsiaTheme="majorEastAsia"/>
                <w:color w:val="auto"/>
                <w:u w:val="none"/>
              </w:rPr>
              <w:t>ost for</w:t>
            </w:r>
            <w:r w:rsidRPr="00A638C0">
              <w:rPr>
                <w:rStyle w:val="Hyperlink"/>
                <w:rFonts w:eastAsiaTheme="majorEastAsia"/>
                <w:color w:val="auto"/>
              </w:rPr>
              <w:t xml:space="preserve"> </w:t>
            </w:r>
            <w:r w:rsidRPr="00A638C0" w:rsidR="00602468">
              <w:rPr>
                <w:rStyle w:val="Hyperlink"/>
                <w:rFonts w:eastAsiaTheme="majorEastAsia"/>
                <w:color w:val="auto"/>
                <w:u w:val="none"/>
              </w:rPr>
              <w:t>Response</w:t>
            </w:r>
            <w:r w:rsidRPr="00A638C0">
              <w:rPr>
                <w:rStyle w:val="Hyperlink"/>
                <w:rFonts w:eastAsiaTheme="majorEastAsia"/>
                <w:color w:val="auto"/>
                <w:u w:val="none"/>
              </w:rPr>
              <w:t xml:space="preserve"> on Paper Application/Scanning</w:t>
            </w:r>
          </w:p>
        </w:tc>
        <w:tc>
          <w:tcPr>
            <w:tcW w:w="1905" w:type="dxa"/>
          </w:tcPr>
          <w:p w:rsidR="002C1D10" w:rsidRPr="00A638C0" w:rsidP="008605A5" w14:paraId="41BC7673" w14:textId="77777777">
            <w:pPr>
              <w:pStyle w:val="BodyText"/>
              <w:rPr>
                <w:rStyle w:val="Hyperlink"/>
                <w:rFonts w:eastAsiaTheme="majorEastAsia" w:cs="Arial"/>
                <w:b/>
                <w:color w:val="auto"/>
                <w:szCs w:val="24"/>
                <w:u w:val="none"/>
              </w:rPr>
            </w:pPr>
            <w:r w:rsidRPr="00A638C0">
              <w:rPr>
                <w:rStyle w:val="Hyperlink"/>
                <w:rFonts w:eastAsiaTheme="majorEastAsia" w:cs="Arial"/>
                <w:b/>
                <w:color w:val="auto"/>
                <w:szCs w:val="24"/>
                <w:u w:val="none"/>
              </w:rPr>
              <w:t>Gov. Cost</w:t>
            </w:r>
          </w:p>
        </w:tc>
      </w:tr>
      <w:tr w14:paraId="22DD73DA" w14:textId="77777777" w:rsidTr="0041591C">
        <w:tblPrEx>
          <w:tblW w:w="9408" w:type="dxa"/>
          <w:jc w:val="center"/>
          <w:tblLook w:val="04A0"/>
        </w:tblPrEx>
        <w:trPr>
          <w:trHeight w:val="988"/>
          <w:jc w:val="center"/>
        </w:trPr>
        <w:tc>
          <w:tcPr>
            <w:tcW w:w="1213" w:type="dxa"/>
          </w:tcPr>
          <w:p w:rsidR="004776B2" w:rsidRPr="00A70BE2" w:rsidP="005D79E8" w14:paraId="361BA803" w14:textId="4CE6128A">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Clerk-</w:t>
            </w:r>
            <w:r w:rsidRPr="00A70BE2" w:rsidR="00FC53B8">
              <w:rPr>
                <w:rStyle w:val="Hyperlink"/>
                <w:rFonts w:eastAsiaTheme="majorEastAsia" w:cs="Arial"/>
                <w:color w:val="auto"/>
                <w:szCs w:val="24"/>
                <w:u w:val="none"/>
              </w:rPr>
              <w:t>G</w:t>
            </w:r>
            <w:r w:rsidRPr="00A70BE2">
              <w:rPr>
                <w:rStyle w:val="Hyperlink"/>
                <w:rFonts w:eastAsiaTheme="majorEastAsia" w:cs="Arial"/>
                <w:color w:val="auto"/>
                <w:szCs w:val="24"/>
                <w:u w:val="none"/>
              </w:rPr>
              <w:t>S 06</w:t>
            </w:r>
          </w:p>
        </w:tc>
        <w:tc>
          <w:tcPr>
            <w:tcW w:w="844" w:type="dxa"/>
          </w:tcPr>
          <w:p w:rsidR="005D79E8" w:rsidRPr="00A70BE2" w:rsidP="008605A5" w14:paraId="64572DD3" w14:textId="77777777">
            <w:pPr>
              <w:pStyle w:val="BodyText"/>
              <w:jc w:val="center"/>
              <w:rPr>
                <w:rStyle w:val="Hyperlink"/>
                <w:rFonts w:eastAsiaTheme="majorEastAsia" w:cs="Arial"/>
                <w:color w:val="auto"/>
                <w:szCs w:val="24"/>
                <w:u w:val="none"/>
              </w:rPr>
            </w:pPr>
          </w:p>
          <w:p w:rsidR="002C1D10" w:rsidRPr="00A70BE2" w:rsidP="008605A5" w14:paraId="5E0945A4" w14:textId="4EC7DC31">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05</w:t>
            </w:r>
          </w:p>
        </w:tc>
        <w:tc>
          <w:tcPr>
            <w:tcW w:w="1375" w:type="dxa"/>
          </w:tcPr>
          <w:p w:rsidR="005D79E8" w:rsidRPr="00A70BE2" w:rsidP="008605A5" w14:paraId="27D67499" w14:textId="77777777">
            <w:pPr>
              <w:pStyle w:val="BodyText"/>
              <w:jc w:val="center"/>
              <w:rPr>
                <w:rStyle w:val="Hyperlink"/>
                <w:rFonts w:eastAsiaTheme="majorEastAsia" w:cs="Arial"/>
                <w:color w:val="auto"/>
                <w:szCs w:val="24"/>
                <w:u w:val="none"/>
              </w:rPr>
            </w:pPr>
          </w:p>
          <w:p w:rsidR="002C1D10" w:rsidRPr="00A70BE2" w:rsidP="008605A5" w14:paraId="24C19A84" w14:textId="0AA2EFCE">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5</w:t>
            </w:r>
            <w:r w:rsidRPr="00A70BE2">
              <w:rPr>
                <w:rStyle w:val="Hyperlink"/>
                <w:rFonts w:eastAsiaTheme="majorEastAsia" w:cs="Arial"/>
                <w:color w:val="auto"/>
                <w:szCs w:val="24"/>
                <w:u w:val="none"/>
              </w:rPr>
              <w:t>min</w:t>
            </w:r>
          </w:p>
        </w:tc>
        <w:tc>
          <w:tcPr>
            <w:tcW w:w="1061" w:type="dxa"/>
          </w:tcPr>
          <w:p w:rsidR="005D79E8" w:rsidRPr="00A70BE2" w:rsidP="008605A5" w14:paraId="6C9E1199" w14:textId="77777777">
            <w:pPr>
              <w:pStyle w:val="BodyText"/>
              <w:jc w:val="center"/>
              <w:rPr>
                <w:rStyle w:val="Hyperlink"/>
                <w:rFonts w:eastAsiaTheme="majorEastAsia" w:cs="Arial"/>
                <w:color w:val="auto"/>
                <w:szCs w:val="24"/>
                <w:u w:val="none"/>
              </w:rPr>
            </w:pPr>
          </w:p>
          <w:p w:rsidR="002C1D10" w:rsidRPr="00A70BE2" w:rsidP="008605A5" w14:paraId="3251900C" w14:textId="1BC5BFCC">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w:t>
            </w:r>
            <w:r w:rsidRPr="00016E4C" w:rsidR="00016E4C">
              <w:rPr>
                <w:rStyle w:val="Hyperlink"/>
                <w:rFonts w:eastAsiaTheme="majorEastAsia" w:cs="Arial"/>
                <w:color w:val="auto"/>
                <w:szCs w:val="24"/>
                <w:u w:val="none"/>
              </w:rPr>
              <w:t>2</w:t>
            </w:r>
            <w:r w:rsidRPr="00016E4C" w:rsidR="00016E4C">
              <w:rPr>
                <w:rStyle w:val="Hyperlink"/>
                <w:rFonts w:eastAsiaTheme="majorEastAsia"/>
                <w:color w:val="auto"/>
                <w:u w:val="none"/>
              </w:rPr>
              <w:t>2.82</w:t>
            </w:r>
          </w:p>
        </w:tc>
        <w:tc>
          <w:tcPr>
            <w:tcW w:w="1524" w:type="dxa"/>
          </w:tcPr>
          <w:p w:rsidR="005D79E8" w:rsidRPr="00A70BE2" w:rsidP="008605A5" w14:paraId="25CF0B71" w14:textId="77777777">
            <w:pPr>
              <w:pStyle w:val="BodyText"/>
              <w:jc w:val="center"/>
              <w:rPr>
                <w:rStyle w:val="Hyperlink"/>
                <w:rFonts w:eastAsiaTheme="majorEastAsia" w:cs="Arial"/>
                <w:color w:val="auto"/>
                <w:szCs w:val="24"/>
                <w:u w:val="none"/>
              </w:rPr>
            </w:pPr>
          </w:p>
          <w:p w:rsidR="002C1D10" w:rsidRPr="00A70BE2" w:rsidP="008605A5" w14:paraId="7E0FEAE1" w14:textId="2A01E586">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N/A</w:t>
            </w:r>
          </w:p>
        </w:tc>
        <w:tc>
          <w:tcPr>
            <w:tcW w:w="1486" w:type="dxa"/>
          </w:tcPr>
          <w:p w:rsidR="005D79E8" w:rsidRPr="00A70BE2" w:rsidP="008605A5" w14:paraId="3054A135" w14:textId="77777777">
            <w:pPr>
              <w:pStyle w:val="BodyText"/>
              <w:jc w:val="center"/>
              <w:rPr>
                <w:szCs w:val="24"/>
              </w:rPr>
            </w:pPr>
          </w:p>
          <w:p w:rsidR="002C1D10" w:rsidRPr="00A70BE2" w:rsidP="008605A5" w14:paraId="43B2C7BA" w14:textId="295BD7CC">
            <w:pPr>
              <w:pStyle w:val="BodyText"/>
              <w:jc w:val="center"/>
              <w:rPr>
                <w:rStyle w:val="Hyperlink"/>
                <w:rFonts w:eastAsiaTheme="majorEastAsia" w:cs="Arial"/>
                <w:color w:val="auto"/>
                <w:szCs w:val="24"/>
              </w:rPr>
            </w:pPr>
            <w:r w:rsidRPr="00A70BE2">
              <w:rPr>
                <w:szCs w:val="24"/>
              </w:rPr>
              <w:t>204,936</w:t>
            </w:r>
          </w:p>
        </w:tc>
        <w:tc>
          <w:tcPr>
            <w:tcW w:w="1905" w:type="dxa"/>
          </w:tcPr>
          <w:p w:rsidR="002C1D10" w:rsidRPr="00A70BE2" w:rsidP="008605A5" w14:paraId="3CA50C81" w14:textId="52BEF041">
            <w:pPr>
              <w:pStyle w:val="BodyText"/>
              <w:jc w:val="center"/>
              <w:rPr>
                <w:rStyle w:val="Hyperlink"/>
                <w:rFonts w:eastAsiaTheme="majorEastAsia" w:cs="Arial"/>
                <w:color w:val="auto"/>
                <w:szCs w:val="24"/>
                <w:u w:val="none"/>
              </w:rPr>
            </w:pPr>
            <w:r w:rsidRPr="00A638C0">
              <w:rPr>
                <w:rStyle w:val="Hyperlink"/>
                <w:rFonts w:eastAsiaTheme="majorEastAsia" w:cs="Arial"/>
                <w:b/>
                <w:color w:val="auto"/>
                <w:szCs w:val="24"/>
                <w:u w:val="none"/>
              </w:rPr>
              <w:t>$</w:t>
            </w:r>
            <w:r w:rsidR="00016E4C">
              <w:rPr>
                <w:rStyle w:val="Hyperlink"/>
                <w:rFonts w:eastAsiaTheme="majorEastAsia" w:cs="Arial"/>
                <w:b/>
                <w:color w:val="auto"/>
                <w:szCs w:val="24"/>
                <w:u w:val="none"/>
              </w:rPr>
              <w:t>389,719.96</w:t>
            </w:r>
            <w:r w:rsidRPr="00A638C0" w:rsidR="00FC53B8">
              <w:rPr>
                <w:rStyle w:val="Hyperlink"/>
                <w:rFonts w:eastAsiaTheme="majorEastAsia" w:cs="Arial"/>
                <w:color w:val="auto"/>
                <w:szCs w:val="24"/>
                <w:u w:val="none"/>
              </w:rPr>
              <w:t xml:space="preserve"> </w:t>
            </w:r>
            <w:r w:rsidRPr="00A70BE2" w:rsidR="00FC53B8">
              <w:rPr>
                <w:rStyle w:val="Hyperlink"/>
                <w:rFonts w:eastAsiaTheme="majorEastAsia" w:cs="Arial"/>
                <w:color w:val="auto"/>
                <w:szCs w:val="24"/>
                <w:u w:val="none"/>
              </w:rPr>
              <w:t>(</w:t>
            </w:r>
            <w:r w:rsidRPr="00A70BE2" w:rsidR="00D93721">
              <w:rPr>
                <w:szCs w:val="24"/>
              </w:rPr>
              <w:t xml:space="preserve">204,936 </w:t>
            </w:r>
            <w:r w:rsidRPr="00A70BE2">
              <w:rPr>
                <w:rStyle w:val="Hyperlink"/>
                <w:rFonts w:eastAsiaTheme="majorEastAsia" w:cs="Arial"/>
                <w:color w:val="auto"/>
                <w:szCs w:val="24"/>
                <w:u w:val="none"/>
              </w:rPr>
              <w:t>X $</w:t>
            </w:r>
            <w:r w:rsidRPr="00A70BE2" w:rsidR="004776B2">
              <w:rPr>
                <w:rStyle w:val="Hyperlink"/>
                <w:rFonts w:eastAsiaTheme="majorEastAsia" w:cs="Arial"/>
                <w:color w:val="auto"/>
                <w:szCs w:val="24"/>
                <w:u w:val="none"/>
              </w:rPr>
              <w:t>2</w:t>
            </w:r>
            <w:r w:rsidR="00016E4C">
              <w:rPr>
                <w:rStyle w:val="Hyperlink"/>
                <w:rFonts w:eastAsiaTheme="majorEastAsia" w:cs="Arial"/>
                <w:color w:val="auto"/>
                <w:szCs w:val="24"/>
                <w:u w:val="none"/>
              </w:rPr>
              <w:t>2.82</w:t>
            </w:r>
            <w:r w:rsidRPr="00A70BE2">
              <w:rPr>
                <w:rStyle w:val="Hyperlink"/>
                <w:rFonts w:eastAsiaTheme="majorEastAsia" w:cs="Arial"/>
                <w:color w:val="auto"/>
                <w:szCs w:val="24"/>
                <w:u w:val="none"/>
              </w:rPr>
              <w:t xml:space="preserve"> X </w:t>
            </w:r>
            <w:r w:rsidRPr="00A70BE2" w:rsidR="00E2010A">
              <w:rPr>
                <w:rStyle w:val="Hyperlink"/>
                <w:rFonts w:eastAsiaTheme="majorEastAsia" w:cs="Arial"/>
                <w:color w:val="auto"/>
                <w:szCs w:val="24"/>
                <w:u w:val="none"/>
              </w:rPr>
              <w:t xml:space="preserve">5 </w:t>
            </w:r>
            <w:r w:rsidRPr="00A70BE2">
              <w:rPr>
                <w:rStyle w:val="Hyperlink"/>
                <w:rFonts w:eastAsiaTheme="majorEastAsia" w:cs="Arial"/>
                <w:color w:val="auto"/>
                <w:szCs w:val="24"/>
                <w:u w:val="none"/>
              </w:rPr>
              <w:t>/ 60)</w:t>
            </w:r>
          </w:p>
        </w:tc>
      </w:tr>
      <w:tr w14:paraId="23C7E02D" w14:textId="77777777" w:rsidTr="0041591C">
        <w:tblPrEx>
          <w:tblW w:w="9408" w:type="dxa"/>
          <w:jc w:val="center"/>
          <w:tblLook w:val="04A0"/>
        </w:tblPrEx>
        <w:trPr>
          <w:trHeight w:val="753"/>
          <w:jc w:val="center"/>
        </w:trPr>
        <w:tc>
          <w:tcPr>
            <w:tcW w:w="1213" w:type="dxa"/>
          </w:tcPr>
          <w:p w:rsidR="008F741F" w:rsidRPr="00A70BE2" w:rsidP="008605A5" w14:paraId="24B23482"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Grade</w:t>
            </w:r>
          </w:p>
        </w:tc>
        <w:tc>
          <w:tcPr>
            <w:tcW w:w="844" w:type="dxa"/>
          </w:tcPr>
          <w:p w:rsidR="008F741F" w:rsidRPr="00A70BE2" w:rsidP="008605A5" w14:paraId="63952F8C"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Step</w:t>
            </w:r>
          </w:p>
        </w:tc>
        <w:tc>
          <w:tcPr>
            <w:tcW w:w="1375" w:type="dxa"/>
          </w:tcPr>
          <w:p w:rsidR="008F741F" w:rsidRPr="00A70BE2" w:rsidP="008605A5" w14:paraId="6D4E0345"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Burden Time Employee</w:t>
            </w:r>
          </w:p>
        </w:tc>
        <w:tc>
          <w:tcPr>
            <w:tcW w:w="1061" w:type="dxa"/>
          </w:tcPr>
          <w:p w:rsidR="008F741F" w:rsidRPr="00A70BE2" w:rsidP="008605A5" w14:paraId="64E0601B"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Hourly Wage</w:t>
            </w:r>
          </w:p>
          <w:p w:rsidR="008F741F" w:rsidRPr="00A70BE2" w:rsidP="008605A5" w14:paraId="0ED3D756" w14:textId="77777777">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Rate</w:t>
            </w:r>
          </w:p>
        </w:tc>
        <w:tc>
          <w:tcPr>
            <w:tcW w:w="1524" w:type="dxa"/>
          </w:tcPr>
          <w:p w:rsidR="008F741F" w:rsidRPr="00A70BE2" w:rsidP="008605A5" w14:paraId="6FF8A474" w14:textId="02AA3560">
            <w:pPr>
              <w:pStyle w:val="BodyText"/>
              <w:jc w:val="center"/>
              <w:rPr>
                <w:rStyle w:val="Hyperlink"/>
                <w:rFonts w:eastAsiaTheme="majorEastAsia" w:cs="Arial"/>
                <w:color w:val="auto"/>
                <w:szCs w:val="24"/>
                <w:u w:val="none"/>
              </w:rPr>
            </w:pPr>
            <w:r w:rsidRPr="00A70BE2">
              <w:rPr>
                <w:rStyle w:val="Hyperlink"/>
                <w:rFonts w:eastAsiaTheme="majorEastAsia" w:cs="Arial"/>
                <w:color w:val="auto"/>
                <w:szCs w:val="24"/>
                <w:u w:val="none"/>
              </w:rPr>
              <w:t xml:space="preserve"> </w:t>
            </w:r>
            <w:r w:rsidRPr="00E56603">
              <w:rPr>
                <w:rStyle w:val="Hyperlink"/>
                <w:rFonts w:eastAsiaTheme="majorEastAsia" w:cs="Arial"/>
                <w:color w:val="auto"/>
                <w:szCs w:val="24"/>
                <w:u w:val="none"/>
              </w:rPr>
              <w:t>N/A</w:t>
            </w:r>
          </w:p>
        </w:tc>
        <w:tc>
          <w:tcPr>
            <w:tcW w:w="1486" w:type="dxa"/>
          </w:tcPr>
          <w:p w:rsidR="00602468" w:rsidRPr="00A70BE2" w:rsidP="008605A5" w14:paraId="716670B7" w14:textId="77777777">
            <w:pPr>
              <w:pStyle w:val="BodyText"/>
              <w:jc w:val="center"/>
            </w:pPr>
            <w:r w:rsidRPr="00A70BE2">
              <w:rPr>
                <w:szCs w:val="24"/>
              </w:rPr>
              <w:t>T</w:t>
            </w:r>
            <w:r w:rsidRPr="00A70BE2">
              <w:t xml:space="preserve">otal </w:t>
            </w:r>
            <w:r w:rsidRPr="00A70BE2">
              <w:t>Electronic</w:t>
            </w:r>
          </w:p>
          <w:p w:rsidR="008F741F" w:rsidRPr="00A70BE2" w:rsidP="008605A5" w14:paraId="30C9E868" w14:textId="2A03DDF3">
            <w:pPr>
              <w:pStyle w:val="BodyText"/>
              <w:jc w:val="center"/>
              <w:rPr>
                <w:szCs w:val="24"/>
              </w:rPr>
            </w:pPr>
            <w:r w:rsidRPr="00A70BE2">
              <w:t>Responses</w:t>
            </w:r>
          </w:p>
        </w:tc>
        <w:tc>
          <w:tcPr>
            <w:tcW w:w="1905" w:type="dxa"/>
          </w:tcPr>
          <w:p w:rsidR="008F741F" w:rsidRPr="00A70BE2" w:rsidP="008605A5" w14:paraId="4CE5B7C5" w14:textId="77777777">
            <w:pPr>
              <w:pStyle w:val="BodyText"/>
              <w:jc w:val="center"/>
              <w:rPr>
                <w:rStyle w:val="Hyperlink"/>
                <w:rFonts w:eastAsiaTheme="majorEastAsia" w:cs="Arial"/>
                <w:color w:val="auto"/>
                <w:szCs w:val="24"/>
              </w:rPr>
            </w:pPr>
          </w:p>
        </w:tc>
      </w:tr>
      <w:tr w14:paraId="14BF3456" w14:textId="77777777" w:rsidTr="0041591C">
        <w:tblPrEx>
          <w:tblW w:w="9408" w:type="dxa"/>
          <w:jc w:val="center"/>
          <w:tblLook w:val="04A0"/>
        </w:tblPrEx>
        <w:trPr>
          <w:trHeight w:val="1004"/>
          <w:jc w:val="center"/>
        </w:trPr>
        <w:tc>
          <w:tcPr>
            <w:tcW w:w="1213" w:type="dxa"/>
          </w:tcPr>
          <w:p w:rsidR="008F741F" w:rsidRPr="00155164" w:rsidP="008605A5" w14:paraId="20C3AA1D" w14:textId="7AE72400">
            <w:pPr>
              <w:pStyle w:val="BodyText"/>
              <w:jc w:val="center"/>
              <w:rPr>
                <w:rStyle w:val="Hyperlink"/>
                <w:rFonts w:eastAsiaTheme="majorEastAsia" w:cs="Arial"/>
                <w:color w:val="auto"/>
                <w:szCs w:val="24"/>
              </w:rPr>
            </w:pPr>
            <w:r w:rsidRPr="00155164">
              <w:rPr>
                <w:rStyle w:val="Hyperlink"/>
                <w:rFonts w:eastAsiaTheme="majorEastAsia" w:cs="Arial"/>
                <w:color w:val="auto"/>
                <w:szCs w:val="24"/>
                <w:u w:val="none"/>
              </w:rPr>
              <w:t xml:space="preserve">  VCE</w:t>
            </w:r>
            <w:r w:rsidRPr="00155164" w:rsidR="004776B2">
              <w:rPr>
                <w:rStyle w:val="Hyperlink"/>
                <w:rFonts w:eastAsiaTheme="majorEastAsia" w:cs="Arial"/>
                <w:color w:val="auto"/>
                <w:szCs w:val="24"/>
                <w:u w:val="none"/>
              </w:rPr>
              <w:t>-</w:t>
            </w:r>
            <w:r w:rsidRPr="00155164">
              <w:rPr>
                <w:rStyle w:val="Hyperlink"/>
                <w:rFonts w:eastAsiaTheme="majorEastAsia" w:cs="Arial"/>
                <w:color w:val="auto"/>
                <w:szCs w:val="24"/>
                <w:u w:val="none"/>
              </w:rPr>
              <w:t>GS 0</w:t>
            </w:r>
            <w:r w:rsidRPr="00155164" w:rsidR="001E5A04">
              <w:rPr>
                <w:rStyle w:val="Hyperlink"/>
                <w:rFonts w:eastAsiaTheme="majorEastAsia" w:cs="Arial"/>
                <w:color w:val="auto"/>
                <w:szCs w:val="24"/>
                <w:u w:val="none"/>
              </w:rPr>
              <w:t>9</w:t>
            </w:r>
          </w:p>
        </w:tc>
        <w:tc>
          <w:tcPr>
            <w:tcW w:w="844" w:type="dxa"/>
          </w:tcPr>
          <w:p w:rsidR="005D79E8" w:rsidRPr="00155164" w:rsidP="008605A5" w14:paraId="20B91B13" w14:textId="77777777">
            <w:pPr>
              <w:pStyle w:val="BodyText"/>
              <w:jc w:val="center"/>
              <w:rPr>
                <w:rStyle w:val="Hyperlink"/>
                <w:rFonts w:eastAsiaTheme="majorEastAsia" w:cs="Arial"/>
                <w:color w:val="auto"/>
                <w:szCs w:val="24"/>
                <w:u w:val="none"/>
              </w:rPr>
            </w:pPr>
          </w:p>
          <w:p w:rsidR="008F741F" w:rsidRPr="00155164" w:rsidP="008605A5" w14:paraId="0D61DF3F" w14:textId="1ABB5BAF">
            <w:pPr>
              <w:pStyle w:val="BodyText"/>
              <w:jc w:val="center"/>
              <w:rPr>
                <w:rStyle w:val="Hyperlink"/>
                <w:rFonts w:eastAsiaTheme="majorEastAsia" w:cs="Arial"/>
                <w:color w:val="auto"/>
                <w:szCs w:val="24"/>
                <w:u w:val="none"/>
              </w:rPr>
            </w:pPr>
            <w:r w:rsidRPr="00155164">
              <w:rPr>
                <w:rStyle w:val="Hyperlink"/>
                <w:rFonts w:eastAsiaTheme="majorEastAsia" w:cs="Arial"/>
                <w:color w:val="auto"/>
                <w:szCs w:val="24"/>
                <w:u w:val="none"/>
              </w:rPr>
              <w:t>05</w:t>
            </w:r>
          </w:p>
        </w:tc>
        <w:tc>
          <w:tcPr>
            <w:tcW w:w="1375" w:type="dxa"/>
          </w:tcPr>
          <w:p w:rsidR="005D79E8" w:rsidRPr="00155164" w:rsidP="008605A5" w14:paraId="79AF8ED2" w14:textId="77777777">
            <w:pPr>
              <w:pStyle w:val="BodyText"/>
              <w:jc w:val="center"/>
              <w:rPr>
                <w:rStyle w:val="Hyperlink"/>
                <w:rFonts w:eastAsiaTheme="majorEastAsia" w:cs="Arial"/>
                <w:color w:val="auto"/>
                <w:szCs w:val="24"/>
                <w:u w:val="none"/>
              </w:rPr>
            </w:pPr>
          </w:p>
          <w:p w:rsidR="008F741F" w:rsidRPr="00155164" w:rsidP="008605A5" w14:paraId="7EBE3D03" w14:textId="4BFE6683">
            <w:pPr>
              <w:pStyle w:val="BodyText"/>
              <w:jc w:val="center"/>
              <w:rPr>
                <w:rStyle w:val="Hyperlink"/>
                <w:rFonts w:eastAsiaTheme="majorEastAsia" w:cs="Arial"/>
                <w:color w:val="auto"/>
                <w:szCs w:val="24"/>
                <w:u w:val="none"/>
              </w:rPr>
            </w:pPr>
            <w:r w:rsidRPr="00155164">
              <w:rPr>
                <w:rStyle w:val="Hyperlink"/>
                <w:rFonts w:eastAsiaTheme="majorEastAsia" w:cs="Arial"/>
                <w:color w:val="auto"/>
                <w:szCs w:val="24"/>
                <w:u w:val="none"/>
              </w:rPr>
              <w:t>40</w:t>
            </w:r>
            <w:r w:rsidRPr="00155164">
              <w:rPr>
                <w:rStyle w:val="Hyperlink"/>
                <w:rFonts w:eastAsiaTheme="majorEastAsia" w:cs="Arial"/>
                <w:color w:val="auto"/>
                <w:szCs w:val="24"/>
                <w:u w:val="none"/>
              </w:rPr>
              <w:t>min</w:t>
            </w:r>
          </w:p>
        </w:tc>
        <w:tc>
          <w:tcPr>
            <w:tcW w:w="1061" w:type="dxa"/>
          </w:tcPr>
          <w:p w:rsidR="005D79E8" w:rsidRPr="00016E4C" w:rsidP="008605A5" w14:paraId="76989B76" w14:textId="77777777">
            <w:pPr>
              <w:pStyle w:val="BodyText"/>
              <w:jc w:val="center"/>
              <w:rPr>
                <w:rStyle w:val="Hyperlink"/>
                <w:rFonts w:eastAsiaTheme="majorEastAsia" w:cs="Arial"/>
                <w:color w:val="auto"/>
                <w:szCs w:val="24"/>
                <w:u w:val="none"/>
              </w:rPr>
            </w:pPr>
          </w:p>
          <w:p w:rsidR="008F741F" w:rsidRPr="00155164" w:rsidP="008605A5" w14:paraId="6337A714" w14:textId="117F7AAA">
            <w:pPr>
              <w:pStyle w:val="BodyText"/>
              <w:jc w:val="center"/>
              <w:rPr>
                <w:rStyle w:val="Hyperlink"/>
                <w:rFonts w:eastAsiaTheme="majorEastAsia" w:cs="Arial"/>
                <w:color w:val="auto"/>
                <w:szCs w:val="24"/>
                <w:u w:val="none"/>
              </w:rPr>
            </w:pPr>
            <w:r w:rsidRPr="00016E4C">
              <w:rPr>
                <w:rStyle w:val="Hyperlink"/>
                <w:rFonts w:eastAsiaTheme="majorEastAsia" w:cs="Arial"/>
                <w:color w:val="auto"/>
                <w:szCs w:val="24"/>
                <w:u w:val="none"/>
              </w:rPr>
              <w:t>$</w:t>
            </w:r>
            <w:r w:rsidRPr="00016E4C" w:rsidR="00016E4C">
              <w:rPr>
                <w:rStyle w:val="Hyperlink"/>
                <w:rFonts w:eastAsiaTheme="majorEastAsia" w:cs="Arial"/>
                <w:color w:val="auto"/>
                <w:szCs w:val="24"/>
                <w:u w:val="none"/>
              </w:rPr>
              <w:t>3</w:t>
            </w:r>
            <w:r w:rsidRPr="00016E4C" w:rsidR="00016E4C">
              <w:rPr>
                <w:rStyle w:val="Hyperlink"/>
                <w:rFonts w:eastAsiaTheme="majorEastAsia"/>
                <w:color w:val="auto"/>
                <w:u w:val="none"/>
              </w:rPr>
              <w:t>1.02</w:t>
            </w:r>
          </w:p>
        </w:tc>
        <w:tc>
          <w:tcPr>
            <w:tcW w:w="1524" w:type="dxa"/>
          </w:tcPr>
          <w:p w:rsidR="005D79E8" w:rsidRPr="00155164" w:rsidP="008605A5" w14:paraId="795A0D88" w14:textId="77777777">
            <w:pPr>
              <w:pStyle w:val="BodyText"/>
              <w:jc w:val="center"/>
              <w:rPr>
                <w:rStyle w:val="Hyperlink"/>
                <w:rFonts w:eastAsiaTheme="majorEastAsia" w:cs="Arial"/>
                <w:color w:val="auto"/>
                <w:szCs w:val="24"/>
                <w:u w:val="none"/>
              </w:rPr>
            </w:pPr>
          </w:p>
          <w:p w:rsidR="008F741F" w:rsidRPr="00155164" w:rsidP="008605A5" w14:paraId="6911A85E" w14:textId="3C508DBB">
            <w:pPr>
              <w:pStyle w:val="BodyText"/>
              <w:jc w:val="center"/>
              <w:rPr>
                <w:rStyle w:val="Hyperlink"/>
                <w:rFonts w:eastAsiaTheme="majorEastAsia" w:cs="Arial"/>
                <w:color w:val="auto"/>
                <w:szCs w:val="24"/>
                <w:u w:val="none"/>
              </w:rPr>
            </w:pPr>
            <w:r w:rsidRPr="00155164">
              <w:rPr>
                <w:rStyle w:val="Hyperlink"/>
                <w:rFonts w:eastAsiaTheme="majorEastAsia" w:cs="Arial"/>
                <w:color w:val="auto"/>
                <w:szCs w:val="24"/>
                <w:u w:val="none"/>
              </w:rPr>
              <w:t>N/A</w:t>
            </w:r>
          </w:p>
        </w:tc>
        <w:tc>
          <w:tcPr>
            <w:tcW w:w="1486" w:type="dxa"/>
          </w:tcPr>
          <w:p w:rsidR="005D79E8" w:rsidRPr="00A638C0" w:rsidP="008605A5" w14:paraId="260A2E0C" w14:textId="77777777">
            <w:pPr>
              <w:pStyle w:val="BodyText"/>
              <w:jc w:val="center"/>
              <w:rPr>
                <w:szCs w:val="24"/>
              </w:rPr>
            </w:pPr>
          </w:p>
          <w:p w:rsidR="008F741F" w:rsidRPr="00155164" w:rsidP="008605A5" w14:paraId="657512E2" w14:textId="08B6F957">
            <w:pPr>
              <w:pStyle w:val="BodyText"/>
              <w:jc w:val="center"/>
              <w:rPr>
                <w:szCs w:val="24"/>
              </w:rPr>
            </w:pPr>
            <w:r w:rsidRPr="00D35C30">
              <w:rPr>
                <w:szCs w:val="24"/>
              </w:rPr>
              <w:t>478,186</w:t>
            </w:r>
          </w:p>
        </w:tc>
        <w:tc>
          <w:tcPr>
            <w:tcW w:w="1905" w:type="dxa"/>
          </w:tcPr>
          <w:p w:rsidR="008F741F" w:rsidRPr="00155164" w:rsidP="008605A5" w14:paraId="57626827" w14:textId="1081D8FB">
            <w:pPr>
              <w:pStyle w:val="BodyText"/>
              <w:jc w:val="center"/>
              <w:rPr>
                <w:rStyle w:val="Hyperlink"/>
                <w:rFonts w:eastAsiaTheme="majorEastAsia" w:cs="Arial"/>
                <w:color w:val="000000" w:themeColor="text1"/>
                <w:szCs w:val="24"/>
                <w:u w:val="none"/>
              </w:rPr>
            </w:pPr>
            <w:r w:rsidRPr="00155164">
              <w:rPr>
                <w:rStyle w:val="Hyperlink"/>
                <w:rFonts w:eastAsiaTheme="majorEastAsia" w:cs="Arial"/>
                <w:b/>
                <w:color w:val="000000" w:themeColor="text1"/>
                <w:szCs w:val="24"/>
                <w:u w:val="none"/>
              </w:rPr>
              <w:t>$</w:t>
            </w:r>
            <w:r w:rsidR="00016E4C">
              <w:rPr>
                <w:rStyle w:val="Hyperlink"/>
                <w:rFonts w:eastAsiaTheme="majorEastAsia" w:cs="Arial"/>
                <w:b/>
                <w:color w:val="000000" w:themeColor="text1"/>
                <w:szCs w:val="24"/>
                <w:u w:val="none"/>
              </w:rPr>
              <w:t>9,888,886.48</w:t>
            </w:r>
            <w:r w:rsidRPr="00155164" w:rsidR="00927640">
              <w:rPr>
                <w:rStyle w:val="Hyperlink"/>
                <w:rFonts w:eastAsiaTheme="majorEastAsia" w:cs="Arial"/>
                <w:color w:val="000000" w:themeColor="text1"/>
                <w:szCs w:val="24"/>
                <w:u w:val="none"/>
              </w:rPr>
              <w:t xml:space="preserve">     </w:t>
            </w:r>
            <w:r w:rsidRPr="00155164" w:rsidR="00E2010A">
              <w:rPr>
                <w:rStyle w:val="Hyperlink"/>
                <w:rFonts w:eastAsiaTheme="majorEastAsia" w:cs="Arial"/>
                <w:color w:val="000000" w:themeColor="text1"/>
                <w:szCs w:val="24"/>
                <w:u w:val="none"/>
              </w:rPr>
              <w:t>(</w:t>
            </w:r>
            <w:r w:rsidRPr="00155164" w:rsidR="00A638C0">
              <w:rPr>
                <w:rStyle w:val="Hyperlink"/>
                <w:rFonts w:eastAsiaTheme="majorEastAsia" w:cs="Arial"/>
                <w:color w:val="000000" w:themeColor="text1"/>
                <w:szCs w:val="24"/>
                <w:u w:val="none"/>
              </w:rPr>
              <w:t>478,186</w:t>
            </w:r>
          </w:p>
          <w:p w:rsidR="001E5A04" w:rsidRPr="00155164" w:rsidP="008605A5" w14:paraId="75428A43" w14:textId="3C9DD1EE">
            <w:pPr>
              <w:pStyle w:val="BodyText"/>
              <w:jc w:val="center"/>
              <w:rPr>
                <w:rStyle w:val="Hyperlink"/>
                <w:rFonts w:eastAsiaTheme="majorEastAsia" w:cs="Arial"/>
                <w:color w:val="000000" w:themeColor="text1"/>
                <w:szCs w:val="24"/>
              </w:rPr>
            </w:pPr>
            <w:r w:rsidRPr="00155164">
              <w:rPr>
                <w:color w:val="000000" w:themeColor="text1"/>
              </w:rPr>
              <w:t>X</w:t>
            </w:r>
            <w:r w:rsidRPr="00155164">
              <w:rPr>
                <w:color w:val="000000" w:themeColor="text1"/>
              </w:rPr>
              <w:t xml:space="preserve"> $</w:t>
            </w:r>
            <w:r w:rsidR="00016E4C">
              <w:rPr>
                <w:color w:val="000000" w:themeColor="text1"/>
              </w:rPr>
              <w:t>31.02</w:t>
            </w:r>
            <w:r w:rsidRPr="00155164">
              <w:rPr>
                <w:color w:val="000000" w:themeColor="text1"/>
              </w:rPr>
              <w:t xml:space="preserve"> X</w:t>
            </w:r>
            <w:r w:rsidRPr="00155164">
              <w:rPr>
                <w:color w:val="000000" w:themeColor="text1"/>
              </w:rPr>
              <w:t xml:space="preserve"> 40 / 60)</w:t>
            </w:r>
            <w:r w:rsidRPr="00155164">
              <w:rPr>
                <w:color w:val="000000" w:themeColor="text1"/>
              </w:rPr>
              <w:t xml:space="preserve"> </w:t>
            </w:r>
          </w:p>
        </w:tc>
      </w:tr>
      <w:tr w14:paraId="0ED767C3" w14:textId="77777777" w:rsidTr="00FB6300">
        <w:tblPrEx>
          <w:tblW w:w="9408" w:type="dxa"/>
          <w:jc w:val="center"/>
          <w:tblLook w:val="04A0"/>
        </w:tblPrEx>
        <w:trPr>
          <w:trHeight w:val="737"/>
          <w:jc w:val="center"/>
        </w:trPr>
        <w:tc>
          <w:tcPr>
            <w:tcW w:w="1213" w:type="dxa"/>
          </w:tcPr>
          <w:p w:rsidR="002C1D10" w:rsidRPr="00155164" w:rsidP="008605A5" w14:paraId="064794CC" w14:textId="77777777">
            <w:pPr>
              <w:pStyle w:val="BodyText"/>
              <w:rPr>
                <w:rStyle w:val="Hyperlink"/>
                <w:rFonts w:eastAsiaTheme="majorEastAsia" w:cs="Arial"/>
                <w:b/>
                <w:bCs/>
                <w:color w:val="000000" w:themeColor="text1"/>
                <w:szCs w:val="24"/>
              </w:rPr>
            </w:pPr>
          </w:p>
        </w:tc>
        <w:tc>
          <w:tcPr>
            <w:tcW w:w="6290" w:type="dxa"/>
            <w:gridSpan w:val="5"/>
          </w:tcPr>
          <w:p w:rsidR="002C1D10" w:rsidRPr="00155164" w:rsidP="008605A5" w14:paraId="03240984" w14:textId="77777777">
            <w:pPr>
              <w:pStyle w:val="BodyText"/>
              <w:rPr>
                <w:rStyle w:val="Hyperlink"/>
                <w:rFonts w:eastAsiaTheme="majorEastAsia" w:cs="Arial"/>
                <w:color w:val="000000" w:themeColor="text1"/>
                <w:szCs w:val="24"/>
                <w:u w:val="none"/>
              </w:rPr>
            </w:pPr>
            <w:r w:rsidRPr="00155164">
              <w:rPr>
                <w:rStyle w:val="Hyperlink"/>
                <w:rFonts w:eastAsiaTheme="majorEastAsia" w:cs="Arial"/>
                <w:color w:val="000000" w:themeColor="text1"/>
                <w:szCs w:val="24"/>
                <w:u w:val="none"/>
              </w:rPr>
              <w:t xml:space="preserve">Overhead at 100%.  Overhead costs are 100% of </w:t>
            </w:r>
            <w:r w:rsidRPr="00155164" w:rsidR="009A099C">
              <w:rPr>
                <w:rStyle w:val="Hyperlink"/>
                <w:rFonts w:eastAsiaTheme="majorEastAsia" w:cs="Arial"/>
                <w:color w:val="000000" w:themeColor="text1"/>
                <w:szCs w:val="24"/>
                <w:u w:val="none"/>
              </w:rPr>
              <w:t>salary and</w:t>
            </w:r>
            <w:r w:rsidRPr="00155164">
              <w:rPr>
                <w:rStyle w:val="Hyperlink"/>
                <w:rFonts w:eastAsiaTheme="majorEastAsia" w:cs="Arial"/>
                <w:color w:val="000000" w:themeColor="text1"/>
                <w:szCs w:val="24"/>
                <w:u w:val="none"/>
              </w:rPr>
              <w:t xml:space="preserve"> are the same as the wage listed above; and the amount is included in the total.</w:t>
            </w:r>
          </w:p>
        </w:tc>
        <w:tc>
          <w:tcPr>
            <w:tcW w:w="1905" w:type="dxa"/>
          </w:tcPr>
          <w:p w:rsidR="002C1D10" w:rsidRPr="00DE6526" w:rsidP="008605A5" w14:paraId="188DB14C" w14:textId="63097A6C">
            <w:pPr>
              <w:pStyle w:val="BodyText"/>
              <w:jc w:val="center"/>
              <w:rPr>
                <w:rStyle w:val="Hyperlink"/>
                <w:rFonts w:eastAsiaTheme="majorEastAsia" w:cs="Arial"/>
                <w:b/>
                <w:bCs/>
                <w:color w:val="000000" w:themeColor="text1"/>
                <w:szCs w:val="24"/>
                <w:u w:val="none"/>
              </w:rPr>
            </w:pPr>
            <w:r w:rsidRPr="00DE6526">
              <w:rPr>
                <w:rStyle w:val="Hyperlink"/>
                <w:rFonts w:eastAsiaTheme="majorEastAsia" w:cs="Arial"/>
                <w:b/>
                <w:bCs/>
                <w:color w:val="000000" w:themeColor="text1"/>
                <w:u w:val="none"/>
              </w:rPr>
              <w:t>$</w:t>
            </w:r>
            <w:r w:rsidRPr="00DE6526" w:rsidR="00016E4C">
              <w:rPr>
                <w:rStyle w:val="Hyperlink"/>
                <w:rFonts w:eastAsiaTheme="majorEastAsia" w:cs="Arial"/>
                <w:b/>
                <w:bCs/>
                <w:color w:val="000000" w:themeColor="text1"/>
                <w:u w:val="none"/>
              </w:rPr>
              <w:t>10,278,606.44</w:t>
            </w:r>
          </w:p>
        </w:tc>
      </w:tr>
      <w:tr w14:paraId="3E8225DC" w14:textId="77777777" w:rsidTr="00FB6300">
        <w:tblPrEx>
          <w:tblW w:w="9408" w:type="dxa"/>
          <w:jc w:val="center"/>
          <w:tblLook w:val="04A0"/>
        </w:tblPrEx>
        <w:trPr>
          <w:trHeight w:val="251"/>
          <w:jc w:val="center"/>
        </w:trPr>
        <w:tc>
          <w:tcPr>
            <w:tcW w:w="1213" w:type="dxa"/>
          </w:tcPr>
          <w:p w:rsidR="002C1D10" w:rsidRPr="00155164" w:rsidP="008605A5" w14:paraId="78B46254" w14:textId="77777777">
            <w:pPr>
              <w:pStyle w:val="BodyText"/>
              <w:rPr>
                <w:rStyle w:val="Hyperlink"/>
                <w:rFonts w:eastAsiaTheme="majorEastAsia" w:cs="Arial"/>
                <w:b/>
                <w:bCs/>
                <w:color w:val="000000" w:themeColor="text1"/>
                <w:szCs w:val="24"/>
              </w:rPr>
            </w:pPr>
            <w:r w:rsidRPr="00155164">
              <w:rPr>
                <w:rStyle w:val="Hyperlink"/>
                <w:rFonts w:eastAsiaTheme="majorEastAsia" w:cs="Arial"/>
                <w:b/>
                <w:bCs/>
                <w:color w:val="000000" w:themeColor="text1"/>
                <w:szCs w:val="24"/>
              </w:rPr>
              <w:t xml:space="preserve"> </w:t>
            </w:r>
          </w:p>
        </w:tc>
        <w:tc>
          <w:tcPr>
            <w:tcW w:w="6290" w:type="dxa"/>
            <w:gridSpan w:val="5"/>
          </w:tcPr>
          <w:p w:rsidR="002C1D10" w:rsidRPr="00155164" w:rsidP="008605A5" w14:paraId="3B2D1D16" w14:textId="77777777">
            <w:pPr>
              <w:pStyle w:val="BodyText"/>
              <w:rPr>
                <w:rStyle w:val="Hyperlink"/>
                <w:rFonts w:eastAsiaTheme="majorEastAsia" w:cs="Arial"/>
                <w:b/>
                <w:bCs/>
                <w:color w:val="000000" w:themeColor="text1"/>
                <w:szCs w:val="24"/>
                <w:u w:val="none"/>
              </w:rPr>
            </w:pPr>
            <w:r w:rsidRPr="00155164">
              <w:rPr>
                <w:rStyle w:val="Hyperlink"/>
                <w:rFonts w:eastAsiaTheme="majorEastAsia" w:cs="Arial"/>
                <w:b/>
                <w:bCs/>
                <w:color w:val="000000" w:themeColor="text1"/>
                <w:szCs w:val="24"/>
                <w:u w:val="none"/>
              </w:rPr>
              <w:t xml:space="preserve">Processing / Analyzing Cost </w:t>
            </w:r>
          </w:p>
        </w:tc>
        <w:tc>
          <w:tcPr>
            <w:tcW w:w="1905" w:type="dxa"/>
          </w:tcPr>
          <w:p w:rsidR="002C1D10" w:rsidRPr="00DE6526" w:rsidP="008605A5" w14:paraId="4CC1B679" w14:textId="21636D15">
            <w:pPr>
              <w:pStyle w:val="BodyText"/>
              <w:jc w:val="center"/>
              <w:rPr>
                <w:rStyle w:val="Hyperlink"/>
                <w:rFonts w:eastAsiaTheme="majorEastAsia" w:cs="Arial"/>
                <w:b/>
                <w:bCs/>
                <w:color w:val="000000" w:themeColor="text1"/>
                <w:szCs w:val="24"/>
                <w:u w:val="none"/>
              </w:rPr>
            </w:pPr>
            <w:r w:rsidRPr="00DE6526">
              <w:rPr>
                <w:rStyle w:val="Hyperlink"/>
                <w:rFonts w:eastAsiaTheme="majorEastAsia" w:cs="Arial"/>
                <w:b/>
                <w:bCs/>
                <w:color w:val="000000" w:themeColor="text1"/>
                <w:u w:val="none"/>
              </w:rPr>
              <w:t>$10,278,606.44</w:t>
            </w:r>
          </w:p>
        </w:tc>
      </w:tr>
      <w:tr w14:paraId="6B93E4A7" w14:textId="77777777" w:rsidTr="00FB6300">
        <w:tblPrEx>
          <w:tblW w:w="9408" w:type="dxa"/>
          <w:jc w:val="center"/>
          <w:tblLook w:val="04A0"/>
        </w:tblPrEx>
        <w:trPr>
          <w:trHeight w:val="251"/>
          <w:jc w:val="center"/>
        </w:trPr>
        <w:tc>
          <w:tcPr>
            <w:tcW w:w="1213" w:type="dxa"/>
          </w:tcPr>
          <w:p w:rsidR="002C1D10" w:rsidRPr="00155164" w:rsidP="008605A5" w14:paraId="21F343F6" w14:textId="77777777">
            <w:pPr>
              <w:pStyle w:val="BodyText"/>
              <w:rPr>
                <w:rStyle w:val="Hyperlink"/>
                <w:rFonts w:eastAsiaTheme="majorEastAsia" w:cs="Arial"/>
                <w:color w:val="auto"/>
                <w:szCs w:val="24"/>
              </w:rPr>
            </w:pPr>
          </w:p>
        </w:tc>
        <w:tc>
          <w:tcPr>
            <w:tcW w:w="6290" w:type="dxa"/>
            <w:gridSpan w:val="5"/>
          </w:tcPr>
          <w:p w:rsidR="002C1D10" w:rsidRPr="00155164" w:rsidP="008605A5" w14:paraId="0C830272" w14:textId="77777777">
            <w:pPr>
              <w:pStyle w:val="BodyText"/>
              <w:rPr>
                <w:rStyle w:val="Hyperlink"/>
                <w:rFonts w:eastAsiaTheme="majorEastAsia" w:cs="Arial"/>
                <w:color w:val="auto"/>
                <w:szCs w:val="24"/>
                <w:u w:val="none"/>
              </w:rPr>
            </w:pPr>
            <w:r w:rsidRPr="00155164">
              <w:rPr>
                <w:rStyle w:val="Hyperlink"/>
                <w:rFonts w:eastAsiaTheme="majorEastAsia" w:cs="Arial"/>
                <w:color w:val="auto"/>
                <w:szCs w:val="24"/>
                <w:u w:val="none"/>
              </w:rPr>
              <w:t xml:space="preserve">Printing and Production Cost </w:t>
            </w:r>
          </w:p>
        </w:tc>
        <w:tc>
          <w:tcPr>
            <w:tcW w:w="1905" w:type="dxa"/>
          </w:tcPr>
          <w:p w:rsidR="002C1D10" w:rsidRPr="00155164" w:rsidP="008605A5" w14:paraId="19018D3C" w14:textId="56BB83E7">
            <w:pPr>
              <w:pStyle w:val="BodyText"/>
              <w:jc w:val="center"/>
              <w:rPr>
                <w:rStyle w:val="Hyperlink"/>
                <w:rFonts w:eastAsiaTheme="majorEastAsia" w:cs="Arial"/>
                <w:color w:val="000000" w:themeColor="text1"/>
                <w:szCs w:val="24"/>
                <w:u w:val="none"/>
              </w:rPr>
            </w:pPr>
            <w:r w:rsidRPr="00155164">
              <w:rPr>
                <w:rStyle w:val="Hyperlink"/>
                <w:rFonts w:eastAsiaTheme="majorEastAsia" w:cs="Arial"/>
                <w:color w:val="000000" w:themeColor="text1"/>
                <w:szCs w:val="24"/>
                <w:u w:val="none"/>
              </w:rPr>
              <w:t>$</w:t>
            </w:r>
            <w:r w:rsidRPr="00155164">
              <w:rPr>
                <w:rStyle w:val="Hyperlink"/>
                <w:rFonts w:eastAsiaTheme="majorEastAsia" w:cs="Arial"/>
                <w:color w:val="000000" w:themeColor="text1"/>
              </w:rPr>
              <w:t>0</w:t>
            </w:r>
          </w:p>
        </w:tc>
      </w:tr>
      <w:tr w14:paraId="518854DE" w14:textId="77777777" w:rsidTr="00FB6300">
        <w:tblPrEx>
          <w:tblW w:w="9408" w:type="dxa"/>
          <w:jc w:val="center"/>
          <w:tblLook w:val="04A0"/>
        </w:tblPrEx>
        <w:trPr>
          <w:trHeight w:val="486"/>
          <w:jc w:val="center"/>
        </w:trPr>
        <w:tc>
          <w:tcPr>
            <w:tcW w:w="9408" w:type="dxa"/>
            <w:gridSpan w:val="7"/>
          </w:tcPr>
          <w:p w:rsidR="00F92FE3" w:rsidRPr="00A70BE2" w:rsidP="008605A5" w14:paraId="02CC9736" w14:textId="77777777">
            <w:pPr>
              <w:pStyle w:val="BodyText"/>
              <w:rPr>
                <w:rStyle w:val="Hyperlink"/>
                <w:rFonts w:eastAsiaTheme="majorEastAsia" w:cs="Arial"/>
                <w:color w:val="auto"/>
                <w:szCs w:val="24"/>
                <w:u w:val="none"/>
              </w:rPr>
            </w:pPr>
          </w:p>
          <w:p w:rsidR="00F92FE3" w:rsidRPr="00A70BE2" w:rsidP="008605A5" w14:paraId="6C34770A" w14:textId="77777777">
            <w:pPr>
              <w:pStyle w:val="BodyText"/>
              <w:rPr>
                <w:rStyle w:val="Hyperlink"/>
                <w:rFonts w:eastAsiaTheme="majorEastAsia" w:cs="Arial"/>
                <w:color w:val="auto"/>
              </w:rPr>
            </w:pPr>
          </w:p>
          <w:p w:rsidR="00E2010A" w:rsidRPr="00A70BE2" w:rsidP="008605A5" w14:paraId="23B7BACE" w14:textId="7DD19455">
            <w:pPr>
              <w:pStyle w:val="BodyText"/>
              <w:rPr>
                <w:rStyle w:val="Hyperlink"/>
                <w:rFonts w:eastAsiaTheme="majorEastAsia" w:cs="Arial"/>
                <w:color w:val="auto"/>
                <w:szCs w:val="24"/>
                <w:u w:val="none"/>
              </w:rPr>
            </w:pPr>
            <w:r w:rsidRPr="00A70BE2">
              <w:rPr>
                <w:rStyle w:val="Hyperlink"/>
                <w:rFonts w:eastAsiaTheme="majorEastAsia" w:cs="Arial"/>
                <w:b/>
                <w:bCs/>
                <w:color w:val="auto"/>
                <w:szCs w:val="24"/>
                <w:u w:val="none"/>
              </w:rPr>
              <w:t>Total Cost to Government for Processing All Applications (Paper-Electronic</w:t>
            </w:r>
            <w:r w:rsidRPr="00A70BE2" w:rsidR="000C3E96">
              <w:rPr>
                <w:rStyle w:val="Hyperlink"/>
                <w:rFonts w:eastAsiaTheme="majorEastAsia" w:cs="Arial"/>
                <w:b/>
                <w:bCs/>
                <w:color w:val="auto"/>
                <w:szCs w:val="24"/>
                <w:u w:val="none"/>
              </w:rPr>
              <w:t>)</w:t>
            </w:r>
          </w:p>
          <w:p w:rsidR="00D047F9" w:rsidRPr="00A70BE2" w:rsidP="008605A5" w14:paraId="5A86261C" w14:textId="77777777">
            <w:pPr>
              <w:pStyle w:val="BodyText"/>
              <w:rPr>
                <w:rStyle w:val="Hyperlink"/>
                <w:rFonts w:eastAsiaTheme="majorEastAsia" w:cs="Arial"/>
                <w:color w:val="auto"/>
                <w:szCs w:val="24"/>
                <w:u w:val="none"/>
              </w:rPr>
            </w:pPr>
          </w:p>
          <w:p w:rsidR="00D047F9" w:rsidRPr="00DE6526" w:rsidP="008605A5" w14:paraId="70400D0F" w14:textId="7E5C7C84">
            <w:pPr>
              <w:pStyle w:val="BodyText"/>
              <w:jc w:val="center"/>
              <w:rPr>
                <w:rStyle w:val="Hyperlink"/>
                <w:rFonts w:eastAsiaTheme="majorEastAsia" w:cs="Arial"/>
                <w:b/>
                <w:color w:val="auto"/>
                <w:szCs w:val="24"/>
                <w:u w:val="none"/>
              </w:rPr>
            </w:pPr>
            <w:r w:rsidRPr="00DE6526">
              <w:rPr>
                <w:rStyle w:val="Hyperlink"/>
                <w:rFonts w:eastAsiaTheme="majorEastAsia" w:cs="Arial"/>
                <w:b/>
                <w:bCs/>
                <w:color w:val="000000" w:themeColor="text1"/>
                <w:u w:val="none"/>
              </w:rPr>
              <w:t>$10,278,606.44</w:t>
            </w:r>
          </w:p>
          <w:p w:rsidR="00D047F9" w:rsidRPr="00A70BE2" w:rsidP="008605A5" w14:paraId="6441F607" w14:textId="77777777">
            <w:pPr>
              <w:pStyle w:val="BodyText"/>
              <w:jc w:val="center"/>
              <w:rPr>
                <w:rStyle w:val="Hyperlink"/>
                <w:rFonts w:eastAsiaTheme="majorEastAsia" w:cs="Arial"/>
                <w:b/>
                <w:color w:val="auto"/>
                <w:szCs w:val="24"/>
                <w:u w:val="double"/>
              </w:rPr>
            </w:pPr>
          </w:p>
        </w:tc>
      </w:tr>
    </w:tbl>
    <w:p w:rsidR="002C1D10" w:rsidP="002C1D10" w14:paraId="762C98D2" w14:textId="77777777">
      <w:pPr>
        <w:pStyle w:val="BodyText"/>
        <w:rPr>
          <w:rStyle w:val="Hyperlink"/>
          <w:rFonts w:eastAsiaTheme="majorEastAsia" w:cs="Arial"/>
          <w:szCs w:val="24"/>
        </w:rPr>
      </w:pPr>
    </w:p>
    <w:p w:rsidR="00016E4C" w:rsidP="00016E4C" w14:paraId="25C57814" w14:textId="61A1A9FA">
      <w:pPr>
        <w:rPr>
          <w:rFonts w:ascii="Arial" w:hAnsi="Arial" w:cs="Arial"/>
          <w:sz w:val="36"/>
          <w:szCs w:val="36"/>
        </w:rPr>
      </w:pPr>
      <w:r w:rsidRPr="007A4E7B">
        <w:rPr>
          <w:rFonts w:ascii="Arial" w:eastAsia="Arial" w:hAnsi="Arial" w:cs="Arial"/>
          <w:b/>
          <w:bCs/>
          <w:sz w:val="24"/>
          <w:szCs w:val="24"/>
        </w:rPr>
        <w:t>Note:</w:t>
      </w:r>
      <w:r w:rsidRPr="007A4E7B">
        <w:rPr>
          <w:rFonts w:ascii="Arial" w:eastAsia="Arial" w:hAnsi="Arial" w:cs="Arial"/>
          <w:sz w:val="24"/>
          <w:szCs w:val="24"/>
        </w:rPr>
        <w:t xml:space="preserve"> The hourly wage information above is based on the hourly 202</w:t>
      </w:r>
      <w:r>
        <w:rPr>
          <w:rFonts w:ascii="Arial" w:eastAsia="Arial" w:hAnsi="Arial" w:cs="Arial"/>
          <w:sz w:val="24"/>
          <w:szCs w:val="24"/>
        </w:rPr>
        <w:t>3</w:t>
      </w:r>
      <w:r w:rsidRPr="007A4E7B">
        <w:rPr>
          <w:rFonts w:ascii="Arial" w:eastAsia="Arial" w:hAnsi="Arial" w:cs="Arial"/>
          <w:sz w:val="24"/>
          <w:szCs w:val="24"/>
        </w:rPr>
        <w:t xml:space="preserve"> General Schedule (Base) Pay.</w:t>
      </w:r>
      <w:r w:rsidRPr="00016E4C">
        <w:rPr>
          <w:rFonts w:ascii="Arial" w:eastAsia="Arial" w:hAnsi="Arial" w:cs="Arial"/>
          <w:sz w:val="24"/>
          <w:szCs w:val="24"/>
        </w:rPr>
        <w:t xml:space="preserve"> </w:t>
      </w:r>
      <w:hyperlink r:id="rId10" w:history="1">
        <w:r w:rsidRPr="00016E4C">
          <w:rPr>
            <w:rStyle w:val="Hyperlink"/>
            <w:rFonts w:ascii="Arial" w:hAnsi="Arial" w:cs="Arial"/>
            <w:sz w:val="24"/>
            <w:szCs w:val="24"/>
          </w:rPr>
          <w:t>https://www.opm.gov/policy-data-oversight/pay-leave/salaries-wages/salary-tables/pdf/2023/RUS_h.pdf</w:t>
        </w:r>
      </w:hyperlink>
    </w:p>
    <w:p w:rsidR="0041591C" w:rsidP="0041591C" w14:paraId="221EDB6B" w14:textId="239C517D">
      <w:pPr>
        <w:spacing w:line="276" w:lineRule="auto"/>
        <w:rPr>
          <w:rStyle w:val="Hyperlink"/>
          <w:rFonts w:ascii="Arial" w:eastAsia="Arial" w:hAnsi="Arial" w:cs="Arial"/>
          <w:sz w:val="24"/>
          <w:szCs w:val="24"/>
        </w:rPr>
      </w:pPr>
    </w:p>
    <w:p w:rsidR="0041591C" w:rsidP="0041591C" w14:paraId="14D469C5" w14:textId="55B2FFE4">
      <w:pPr>
        <w:spacing w:line="276" w:lineRule="auto"/>
        <w:rPr>
          <w:rFonts w:ascii="Arial" w:eastAsia="Arial" w:hAnsi="Arial" w:cs="Arial"/>
          <w:sz w:val="24"/>
          <w:szCs w:val="24"/>
        </w:rPr>
      </w:pPr>
      <w:r w:rsidRPr="007A4E7B">
        <w:rPr>
          <w:rFonts w:ascii="Arial" w:eastAsia="Arial" w:hAnsi="Arial" w:cs="Arial"/>
          <w:sz w:val="24"/>
          <w:szCs w:val="24"/>
        </w:rPr>
        <w:t xml:space="preserve">The processing time estimates above are </w:t>
      </w:r>
      <w:r>
        <w:rPr>
          <w:rFonts w:ascii="Arial" w:eastAsia="Arial" w:hAnsi="Arial" w:cs="Arial"/>
          <w:sz w:val="24"/>
          <w:szCs w:val="24"/>
        </w:rPr>
        <w:t xml:space="preserve">also </w:t>
      </w:r>
      <w:r w:rsidRPr="007A4E7B">
        <w:rPr>
          <w:rFonts w:ascii="Arial" w:eastAsia="Arial" w:hAnsi="Arial" w:cs="Arial"/>
          <w:sz w:val="24"/>
          <w:szCs w:val="24"/>
        </w:rPr>
        <w:t>based on the actual amount of time employees of the grade level spend to process to completion</w:t>
      </w:r>
      <w:r>
        <w:rPr>
          <w:rFonts w:ascii="Arial" w:eastAsia="Arial" w:hAnsi="Arial" w:cs="Arial"/>
          <w:sz w:val="24"/>
          <w:szCs w:val="24"/>
        </w:rPr>
        <w:t>,</w:t>
      </w:r>
      <w:r w:rsidRPr="007A4E7B">
        <w:rPr>
          <w:rFonts w:ascii="Arial" w:eastAsia="Arial" w:hAnsi="Arial" w:cs="Arial"/>
          <w:sz w:val="24"/>
          <w:szCs w:val="24"/>
        </w:rPr>
        <w:t xml:space="preserve"> a claim received on this form.  </w:t>
      </w:r>
    </w:p>
    <w:p w:rsidR="00F92FE3" w:rsidP="00F92FE3" w14:paraId="109C7263" w14:textId="77777777">
      <w:pPr>
        <w:pStyle w:val="BodyText"/>
        <w:spacing w:line="360" w:lineRule="auto"/>
        <w:contextualSpacing/>
        <w:rPr>
          <w:b/>
          <w:szCs w:val="24"/>
        </w:rPr>
      </w:pPr>
    </w:p>
    <w:p w:rsidR="00F820C4" w:rsidP="003C2A06" w14:paraId="744C5C43" w14:textId="4DFFE34D">
      <w:pPr>
        <w:pStyle w:val="BodyText"/>
        <w:spacing w:line="360" w:lineRule="auto"/>
        <w:contextualSpacing/>
        <w:rPr>
          <w:b/>
          <w:szCs w:val="24"/>
        </w:rPr>
      </w:pPr>
      <w:r w:rsidRPr="00F92FE3">
        <w:rPr>
          <w:b/>
          <w:szCs w:val="24"/>
        </w:rPr>
        <w:t>15. Explain the reason for any burden hour changes since the last submission.</w:t>
      </w:r>
    </w:p>
    <w:p w:rsidR="003C2A06" w:rsidP="003C2A06" w14:paraId="6CBFE932" w14:textId="59F663AE">
      <w:pPr>
        <w:pStyle w:val="BodyText"/>
        <w:spacing w:line="240" w:lineRule="auto"/>
        <w:ind w:right="43"/>
        <w:contextualSpacing/>
        <w:rPr>
          <w:bCs/>
          <w:szCs w:val="24"/>
        </w:rPr>
      </w:pPr>
      <w:r w:rsidRPr="003C2A06">
        <w:rPr>
          <w:bCs/>
          <w:szCs w:val="24"/>
        </w:rPr>
        <w:t>The</w:t>
      </w:r>
      <w:r>
        <w:rPr>
          <w:bCs/>
          <w:szCs w:val="24"/>
        </w:rPr>
        <w:t xml:space="preserve"> renewal of this information collection resulted in a decrease in burden hours based on a reduction in the </w:t>
      </w:r>
      <w:r w:rsidR="00BA3803">
        <w:rPr>
          <w:bCs/>
          <w:szCs w:val="24"/>
        </w:rPr>
        <w:t xml:space="preserve">annual average number of </w:t>
      </w:r>
      <w:r>
        <w:rPr>
          <w:bCs/>
          <w:szCs w:val="24"/>
        </w:rPr>
        <w:t>responses received for the periods 2019, 2020 and 2021.</w:t>
      </w:r>
    </w:p>
    <w:p w:rsidR="003C2A06" w:rsidRPr="003C2A06" w:rsidP="003C2A06" w14:paraId="23C23946" w14:textId="77777777">
      <w:pPr>
        <w:pStyle w:val="BodyText"/>
        <w:spacing w:line="240" w:lineRule="auto"/>
        <w:ind w:right="43"/>
        <w:contextualSpacing/>
        <w:rPr>
          <w:bCs/>
          <w:szCs w:val="24"/>
        </w:rPr>
      </w:pPr>
    </w:p>
    <w:p w:rsidR="002C1D10" w:rsidRPr="00F92FE3" w:rsidP="00ED4639" w14:paraId="1A7D350F" w14:textId="77777777">
      <w:pPr>
        <w:pStyle w:val="BodyText"/>
        <w:spacing w:line="240" w:lineRule="auto"/>
        <w:ind w:right="43"/>
        <w:contextualSpacing/>
        <w:rPr>
          <w:b/>
          <w:color w:val="494949"/>
          <w:szCs w:val="24"/>
        </w:rPr>
      </w:pPr>
      <w:r w:rsidRPr="00F92FE3">
        <w:rPr>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05A5" w:rsidRPr="001E5428" w:rsidP="00056F6C" w14:paraId="50693EB4" w14:textId="77777777">
      <w:pPr>
        <w:tabs>
          <w:tab w:val="left" w:pos="360"/>
          <w:tab w:val="left" w:pos="792"/>
        </w:tabs>
        <w:rPr>
          <w:rFonts w:ascii="Arial" w:hAnsi="Arial"/>
          <w:sz w:val="24"/>
          <w:szCs w:val="24"/>
        </w:rPr>
      </w:pPr>
    </w:p>
    <w:p w:rsidR="002C1D10" w:rsidP="002C1D10" w14:paraId="7C6A69FE" w14:textId="1D616126">
      <w:pPr>
        <w:pStyle w:val="BodyText"/>
        <w:rPr>
          <w:rFonts w:cs="Arial"/>
          <w:szCs w:val="24"/>
        </w:rPr>
      </w:pPr>
      <w:r>
        <w:rPr>
          <w:rFonts w:cs="Arial"/>
          <w:szCs w:val="24"/>
        </w:rPr>
        <w:t>T</w:t>
      </w:r>
      <w:r w:rsidRPr="007A4E7B">
        <w:rPr>
          <w:rFonts w:cs="Arial"/>
          <w:szCs w:val="24"/>
        </w:rPr>
        <w:t>he information collection is not for publication or tabulation use. </w:t>
      </w:r>
    </w:p>
    <w:p w:rsidR="0041591C" w:rsidP="002C1D10" w14:paraId="05475A57" w14:textId="77777777">
      <w:pPr>
        <w:pStyle w:val="BodyText"/>
        <w:rPr>
          <w:b/>
          <w:szCs w:val="24"/>
        </w:rPr>
      </w:pPr>
    </w:p>
    <w:p w:rsidR="002C1D10" w:rsidRPr="00F92FE3" w:rsidP="00ED4639" w14:paraId="19713794" w14:textId="77777777">
      <w:pPr>
        <w:pStyle w:val="BodyText"/>
        <w:spacing w:line="240" w:lineRule="auto"/>
        <w:ind w:right="43"/>
        <w:contextualSpacing/>
        <w:rPr>
          <w:b/>
          <w:szCs w:val="24"/>
        </w:rPr>
      </w:pPr>
      <w:r w:rsidRPr="00F92FE3">
        <w:rPr>
          <w:b/>
          <w:szCs w:val="24"/>
        </w:rPr>
        <w:t>17. If seeking approval to not display the expiration date</w:t>
      </w:r>
      <w:r w:rsidRPr="00F92FE3">
        <w:rPr>
          <w:b/>
          <w:color w:val="0000FF"/>
          <w:szCs w:val="24"/>
        </w:rPr>
        <w:t xml:space="preserve"> </w:t>
      </w:r>
      <w:r w:rsidRPr="00F92FE3">
        <w:rPr>
          <w:b/>
          <w:szCs w:val="24"/>
        </w:rPr>
        <w:t xml:space="preserve">for OMB approval of the information collection, explain the reasons that display would be inappropriate. </w:t>
      </w:r>
    </w:p>
    <w:p w:rsidR="00F92FE3" w:rsidP="002C1D10" w14:paraId="3E26F299" w14:textId="77777777">
      <w:pPr>
        <w:pStyle w:val="BodyText"/>
        <w:rPr>
          <w:szCs w:val="24"/>
        </w:rPr>
      </w:pPr>
    </w:p>
    <w:p w:rsidR="002C1D10" w:rsidP="002C1D10" w14:paraId="3BEF1079" w14:textId="5BA759A5">
      <w:pPr>
        <w:pStyle w:val="BodyText"/>
        <w:rPr>
          <w:szCs w:val="24"/>
        </w:rPr>
      </w:pPr>
      <w:r>
        <w:rPr>
          <w:szCs w:val="24"/>
        </w:rPr>
        <w:t>We are not seeking approval to omit the expiration date for OMB approval.</w:t>
      </w:r>
    </w:p>
    <w:p w:rsidR="00795D22" w:rsidRPr="001E5428" w:rsidP="00795D22" w14:paraId="5D57C68D" w14:textId="77777777">
      <w:pPr>
        <w:tabs>
          <w:tab w:val="left" w:pos="360"/>
          <w:tab w:val="left" w:pos="792"/>
        </w:tabs>
        <w:rPr>
          <w:rFonts w:ascii="Arial" w:hAnsi="Arial"/>
          <w:sz w:val="24"/>
          <w:szCs w:val="24"/>
        </w:rPr>
      </w:pPr>
    </w:p>
    <w:p w:rsidR="002C1D10" w:rsidRPr="00F92FE3" w:rsidP="00ED4639" w14:paraId="0B68EBD6" w14:textId="77777777">
      <w:pPr>
        <w:pStyle w:val="BodyText"/>
        <w:spacing w:line="240" w:lineRule="auto"/>
        <w:ind w:right="43"/>
        <w:rPr>
          <w:b/>
          <w:szCs w:val="24"/>
        </w:rPr>
      </w:pPr>
      <w:r w:rsidRPr="00F92FE3">
        <w:rPr>
          <w:b/>
          <w:szCs w:val="24"/>
        </w:rPr>
        <w:t>18. Explain each exception to the certification statement identified in Item 19, “Certification for Paperwork Reduction Act Submissions,” of OMB 83-I.</w:t>
      </w:r>
    </w:p>
    <w:p w:rsidR="002C1D10" w:rsidP="00795D22" w14:paraId="532C37B3" w14:textId="77777777">
      <w:pPr>
        <w:tabs>
          <w:tab w:val="left" w:pos="360"/>
          <w:tab w:val="left" w:pos="792"/>
        </w:tabs>
        <w:rPr>
          <w:rFonts w:ascii="Arial" w:hAnsi="Arial"/>
          <w:sz w:val="24"/>
          <w:szCs w:val="24"/>
        </w:rPr>
      </w:pPr>
    </w:p>
    <w:p w:rsidR="00795D22" w:rsidRPr="001E5428" w:rsidP="00795D22" w14:paraId="6261A864" w14:textId="77777777">
      <w:pPr>
        <w:tabs>
          <w:tab w:val="left" w:pos="360"/>
          <w:tab w:val="left" w:pos="792"/>
        </w:tabs>
        <w:rPr>
          <w:rFonts w:ascii="Arial" w:hAnsi="Arial"/>
          <w:sz w:val="24"/>
          <w:szCs w:val="24"/>
        </w:rPr>
      </w:pPr>
      <w:r w:rsidRPr="001E5428">
        <w:rPr>
          <w:rFonts w:ascii="Arial" w:hAnsi="Arial"/>
          <w:sz w:val="24"/>
          <w:szCs w:val="24"/>
        </w:rPr>
        <w:t>This information collection fully complies with all the requirements of 5 CFR 1320.8(b)(3).</w:t>
      </w:r>
    </w:p>
    <w:p w:rsidR="00795D22" w:rsidRPr="001E5428" w:rsidP="00795D22" w14:paraId="5785E06A" w14:textId="77777777">
      <w:pPr>
        <w:tabs>
          <w:tab w:val="left" w:pos="360"/>
          <w:tab w:val="left" w:pos="792"/>
        </w:tabs>
        <w:rPr>
          <w:rFonts w:ascii="Arial" w:hAnsi="Arial"/>
          <w:sz w:val="24"/>
          <w:szCs w:val="24"/>
        </w:rPr>
      </w:pPr>
    </w:p>
    <w:p w:rsidR="00795D22" w:rsidRPr="00F92FE3" w:rsidP="00F92FE3" w14:paraId="45FF256A" w14:textId="77777777">
      <w:pPr>
        <w:spacing w:line="360" w:lineRule="auto"/>
        <w:contextualSpacing/>
        <w:rPr>
          <w:rFonts w:ascii="Arial" w:hAnsi="Arial"/>
          <w:b/>
          <w:sz w:val="24"/>
          <w:szCs w:val="24"/>
          <w:u w:val="single"/>
        </w:rPr>
      </w:pPr>
      <w:r w:rsidRPr="00F92FE3">
        <w:rPr>
          <w:rFonts w:ascii="Arial" w:hAnsi="Arial"/>
          <w:b/>
          <w:sz w:val="24"/>
          <w:szCs w:val="24"/>
          <w:u w:val="single"/>
        </w:rPr>
        <w:t>B.  Collection of Information Employing Statistical Methods.</w:t>
      </w:r>
    </w:p>
    <w:p w:rsidR="003C2A06" w:rsidP="0041591C" w14:paraId="654F446C" w14:textId="77777777">
      <w:pPr>
        <w:rPr>
          <w:rFonts w:ascii="Arial" w:hAnsi="Arial"/>
          <w:sz w:val="24"/>
          <w:szCs w:val="24"/>
        </w:rPr>
      </w:pPr>
    </w:p>
    <w:p w:rsidR="0041591C" w:rsidRPr="007A4E7B" w:rsidP="0041591C" w14:paraId="154BDFBE" w14:textId="6D1BF9E9">
      <w:pPr>
        <w:rPr>
          <w:rFonts w:ascii="Arial" w:hAnsi="Arial" w:cs="Arial"/>
          <w:sz w:val="24"/>
          <w:szCs w:val="24"/>
        </w:rPr>
      </w:pPr>
      <w:r w:rsidRPr="001E5428">
        <w:rPr>
          <w:rFonts w:ascii="Arial" w:hAnsi="Arial"/>
          <w:sz w:val="24"/>
          <w:szCs w:val="24"/>
        </w:rPr>
        <w:t>This collection of information by the Veterans Benefits Administration does not employ statistical methods.</w:t>
      </w:r>
      <w:r>
        <w:rPr>
          <w:rFonts w:ascii="Arial" w:hAnsi="Arial"/>
          <w:sz w:val="24"/>
          <w:szCs w:val="24"/>
        </w:rPr>
        <w:t xml:space="preserve">  </w:t>
      </w:r>
      <w:r w:rsidRPr="007A4E7B">
        <w:rPr>
          <w:rFonts w:ascii="Arial" w:hAnsi="Arial" w:cs="Arial"/>
          <w:sz w:val="24"/>
          <w:szCs w:val="24"/>
        </w:rPr>
        <w:t xml:space="preserve">If statistical methods are employed, Part B </w:t>
      </w:r>
      <w:r>
        <w:rPr>
          <w:rFonts w:ascii="Arial" w:hAnsi="Arial" w:cs="Arial"/>
          <w:sz w:val="24"/>
          <w:szCs w:val="24"/>
        </w:rPr>
        <w:t xml:space="preserve">of a Supporting Statement </w:t>
      </w:r>
      <w:r w:rsidRPr="007A4E7B">
        <w:rPr>
          <w:rFonts w:ascii="Arial" w:hAnsi="Arial" w:cs="Arial"/>
          <w:sz w:val="24"/>
          <w:szCs w:val="24"/>
        </w:rPr>
        <w:t>must be completed</w:t>
      </w:r>
      <w:r>
        <w:rPr>
          <w:rFonts w:ascii="Arial" w:hAnsi="Arial" w:cs="Arial"/>
          <w:sz w:val="24"/>
          <w:szCs w:val="24"/>
        </w:rPr>
        <w:t>.</w:t>
      </w:r>
    </w:p>
    <w:p w:rsidR="0041591C" w:rsidRPr="007A4E7B" w:rsidP="0041591C" w14:paraId="1AD325D6" w14:textId="77777777">
      <w:pPr>
        <w:rPr>
          <w:rFonts w:ascii="Arial" w:hAnsi="Arial" w:cs="Arial"/>
          <w:sz w:val="24"/>
          <w:szCs w:val="24"/>
        </w:rPr>
      </w:pPr>
      <w:r w:rsidRPr="007A4E7B">
        <w:rPr>
          <w:rFonts w:ascii="Arial" w:hAnsi="Arial" w:cs="Arial"/>
          <w:sz w:val="24"/>
          <w:szCs w:val="24"/>
        </w:rPr>
        <w:t> </w:t>
      </w:r>
    </w:p>
    <w:p w:rsidR="0041591C" w:rsidRPr="007A4E7B" w:rsidP="0041591C" w14:paraId="315F43DB" w14:textId="77777777">
      <w:pPr>
        <w:rPr>
          <w:rFonts w:ascii="Arial" w:hAnsi="Arial" w:cs="Arial"/>
          <w:sz w:val="24"/>
          <w:szCs w:val="24"/>
        </w:rPr>
      </w:pPr>
      <w:r w:rsidRPr="007A4E7B">
        <w:rPr>
          <w:rFonts w:ascii="Arial" w:hAnsi="Arial" w:cs="Arial"/>
          <w:sz w:val="24"/>
          <w:szCs w:val="24"/>
        </w:rPr>
        <w:t> </w:t>
      </w:r>
    </w:p>
    <w:p w:rsidR="00795D22" w:rsidRPr="001E5428" w:rsidP="00795D22" w14:paraId="25BE9086" w14:textId="2EBAFC7B">
      <w:pPr>
        <w:rPr>
          <w:rFonts w:ascii="Arial" w:hAnsi="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491F3F"/>
    <w:multiLevelType w:val="hybridMultilevel"/>
    <w:tmpl w:val="D3923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1E3146"/>
    <w:multiLevelType w:val="hybridMultilevel"/>
    <w:tmpl w:val="1C7C478C"/>
    <w:lvl w:ilvl="0">
      <w:start w:val="1"/>
      <w:numFmt w:val="lowerLetter"/>
      <w:lvlText w:val="%1."/>
      <w:lvlJc w:val="left"/>
      <w:pPr>
        <w:ind w:left="1216" w:hanging="360"/>
      </w:pPr>
      <w:rPr>
        <w:rFonts w:ascii="Arial" w:eastAsia="Times New Roman" w:hAnsi="Arial" w:cs="Times New Roman"/>
      </w:rPr>
    </w:lvl>
    <w:lvl w:ilvl="1" w:tentative="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2">
    <w:nsid w:val="59FA14F0"/>
    <w:multiLevelType w:val="hybridMultilevel"/>
    <w:tmpl w:val="38FEE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450E4E"/>
    <w:multiLevelType w:val="hybridMultilevel"/>
    <w:tmpl w:val="1C100870"/>
    <w:lvl w:ilvl="0">
      <w:start w:val="1"/>
      <w:numFmt w:val="upperLetter"/>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22"/>
    <w:rsid w:val="00016E4C"/>
    <w:rsid w:val="00017465"/>
    <w:rsid w:val="00033F9A"/>
    <w:rsid w:val="000353FA"/>
    <w:rsid w:val="0004534F"/>
    <w:rsid w:val="00056F6C"/>
    <w:rsid w:val="000816D9"/>
    <w:rsid w:val="0008293E"/>
    <w:rsid w:val="000A2DD9"/>
    <w:rsid w:val="000B1F16"/>
    <w:rsid w:val="000C3E96"/>
    <w:rsid w:val="000E280D"/>
    <w:rsid w:val="000F3A5A"/>
    <w:rsid w:val="00142EA4"/>
    <w:rsid w:val="00144299"/>
    <w:rsid w:val="00152C03"/>
    <w:rsid w:val="00155164"/>
    <w:rsid w:val="00155F5B"/>
    <w:rsid w:val="00194CE4"/>
    <w:rsid w:val="001B3A5A"/>
    <w:rsid w:val="001E18E6"/>
    <w:rsid w:val="001E5428"/>
    <w:rsid w:val="001E5A04"/>
    <w:rsid w:val="00250DFC"/>
    <w:rsid w:val="002516EC"/>
    <w:rsid w:val="00255C1B"/>
    <w:rsid w:val="00255CCF"/>
    <w:rsid w:val="002662FE"/>
    <w:rsid w:val="00286E01"/>
    <w:rsid w:val="002A4EEB"/>
    <w:rsid w:val="002C1D10"/>
    <w:rsid w:val="002C3094"/>
    <w:rsid w:val="002D13D8"/>
    <w:rsid w:val="002E3836"/>
    <w:rsid w:val="002F1A2A"/>
    <w:rsid w:val="00317F28"/>
    <w:rsid w:val="00322D84"/>
    <w:rsid w:val="00331AED"/>
    <w:rsid w:val="00333418"/>
    <w:rsid w:val="003370E9"/>
    <w:rsid w:val="00350DD3"/>
    <w:rsid w:val="00360397"/>
    <w:rsid w:val="003672AF"/>
    <w:rsid w:val="00372791"/>
    <w:rsid w:val="00396EBE"/>
    <w:rsid w:val="003C2A06"/>
    <w:rsid w:val="003C7C9A"/>
    <w:rsid w:val="003D051E"/>
    <w:rsid w:val="003E16B0"/>
    <w:rsid w:val="00405846"/>
    <w:rsid w:val="00414881"/>
    <w:rsid w:val="0041591C"/>
    <w:rsid w:val="0043482C"/>
    <w:rsid w:val="004776B2"/>
    <w:rsid w:val="00477D7A"/>
    <w:rsid w:val="004A24C0"/>
    <w:rsid w:val="004A2A4B"/>
    <w:rsid w:val="004B0586"/>
    <w:rsid w:val="004B203E"/>
    <w:rsid w:val="004E6B52"/>
    <w:rsid w:val="004F531A"/>
    <w:rsid w:val="00505905"/>
    <w:rsid w:val="0050754F"/>
    <w:rsid w:val="00511CA9"/>
    <w:rsid w:val="0053198F"/>
    <w:rsid w:val="005405D0"/>
    <w:rsid w:val="00543C1B"/>
    <w:rsid w:val="005852E5"/>
    <w:rsid w:val="00594DCE"/>
    <w:rsid w:val="005A0269"/>
    <w:rsid w:val="005C6F40"/>
    <w:rsid w:val="005D79E8"/>
    <w:rsid w:val="00602468"/>
    <w:rsid w:val="006032F3"/>
    <w:rsid w:val="00626A7C"/>
    <w:rsid w:val="006533DA"/>
    <w:rsid w:val="00680F45"/>
    <w:rsid w:val="00686BAF"/>
    <w:rsid w:val="006B1435"/>
    <w:rsid w:val="006E087E"/>
    <w:rsid w:val="006F0A25"/>
    <w:rsid w:val="00773C05"/>
    <w:rsid w:val="007778BF"/>
    <w:rsid w:val="0079391F"/>
    <w:rsid w:val="00795D22"/>
    <w:rsid w:val="007A4E7B"/>
    <w:rsid w:val="007A6918"/>
    <w:rsid w:val="007D1DF5"/>
    <w:rsid w:val="007E45F9"/>
    <w:rsid w:val="00827C05"/>
    <w:rsid w:val="00836445"/>
    <w:rsid w:val="008420C8"/>
    <w:rsid w:val="0084431D"/>
    <w:rsid w:val="0084475A"/>
    <w:rsid w:val="008605A5"/>
    <w:rsid w:val="00894E1F"/>
    <w:rsid w:val="008C17B0"/>
    <w:rsid w:val="008D0621"/>
    <w:rsid w:val="008F741F"/>
    <w:rsid w:val="00913363"/>
    <w:rsid w:val="00927640"/>
    <w:rsid w:val="009277FD"/>
    <w:rsid w:val="00930D45"/>
    <w:rsid w:val="00941778"/>
    <w:rsid w:val="00946317"/>
    <w:rsid w:val="009726D5"/>
    <w:rsid w:val="009A099C"/>
    <w:rsid w:val="009F167F"/>
    <w:rsid w:val="00A43C8F"/>
    <w:rsid w:val="00A527A4"/>
    <w:rsid w:val="00A528D9"/>
    <w:rsid w:val="00A638C0"/>
    <w:rsid w:val="00A70BE2"/>
    <w:rsid w:val="00A83357"/>
    <w:rsid w:val="00AA0C06"/>
    <w:rsid w:val="00AC2671"/>
    <w:rsid w:val="00B17F88"/>
    <w:rsid w:val="00B20C1B"/>
    <w:rsid w:val="00B35FFB"/>
    <w:rsid w:val="00B42BA1"/>
    <w:rsid w:val="00B46AF7"/>
    <w:rsid w:val="00B579FA"/>
    <w:rsid w:val="00B74441"/>
    <w:rsid w:val="00B8100A"/>
    <w:rsid w:val="00BA3803"/>
    <w:rsid w:val="00BA3864"/>
    <w:rsid w:val="00BF0D53"/>
    <w:rsid w:val="00C04C78"/>
    <w:rsid w:val="00C23EC7"/>
    <w:rsid w:val="00C93DD9"/>
    <w:rsid w:val="00CC2AA3"/>
    <w:rsid w:val="00D047F9"/>
    <w:rsid w:val="00D20BB1"/>
    <w:rsid w:val="00D30D6A"/>
    <w:rsid w:val="00D30EBD"/>
    <w:rsid w:val="00D35C30"/>
    <w:rsid w:val="00D642F8"/>
    <w:rsid w:val="00D82B80"/>
    <w:rsid w:val="00D84F7F"/>
    <w:rsid w:val="00D93721"/>
    <w:rsid w:val="00DC0EE4"/>
    <w:rsid w:val="00DE6526"/>
    <w:rsid w:val="00DE705B"/>
    <w:rsid w:val="00DF6F37"/>
    <w:rsid w:val="00E2010A"/>
    <w:rsid w:val="00E21327"/>
    <w:rsid w:val="00E56603"/>
    <w:rsid w:val="00E65EE5"/>
    <w:rsid w:val="00E74CB4"/>
    <w:rsid w:val="00EB0104"/>
    <w:rsid w:val="00EC185D"/>
    <w:rsid w:val="00EC7EBD"/>
    <w:rsid w:val="00ED0CEF"/>
    <w:rsid w:val="00ED4639"/>
    <w:rsid w:val="00EE4CEC"/>
    <w:rsid w:val="00EF4D0D"/>
    <w:rsid w:val="00F0477B"/>
    <w:rsid w:val="00F11E67"/>
    <w:rsid w:val="00F20805"/>
    <w:rsid w:val="00F2769B"/>
    <w:rsid w:val="00F35909"/>
    <w:rsid w:val="00F54CEF"/>
    <w:rsid w:val="00F820C4"/>
    <w:rsid w:val="00F92FE3"/>
    <w:rsid w:val="00F96276"/>
    <w:rsid w:val="00FA6EBA"/>
    <w:rsid w:val="00FB6300"/>
    <w:rsid w:val="00FC53B8"/>
    <w:rsid w:val="00FC563D"/>
    <w:rsid w:val="00FE0622"/>
    <w:rsid w:val="00FE16A9"/>
    <w:rsid w:val="00FE2BF9"/>
    <w:rsid w:val="00FE52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69A35"/>
  <w15:docId w15:val="{E14856BB-6F0C-48D2-97B5-1278A925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paragraph" w:styleId="BalloonText">
    <w:name w:val="Balloon Text"/>
    <w:basedOn w:val="Normal"/>
    <w:link w:val="BalloonTextChar"/>
    <w:uiPriority w:val="99"/>
    <w:semiHidden/>
    <w:unhideWhenUsed/>
    <w:rsid w:val="00477D7A"/>
    <w:rPr>
      <w:rFonts w:ascii="Tahoma" w:hAnsi="Tahoma" w:cs="Tahoma"/>
      <w:sz w:val="16"/>
      <w:szCs w:val="16"/>
    </w:rPr>
  </w:style>
  <w:style w:type="character" w:customStyle="1" w:styleId="BalloonTextChar">
    <w:name w:val="Balloon Text Char"/>
    <w:basedOn w:val="DefaultParagraphFont"/>
    <w:link w:val="BalloonText"/>
    <w:uiPriority w:val="99"/>
    <w:semiHidden/>
    <w:rsid w:val="00477D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317"/>
    <w:rPr>
      <w:sz w:val="16"/>
      <w:szCs w:val="16"/>
    </w:rPr>
  </w:style>
  <w:style w:type="paragraph" w:styleId="CommentText">
    <w:name w:val="annotation text"/>
    <w:basedOn w:val="Normal"/>
    <w:link w:val="CommentTextChar"/>
    <w:uiPriority w:val="99"/>
    <w:semiHidden/>
    <w:unhideWhenUsed/>
    <w:rsid w:val="00946317"/>
  </w:style>
  <w:style w:type="character" w:customStyle="1" w:styleId="CommentTextChar">
    <w:name w:val="Comment Text Char"/>
    <w:basedOn w:val="DefaultParagraphFont"/>
    <w:link w:val="CommentText"/>
    <w:uiPriority w:val="99"/>
    <w:semiHidden/>
    <w:rsid w:val="00946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317"/>
    <w:rPr>
      <w:b/>
      <w:bCs/>
    </w:rPr>
  </w:style>
  <w:style w:type="character" w:customStyle="1" w:styleId="CommentSubjectChar">
    <w:name w:val="Comment Subject Char"/>
    <w:basedOn w:val="CommentTextChar"/>
    <w:link w:val="CommentSubject"/>
    <w:uiPriority w:val="99"/>
    <w:semiHidden/>
    <w:rsid w:val="00946317"/>
    <w:rPr>
      <w:rFonts w:ascii="Times New Roman" w:eastAsia="Times New Roman" w:hAnsi="Times New Roman" w:cs="Times New Roman"/>
      <w:b/>
      <w:bCs/>
      <w:sz w:val="20"/>
      <w:szCs w:val="20"/>
    </w:rPr>
  </w:style>
  <w:style w:type="paragraph" w:styleId="ListParagraph">
    <w:name w:val="List Paragraph"/>
    <w:basedOn w:val="Normal"/>
    <w:uiPriority w:val="34"/>
    <w:qFormat/>
    <w:rsid w:val="0004534F"/>
    <w:pPr>
      <w:ind w:left="720"/>
      <w:contextualSpacing/>
    </w:pPr>
  </w:style>
  <w:style w:type="character" w:styleId="Hyperlink">
    <w:name w:val="Hyperlink"/>
    <w:basedOn w:val="DefaultParagraphFont"/>
    <w:uiPriority w:val="99"/>
    <w:unhideWhenUsed/>
    <w:rsid w:val="00405846"/>
    <w:rPr>
      <w:color w:val="0000FF" w:themeColor="hyperlink"/>
      <w:u w:val="single"/>
    </w:rPr>
  </w:style>
  <w:style w:type="table" w:styleId="TableGrid">
    <w:name w:val="Table Grid"/>
    <w:basedOn w:val="TableNormal"/>
    <w:uiPriority w:val="59"/>
    <w:rsid w:val="002C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A2A"/>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23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EDUSHARE-207-1170</_dlc_DocId>
    <_dlc_DocIdUrl xmlns="ced1f988-d16c-4eb7-9443-312b8723c36c">
      <Url>https://vaww.infoshare.va.gov/sites/educationservice/225/225C/_layouts/15/DocIdRedir.aspx?ID=EDUSHARE-207-1170</Url>
      <Description>EDUSHARE-207-1170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5EB0F-EB45-477E-85F6-B7E7C90FA871}">
  <ds:schemaRefs>
    <ds:schemaRef ds:uri="http://schemas.openxmlformats.org/officeDocument/2006/bibliography"/>
  </ds:schemaRefs>
</ds:datastoreItem>
</file>

<file path=customXml/itemProps2.xml><?xml version="1.0" encoding="utf-8"?>
<ds:datastoreItem xmlns:ds="http://schemas.openxmlformats.org/officeDocument/2006/customXml" ds:itemID="{263BCD1B-FB7A-48FF-84AB-8B1E5FF5BCED}">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D62ABFFE-CB6F-443D-ADD4-DCA036BB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5F5A9-FCA9-4CF4-AF67-0F0D86A9C846}">
  <ds:schemaRefs>
    <ds:schemaRef ds:uri="http://schemas.microsoft.com/sharepoint/events"/>
  </ds:schemaRefs>
</ds:datastoreItem>
</file>

<file path=customXml/itemProps5.xml><?xml version="1.0" encoding="utf-8"?>
<ds:datastoreItem xmlns:ds="http://schemas.openxmlformats.org/officeDocument/2006/customXml" ds:itemID="{721F5865-D57B-4D0B-8238-2B1A3321E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Dept. of Veterans Affairs</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Jones, Ericka, VBAVACO</dc:creator>
  <cp:lastModifiedBy>Hopkins, Rodney T.</cp:lastModifiedBy>
  <cp:revision>6</cp:revision>
  <cp:lastPrinted>2019-07-19T16:01:00Z</cp:lastPrinted>
  <dcterms:created xsi:type="dcterms:W3CDTF">2022-11-29T16:14:00Z</dcterms:created>
  <dcterms:modified xsi:type="dcterms:W3CDTF">2023-02-07T16:52:00Z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1773ea5b-4dca-41b3-aa09-c375c757c5e5</vt:lpwstr>
  </property>
</Properties>
</file>