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55069C" w:rsidP="006C7FAE" w14:paraId="57781F6B" w14:textId="77777777">
      <w:pPr>
        <w:jc w:val="center"/>
        <w:rPr>
          <w:b/>
          <w:sz w:val="24"/>
          <w:szCs w:val="24"/>
        </w:rPr>
      </w:pPr>
      <w:r w:rsidRPr="0055069C">
        <w:rPr>
          <w:b/>
          <w:sz w:val="24"/>
          <w:szCs w:val="24"/>
        </w:rPr>
        <w:t>Supporting Statement for Paperwork Reduction Act Submissions</w:t>
      </w:r>
    </w:p>
    <w:p w:rsidR="00167E53" w:rsidRPr="0055069C" w14:paraId="365A40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55069C">
        <w:rPr>
          <w:b/>
          <w:sz w:val="24"/>
          <w:szCs w:val="24"/>
        </w:rPr>
        <w:t>Eviction Protection Grant Program</w:t>
      </w:r>
    </w:p>
    <w:p w:rsidR="00167E53" w:rsidRPr="007267DF" w:rsidP="02E55527" w14:paraId="3F705A3B" w14:textId="1BE35B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7267DF">
        <w:rPr>
          <w:b/>
          <w:bCs/>
          <w:sz w:val="24"/>
          <w:szCs w:val="24"/>
        </w:rPr>
        <w:t>(OMB</w:t>
      </w:r>
      <w:r w:rsidRPr="007267DF" w:rsidR="2F8A0838">
        <w:rPr>
          <w:b/>
          <w:bCs/>
          <w:sz w:val="24"/>
          <w:szCs w:val="24"/>
        </w:rPr>
        <w:t xml:space="preserve"> Control Number: </w:t>
      </w:r>
      <w:r w:rsidRPr="007267DF" w:rsidR="6CED0F27">
        <w:rPr>
          <w:b/>
          <w:bCs/>
          <w:sz w:val="24"/>
          <w:szCs w:val="24"/>
        </w:rPr>
        <w:t>2528</w:t>
      </w:r>
      <w:r w:rsidRPr="007267DF" w:rsidR="76084716">
        <w:rPr>
          <w:b/>
          <w:bCs/>
          <w:sz w:val="24"/>
          <w:szCs w:val="24"/>
        </w:rPr>
        <w:t>-</w:t>
      </w:r>
      <w:r w:rsidRPr="007267DF" w:rsidR="6ACE47DC">
        <w:rPr>
          <w:b/>
          <w:bCs/>
          <w:sz w:val="24"/>
          <w:szCs w:val="24"/>
        </w:rPr>
        <w:t>0331</w:t>
      </w:r>
      <w:r w:rsidRPr="007267DF">
        <w:rPr>
          <w:b/>
          <w:bCs/>
          <w:sz w:val="24"/>
          <w:szCs w:val="24"/>
        </w:rPr>
        <w:t>)</w:t>
      </w:r>
    </w:p>
    <w:p w:rsidR="009E13B1" w:rsidRPr="007267DF" w:rsidP="006C7FAE" w14:paraId="54426F69" w14:textId="77777777">
      <w:pPr>
        <w:rPr>
          <w:b/>
          <w:sz w:val="24"/>
          <w:szCs w:val="24"/>
        </w:rPr>
      </w:pPr>
    </w:p>
    <w:p w:rsidR="009E13B1" w:rsidRPr="007267DF" w:rsidP="007267DF" w14:paraId="39082F1F" w14:textId="2EC341BF">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b/>
          <w:sz w:val="24"/>
          <w:szCs w:val="24"/>
        </w:rPr>
      </w:pPr>
      <w:r w:rsidRPr="007267DF">
        <w:rPr>
          <w:rFonts w:ascii="Times New Roman" w:hAnsi="Times New Roman"/>
          <w:b/>
          <w:sz w:val="24"/>
          <w:szCs w:val="24"/>
        </w:rPr>
        <w:t>Justification</w:t>
      </w:r>
    </w:p>
    <w:p w:rsidR="009E13B1" w:rsidRPr="0055069C" w14:paraId="0A049CD2" w14:textId="0CA6DE61">
      <w:pPr>
        <w:keepLines/>
        <w:tabs>
          <w:tab w:val="left" w:pos="360"/>
        </w:tabs>
        <w:spacing w:after="80"/>
        <w:ind w:left="360" w:hanging="360"/>
        <w:rPr>
          <w:b/>
          <w:bCs/>
          <w:sz w:val="24"/>
          <w:szCs w:val="24"/>
        </w:rPr>
      </w:pPr>
      <w:r w:rsidRPr="007267DF">
        <w:rPr>
          <w:sz w:val="24"/>
          <w:szCs w:val="24"/>
        </w:rPr>
        <w:t>1.</w:t>
      </w:r>
      <w:r w:rsidRPr="007267DF">
        <w:tab/>
      </w:r>
      <w:r w:rsidRPr="007267DF">
        <w:rPr>
          <w:b/>
          <w:bCs/>
          <w:sz w:val="24"/>
          <w:szCs w:val="24"/>
        </w:rPr>
        <w:t>Explain the circumstances</w:t>
      </w:r>
      <w:r w:rsidRPr="443FE93E">
        <w:rPr>
          <w:b/>
          <w:bCs/>
          <w:sz w:val="24"/>
          <w:szCs w:val="24"/>
        </w:rPr>
        <w:t xml:space="preserve">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3090" w:rsidP="0B05764F" w14:paraId="423152BB" w14:textId="22C03BF1">
      <w:pPr>
        <w:keepLines/>
        <w:tabs>
          <w:tab w:val="left" w:pos="360"/>
        </w:tabs>
        <w:spacing w:after="80"/>
        <w:ind w:left="360"/>
        <w:rPr>
          <w:sz w:val="24"/>
          <w:szCs w:val="24"/>
        </w:rPr>
      </w:pPr>
      <w:r w:rsidRPr="0B05764F">
        <w:rPr>
          <w:sz w:val="24"/>
          <w:szCs w:val="24"/>
        </w:rPr>
        <w:t>Collection of this information is authorized by the Consolidated Appropriations Act, 2021 (Pub. L. No. 116-260, approved December 27, 2020), Consolidated Appropriations Act, 2022 (Pub. L. No. 117-103, approved March 15, 2022), Consolidated Appropriations Act, 2023 (Pub. L. No. 117–328, approved December 29, 2022), and Consolidated Appropriations Act, 2024 (Pub. L. No. 118-42, approved March 9, 2024)</w:t>
      </w:r>
      <w:r w:rsidRPr="0B05764F" w:rsidR="7C73DD92">
        <w:rPr>
          <w:sz w:val="24"/>
          <w:szCs w:val="24"/>
        </w:rPr>
        <w:t>, wh</w:t>
      </w:r>
      <w:r w:rsidRPr="0B05764F" w:rsidR="40B459D1">
        <w:rPr>
          <w:sz w:val="24"/>
          <w:szCs w:val="24"/>
        </w:rPr>
        <w:t>ich</w:t>
      </w:r>
      <w:r w:rsidRPr="0B05764F" w:rsidR="7C73DD92">
        <w:rPr>
          <w:sz w:val="24"/>
          <w:szCs w:val="24"/>
        </w:rPr>
        <w:t xml:space="preserve"> each</w:t>
      </w:r>
      <w:r w:rsidRPr="0B05764F" w:rsidR="3702626A">
        <w:rPr>
          <w:sz w:val="24"/>
          <w:szCs w:val="24"/>
        </w:rPr>
        <w:t xml:space="preserve"> </w:t>
      </w:r>
      <w:r w:rsidRPr="0B05764F" w:rsidR="7899518E">
        <w:rPr>
          <w:sz w:val="24"/>
          <w:szCs w:val="24"/>
        </w:rPr>
        <w:t xml:space="preserve">provided $20,000,000 for competitive grants to nonprofit or governmental entities to provide legal assistance (including assistance related to pretrial activities, trial activities, post-trial activities and alternative dispute resolution) at no cost to eligible low-income tenants at risk of or subject to eviction. </w:t>
      </w:r>
      <w:r w:rsidRPr="0B05764F" w:rsidR="152419D3">
        <w:rPr>
          <w:sz w:val="24"/>
          <w:szCs w:val="24"/>
        </w:rPr>
        <w:t xml:space="preserve">The Eviction Protection Grant Program (EPGP) </w:t>
      </w:r>
      <w:r w:rsidRPr="0B05764F" w:rsidR="5273B649">
        <w:rPr>
          <w:sz w:val="24"/>
          <w:szCs w:val="24"/>
        </w:rPr>
        <w:t xml:space="preserve">may receive future appropriations </w:t>
      </w:r>
      <w:r w:rsidRPr="0B05764F" w:rsidR="6959C8C4">
        <w:rPr>
          <w:sz w:val="24"/>
          <w:szCs w:val="24"/>
        </w:rPr>
        <w:t>in subsequent fiscal years</w:t>
      </w:r>
      <w:r w:rsidRPr="0B05764F" w:rsidR="57ADF9E2">
        <w:rPr>
          <w:sz w:val="24"/>
          <w:szCs w:val="24"/>
        </w:rPr>
        <w:t xml:space="preserve">; HUD expects this information collection to </w:t>
      </w:r>
      <w:r w:rsidRPr="0B05764F" w:rsidR="1ACEBFF4">
        <w:rPr>
          <w:sz w:val="24"/>
          <w:szCs w:val="24"/>
        </w:rPr>
        <w:t>apply to future appropriations</w:t>
      </w:r>
      <w:r w:rsidRPr="0B05764F" w:rsidR="6959C8C4">
        <w:rPr>
          <w:sz w:val="24"/>
          <w:szCs w:val="24"/>
        </w:rPr>
        <w:t xml:space="preserve">. </w:t>
      </w:r>
      <w:r w:rsidRPr="0B05764F" w:rsidR="0B16ED10">
        <w:rPr>
          <w:sz w:val="24"/>
          <w:szCs w:val="24"/>
        </w:rPr>
        <w:t xml:space="preserve">The </w:t>
      </w:r>
      <w:r w:rsidRPr="0B05764F" w:rsidR="17166DCD">
        <w:rPr>
          <w:sz w:val="24"/>
          <w:szCs w:val="24"/>
        </w:rPr>
        <w:t xml:space="preserve">approved </w:t>
      </w:r>
      <w:r w:rsidRPr="0B05764F" w:rsidR="4556E89E">
        <w:rPr>
          <w:sz w:val="24"/>
          <w:szCs w:val="24"/>
        </w:rPr>
        <w:t xml:space="preserve">pre award </w:t>
      </w:r>
      <w:r w:rsidRPr="0B05764F" w:rsidR="0B16ED10">
        <w:rPr>
          <w:sz w:val="24"/>
          <w:szCs w:val="24"/>
        </w:rPr>
        <w:t>collection of information</w:t>
      </w:r>
      <w:r w:rsidRPr="0B05764F" w:rsidR="197039BB">
        <w:rPr>
          <w:sz w:val="24"/>
          <w:szCs w:val="24"/>
        </w:rPr>
        <w:t xml:space="preserve">, </w:t>
      </w:r>
      <w:r w:rsidRPr="0B05764F" w:rsidR="54540731">
        <w:rPr>
          <w:sz w:val="24"/>
          <w:szCs w:val="24"/>
        </w:rPr>
        <w:t xml:space="preserve">OMB </w:t>
      </w:r>
      <w:r w:rsidRPr="0B05764F" w:rsidR="4D098661">
        <w:rPr>
          <w:sz w:val="24"/>
          <w:szCs w:val="24"/>
        </w:rPr>
        <w:t>Control Number: 2501-0044, Exp. Date: 2/28/2027</w:t>
      </w:r>
      <w:r w:rsidRPr="0B05764F" w:rsidR="32308DDB">
        <w:rPr>
          <w:sz w:val="24"/>
          <w:szCs w:val="24"/>
        </w:rPr>
        <w:t xml:space="preserve">, </w:t>
      </w:r>
      <w:r w:rsidRPr="0B05764F" w:rsidR="0B16ED10">
        <w:rPr>
          <w:sz w:val="24"/>
          <w:szCs w:val="24"/>
        </w:rPr>
        <w:t xml:space="preserve">will be used by the Office of Policy Development and Research to </w:t>
      </w:r>
      <w:r w:rsidRPr="0B05764F" w:rsidR="0B16ED10">
        <w:rPr>
          <w:color w:val="000000" w:themeColor="text1"/>
          <w:sz w:val="24"/>
          <w:szCs w:val="24"/>
        </w:rPr>
        <w:t xml:space="preserve">evaluate </w:t>
      </w:r>
      <w:r w:rsidRPr="0B05764F" w:rsidR="030E5763">
        <w:rPr>
          <w:sz w:val="24"/>
          <w:szCs w:val="24"/>
        </w:rPr>
        <w:t>Notice of Funding Opportunity (</w:t>
      </w:r>
      <w:r w:rsidRPr="0B05764F" w:rsidR="0B16ED10">
        <w:rPr>
          <w:color w:val="000000" w:themeColor="text1"/>
          <w:sz w:val="24"/>
          <w:szCs w:val="24"/>
        </w:rPr>
        <w:t>NOFO</w:t>
      </w:r>
      <w:r w:rsidRPr="0B05764F" w:rsidR="030E5763">
        <w:rPr>
          <w:color w:val="000000" w:themeColor="text1"/>
          <w:sz w:val="24"/>
          <w:szCs w:val="24"/>
        </w:rPr>
        <w:t>)</w:t>
      </w:r>
      <w:r w:rsidRPr="0B05764F" w:rsidR="0B16ED10">
        <w:rPr>
          <w:color w:val="000000" w:themeColor="text1"/>
          <w:sz w:val="24"/>
          <w:szCs w:val="24"/>
        </w:rPr>
        <w:t xml:space="preserve"> applicant</w:t>
      </w:r>
      <w:r w:rsidRPr="0B05764F" w:rsidR="030E5763">
        <w:rPr>
          <w:color w:val="000000" w:themeColor="text1"/>
          <w:sz w:val="24"/>
          <w:szCs w:val="24"/>
        </w:rPr>
        <w:t>s</w:t>
      </w:r>
      <w:r w:rsidRPr="0B05764F" w:rsidR="0B16ED10">
        <w:rPr>
          <w:color w:val="000000" w:themeColor="text1"/>
          <w:sz w:val="24"/>
          <w:szCs w:val="24"/>
        </w:rPr>
        <w:t xml:space="preserve"> and determine eligibility to receive award funds</w:t>
      </w:r>
      <w:r w:rsidRPr="0B05764F" w:rsidR="0B16ED10">
        <w:rPr>
          <w:sz w:val="24"/>
          <w:szCs w:val="24"/>
        </w:rPr>
        <w:t>.</w:t>
      </w:r>
      <w:r w:rsidRPr="0B05764F" w:rsidR="665CB375">
        <w:rPr>
          <w:sz w:val="24"/>
          <w:szCs w:val="24"/>
        </w:rPr>
        <w:t xml:space="preserve"> </w:t>
      </w:r>
      <w:r w:rsidRPr="0B05764F" w:rsidR="37004FC1">
        <w:rPr>
          <w:sz w:val="24"/>
          <w:szCs w:val="24"/>
        </w:rPr>
        <w:t xml:space="preserve">This post award </w:t>
      </w:r>
      <w:r w:rsidRPr="0B05764F" w:rsidR="62916B33">
        <w:rPr>
          <w:sz w:val="24"/>
          <w:szCs w:val="24"/>
        </w:rPr>
        <w:t xml:space="preserve">collection of information </w:t>
      </w:r>
      <w:r w:rsidRPr="0B05764F" w:rsidR="1B3373E9">
        <w:rPr>
          <w:sz w:val="24"/>
          <w:szCs w:val="24"/>
        </w:rPr>
        <w:t xml:space="preserve">will enable HUD to meet its </w:t>
      </w:r>
      <w:r w:rsidRPr="0B05764F" w:rsidR="3D587F3D">
        <w:rPr>
          <w:sz w:val="24"/>
          <w:szCs w:val="24"/>
        </w:rPr>
        <w:t>program monitoring obligations under the Act, including ensuring that</w:t>
      </w:r>
      <w:r w:rsidRPr="0B05764F" w:rsidR="4A04BBE9">
        <w:rPr>
          <w:sz w:val="24"/>
          <w:szCs w:val="24"/>
        </w:rPr>
        <w:t xml:space="preserve"> eligible tenants living in rural areas are served</w:t>
      </w:r>
      <w:r w:rsidRPr="0B05764F" w:rsidR="016671AB">
        <w:rPr>
          <w:sz w:val="24"/>
          <w:szCs w:val="24"/>
        </w:rPr>
        <w:t xml:space="preserve">. </w:t>
      </w:r>
      <w:r w:rsidRPr="0B05764F" w:rsidR="40EE95ED">
        <w:rPr>
          <w:sz w:val="24"/>
          <w:szCs w:val="24"/>
        </w:rPr>
        <w:t xml:space="preserve">The </w:t>
      </w:r>
      <w:r w:rsidRPr="0B05764F" w:rsidR="14E6E5E7">
        <w:rPr>
          <w:sz w:val="24"/>
          <w:szCs w:val="24"/>
        </w:rPr>
        <w:t xml:space="preserve">House of Representatives Explanatory Statement of the Consolidated Appropriations Act, 2021 Congressional Record </w:t>
      </w:r>
      <w:r w:rsidRPr="0B05764F" w:rsidR="461385B4">
        <w:rPr>
          <w:sz w:val="24"/>
          <w:szCs w:val="24"/>
        </w:rPr>
        <w:t>166, no. 218, book IV</w:t>
      </w:r>
      <w:r w:rsidRPr="0B05764F" w:rsidR="14E6E5E7">
        <w:rPr>
          <w:sz w:val="24"/>
          <w:szCs w:val="24"/>
        </w:rPr>
        <w:t>, at H8828</w:t>
      </w:r>
      <w:r w:rsidRPr="0B05764F" w:rsidR="40EE95ED">
        <w:rPr>
          <w:sz w:val="24"/>
          <w:szCs w:val="24"/>
        </w:rPr>
        <w:t>,</w:t>
      </w:r>
      <w:r w:rsidRPr="0B05764F" w:rsidR="14E6E5E7">
        <w:rPr>
          <w:sz w:val="24"/>
          <w:szCs w:val="24"/>
        </w:rPr>
        <w:t xml:space="preserve"> December 21, 2020</w:t>
      </w:r>
      <w:r w:rsidRPr="0B05764F" w:rsidR="642A7AC7">
        <w:rPr>
          <w:sz w:val="24"/>
          <w:szCs w:val="24"/>
        </w:rPr>
        <w:t xml:space="preserve">, </w:t>
      </w:r>
      <w:r w:rsidRPr="0B05764F" w:rsidR="40EE95ED">
        <w:rPr>
          <w:sz w:val="24"/>
          <w:szCs w:val="24"/>
        </w:rPr>
        <w:t xml:space="preserve">further emphasized the importance of implementing </w:t>
      </w:r>
      <w:r w:rsidRPr="0B05764F" w:rsidR="21BCEC0C">
        <w:rPr>
          <w:sz w:val="24"/>
          <w:szCs w:val="24"/>
        </w:rPr>
        <w:t xml:space="preserve">and overseeing this grant as a “demonstration program.” </w:t>
      </w:r>
      <w:r w:rsidRPr="0B05764F" w:rsidR="04972BBA">
        <w:rPr>
          <w:sz w:val="24"/>
          <w:szCs w:val="24"/>
        </w:rPr>
        <w:t xml:space="preserve"> </w:t>
      </w:r>
      <w:r w:rsidRPr="0B05764F" w:rsidR="461385B4">
        <w:rPr>
          <w:sz w:val="24"/>
          <w:szCs w:val="24"/>
        </w:rPr>
        <w:t>Accordingly, t</w:t>
      </w:r>
      <w:r w:rsidRPr="0B05764F" w:rsidR="21BCEC0C">
        <w:rPr>
          <w:sz w:val="24"/>
          <w:szCs w:val="24"/>
        </w:rPr>
        <w:t xml:space="preserve">he collection of information will enable HUD to meet its research and demonstration obligations under </w:t>
      </w:r>
      <w:r w:rsidRPr="0B05764F" w:rsidR="461385B4">
        <w:rPr>
          <w:sz w:val="24"/>
          <w:szCs w:val="24"/>
        </w:rPr>
        <w:t xml:space="preserve">the Housing and Urban Development Act of 1970, section 501 (12 U.S.C. § 1701z-1) </w:t>
      </w:r>
      <w:r w:rsidRPr="0B05764F" w:rsidR="21BCEC0C">
        <w:rPr>
          <w:sz w:val="24"/>
          <w:szCs w:val="24"/>
        </w:rPr>
        <w:t>for this program.</w:t>
      </w:r>
    </w:p>
    <w:p w:rsidR="0B05764F" w:rsidP="007267DF" w14:paraId="3F3CB4FB" w14:textId="0699C29B">
      <w:pPr>
        <w:pStyle w:val="NoSpacing"/>
      </w:pPr>
    </w:p>
    <w:p w:rsidR="00DE3A06" w:rsidRPr="0055069C" w:rsidP="144F3E93" w14:paraId="0160438B" w14:textId="2CED6923">
      <w:pPr>
        <w:keepLines/>
        <w:tabs>
          <w:tab w:val="left" w:pos="360"/>
        </w:tabs>
        <w:spacing w:after="80"/>
        <w:ind w:left="360"/>
        <w:rPr>
          <w:sz w:val="24"/>
          <w:szCs w:val="24"/>
        </w:rPr>
      </w:pPr>
      <w:r w:rsidRPr="0B05764F">
        <w:rPr>
          <w:sz w:val="24"/>
          <w:szCs w:val="24"/>
        </w:rPr>
        <w:t>C</w:t>
      </w:r>
      <w:r w:rsidRPr="0B05764F" w:rsidR="1B427FE1">
        <w:rPr>
          <w:sz w:val="24"/>
          <w:szCs w:val="24"/>
        </w:rPr>
        <w:t xml:space="preserve">hanges are </w:t>
      </w:r>
      <w:r w:rsidRPr="0B05764F">
        <w:rPr>
          <w:sz w:val="24"/>
          <w:szCs w:val="24"/>
        </w:rPr>
        <w:t xml:space="preserve">now </w:t>
      </w:r>
      <w:r w:rsidRPr="0B05764F" w:rsidR="1B427FE1">
        <w:rPr>
          <w:sz w:val="24"/>
          <w:szCs w:val="24"/>
        </w:rPr>
        <w:t xml:space="preserve">required because </w:t>
      </w:r>
      <w:r w:rsidRPr="0B05764F" w:rsidR="2A07A01F">
        <w:rPr>
          <w:sz w:val="24"/>
          <w:szCs w:val="24"/>
        </w:rPr>
        <w:t xml:space="preserve">EPGP was instituted </w:t>
      </w:r>
      <w:r w:rsidRPr="0B05764F" w:rsidR="47DE7652">
        <w:rPr>
          <w:sz w:val="24"/>
          <w:szCs w:val="24"/>
        </w:rPr>
        <w:t xml:space="preserve">as a new program </w:t>
      </w:r>
      <w:r w:rsidRPr="0B05764F" w:rsidR="2A07A01F">
        <w:rPr>
          <w:sz w:val="24"/>
          <w:szCs w:val="24"/>
        </w:rPr>
        <w:t xml:space="preserve">during the COVID-19 pandemic. </w:t>
      </w:r>
      <w:r w:rsidRPr="0B05764F" w:rsidR="7EA6A534">
        <w:rPr>
          <w:sz w:val="24"/>
          <w:szCs w:val="24"/>
        </w:rPr>
        <w:t>Ongoing p</w:t>
      </w:r>
      <w:r w:rsidRPr="0B05764F" w:rsidR="2DD18009">
        <w:rPr>
          <w:sz w:val="24"/>
          <w:szCs w:val="24"/>
        </w:rPr>
        <w:t>rogram</w:t>
      </w:r>
      <w:r w:rsidRPr="0B05764F" w:rsidR="535E337D">
        <w:rPr>
          <w:sz w:val="24"/>
          <w:szCs w:val="24"/>
        </w:rPr>
        <w:t xml:space="preserve"> execution </w:t>
      </w:r>
      <w:r w:rsidRPr="0B05764F" w:rsidR="7EA6A534">
        <w:rPr>
          <w:sz w:val="24"/>
          <w:szCs w:val="24"/>
        </w:rPr>
        <w:t xml:space="preserve">has </w:t>
      </w:r>
      <w:r w:rsidRPr="0B05764F" w:rsidR="535E337D">
        <w:rPr>
          <w:sz w:val="24"/>
          <w:szCs w:val="24"/>
        </w:rPr>
        <w:t xml:space="preserve">revealed </w:t>
      </w:r>
      <w:r w:rsidRPr="0B05764F" w:rsidR="7AD5B780">
        <w:rPr>
          <w:sz w:val="24"/>
          <w:szCs w:val="24"/>
        </w:rPr>
        <w:t xml:space="preserve">grantee reporting </w:t>
      </w:r>
      <w:r w:rsidRPr="0B05764F" w:rsidR="09721FE2">
        <w:rPr>
          <w:sz w:val="24"/>
          <w:szCs w:val="24"/>
        </w:rPr>
        <w:t xml:space="preserve">questions and </w:t>
      </w:r>
      <w:r w:rsidRPr="0B05764F" w:rsidR="27FAB4D7">
        <w:rPr>
          <w:sz w:val="24"/>
          <w:szCs w:val="24"/>
        </w:rPr>
        <w:t>challenges</w:t>
      </w:r>
      <w:r w:rsidRPr="0B05764F" w:rsidR="39B34E07">
        <w:rPr>
          <w:sz w:val="24"/>
          <w:szCs w:val="24"/>
        </w:rPr>
        <w:t>,</w:t>
      </w:r>
      <w:r w:rsidRPr="0B05764F" w:rsidR="27FAB4D7">
        <w:rPr>
          <w:sz w:val="24"/>
          <w:szCs w:val="24"/>
        </w:rPr>
        <w:t xml:space="preserve"> </w:t>
      </w:r>
      <w:r w:rsidRPr="0B05764F" w:rsidR="7AD5B780">
        <w:rPr>
          <w:sz w:val="24"/>
          <w:szCs w:val="24"/>
        </w:rPr>
        <w:t xml:space="preserve">and </w:t>
      </w:r>
      <w:r w:rsidRPr="0B05764F" w:rsidR="55A9B9E6">
        <w:rPr>
          <w:sz w:val="24"/>
          <w:szCs w:val="24"/>
        </w:rPr>
        <w:t xml:space="preserve">the need for </w:t>
      </w:r>
      <w:r w:rsidRPr="0B05764F" w:rsidR="7AD5B780">
        <w:rPr>
          <w:sz w:val="24"/>
          <w:szCs w:val="24"/>
        </w:rPr>
        <w:t xml:space="preserve">additional </w:t>
      </w:r>
      <w:r w:rsidRPr="0B05764F" w:rsidR="41A50B8D">
        <w:rPr>
          <w:sz w:val="24"/>
          <w:szCs w:val="24"/>
        </w:rPr>
        <w:t>standardization</w:t>
      </w:r>
      <w:r w:rsidRPr="0B05764F" w:rsidR="276D114A">
        <w:rPr>
          <w:sz w:val="24"/>
          <w:szCs w:val="24"/>
        </w:rPr>
        <w:t xml:space="preserve">, fillable formats, </w:t>
      </w:r>
      <w:r w:rsidRPr="0B05764F" w:rsidR="45335EDF">
        <w:rPr>
          <w:sz w:val="24"/>
          <w:szCs w:val="24"/>
        </w:rPr>
        <w:t>and data point clarifications and revisions</w:t>
      </w:r>
      <w:r w:rsidRPr="0B05764F" w:rsidR="535E337D">
        <w:rPr>
          <w:sz w:val="24"/>
          <w:szCs w:val="24"/>
        </w:rPr>
        <w:t>.</w:t>
      </w:r>
      <w:r w:rsidRPr="0B05764F" w:rsidR="74300C8C">
        <w:rPr>
          <w:sz w:val="24"/>
          <w:szCs w:val="24"/>
        </w:rPr>
        <w:t xml:space="preserve"> </w:t>
      </w:r>
      <w:r w:rsidRPr="0B05764F" w:rsidR="0CF1EF1D">
        <w:rPr>
          <w:sz w:val="24"/>
          <w:szCs w:val="24"/>
        </w:rPr>
        <w:t xml:space="preserve">The forms </w:t>
      </w:r>
      <w:r w:rsidRPr="0B05764F" w:rsidR="09721FE2">
        <w:rPr>
          <w:sz w:val="24"/>
          <w:szCs w:val="24"/>
        </w:rPr>
        <w:t xml:space="preserve">are </w:t>
      </w:r>
      <w:r w:rsidRPr="0B05764F" w:rsidR="0CF1EF1D">
        <w:rPr>
          <w:sz w:val="24"/>
          <w:szCs w:val="24"/>
        </w:rPr>
        <w:t xml:space="preserve">also </w:t>
      </w:r>
      <w:r w:rsidRPr="0B05764F" w:rsidR="09721FE2">
        <w:rPr>
          <w:sz w:val="24"/>
          <w:szCs w:val="24"/>
        </w:rPr>
        <w:t xml:space="preserve">revised to </w:t>
      </w:r>
      <w:r w:rsidRPr="0B05764F" w:rsidR="0CF1EF1D">
        <w:rPr>
          <w:sz w:val="24"/>
          <w:szCs w:val="24"/>
        </w:rPr>
        <w:t>integrate the new O</w:t>
      </w:r>
      <w:r w:rsidRPr="0B05764F" w:rsidR="1019229A">
        <w:rPr>
          <w:sz w:val="24"/>
          <w:szCs w:val="24"/>
        </w:rPr>
        <w:t xml:space="preserve">ffice of Management and </w:t>
      </w:r>
      <w:r w:rsidRPr="0B05764F" w:rsidR="0CF1EF1D">
        <w:rPr>
          <w:sz w:val="24"/>
          <w:szCs w:val="24"/>
        </w:rPr>
        <w:t>B</w:t>
      </w:r>
      <w:r w:rsidRPr="0B05764F" w:rsidR="1019229A">
        <w:rPr>
          <w:sz w:val="24"/>
          <w:szCs w:val="24"/>
        </w:rPr>
        <w:t>udget (OMB)</w:t>
      </w:r>
      <w:r w:rsidRPr="0B05764F" w:rsidR="0CF1EF1D">
        <w:rPr>
          <w:sz w:val="24"/>
          <w:szCs w:val="24"/>
        </w:rPr>
        <w:t xml:space="preserve"> race and ethnicity data standards. </w:t>
      </w:r>
      <w:r w:rsidRPr="0B05764F" w:rsidR="7E12C097">
        <w:rPr>
          <w:sz w:val="24"/>
          <w:szCs w:val="24"/>
        </w:rPr>
        <w:t xml:space="preserve">This supporting statement </w:t>
      </w:r>
      <w:r w:rsidRPr="0B05764F" w:rsidR="2DD18009">
        <w:rPr>
          <w:sz w:val="24"/>
          <w:szCs w:val="24"/>
        </w:rPr>
        <w:t xml:space="preserve">addresses </w:t>
      </w:r>
      <w:r w:rsidRPr="0B05764F" w:rsidR="27F7ECDD">
        <w:rPr>
          <w:sz w:val="24"/>
          <w:szCs w:val="24"/>
        </w:rPr>
        <w:t xml:space="preserve">a </w:t>
      </w:r>
      <w:r w:rsidRPr="0B05764F" w:rsidR="7E12C097">
        <w:rPr>
          <w:sz w:val="24"/>
          <w:szCs w:val="24"/>
        </w:rPr>
        <w:t xml:space="preserve">revised </w:t>
      </w:r>
      <w:r w:rsidRPr="0B05764F" w:rsidR="27F7ECDD">
        <w:rPr>
          <w:sz w:val="24"/>
          <w:szCs w:val="24"/>
        </w:rPr>
        <w:t xml:space="preserve">version of </w:t>
      </w:r>
      <w:r w:rsidRPr="0B05764F" w:rsidR="7E12C097">
        <w:rPr>
          <w:sz w:val="24"/>
          <w:szCs w:val="24"/>
        </w:rPr>
        <w:t xml:space="preserve">HUD 52698 and three additional forms. While these forms </w:t>
      </w:r>
      <w:r w:rsidRPr="0B05764F" w:rsidR="27F7ECDD">
        <w:rPr>
          <w:sz w:val="24"/>
          <w:szCs w:val="24"/>
        </w:rPr>
        <w:t xml:space="preserve">will </w:t>
      </w:r>
      <w:r w:rsidRPr="0B05764F" w:rsidR="7E12C097">
        <w:rPr>
          <w:sz w:val="24"/>
          <w:szCs w:val="24"/>
        </w:rPr>
        <w:t>require additional time</w:t>
      </w:r>
      <w:r w:rsidRPr="0B05764F" w:rsidR="2DD18009">
        <w:rPr>
          <w:sz w:val="24"/>
          <w:szCs w:val="24"/>
        </w:rPr>
        <w:t xml:space="preserve"> to complete</w:t>
      </w:r>
      <w:r w:rsidRPr="0B05764F" w:rsidR="7E12C097">
        <w:rPr>
          <w:sz w:val="24"/>
          <w:szCs w:val="24"/>
        </w:rPr>
        <w:t xml:space="preserve">, they are expected to reduce </w:t>
      </w:r>
      <w:r w:rsidRPr="0B05764F" w:rsidR="48350CCD">
        <w:rPr>
          <w:sz w:val="24"/>
          <w:szCs w:val="24"/>
        </w:rPr>
        <w:t xml:space="preserve">confusion and </w:t>
      </w:r>
      <w:r w:rsidRPr="0B05764F" w:rsidR="7DF509AD">
        <w:rPr>
          <w:sz w:val="24"/>
          <w:szCs w:val="24"/>
        </w:rPr>
        <w:t>corrections of</w:t>
      </w:r>
      <w:r w:rsidRPr="0B05764F" w:rsidR="48350CCD">
        <w:rPr>
          <w:sz w:val="24"/>
          <w:szCs w:val="24"/>
        </w:rPr>
        <w:t xml:space="preserve"> </w:t>
      </w:r>
      <w:r w:rsidRPr="0B05764F" w:rsidR="7E12C097">
        <w:rPr>
          <w:sz w:val="24"/>
          <w:szCs w:val="24"/>
        </w:rPr>
        <w:t xml:space="preserve">administrative </w:t>
      </w:r>
      <w:r w:rsidRPr="0B05764F" w:rsidR="2DD18009">
        <w:rPr>
          <w:sz w:val="24"/>
          <w:szCs w:val="24"/>
        </w:rPr>
        <w:t>requirements</w:t>
      </w:r>
      <w:r w:rsidRPr="0B05764F" w:rsidR="7FA1D2F0">
        <w:rPr>
          <w:sz w:val="24"/>
          <w:szCs w:val="24"/>
        </w:rPr>
        <w:t xml:space="preserve">, </w:t>
      </w:r>
      <w:r w:rsidRPr="0B05764F" w:rsidR="7E12C097">
        <w:rPr>
          <w:sz w:val="24"/>
          <w:szCs w:val="24"/>
        </w:rPr>
        <w:t>benefit</w:t>
      </w:r>
      <w:r w:rsidRPr="0B05764F" w:rsidR="7FA1D2F0">
        <w:rPr>
          <w:sz w:val="24"/>
          <w:szCs w:val="24"/>
        </w:rPr>
        <w:t>ting</w:t>
      </w:r>
      <w:r w:rsidRPr="0B05764F" w:rsidR="7E12C097">
        <w:rPr>
          <w:sz w:val="24"/>
          <w:szCs w:val="24"/>
        </w:rPr>
        <w:t xml:space="preserve"> </w:t>
      </w:r>
      <w:r w:rsidRPr="0B05764F" w:rsidR="2DD18009">
        <w:rPr>
          <w:sz w:val="24"/>
          <w:szCs w:val="24"/>
        </w:rPr>
        <w:t xml:space="preserve">both </w:t>
      </w:r>
      <w:r w:rsidRPr="0B05764F" w:rsidR="7E12C097">
        <w:rPr>
          <w:sz w:val="24"/>
          <w:szCs w:val="24"/>
        </w:rPr>
        <w:t xml:space="preserve">HUD and grantees. </w:t>
      </w:r>
    </w:p>
    <w:p w:rsidR="00007172" w14:paraId="30039BA7" w14:textId="77777777">
      <w:pPr>
        <w:tabs>
          <w:tab w:val="left" w:pos="360"/>
        </w:tabs>
        <w:ind w:left="360" w:hanging="360"/>
        <w:rPr>
          <w:sz w:val="24"/>
          <w:szCs w:val="24"/>
        </w:rPr>
      </w:pPr>
    </w:p>
    <w:p w:rsidR="007267DF" w14:paraId="302E3A59" w14:textId="77777777">
      <w:pPr>
        <w:tabs>
          <w:tab w:val="left" w:pos="360"/>
        </w:tabs>
        <w:ind w:left="360" w:hanging="360"/>
        <w:rPr>
          <w:sz w:val="24"/>
          <w:szCs w:val="24"/>
        </w:rPr>
      </w:pPr>
    </w:p>
    <w:p w:rsidR="007267DF" w14:paraId="0DB5731F" w14:textId="77777777">
      <w:pPr>
        <w:tabs>
          <w:tab w:val="left" w:pos="360"/>
        </w:tabs>
        <w:ind w:left="360" w:hanging="360"/>
        <w:rPr>
          <w:sz w:val="24"/>
          <w:szCs w:val="24"/>
        </w:rPr>
      </w:pPr>
    </w:p>
    <w:p w:rsidR="007267DF" w14:paraId="0C45CBEB" w14:textId="77777777">
      <w:pPr>
        <w:tabs>
          <w:tab w:val="left" w:pos="360"/>
        </w:tabs>
        <w:ind w:left="360" w:hanging="360"/>
        <w:rPr>
          <w:sz w:val="24"/>
          <w:szCs w:val="24"/>
        </w:rPr>
      </w:pPr>
    </w:p>
    <w:p w:rsidR="007267DF" w:rsidRPr="0055069C" w14:paraId="3838ED47" w14:textId="77777777">
      <w:pPr>
        <w:tabs>
          <w:tab w:val="left" w:pos="360"/>
        </w:tabs>
        <w:ind w:left="360" w:hanging="360"/>
        <w:rPr>
          <w:sz w:val="24"/>
          <w:szCs w:val="24"/>
        </w:rPr>
      </w:pPr>
    </w:p>
    <w:p w:rsidR="009E13B1" w:rsidRPr="0055069C" w14:paraId="1577331B" w14:textId="77777777">
      <w:pPr>
        <w:keepLines/>
        <w:tabs>
          <w:tab w:val="left" w:pos="360"/>
        </w:tabs>
        <w:spacing w:after="80"/>
        <w:ind w:left="360" w:hanging="360"/>
        <w:rPr>
          <w:b/>
          <w:bCs/>
          <w:sz w:val="24"/>
          <w:szCs w:val="24"/>
        </w:rPr>
      </w:pPr>
      <w:r w:rsidRPr="0055069C">
        <w:rPr>
          <w:sz w:val="24"/>
          <w:szCs w:val="24"/>
        </w:rPr>
        <w:t>2.</w:t>
      </w:r>
      <w:r w:rsidRPr="0055069C">
        <w:rPr>
          <w:b/>
          <w:bCs/>
          <w:sz w:val="24"/>
          <w:szCs w:val="24"/>
        </w:rPr>
        <w:tab/>
        <w:t>Indicate how, by whom and for what purpose the information is to be used.  Except for a new collection, indicate the actual use the agency has made of the information received from the current collection.</w:t>
      </w:r>
    </w:p>
    <w:p w:rsidR="00787004" w:rsidRPr="0055069C" w:rsidP="0B05764F" w14:paraId="3D13C2DF" w14:textId="3D82E703">
      <w:pPr>
        <w:keepLines/>
        <w:tabs>
          <w:tab w:val="left" w:pos="360"/>
        </w:tabs>
        <w:spacing w:after="80" w:line="259" w:lineRule="auto"/>
        <w:ind w:left="360"/>
        <w:rPr>
          <w:color w:val="000000" w:themeColor="text1"/>
          <w:sz w:val="24"/>
          <w:szCs w:val="24"/>
        </w:rPr>
      </w:pPr>
      <w:r w:rsidRPr="4F034976">
        <w:rPr>
          <w:sz w:val="24"/>
          <w:szCs w:val="24"/>
        </w:rPr>
        <w:t>Th</w:t>
      </w:r>
      <w:r w:rsidRPr="4F034976" w:rsidR="3B4F5E04">
        <w:rPr>
          <w:sz w:val="24"/>
          <w:szCs w:val="24"/>
        </w:rPr>
        <w:t>e present</w:t>
      </w:r>
      <w:r w:rsidRPr="4F034976">
        <w:rPr>
          <w:sz w:val="24"/>
          <w:szCs w:val="24"/>
        </w:rPr>
        <w:t xml:space="preserve"> revision </w:t>
      </w:r>
      <w:r w:rsidRPr="4F034976" w:rsidR="139328C7">
        <w:rPr>
          <w:sz w:val="24"/>
          <w:szCs w:val="24"/>
        </w:rPr>
        <w:t xml:space="preserve">addresses </w:t>
      </w:r>
      <w:r w:rsidRPr="4F034976">
        <w:rPr>
          <w:sz w:val="24"/>
          <w:szCs w:val="24"/>
        </w:rPr>
        <w:t xml:space="preserve">only the post award collection of information, as </w:t>
      </w:r>
      <w:r w:rsidRPr="4F034976" w:rsidR="524A2BE4">
        <w:rPr>
          <w:sz w:val="24"/>
          <w:szCs w:val="24"/>
        </w:rPr>
        <w:t xml:space="preserve">a parallel </w:t>
      </w:r>
      <w:r w:rsidRPr="4F034976">
        <w:rPr>
          <w:sz w:val="24"/>
          <w:szCs w:val="24"/>
        </w:rPr>
        <w:t>pre award update was completed thr</w:t>
      </w:r>
      <w:r w:rsidRPr="4F034976" w:rsidR="4D8FCBCC">
        <w:rPr>
          <w:sz w:val="24"/>
          <w:szCs w:val="24"/>
        </w:rPr>
        <w:t>o</w:t>
      </w:r>
      <w:r w:rsidRPr="4F034976">
        <w:rPr>
          <w:sz w:val="24"/>
          <w:szCs w:val="24"/>
        </w:rPr>
        <w:t xml:space="preserve">ugh the Generic NOFO PRA process. </w:t>
      </w:r>
      <w:r w:rsidRPr="4F034976" w:rsidR="2DEA487A">
        <w:rPr>
          <w:sz w:val="24"/>
          <w:szCs w:val="24"/>
        </w:rPr>
        <w:t xml:space="preserve">The </w:t>
      </w:r>
      <w:r w:rsidRPr="4F034976" w:rsidR="5EBBFF39">
        <w:rPr>
          <w:sz w:val="24"/>
          <w:szCs w:val="24"/>
        </w:rPr>
        <w:t xml:space="preserve">post award </w:t>
      </w:r>
      <w:r w:rsidRPr="4F034976" w:rsidR="2DEA487A">
        <w:rPr>
          <w:sz w:val="24"/>
          <w:szCs w:val="24"/>
        </w:rPr>
        <w:t xml:space="preserve">collection of information </w:t>
      </w:r>
      <w:r w:rsidRPr="4F034976" w:rsidR="43C0AAFE">
        <w:rPr>
          <w:sz w:val="24"/>
          <w:szCs w:val="24"/>
        </w:rPr>
        <w:t xml:space="preserve">will be used by the Office of Policy Development and Research to meet its statutory program monitoring and demonstration obligations for the program. </w:t>
      </w:r>
      <w:r w:rsidRPr="4F034976" w:rsidR="41C9ADDC">
        <w:rPr>
          <w:sz w:val="24"/>
          <w:szCs w:val="24"/>
        </w:rPr>
        <w:t xml:space="preserve">This is a </w:t>
      </w:r>
      <w:r w:rsidRPr="4F034976" w:rsidR="2687DC9A">
        <w:rPr>
          <w:sz w:val="24"/>
          <w:szCs w:val="24"/>
        </w:rPr>
        <w:t xml:space="preserve">recently initiated </w:t>
      </w:r>
      <w:r w:rsidRPr="4F034976" w:rsidR="2DD18009">
        <w:rPr>
          <w:sz w:val="24"/>
          <w:szCs w:val="24"/>
        </w:rPr>
        <w:t xml:space="preserve">and developing </w:t>
      </w:r>
      <w:r w:rsidRPr="4F034976" w:rsidR="41C9ADDC">
        <w:rPr>
          <w:sz w:val="24"/>
          <w:szCs w:val="24"/>
        </w:rPr>
        <w:t xml:space="preserve">grant program and therefore </w:t>
      </w:r>
      <w:r w:rsidRPr="4F034976" w:rsidR="2DD18009">
        <w:rPr>
          <w:sz w:val="24"/>
          <w:szCs w:val="24"/>
        </w:rPr>
        <w:t xml:space="preserve">requires additional </w:t>
      </w:r>
      <w:r w:rsidRPr="4F034976" w:rsidR="41C9ADDC">
        <w:rPr>
          <w:sz w:val="24"/>
          <w:szCs w:val="24"/>
        </w:rPr>
        <w:t>collection.</w:t>
      </w:r>
      <w:r w:rsidRPr="4F034976" w:rsidR="0671F90F">
        <w:rPr>
          <w:sz w:val="24"/>
          <w:szCs w:val="24"/>
        </w:rPr>
        <w:t xml:space="preserve"> </w:t>
      </w:r>
      <w:r w:rsidRPr="4F034976" w:rsidR="43C0AAFE">
        <w:rPr>
          <w:color w:val="000000" w:themeColor="text1"/>
          <w:sz w:val="24"/>
          <w:szCs w:val="24"/>
        </w:rPr>
        <w:t>Failure to collect post</w:t>
      </w:r>
      <w:r w:rsidRPr="4F034976" w:rsidR="246A81E7">
        <w:rPr>
          <w:color w:val="000000" w:themeColor="text1"/>
          <w:sz w:val="24"/>
          <w:szCs w:val="24"/>
        </w:rPr>
        <w:t xml:space="preserve"> </w:t>
      </w:r>
      <w:r w:rsidRPr="4F034976" w:rsidR="43C0AAFE">
        <w:rPr>
          <w:color w:val="000000" w:themeColor="text1"/>
          <w:sz w:val="24"/>
          <w:szCs w:val="24"/>
        </w:rPr>
        <w:t xml:space="preserve">award information would </w:t>
      </w:r>
      <w:r w:rsidRPr="4F034976" w:rsidR="763A3C34">
        <w:rPr>
          <w:color w:val="000000" w:themeColor="text1"/>
          <w:sz w:val="24"/>
          <w:szCs w:val="24"/>
        </w:rPr>
        <w:t xml:space="preserve">further </w:t>
      </w:r>
      <w:r w:rsidRPr="4F034976" w:rsidR="43C0AAFE">
        <w:rPr>
          <w:color w:val="000000" w:themeColor="text1"/>
          <w:sz w:val="24"/>
          <w:szCs w:val="24"/>
        </w:rPr>
        <w:t xml:space="preserve">prevent HUD from ensuring funds are used </w:t>
      </w:r>
      <w:r w:rsidRPr="4F034976" w:rsidR="763A3C34">
        <w:rPr>
          <w:color w:val="000000" w:themeColor="text1"/>
          <w:sz w:val="24"/>
          <w:szCs w:val="24"/>
        </w:rPr>
        <w:t xml:space="preserve">in a manner </w:t>
      </w:r>
      <w:r w:rsidRPr="4F034976" w:rsidR="43C0AAFE">
        <w:rPr>
          <w:color w:val="000000" w:themeColor="text1"/>
          <w:sz w:val="24"/>
          <w:szCs w:val="24"/>
        </w:rPr>
        <w:t xml:space="preserve">consistent with </w:t>
      </w:r>
      <w:r w:rsidRPr="4F034976" w:rsidR="763A3C34">
        <w:rPr>
          <w:color w:val="000000" w:themeColor="text1"/>
          <w:sz w:val="24"/>
          <w:szCs w:val="24"/>
        </w:rPr>
        <w:t xml:space="preserve">Congressional </w:t>
      </w:r>
      <w:r w:rsidRPr="4F034976" w:rsidR="43C0AAFE">
        <w:rPr>
          <w:color w:val="000000" w:themeColor="text1"/>
          <w:sz w:val="24"/>
          <w:szCs w:val="24"/>
        </w:rPr>
        <w:t>appropriation</w:t>
      </w:r>
      <w:r w:rsidRPr="4F034976" w:rsidR="763A3C34">
        <w:rPr>
          <w:color w:val="000000" w:themeColor="text1"/>
          <w:sz w:val="24"/>
          <w:szCs w:val="24"/>
        </w:rPr>
        <w:t>s.</w:t>
      </w:r>
    </w:p>
    <w:p w:rsidR="007267DF" w:rsidP="007267DF" w14:paraId="6C650E6C" w14:textId="77777777">
      <w:pPr>
        <w:pStyle w:val="NoSpacing"/>
      </w:pPr>
      <w:r w:rsidRPr="0055069C">
        <w:tab/>
      </w:r>
    </w:p>
    <w:p w:rsidR="00E46A2B" w:rsidRPr="0055069C" w:rsidP="007267DF" w14:paraId="231EF3DE" w14:textId="7BE73313">
      <w:pPr>
        <w:keepLines/>
        <w:tabs>
          <w:tab w:val="left" w:pos="360"/>
        </w:tabs>
        <w:spacing w:after="80"/>
        <w:rPr>
          <w:b/>
          <w:bCs/>
          <w:color w:val="000000"/>
          <w:sz w:val="24"/>
          <w:szCs w:val="24"/>
        </w:rPr>
      </w:pPr>
      <w:r>
        <w:rPr>
          <w:b/>
          <w:bCs/>
          <w:color w:val="000000"/>
          <w:sz w:val="24"/>
          <w:szCs w:val="24"/>
        </w:rPr>
        <w:tab/>
      </w:r>
      <w:r w:rsidRPr="0055069C">
        <w:rPr>
          <w:b/>
          <w:bCs/>
          <w:color w:val="000000"/>
          <w:sz w:val="24"/>
          <w:szCs w:val="24"/>
        </w:rPr>
        <w:t>Data Collection</w:t>
      </w:r>
    </w:p>
    <w:p w:rsidR="00E46A2B" w:rsidRPr="0055069C" w:rsidP="007267DF" w14:paraId="5BCDD4F6" w14:textId="77777777">
      <w:pPr>
        <w:pStyle w:val="NoSpacing"/>
        <w:rPr>
          <w:color w:val="000000" w:themeColor="text1"/>
          <w:u w:val="single"/>
        </w:rPr>
      </w:pPr>
      <w:r w:rsidRPr="0055069C">
        <w:tab/>
      </w:r>
      <w:r w:rsidRPr="0055069C">
        <w:tab/>
      </w:r>
      <w:r w:rsidRPr="0055069C">
        <w:tab/>
      </w:r>
    </w:p>
    <w:p w:rsidR="00E46A2B" w:rsidRPr="0055069C" w:rsidP="00E46A2B" w14:paraId="026FCFAA" w14:textId="39B4AA34">
      <w:pPr>
        <w:keepNext/>
        <w:ind w:left="360"/>
        <w:rPr>
          <w:sz w:val="24"/>
          <w:szCs w:val="24"/>
          <w:u w:val="single"/>
        </w:rPr>
      </w:pPr>
      <w:r w:rsidRPr="0055069C">
        <w:rPr>
          <w:sz w:val="24"/>
          <w:szCs w:val="24"/>
          <w:u w:val="single"/>
        </w:rPr>
        <w:t>Post Award Submission</w:t>
      </w:r>
    </w:p>
    <w:p w:rsidR="00E46A2B" w:rsidRPr="0055069C" w:rsidP="000157F5" w14:paraId="167E6E9F" w14:textId="577C8FEF">
      <w:pPr>
        <w:ind w:left="360"/>
        <w:rPr>
          <w:sz w:val="24"/>
          <w:szCs w:val="24"/>
        </w:rPr>
      </w:pPr>
      <w:r w:rsidRPr="0055069C">
        <w:rPr>
          <w:sz w:val="24"/>
          <w:szCs w:val="24"/>
        </w:rPr>
        <w:t xml:space="preserve">HUD </w:t>
      </w:r>
      <w:r w:rsidRPr="0055069C">
        <w:rPr>
          <w:sz w:val="24"/>
          <w:szCs w:val="24"/>
        </w:rPr>
        <w:t>award</w:t>
      </w:r>
      <w:r w:rsidR="008A5FCF">
        <w:rPr>
          <w:sz w:val="24"/>
          <w:szCs w:val="24"/>
        </w:rPr>
        <w:t>ed</w:t>
      </w:r>
      <w:r w:rsidR="008A5FCF">
        <w:rPr>
          <w:sz w:val="24"/>
          <w:szCs w:val="24"/>
        </w:rPr>
        <w:t xml:space="preserve"> </w:t>
      </w:r>
      <w:r w:rsidRPr="0055069C">
        <w:rPr>
          <w:sz w:val="24"/>
          <w:szCs w:val="24"/>
        </w:rPr>
        <w:t>2</w:t>
      </w:r>
      <w:r w:rsidR="008A5FCF">
        <w:rPr>
          <w:sz w:val="24"/>
          <w:szCs w:val="24"/>
        </w:rPr>
        <w:t>1</w:t>
      </w:r>
      <w:r w:rsidRPr="0055069C">
        <w:rPr>
          <w:sz w:val="24"/>
          <w:szCs w:val="24"/>
        </w:rPr>
        <w:t xml:space="preserve"> grants </w:t>
      </w:r>
      <w:r w:rsidR="008A5FCF">
        <w:rPr>
          <w:sz w:val="24"/>
          <w:szCs w:val="24"/>
        </w:rPr>
        <w:t xml:space="preserve">in FY21 and FY22 </w:t>
      </w:r>
      <w:r w:rsidRPr="0055069C">
        <w:rPr>
          <w:sz w:val="24"/>
          <w:szCs w:val="24"/>
        </w:rPr>
        <w:t>under this program.</w:t>
      </w:r>
      <w:r w:rsidR="000157F5">
        <w:rPr>
          <w:sz w:val="24"/>
          <w:szCs w:val="24"/>
        </w:rPr>
        <w:t xml:space="preserve"> </w:t>
      </w:r>
      <w:r w:rsidR="000157F5">
        <w:rPr>
          <w:sz w:val="24"/>
          <w:szCs w:val="24"/>
        </w:rPr>
        <w:t>The grantee</w:t>
      </w:r>
      <w:r w:rsidR="008A5FCF">
        <w:rPr>
          <w:sz w:val="24"/>
          <w:szCs w:val="24"/>
        </w:rPr>
        <w:t>s</w:t>
      </w:r>
      <w:r w:rsidR="000157F5">
        <w:rPr>
          <w:sz w:val="24"/>
          <w:szCs w:val="24"/>
        </w:rPr>
        <w:t xml:space="preserve"> submit</w:t>
      </w:r>
      <w:r w:rsidR="008A5FCF">
        <w:rPr>
          <w:sz w:val="24"/>
          <w:szCs w:val="24"/>
        </w:rPr>
        <w:t>ted</w:t>
      </w:r>
      <w:r w:rsidR="000157F5">
        <w:rPr>
          <w:sz w:val="24"/>
          <w:szCs w:val="24"/>
        </w:rPr>
        <w:t xml:space="preserve"> detailed work plan</w:t>
      </w:r>
      <w:r w:rsidR="00E8071A">
        <w:rPr>
          <w:sz w:val="24"/>
          <w:szCs w:val="24"/>
        </w:rPr>
        <w:t>s</w:t>
      </w:r>
      <w:r w:rsidR="000157F5">
        <w:rPr>
          <w:sz w:val="24"/>
          <w:szCs w:val="24"/>
        </w:rPr>
        <w:t xml:space="preserve"> accompanied by u</w:t>
      </w:r>
      <w:r w:rsidRPr="0055069C" w:rsidR="000157F5">
        <w:rPr>
          <w:sz w:val="24"/>
          <w:szCs w:val="24"/>
        </w:rPr>
        <w:t>pdated budget</w:t>
      </w:r>
      <w:r w:rsidR="00E8071A">
        <w:rPr>
          <w:sz w:val="24"/>
          <w:szCs w:val="24"/>
        </w:rPr>
        <w:t>s</w:t>
      </w:r>
      <w:r w:rsidRPr="0055069C" w:rsidR="000157F5">
        <w:rPr>
          <w:sz w:val="24"/>
          <w:szCs w:val="24"/>
        </w:rPr>
        <w:t xml:space="preserve">, Form 424 CBW, </w:t>
      </w:r>
      <w:r w:rsidR="008A5FCF">
        <w:rPr>
          <w:sz w:val="24"/>
          <w:szCs w:val="24"/>
        </w:rPr>
        <w:t xml:space="preserve">where </w:t>
      </w:r>
      <w:r w:rsidR="000157F5">
        <w:rPr>
          <w:sz w:val="24"/>
          <w:szCs w:val="24"/>
        </w:rPr>
        <w:t xml:space="preserve">the </w:t>
      </w:r>
      <w:r w:rsidRPr="0055069C" w:rsidR="000157F5">
        <w:rPr>
          <w:sz w:val="24"/>
          <w:szCs w:val="24"/>
        </w:rPr>
        <w:t>actual award differ</w:t>
      </w:r>
      <w:r w:rsidR="008A5FCF">
        <w:rPr>
          <w:sz w:val="24"/>
          <w:szCs w:val="24"/>
        </w:rPr>
        <w:t>ed</w:t>
      </w:r>
      <w:r w:rsidRPr="0055069C" w:rsidR="000157F5">
        <w:rPr>
          <w:sz w:val="24"/>
          <w:szCs w:val="24"/>
        </w:rPr>
        <w:t xml:space="preserve"> from </w:t>
      </w:r>
      <w:r w:rsidR="000157F5">
        <w:rPr>
          <w:sz w:val="24"/>
          <w:szCs w:val="24"/>
        </w:rPr>
        <w:t xml:space="preserve">the </w:t>
      </w:r>
      <w:r w:rsidRPr="0055069C" w:rsidR="000157F5">
        <w:rPr>
          <w:sz w:val="24"/>
          <w:szCs w:val="24"/>
        </w:rPr>
        <w:t>requested amount.</w:t>
      </w:r>
    </w:p>
    <w:p w:rsidR="00E46A2B" w:rsidRPr="0055069C" w:rsidP="00A13B2E" w14:paraId="0B6696A5" w14:textId="77777777">
      <w:pPr>
        <w:ind w:left="-34"/>
        <w:rPr>
          <w:b/>
          <w:bCs/>
          <w:sz w:val="24"/>
          <w:szCs w:val="24"/>
        </w:rPr>
      </w:pPr>
    </w:p>
    <w:p w:rsidR="00E46A2B" w:rsidRPr="0055069C" w:rsidP="0025174E" w14:paraId="79ADE9FE" w14:textId="77777777">
      <w:pPr>
        <w:keepNext/>
        <w:ind w:left="360"/>
        <w:rPr>
          <w:sz w:val="24"/>
          <w:szCs w:val="24"/>
          <w:u w:val="single"/>
        </w:rPr>
      </w:pPr>
      <w:r w:rsidRPr="0055069C">
        <w:rPr>
          <w:sz w:val="24"/>
          <w:szCs w:val="24"/>
          <w:u w:val="single"/>
        </w:rPr>
        <w:t>Grant Management</w:t>
      </w:r>
    </w:p>
    <w:p w:rsidR="00E46A2B" w:rsidRPr="0055069C" w:rsidP="009942BE" w14:paraId="1FF69C01" w14:textId="03E35926">
      <w:pPr>
        <w:ind w:left="360"/>
        <w:rPr>
          <w:sz w:val="24"/>
          <w:szCs w:val="24"/>
        </w:rPr>
      </w:pPr>
      <w:r w:rsidRPr="2FFF701C">
        <w:rPr>
          <w:sz w:val="24"/>
          <w:szCs w:val="24"/>
        </w:rPr>
        <w:t xml:space="preserve">Grantees must </w:t>
      </w:r>
      <w:r w:rsidRPr="2FFF701C" w:rsidR="009942BE">
        <w:rPr>
          <w:sz w:val="24"/>
          <w:szCs w:val="24"/>
        </w:rPr>
        <w:t xml:space="preserve">submit </w:t>
      </w:r>
      <w:r w:rsidRPr="2FFF701C">
        <w:rPr>
          <w:sz w:val="24"/>
          <w:szCs w:val="24"/>
        </w:rPr>
        <w:t>quarterly grant activity reports and a final report</w:t>
      </w:r>
      <w:r w:rsidRPr="2FFF701C" w:rsidR="009942BE">
        <w:rPr>
          <w:sz w:val="24"/>
          <w:szCs w:val="24"/>
        </w:rPr>
        <w:t xml:space="preserve">, </w:t>
      </w:r>
      <w:r w:rsidRPr="2FFF701C" w:rsidR="00B45DCD">
        <w:rPr>
          <w:sz w:val="24"/>
          <w:szCs w:val="24"/>
        </w:rPr>
        <w:t xml:space="preserve">including information about </w:t>
      </w:r>
      <w:r w:rsidRPr="2FFF701C" w:rsidR="00006A42">
        <w:rPr>
          <w:sz w:val="24"/>
          <w:szCs w:val="24"/>
        </w:rPr>
        <w:t xml:space="preserve">tenants </w:t>
      </w:r>
      <w:r w:rsidRPr="2FFF701C" w:rsidR="00B45DCD">
        <w:rPr>
          <w:sz w:val="24"/>
          <w:szCs w:val="24"/>
        </w:rPr>
        <w:t>served, services provided, and associated form</w:t>
      </w:r>
      <w:r w:rsidRPr="2FFF701C" w:rsidR="006F0E2D">
        <w:rPr>
          <w:sz w:val="24"/>
          <w:szCs w:val="24"/>
        </w:rPr>
        <w:t>s</w:t>
      </w:r>
      <w:r w:rsidRPr="2FFF701C" w:rsidR="00B45DCD">
        <w:rPr>
          <w:sz w:val="24"/>
          <w:szCs w:val="24"/>
        </w:rPr>
        <w:t xml:space="preserve"> 52698</w:t>
      </w:r>
      <w:r w:rsidRPr="2FFF701C" w:rsidR="008A5FCF">
        <w:rPr>
          <w:sz w:val="24"/>
          <w:szCs w:val="24"/>
        </w:rPr>
        <w:t>, 52698a, 52699, and 52700</w:t>
      </w:r>
      <w:r w:rsidRPr="2FFF701C" w:rsidR="00B45DCD">
        <w:rPr>
          <w:sz w:val="24"/>
          <w:szCs w:val="24"/>
        </w:rPr>
        <w:t xml:space="preserve">, </w:t>
      </w:r>
      <w:r w:rsidRPr="2FFF701C" w:rsidR="009942BE">
        <w:rPr>
          <w:sz w:val="24"/>
          <w:szCs w:val="24"/>
        </w:rPr>
        <w:t xml:space="preserve">using whatever system the grantee uses to collect such information. </w:t>
      </w:r>
    </w:p>
    <w:p w:rsidR="00E46A2B" w:rsidRPr="0055069C" w:rsidP="00E46A2B" w14:paraId="52CB8709" w14:textId="77777777">
      <w:pPr>
        <w:keepLines/>
        <w:tabs>
          <w:tab w:val="left" w:pos="360"/>
          <w:tab w:val="left" w:pos="720"/>
        </w:tabs>
        <w:rPr>
          <w:sz w:val="24"/>
          <w:szCs w:val="24"/>
        </w:rPr>
      </w:pPr>
    </w:p>
    <w:p w:rsidR="009E13B1" w:rsidRPr="0055069C" w14:paraId="650858B5" w14:textId="77777777">
      <w:pPr>
        <w:keepLines/>
        <w:tabs>
          <w:tab w:val="left" w:pos="360"/>
        </w:tabs>
        <w:spacing w:after="80"/>
        <w:ind w:left="360" w:hanging="360"/>
        <w:rPr>
          <w:b/>
          <w:bCs/>
          <w:sz w:val="24"/>
          <w:szCs w:val="24"/>
        </w:rPr>
      </w:pPr>
      <w:r w:rsidRPr="0055069C">
        <w:rPr>
          <w:sz w:val="24"/>
          <w:szCs w:val="24"/>
        </w:rPr>
        <w:t>3.</w:t>
      </w:r>
      <w:r w:rsidRPr="0055069C">
        <w:rPr>
          <w:sz w:val="24"/>
          <w:szCs w:val="24"/>
        </w:rPr>
        <w:tab/>
      </w:r>
      <w:r w:rsidRPr="0055069C">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rsidRPr="0055069C" w:rsidP="0B05764F" w14:paraId="0C3FFBF0" w14:textId="5E8AF7AE">
      <w:pPr>
        <w:tabs>
          <w:tab w:val="left" w:pos="360"/>
        </w:tabs>
        <w:spacing w:line="259" w:lineRule="auto"/>
        <w:ind w:left="360"/>
        <w:rPr>
          <w:sz w:val="24"/>
          <w:szCs w:val="24"/>
        </w:rPr>
      </w:pPr>
      <w:r w:rsidRPr="00B45DCD">
        <w:rPr>
          <w:sz w:val="24"/>
          <w:szCs w:val="24"/>
        </w:rPr>
        <w:t xml:space="preserve">Grantees </w:t>
      </w:r>
      <w:r>
        <w:rPr>
          <w:sz w:val="24"/>
          <w:szCs w:val="24"/>
        </w:rPr>
        <w:t xml:space="preserve">may </w:t>
      </w:r>
      <w:r w:rsidR="063A44B9">
        <w:rPr>
          <w:sz w:val="24"/>
          <w:szCs w:val="24"/>
        </w:rPr>
        <w:t>collect information for</w:t>
      </w:r>
      <w:r>
        <w:rPr>
          <w:sz w:val="24"/>
          <w:szCs w:val="24"/>
        </w:rPr>
        <w:t xml:space="preserve"> q</w:t>
      </w:r>
      <w:r w:rsidRPr="00B45DCD">
        <w:rPr>
          <w:sz w:val="24"/>
          <w:szCs w:val="24"/>
        </w:rPr>
        <w:t>uarterly grant activity reports and final report</w:t>
      </w:r>
      <w:r>
        <w:rPr>
          <w:sz w:val="24"/>
          <w:szCs w:val="24"/>
        </w:rPr>
        <w:t>s electr</w:t>
      </w:r>
      <w:r w:rsidR="14643667">
        <w:rPr>
          <w:sz w:val="24"/>
          <w:szCs w:val="24"/>
        </w:rPr>
        <w:t>on</w:t>
      </w:r>
      <w:r>
        <w:rPr>
          <w:sz w:val="24"/>
          <w:szCs w:val="24"/>
        </w:rPr>
        <w:t xml:space="preserve">ically, </w:t>
      </w:r>
      <w:r w:rsidRPr="00B45DCD">
        <w:rPr>
          <w:sz w:val="24"/>
          <w:szCs w:val="24"/>
        </w:rPr>
        <w:t xml:space="preserve">using whatever </w:t>
      </w:r>
      <w:r w:rsidR="063A44B9">
        <w:rPr>
          <w:sz w:val="24"/>
          <w:szCs w:val="24"/>
        </w:rPr>
        <w:t>format t</w:t>
      </w:r>
      <w:r w:rsidRPr="00B45DCD">
        <w:rPr>
          <w:sz w:val="24"/>
          <w:szCs w:val="24"/>
        </w:rPr>
        <w:t>he grantee uses to collect such</w:t>
      </w:r>
      <w:r w:rsidR="063A44B9">
        <w:rPr>
          <w:sz w:val="24"/>
          <w:szCs w:val="24"/>
        </w:rPr>
        <w:t xml:space="preserve"> </w:t>
      </w:r>
      <w:r w:rsidRPr="00B45DCD">
        <w:rPr>
          <w:sz w:val="24"/>
          <w:szCs w:val="24"/>
        </w:rPr>
        <w:t>information</w:t>
      </w:r>
      <w:r w:rsidR="063A44B9">
        <w:rPr>
          <w:sz w:val="24"/>
          <w:szCs w:val="24"/>
        </w:rPr>
        <w:t>, and will be permitted to submit such information to HUD electronically</w:t>
      </w:r>
      <w:r w:rsidRPr="00B45DCD">
        <w:rPr>
          <w:sz w:val="24"/>
          <w:szCs w:val="24"/>
        </w:rPr>
        <w:t xml:space="preserve">. </w:t>
      </w:r>
      <w:r w:rsidRPr="00B45DCD" w:rsidR="6F7B2585">
        <w:rPr>
          <w:sz w:val="24"/>
          <w:szCs w:val="24"/>
        </w:rPr>
        <w:t xml:space="preserve">The </w:t>
      </w:r>
      <w:r w:rsidRPr="00B45DCD" w:rsidR="1C233FE3">
        <w:rPr>
          <w:sz w:val="24"/>
          <w:szCs w:val="24"/>
        </w:rPr>
        <w:t>post</w:t>
      </w:r>
      <w:r w:rsidR="2EBB9AE6">
        <w:rPr>
          <w:sz w:val="24"/>
          <w:szCs w:val="24"/>
        </w:rPr>
        <w:t xml:space="preserve"> </w:t>
      </w:r>
      <w:r w:rsidRPr="00B45DCD" w:rsidR="1C233FE3">
        <w:rPr>
          <w:sz w:val="24"/>
          <w:szCs w:val="24"/>
        </w:rPr>
        <w:t xml:space="preserve">award forms </w:t>
      </w:r>
      <w:r w:rsidRPr="00B45DCD" w:rsidR="6F7B2585">
        <w:rPr>
          <w:sz w:val="24"/>
          <w:szCs w:val="24"/>
        </w:rPr>
        <w:t>are intended to further streamline data collection through standardization</w:t>
      </w:r>
      <w:r w:rsidRPr="00B45DCD" w:rsidR="38085539">
        <w:rPr>
          <w:sz w:val="24"/>
          <w:szCs w:val="24"/>
        </w:rPr>
        <w:t xml:space="preserve"> and</w:t>
      </w:r>
      <w:r w:rsidRPr="00B45DCD" w:rsidR="6F7B2585">
        <w:rPr>
          <w:sz w:val="24"/>
          <w:szCs w:val="24"/>
        </w:rPr>
        <w:t xml:space="preserve"> </w:t>
      </w:r>
      <w:r w:rsidR="7CDF7438">
        <w:rPr>
          <w:sz w:val="24"/>
          <w:szCs w:val="24"/>
        </w:rPr>
        <w:t xml:space="preserve">the enhanced use </w:t>
      </w:r>
      <w:r w:rsidRPr="00B45DCD" w:rsidR="4B15C3DB">
        <w:rPr>
          <w:sz w:val="24"/>
          <w:szCs w:val="24"/>
        </w:rPr>
        <w:t xml:space="preserve">of </w:t>
      </w:r>
      <w:r w:rsidRPr="00B45DCD" w:rsidR="6F7B2585">
        <w:rPr>
          <w:sz w:val="24"/>
          <w:szCs w:val="24"/>
        </w:rPr>
        <w:t>information technology.</w:t>
      </w:r>
      <w:r w:rsidRPr="0055069C" w:rsidR="2242BE6F">
        <w:rPr>
          <w:sz w:val="24"/>
          <w:szCs w:val="24"/>
        </w:rPr>
        <w:t xml:space="preserve">  </w:t>
      </w:r>
    </w:p>
    <w:p w:rsidR="00E46A2B" w:rsidRPr="0055069C" w14:paraId="0DB0D40C" w14:textId="77777777">
      <w:pPr>
        <w:tabs>
          <w:tab w:val="left" w:pos="360"/>
        </w:tabs>
        <w:ind w:left="360" w:hanging="360"/>
        <w:rPr>
          <w:sz w:val="24"/>
          <w:szCs w:val="24"/>
        </w:rPr>
      </w:pPr>
    </w:p>
    <w:p w:rsidR="009E13B1" w:rsidRPr="0055069C" w14:paraId="53C38A21" w14:textId="77777777">
      <w:pPr>
        <w:keepLines/>
        <w:tabs>
          <w:tab w:val="left" w:pos="360"/>
        </w:tabs>
        <w:spacing w:after="80"/>
        <w:ind w:left="360" w:hanging="360"/>
        <w:rPr>
          <w:sz w:val="24"/>
          <w:szCs w:val="24"/>
        </w:rPr>
      </w:pPr>
      <w:r w:rsidRPr="0055069C">
        <w:rPr>
          <w:sz w:val="24"/>
          <w:szCs w:val="24"/>
        </w:rPr>
        <w:t>4.</w:t>
      </w:r>
      <w:r w:rsidRPr="0055069C">
        <w:rPr>
          <w:sz w:val="24"/>
          <w:szCs w:val="24"/>
        </w:rPr>
        <w:tab/>
      </w:r>
      <w:r w:rsidRPr="0055069C">
        <w:rPr>
          <w:b/>
          <w:bCs/>
          <w:sz w:val="24"/>
          <w:szCs w:val="24"/>
        </w:rPr>
        <w:t>Describe efforts to identify duplication.  Show specifically why any similar information already available cannot be used or modified for use for the purposes described in Item 2 above.</w:t>
      </w:r>
    </w:p>
    <w:p w:rsidR="009E13B1" w:rsidRPr="0055069C" w14:paraId="0F96EF8E" w14:textId="384B1024">
      <w:pPr>
        <w:keepLines/>
        <w:tabs>
          <w:tab w:val="left" w:pos="360"/>
          <w:tab w:val="left" w:pos="720"/>
        </w:tabs>
        <w:ind w:left="360"/>
        <w:rPr>
          <w:sz w:val="24"/>
          <w:szCs w:val="24"/>
        </w:rPr>
      </w:pPr>
      <w:r w:rsidRPr="144F3E93">
        <w:rPr>
          <w:sz w:val="24"/>
          <w:szCs w:val="24"/>
        </w:rPr>
        <w:t>T</w:t>
      </w:r>
      <w:r w:rsidRPr="144F3E93" w:rsidR="00007172">
        <w:rPr>
          <w:sz w:val="24"/>
          <w:szCs w:val="24"/>
        </w:rPr>
        <w:t>his is</w:t>
      </w:r>
      <w:r w:rsidRPr="144F3E93" w:rsidR="00F87F25">
        <w:rPr>
          <w:sz w:val="24"/>
          <w:szCs w:val="24"/>
        </w:rPr>
        <w:t xml:space="preserve"> a</w:t>
      </w:r>
      <w:r w:rsidRPr="144F3E93" w:rsidR="00007172">
        <w:rPr>
          <w:sz w:val="24"/>
          <w:szCs w:val="24"/>
        </w:rPr>
        <w:t xml:space="preserve"> </w:t>
      </w:r>
      <w:r w:rsidRPr="144F3E93" w:rsidR="435DFB1B">
        <w:rPr>
          <w:sz w:val="24"/>
          <w:szCs w:val="24"/>
        </w:rPr>
        <w:t xml:space="preserve">recently </w:t>
      </w:r>
      <w:r w:rsidRPr="144F3E93" w:rsidR="000F5F77">
        <w:rPr>
          <w:sz w:val="24"/>
          <w:szCs w:val="24"/>
        </w:rPr>
        <w:t xml:space="preserve">initiated and </w:t>
      </w:r>
      <w:r w:rsidRPr="144F3E93" w:rsidR="435DFB1B">
        <w:rPr>
          <w:sz w:val="24"/>
          <w:szCs w:val="24"/>
        </w:rPr>
        <w:t xml:space="preserve">funded </w:t>
      </w:r>
      <w:r w:rsidRPr="144F3E93" w:rsidR="00007172">
        <w:rPr>
          <w:sz w:val="24"/>
          <w:szCs w:val="24"/>
        </w:rPr>
        <w:t>grant program</w:t>
      </w:r>
      <w:r w:rsidRPr="144F3E93" w:rsidR="248F936A">
        <w:rPr>
          <w:sz w:val="24"/>
          <w:szCs w:val="24"/>
        </w:rPr>
        <w:t>, so</w:t>
      </w:r>
      <w:r w:rsidRPr="144F3E93" w:rsidR="00007172">
        <w:rPr>
          <w:sz w:val="24"/>
          <w:szCs w:val="24"/>
        </w:rPr>
        <w:t xml:space="preserve"> no similar information </w:t>
      </w:r>
      <w:r w:rsidRPr="144F3E93" w:rsidR="00570F37">
        <w:rPr>
          <w:sz w:val="24"/>
          <w:szCs w:val="24"/>
        </w:rPr>
        <w:t xml:space="preserve">is available </w:t>
      </w:r>
      <w:r w:rsidRPr="144F3E93" w:rsidR="000429C3">
        <w:rPr>
          <w:sz w:val="24"/>
          <w:szCs w:val="24"/>
        </w:rPr>
        <w:t>outside of</w:t>
      </w:r>
      <w:r w:rsidRPr="144F3E93" w:rsidR="00570F37">
        <w:rPr>
          <w:sz w:val="24"/>
          <w:szCs w:val="24"/>
        </w:rPr>
        <w:t xml:space="preserve"> </w:t>
      </w:r>
      <w:r w:rsidRPr="144F3E93" w:rsidR="37E7EADD">
        <w:rPr>
          <w:sz w:val="24"/>
          <w:szCs w:val="24"/>
        </w:rPr>
        <w:t xml:space="preserve">this </w:t>
      </w:r>
      <w:r w:rsidRPr="144F3E93" w:rsidR="00007172">
        <w:rPr>
          <w:sz w:val="24"/>
          <w:szCs w:val="24"/>
        </w:rPr>
        <w:t>information collection.</w:t>
      </w:r>
      <w:r w:rsidRPr="144F3E93" w:rsidR="00C414B0">
        <w:rPr>
          <w:sz w:val="24"/>
          <w:szCs w:val="24"/>
        </w:rPr>
        <w:t xml:space="preserve"> The present document amends the initial PRA package in response to needs revealed by execution across </w:t>
      </w:r>
      <w:r w:rsidRPr="144F3E93" w:rsidR="49405F5D">
        <w:rPr>
          <w:sz w:val="24"/>
          <w:szCs w:val="24"/>
        </w:rPr>
        <w:t xml:space="preserve">the </w:t>
      </w:r>
      <w:r w:rsidRPr="144F3E93" w:rsidR="05AC10B6">
        <w:rPr>
          <w:sz w:val="24"/>
          <w:szCs w:val="24"/>
        </w:rPr>
        <w:t>initial</w:t>
      </w:r>
      <w:r w:rsidRPr="144F3E93" w:rsidR="1EE39BC8">
        <w:rPr>
          <w:sz w:val="24"/>
          <w:szCs w:val="24"/>
        </w:rPr>
        <w:t xml:space="preserve"> operational </w:t>
      </w:r>
      <w:r w:rsidRPr="144F3E93" w:rsidR="00C414B0">
        <w:rPr>
          <w:sz w:val="24"/>
          <w:szCs w:val="24"/>
        </w:rPr>
        <w:t xml:space="preserve">years. </w:t>
      </w:r>
    </w:p>
    <w:p w:rsidR="00007172" w:rsidRPr="0055069C" w14:paraId="2C70CCB7" w14:textId="77777777">
      <w:pPr>
        <w:keepLines/>
        <w:tabs>
          <w:tab w:val="left" w:pos="360"/>
          <w:tab w:val="left" w:pos="720"/>
        </w:tabs>
        <w:ind w:left="360"/>
        <w:rPr>
          <w:sz w:val="24"/>
          <w:szCs w:val="24"/>
        </w:rPr>
      </w:pPr>
    </w:p>
    <w:p w:rsidR="009E13B1" w:rsidRPr="0055069C" w14:paraId="7E6A4FCF" w14:textId="77777777">
      <w:pPr>
        <w:keepLines/>
        <w:tabs>
          <w:tab w:val="left" w:pos="360"/>
        </w:tabs>
        <w:spacing w:after="80"/>
        <w:ind w:left="360" w:hanging="360"/>
        <w:rPr>
          <w:b/>
          <w:bCs/>
          <w:sz w:val="24"/>
          <w:szCs w:val="24"/>
        </w:rPr>
      </w:pPr>
      <w:r w:rsidRPr="0055069C">
        <w:rPr>
          <w:sz w:val="24"/>
          <w:szCs w:val="24"/>
        </w:rPr>
        <w:t>5.</w:t>
      </w:r>
      <w:r w:rsidRPr="0055069C">
        <w:rPr>
          <w:sz w:val="24"/>
          <w:szCs w:val="24"/>
        </w:rPr>
        <w:tab/>
      </w:r>
      <w:r w:rsidRPr="0055069C">
        <w:rPr>
          <w:b/>
          <w:bCs/>
          <w:sz w:val="24"/>
          <w:szCs w:val="24"/>
        </w:rPr>
        <w:t>If the collection of information impacts small businesses or other small entities (Item 5 of OMB Form 83-I) describe any methods used to minimize burden.</w:t>
      </w:r>
    </w:p>
    <w:p w:rsidR="00EF1384" w:rsidP="0B05764F" w14:paraId="1E08B4FE" w14:textId="3C1F1804">
      <w:pPr>
        <w:tabs>
          <w:tab w:val="left" w:pos="360"/>
        </w:tabs>
        <w:spacing w:line="259" w:lineRule="auto"/>
        <w:ind w:left="360"/>
        <w:rPr>
          <w:sz w:val="24"/>
          <w:szCs w:val="24"/>
        </w:rPr>
      </w:pPr>
      <w:r w:rsidRPr="0B05764F">
        <w:rPr>
          <w:sz w:val="24"/>
          <w:szCs w:val="24"/>
        </w:rPr>
        <w:t>Th</w:t>
      </w:r>
      <w:r w:rsidRPr="0B05764F" w:rsidR="5D3D21B2">
        <w:rPr>
          <w:sz w:val="24"/>
          <w:szCs w:val="24"/>
        </w:rPr>
        <w:t>is</w:t>
      </w:r>
      <w:r w:rsidRPr="0055069C">
        <w:rPr>
          <w:sz w:val="24"/>
          <w:szCs w:val="24"/>
        </w:rPr>
        <w:t xml:space="preserve"> information collection is the same for all entities regardless of size, </w:t>
      </w:r>
      <w:r w:rsidRPr="144F3E93" w:rsidR="2103C163">
        <w:rPr>
          <w:sz w:val="24"/>
          <w:szCs w:val="24"/>
        </w:rPr>
        <w:t xml:space="preserve">and </w:t>
      </w:r>
      <w:r w:rsidR="6AC54C9A">
        <w:rPr>
          <w:sz w:val="24"/>
          <w:szCs w:val="24"/>
        </w:rPr>
        <w:t xml:space="preserve">it </w:t>
      </w:r>
      <w:r w:rsidRPr="0055069C">
        <w:rPr>
          <w:sz w:val="24"/>
          <w:szCs w:val="24"/>
        </w:rPr>
        <w:t xml:space="preserve">is considered </w:t>
      </w:r>
      <w:r w:rsidR="2103C163">
        <w:rPr>
          <w:sz w:val="24"/>
          <w:szCs w:val="24"/>
        </w:rPr>
        <w:t xml:space="preserve">to deliver </w:t>
      </w:r>
      <w:r w:rsidRPr="0055069C">
        <w:rPr>
          <w:sz w:val="24"/>
          <w:szCs w:val="24"/>
        </w:rPr>
        <w:t xml:space="preserve">the minimal information </w:t>
      </w:r>
      <w:r w:rsidRPr="144F3E93" w:rsidR="2103C163">
        <w:rPr>
          <w:sz w:val="24"/>
          <w:szCs w:val="24"/>
        </w:rPr>
        <w:t>required</w:t>
      </w:r>
      <w:r w:rsidR="2103C163">
        <w:rPr>
          <w:sz w:val="24"/>
          <w:szCs w:val="24"/>
        </w:rPr>
        <w:t xml:space="preserve"> </w:t>
      </w:r>
      <w:r w:rsidRPr="0055069C">
        <w:rPr>
          <w:sz w:val="24"/>
          <w:szCs w:val="24"/>
        </w:rPr>
        <w:t>for HUD to effectively administer th</w:t>
      </w:r>
      <w:r w:rsidR="2103C163">
        <w:rPr>
          <w:sz w:val="24"/>
          <w:szCs w:val="24"/>
        </w:rPr>
        <w:t>e</w:t>
      </w:r>
      <w:r w:rsidRPr="0055069C">
        <w:rPr>
          <w:sz w:val="24"/>
          <w:szCs w:val="24"/>
        </w:rPr>
        <w:t xml:space="preserve"> program. </w:t>
      </w:r>
      <w:r w:rsidRPr="0055069C" w:rsidR="4CC349F8">
        <w:rPr>
          <w:sz w:val="24"/>
          <w:szCs w:val="24"/>
        </w:rPr>
        <w:t>The</w:t>
      </w:r>
      <w:r w:rsidRPr="0055069C" w:rsidR="131A4B5D">
        <w:rPr>
          <w:sz w:val="24"/>
          <w:szCs w:val="24"/>
        </w:rPr>
        <w:t>se</w:t>
      </w:r>
      <w:r w:rsidRPr="0055069C" w:rsidR="4CC349F8">
        <w:rPr>
          <w:sz w:val="24"/>
          <w:szCs w:val="24"/>
        </w:rPr>
        <w:t xml:space="preserve"> </w:t>
      </w:r>
      <w:r w:rsidRPr="0055069C" w:rsidR="64013FFE">
        <w:rPr>
          <w:sz w:val="24"/>
          <w:szCs w:val="24"/>
        </w:rPr>
        <w:t>post</w:t>
      </w:r>
      <w:r w:rsidR="2EBB9AE6">
        <w:rPr>
          <w:sz w:val="24"/>
          <w:szCs w:val="24"/>
        </w:rPr>
        <w:t xml:space="preserve"> </w:t>
      </w:r>
      <w:r w:rsidRPr="0055069C" w:rsidR="64013FFE">
        <w:rPr>
          <w:sz w:val="24"/>
          <w:szCs w:val="24"/>
        </w:rPr>
        <w:t xml:space="preserve">award forms were </w:t>
      </w:r>
      <w:r w:rsidRPr="0055069C" w:rsidR="4CC349F8">
        <w:rPr>
          <w:sz w:val="24"/>
          <w:szCs w:val="24"/>
        </w:rPr>
        <w:t xml:space="preserve">designed </w:t>
      </w:r>
      <w:r w:rsidR="5F156149">
        <w:rPr>
          <w:sz w:val="24"/>
          <w:szCs w:val="24"/>
        </w:rPr>
        <w:t xml:space="preserve">to </w:t>
      </w:r>
      <w:r w:rsidRPr="0055069C" w:rsidR="68B0FE01">
        <w:rPr>
          <w:sz w:val="24"/>
          <w:szCs w:val="24"/>
        </w:rPr>
        <w:t xml:space="preserve">increase consistency and flexibility, reduce complexity, and be </w:t>
      </w:r>
      <w:r w:rsidRPr="0055069C" w:rsidR="2644BCBC">
        <w:rPr>
          <w:sz w:val="24"/>
          <w:szCs w:val="24"/>
        </w:rPr>
        <w:t xml:space="preserve">accessible to </w:t>
      </w:r>
      <w:r w:rsidRPr="0055069C" w:rsidR="4CC349F8">
        <w:rPr>
          <w:sz w:val="24"/>
          <w:szCs w:val="24"/>
        </w:rPr>
        <w:t xml:space="preserve">small organizations that lack dedicated case management software. </w:t>
      </w:r>
    </w:p>
    <w:p w:rsidR="00EF1384" w:rsidRPr="0055069C" w:rsidP="0025174E" w14:paraId="4F142F64" w14:textId="77777777">
      <w:pPr>
        <w:tabs>
          <w:tab w:val="left" w:pos="360"/>
        </w:tabs>
        <w:ind w:left="360" w:hanging="360"/>
        <w:rPr>
          <w:sz w:val="24"/>
          <w:szCs w:val="24"/>
        </w:rPr>
      </w:pPr>
    </w:p>
    <w:p w:rsidR="009E13B1" w:rsidRPr="0055069C" w14:paraId="546AF53B" w14:textId="77777777">
      <w:pPr>
        <w:keepLines/>
        <w:tabs>
          <w:tab w:val="left" w:pos="360"/>
        </w:tabs>
        <w:spacing w:after="80"/>
        <w:ind w:left="360" w:hanging="360"/>
        <w:rPr>
          <w:b/>
          <w:bCs/>
          <w:sz w:val="24"/>
          <w:szCs w:val="24"/>
        </w:rPr>
      </w:pPr>
      <w:r w:rsidRPr="0055069C">
        <w:rPr>
          <w:sz w:val="24"/>
          <w:szCs w:val="24"/>
        </w:rPr>
        <w:t>6.</w:t>
      </w:r>
      <w:r w:rsidRPr="0055069C">
        <w:rPr>
          <w:sz w:val="24"/>
          <w:szCs w:val="24"/>
        </w:rPr>
        <w:tab/>
      </w:r>
      <w:r w:rsidRPr="0055069C">
        <w:rPr>
          <w:b/>
          <w:bCs/>
          <w:sz w:val="24"/>
          <w:szCs w:val="24"/>
        </w:rPr>
        <w:t>Describe the consequence to Federal program or policy activities if the collection is not conducted or is conducted less frequently, as well as any technical or legal obstacles to reducing burden.</w:t>
      </w:r>
    </w:p>
    <w:p w:rsidR="00007172" w:rsidRPr="0055069C" w:rsidP="0025174E" w14:paraId="264EB379" w14:textId="44D25551">
      <w:pPr>
        <w:ind w:left="360"/>
        <w:rPr>
          <w:sz w:val="24"/>
          <w:szCs w:val="24"/>
        </w:rPr>
      </w:pPr>
      <w:r w:rsidRPr="144F3E93">
        <w:rPr>
          <w:sz w:val="24"/>
          <w:szCs w:val="24"/>
        </w:rPr>
        <w:t>Failure to collect post</w:t>
      </w:r>
      <w:r w:rsidRPr="144F3E93" w:rsidR="000271CE">
        <w:rPr>
          <w:sz w:val="24"/>
          <w:szCs w:val="24"/>
        </w:rPr>
        <w:t xml:space="preserve"> </w:t>
      </w:r>
      <w:r w:rsidRPr="144F3E93">
        <w:rPr>
          <w:sz w:val="24"/>
          <w:szCs w:val="24"/>
        </w:rPr>
        <w:t>award information would prevent HUD from meeting its statutory program monitoring and demonstration obligations.</w:t>
      </w:r>
      <w:r w:rsidRPr="144F3E93" w:rsidR="00D03172">
        <w:rPr>
          <w:sz w:val="24"/>
          <w:szCs w:val="24"/>
        </w:rPr>
        <w:t xml:space="preserve"> In addition, failure to conduct the proposed data collection will prevent HUD from fulfilling statutory, Executive Order, and regulatory obligations to ensure the equitable disbursement of critical eviction protection services.</w:t>
      </w:r>
    </w:p>
    <w:p w:rsidR="009E13B1" w:rsidRPr="0055069C" w14:paraId="3447F709" w14:textId="77777777">
      <w:pPr>
        <w:keepLines/>
        <w:tabs>
          <w:tab w:val="left" w:pos="360"/>
          <w:tab w:val="left" w:pos="720"/>
        </w:tabs>
        <w:ind w:left="360"/>
        <w:rPr>
          <w:sz w:val="24"/>
          <w:szCs w:val="24"/>
        </w:rPr>
      </w:pPr>
    </w:p>
    <w:p w:rsidR="009E13B1" w:rsidRPr="00F87F25" w14:paraId="47DCD216" w14:textId="77777777">
      <w:pPr>
        <w:numPr>
          <w:ilvl w:val="0"/>
          <w:numId w:val="22"/>
        </w:numPr>
        <w:tabs>
          <w:tab w:val="left" w:pos="360"/>
        </w:tabs>
        <w:rPr>
          <w:b/>
          <w:bCs/>
          <w:sz w:val="24"/>
          <w:szCs w:val="24"/>
        </w:rPr>
      </w:pPr>
      <w:r w:rsidRPr="0B05764F">
        <w:rPr>
          <w:b/>
          <w:bCs/>
          <w:sz w:val="24"/>
          <w:szCs w:val="24"/>
        </w:rPr>
        <w:t xml:space="preserve">Explain any special circumstances that would cause an information collection to be conducted in a manner: </w:t>
      </w:r>
    </w:p>
    <w:p w:rsidR="0B05764F" w:rsidP="0B05764F" w14:paraId="32CF320C" w14:textId="2FA1C733">
      <w:pPr>
        <w:tabs>
          <w:tab w:val="left" w:pos="360"/>
        </w:tabs>
        <w:rPr>
          <w:b/>
          <w:bCs/>
          <w:sz w:val="24"/>
          <w:szCs w:val="24"/>
        </w:rPr>
      </w:pPr>
    </w:p>
    <w:p w:rsidR="4268C5E8" w:rsidRPr="007267DF" w:rsidP="007267DF" w14:paraId="74EFEB0E" w14:textId="0F9FEDCF">
      <w:pPr>
        <w:pStyle w:val="NoSpacing"/>
        <w:numPr>
          <w:ilvl w:val="0"/>
          <w:numId w:val="31"/>
        </w:numPr>
        <w:rPr>
          <w:color w:val="000000" w:themeColor="text1"/>
          <w:sz w:val="24"/>
          <w:szCs w:val="24"/>
        </w:rPr>
      </w:pPr>
      <w:r w:rsidRPr="007267DF">
        <w:rPr>
          <w:sz w:val="24"/>
          <w:szCs w:val="24"/>
        </w:rPr>
        <w:t xml:space="preserve">requiring respondents to report information to the agency more than quarterly; </w:t>
      </w:r>
      <w:r w:rsidRPr="007267DF" w:rsidR="487C6C25">
        <w:rPr>
          <w:b/>
          <w:bCs/>
          <w:color w:val="000000" w:themeColor="text1"/>
          <w:sz w:val="24"/>
          <w:szCs w:val="24"/>
        </w:rPr>
        <w:t>N/A</w:t>
      </w:r>
    </w:p>
    <w:p w:rsidR="00035141" w:rsidRPr="007267DF" w:rsidP="007267DF" w14:paraId="7208337F" w14:textId="0CA546C2">
      <w:pPr>
        <w:pStyle w:val="NoSpacing"/>
        <w:numPr>
          <w:ilvl w:val="0"/>
          <w:numId w:val="31"/>
        </w:numPr>
        <w:rPr>
          <w:color w:val="000000" w:themeColor="text1"/>
          <w:sz w:val="24"/>
          <w:szCs w:val="24"/>
        </w:rPr>
      </w:pPr>
      <w:r w:rsidRPr="007267DF">
        <w:rPr>
          <w:sz w:val="24"/>
          <w:szCs w:val="24"/>
        </w:rPr>
        <w:t>requiring respondents to prepare a written response to a collection of information in fewer than 30</w:t>
      </w:r>
      <w:r w:rsidRPr="007267DF" w:rsidR="007267DF">
        <w:rPr>
          <w:sz w:val="24"/>
          <w:szCs w:val="24"/>
        </w:rPr>
        <w:t xml:space="preserve"> </w:t>
      </w:r>
      <w:r w:rsidRPr="007267DF">
        <w:rPr>
          <w:sz w:val="24"/>
          <w:szCs w:val="24"/>
        </w:rPr>
        <w:t xml:space="preserve">days after receipt of </w:t>
      </w:r>
      <w:r w:rsidRPr="007267DF">
        <w:rPr>
          <w:sz w:val="24"/>
          <w:szCs w:val="24"/>
        </w:rPr>
        <w:t>it;</w:t>
      </w:r>
      <w:r w:rsidRPr="007267DF">
        <w:rPr>
          <w:sz w:val="24"/>
          <w:szCs w:val="24"/>
        </w:rPr>
        <w:t xml:space="preserve"> </w:t>
      </w:r>
      <w:r w:rsidRPr="007267DF" w:rsidR="487C6C25">
        <w:rPr>
          <w:b/>
          <w:bCs/>
          <w:color w:val="000000" w:themeColor="text1"/>
          <w:sz w:val="24"/>
          <w:szCs w:val="24"/>
        </w:rPr>
        <w:t>N/A</w:t>
      </w:r>
    </w:p>
    <w:p w:rsidR="00035141" w:rsidRPr="007267DF" w:rsidP="007267DF" w14:paraId="57AB0975" w14:textId="10C0ABA8">
      <w:pPr>
        <w:pStyle w:val="NoSpacing"/>
        <w:numPr>
          <w:ilvl w:val="0"/>
          <w:numId w:val="31"/>
        </w:numPr>
        <w:rPr>
          <w:color w:val="000000" w:themeColor="text1"/>
          <w:sz w:val="24"/>
          <w:szCs w:val="24"/>
        </w:rPr>
      </w:pPr>
      <w:r w:rsidRPr="007267DF">
        <w:rPr>
          <w:sz w:val="24"/>
          <w:szCs w:val="24"/>
        </w:rPr>
        <w:t xml:space="preserve">requiring respondents to submit more than an original and two copies of any </w:t>
      </w:r>
      <w:r w:rsidRPr="007267DF">
        <w:rPr>
          <w:sz w:val="24"/>
          <w:szCs w:val="24"/>
        </w:rPr>
        <w:t>document;</w:t>
      </w:r>
      <w:r w:rsidRPr="007267DF">
        <w:rPr>
          <w:sz w:val="24"/>
          <w:szCs w:val="24"/>
        </w:rPr>
        <w:t xml:space="preserve"> </w:t>
      </w:r>
      <w:r w:rsidRPr="007267DF" w:rsidR="487C6C25">
        <w:rPr>
          <w:b/>
          <w:bCs/>
          <w:color w:val="000000" w:themeColor="text1"/>
          <w:sz w:val="24"/>
          <w:szCs w:val="24"/>
        </w:rPr>
        <w:t>N/A</w:t>
      </w:r>
    </w:p>
    <w:p w:rsidR="00035141" w:rsidRPr="007267DF" w:rsidP="007267DF" w14:paraId="487C59B4" w14:textId="32EB2846">
      <w:pPr>
        <w:pStyle w:val="NoSpacing"/>
        <w:numPr>
          <w:ilvl w:val="0"/>
          <w:numId w:val="31"/>
        </w:numPr>
        <w:rPr>
          <w:color w:val="000000" w:themeColor="text1"/>
          <w:sz w:val="24"/>
          <w:szCs w:val="24"/>
        </w:rPr>
      </w:pPr>
      <w:r w:rsidRPr="007267DF">
        <w:rPr>
          <w:sz w:val="24"/>
          <w:szCs w:val="24"/>
        </w:rPr>
        <w:t xml:space="preserve">requiring respondents to retain records other than health, medical, government contract, grant-in-aid, or tax records for more than three years; </w:t>
      </w:r>
      <w:r w:rsidRPr="007267DF" w:rsidR="487C6C25">
        <w:rPr>
          <w:b/>
          <w:bCs/>
          <w:color w:val="000000" w:themeColor="text1"/>
          <w:sz w:val="24"/>
          <w:szCs w:val="24"/>
        </w:rPr>
        <w:t>N/A</w:t>
      </w:r>
    </w:p>
    <w:p w:rsidR="00035141" w:rsidRPr="007267DF" w:rsidP="007267DF" w14:paraId="7F479BD6" w14:textId="5EC5148B">
      <w:pPr>
        <w:pStyle w:val="NoSpacing"/>
        <w:numPr>
          <w:ilvl w:val="0"/>
          <w:numId w:val="31"/>
        </w:numPr>
        <w:rPr>
          <w:color w:val="000000" w:themeColor="text1"/>
          <w:sz w:val="24"/>
          <w:szCs w:val="24"/>
        </w:rPr>
      </w:pPr>
      <w:r w:rsidRPr="007267DF">
        <w:rPr>
          <w:sz w:val="24"/>
          <w:szCs w:val="24"/>
        </w:rPr>
        <w:t xml:space="preserve">in connection with a statistical survey, that is not designed to produce valid and reliable results than can be generalized to the universe of study; </w:t>
      </w:r>
      <w:r w:rsidRPr="007267DF" w:rsidR="487C6C25">
        <w:rPr>
          <w:b/>
          <w:bCs/>
          <w:color w:val="000000" w:themeColor="text1"/>
          <w:sz w:val="24"/>
          <w:szCs w:val="24"/>
        </w:rPr>
        <w:t>N/A</w:t>
      </w:r>
    </w:p>
    <w:p w:rsidR="00035141" w:rsidRPr="007267DF" w:rsidP="007267DF" w14:paraId="79325D45" w14:textId="0AE6AC71">
      <w:pPr>
        <w:pStyle w:val="NoSpacing"/>
        <w:numPr>
          <w:ilvl w:val="0"/>
          <w:numId w:val="31"/>
        </w:numPr>
        <w:rPr>
          <w:color w:val="000000"/>
          <w:sz w:val="24"/>
          <w:szCs w:val="24"/>
        </w:rPr>
      </w:pPr>
      <w:r w:rsidRPr="007267DF">
        <w:rPr>
          <w:sz w:val="24"/>
          <w:szCs w:val="24"/>
        </w:rPr>
        <w:t xml:space="preserve">requiring the use of a statistical data classification that has not been reviewed and approved by OMB; </w:t>
      </w:r>
      <w:r w:rsidRPr="007267DF" w:rsidR="487C6C25">
        <w:rPr>
          <w:b/>
          <w:bCs/>
          <w:color w:val="000000" w:themeColor="text1"/>
          <w:sz w:val="24"/>
          <w:szCs w:val="24"/>
        </w:rPr>
        <w:t>N/A</w:t>
      </w:r>
    </w:p>
    <w:p w:rsidR="00255F68" w:rsidRPr="007267DF" w:rsidP="007267DF" w14:paraId="230ED00F" w14:textId="68B94FEB">
      <w:pPr>
        <w:pStyle w:val="NoSpacing"/>
        <w:numPr>
          <w:ilvl w:val="0"/>
          <w:numId w:val="31"/>
        </w:numPr>
        <w:rPr>
          <w:color w:val="000000" w:themeColor="text1"/>
          <w:sz w:val="24"/>
          <w:szCs w:val="24"/>
        </w:rPr>
      </w:pPr>
      <w:r w:rsidRPr="007267DF">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7267DF" w:rsidR="487C6C25">
        <w:rPr>
          <w:b/>
          <w:bCs/>
          <w:color w:val="000000" w:themeColor="text1"/>
          <w:sz w:val="24"/>
          <w:szCs w:val="24"/>
        </w:rPr>
        <w:t>N/A</w:t>
      </w:r>
    </w:p>
    <w:p w:rsidR="009942BE" w:rsidRPr="007267DF" w:rsidP="007267DF" w14:paraId="4ECCA37C" w14:textId="35A55A7F">
      <w:pPr>
        <w:pStyle w:val="NoSpacing"/>
        <w:numPr>
          <w:ilvl w:val="0"/>
          <w:numId w:val="31"/>
        </w:numPr>
        <w:rPr>
          <w:color w:val="000000" w:themeColor="text1"/>
          <w:sz w:val="24"/>
          <w:szCs w:val="24"/>
        </w:rPr>
      </w:pPr>
      <w:r w:rsidRPr="007267DF">
        <w:rPr>
          <w:sz w:val="24"/>
          <w:szCs w:val="24"/>
        </w:rPr>
        <w:t>requiring respondents to submit proprietary trade secret, or other confidential information unless the agency can demonstrate that it has instituted procedures to protect the information</w:t>
      </w:r>
      <w:r w:rsidRPr="007267DF" w:rsidR="27F7ECDD">
        <w:rPr>
          <w:sz w:val="24"/>
          <w:szCs w:val="24"/>
        </w:rPr>
        <w:t>’</w:t>
      </w:r>
      <w:r w:rsidRPr="007267DF">
        <w:rPr>
          <w:sz w:val="24"/>
          <w:szCs w:val="24"/>
        </w:rPr>
        <w:t>s confidentiality to the extent permitted by law</w:t>
      </w:r>
      <w:r w:rsidRPr="007267DF" w:rsidR="79EF802F">
        <w:rPr>
          <w:sz w:val="24"/>
          <w:szCs w:val="24"/>
        </w:rPr>
        <w:t xml:space="preserve">. </w:t>
      </w:r>
      <w:r w:rsidRPr="007267DF" w:rsidR="487C6C25">
        <w:rPr>
          <w:b/>
          <w:bCs/>
          <w:color w:val="000000" w:themeColor="text1"/>
          <w:sz w:val="24"/>
          <w:szCs w:val="24"/>
        </w:rPr>
        <w:t>N/A</w:t>
      </w:r>
    </w:p>
    <w:p w:rsidR="009942BE" w:rsidRPr="0055069C" w:rsidP="00255F68" w14:paraId="1BA89D92" w14:textId="77777777">
      <w:pPr>
        <w:tabs>
          <w:tab w:val="left" w:pos="360"/>
        </w:tabs>
        <w:ind w:left="360"/>
        <w:rPr>
          <w:color w:val="000000"/>
          <w:sz w:val="24"/>
          <w:szCs w:val="24"/>
        </w:rPr>
      </w:pPr>
    </w:p>
    <w:p w:rsidR="00EF1384" w:rsidP="00CA1090" w14:paraId="240FB6BA" w14:textId="4314B457">
      <w:pPr>
        <w:tabs>
          <w:tab w:val="left" w:pos="360"/>
        </w:tabs>
        <w:ind w:left="360"/>
        <w:rPr>
          <w:color w:val="000000"/>
          <w:sz w:val="24"/>
          <w:szCs w:val="24"/>
        </w:rPr>
      </w:pPr>
      <w:r w:rsidRPr="0055069C">
        <w:rPr>
          <w:color w:val="000000"/>
          <w:sz w:val="24"/>
          <w:szCs w:val="24"/>
        </w:rPr>
        <w:t xml:space="preserve">There are no special circumstances </w:t>
      </w:r>
      <w:r w:rsidRPr="0055069C" w:rsidR="006F1E40">
        <w:rPr>
          <w:color w:val="000000"/>
          <w:sz w:val="24"/>
          <w:szCs w:val="24"/>
        </w:rPr>
        <w:t>that would cause this information collection to be conducted in a manner that would impose one or more of the additional requirements identified under this item</w:t>
      </w:r>
      <w:r w:rsidR="00951FA9">
        <w:rPr>
          <w:color w:val="000000"/>
          <w:sz w:val="24"/>
          <w:szCs w:val="24"/>
        </w:rPr>
        <w:t>.</w:t>
      </w:r>
      <w:r w:rsidRPr="0055069C" w:rsidR="006F1E40">
        <w:rPr>
          <w:color w:val="000000"/>
          <w:sz w:val="24"/>
          <w:szCs w:val="24"/>
        </w:rPr>
        <w:t xml:space="preserve"> </w:t>
      </w:r>
    </w:p>
    <w:p w:rsidR="00E03013" w:rsidP="006F1E40" w14:paraId="09E1D64A" w14:textId="77777777">
      <w:pPr>
        <w:tabs>
          <w:tab w:val="left" w:pos="360"/>
        </w:tabs>
        <w:ind w:left="360"/>
        <w:rPr>
          <w:color w:val="000000"/>
          <w:sz w:val="24"/>
          <w:szCs w:val="24"/>
        </w:rPr>
      </w:pPr>
    </w:p>
    <w:p w:rsidR="009E13B1" w:rsidRPr="0055069C" w14:paraId="37E68AC2" w14:textId="4371940F">
      <w:pPr>
        <w:tabs>
          <w:tab w:val="left" w:pos="360"/>
        </w:tabs>
        <w:ind w:left="360" w:hanging="360"/>
        <w:rPr>
          <w:b/>
          <w:bCs/>
          <w:sz w:val="24"/>
          <w:szCs w:val="24"/>
        </w:rPr>
      </w:pPr>
      <w:r w:rsidRPr="443FE93E">
        <w:rPr>
          <w:sz w:val="24"/>
          <w:szCs w:val="24"/>
        </w:rPr>
        <w:t xml:space="preserve"> 8.</w:t>
      </w:r>
      <w:r>
        <w:tab/>
      </w:r>
      <w:r w:rsidRPr="443FE93E">
        <w:rPr>
          <w:b/>
          <w:bCs/>
          <w:sz w:val="24"/>
          <w:szCs w:val="24"/>
        </w:rPr>
        <w:t xml:space="preserve">If applicable, provide a copy and identify the date and page number of </w:t>
      </w:r>
      <w:r w:rsidRPr="443FE93E">
        <w:rPr>
          <w:b/>
          <w:bCs/>
          <w:sz w:val="24"/>
          <w:szCs w:val="24"/>
        </w:rPr>
        <w:t>publication</w:t>
      </w:r>
      <w:r w:rsidRPr="443FE93E">
        <w:rPr>
          <w:b/>
          <w:bCs/>
          <w:sz w:val="24"/>
          <w:szCs w:val="24"/>
        </w:rPr>
        <w:t xml:space="preserve"> in the Federal Register of the agency</w:t>
      </w:r>
      <w:r w:rsidRPr="443FE93E" w:rsidR="00C414B0">
        <w:rPr>
          <w:b/>
          <w:bCs/>
          <w:sz w:val="24"/>
          <w:szCs w:val="24"/>
        </w:rPr>
        <w:t>’</w:t>
      </w:r>
      <w:r w:rsidRPr="443FE93E">
        <w:rPr>
          <w:b/>
          <w:bCs/>
          <w:sz w:val="24"/>
          <w:szCs w:val="24"/>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55069C" w:rsidP="0B05764F" w14:paraId="2265FEF5" w14:textId="4D587ECB">
      <w:pPr>
        <w:pStyle w:val="ListParagraph"/>
        <w:numPr>
          <w:ilvl w:val="0"/>
          <w:numId w:val="3"/>
        </w:numPr>
        <w:tabs>
          <w:tab w:val="left" w:pos="360"/>
        </w:tabs>
        <w:rPr>
          <w:rFonts w:ascii="Times New Roman" w:hAnsi="Times New Roman"/>
          <w:b/>
          <w:bCs/>
        </w:rPr>
      </w:pPr>
      <w:r w:rsidRPr="0B05764F">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55069C" w:rsidP="0B05764F" w14:paraId="3DF2C59C" w14:textId="1F46B03B">
      <w:pPr>
        <w:pStyle w:val="ListParagraph"/>
        <w:keepLines/>
        <w:numPr>
          <w:ilvl w:val="0"/>
          <w:numId w:val="2"/>
        </w:numPr>
        <w:tabs>
          <w:tab w:val="left" w:pos="360"/>
        </w:tabs>
        <w:spacing w:after="80"/>
        <w:rPr>
          <w:rFonts w:ascii="Times New Roman" w:hAnsi="Times New Roman"/>
          <w:b/>
          <w:bCs/>
        </w:rPr>
      </w:pPr>
      <w:r w:rsidRPr="0B05764F">
        <w:rPr>
          <w:rFonts w:ascii="Times New Roman" w:hAnsi="Times New Roman"/>
          <w:b/>
          <w:bCs/>
          <w:sz w:val="24"/>
          <w:szCs w:val="24"/>
        </w:rPr>
        <w:t xml:space="preserve">Consultation with representatives of those from whom information is to be obtained or those who must compile records should occur at least once every 3 years </w:t>
      </w:r>
      <w:r w:rsidRPr="0B05764F" w:rsidR="6FCC6F36">
        <w:rPr>
          <w:rFonts w:ascii="Times New Roman" w:hAnsi="Times New Roman"/>
          <w:b/>
          <w:bCs/>
          <w:sz w:val="24"/>
          <w:szCs w:val="24"/>
        </w:rPr>
        <w:t>–</w:t>
      </w:r>
      <w:r w:rsidRPr="0B05764F">
        <w:rPr>
          <w:rFonts w:ascii="Times New Roman" w:hAnsi="Times New Roman"/>
          <w:b/>
          <w:bCs/>
          <w:sz w:val="24"/>
          <w:szCs w:val="24"/>
        </w:rPr>
        <w:t xml:space="preserve"> even if the collection of information activity is the same as in prior periods.  There may be circumstances that preclude consultation in a specific situation.  These circumstances should be explained. </w:t>
      </w:r>
    </w:p>
    <w:p w:rsidR="009E13B1" w:rsidRPr="0055069C" w14:paraId="2593CBE3" w14:textId="77777777">
      <w:pPr>
        <w:tabs>
          <w:tab w:val="left" w:pos="360"/>
        </w:tabs>
        <w:ind w:left="360" w:hanging="360"/>
        <w:rPr>
          <w:sz w:val="24"/>
          <w:szCs w:val="24"/>
        </w:rPr>
      </w:pPr>
    </w:p>
    <w:p w:rsidR="00670EF2" w:rsidRPr="0055069C" w:rsidP="00670EF2" w14:paraId="3201919E" w14:textId="2F9B96FD">
      <w:pPr>
        <w:tabs>
          <w:tab w:val="left" w:pos="360"/>
        </w:tabs>
        <w:ind w:left="480"/>
        <w:rPr>
          <w:sz w:val="24"/>
          <w:szCs w:val="24"/>
        </w:rPr>
      </w:pPr>
      <w:r w:rsidRPr="144F3E93">
        <w:rPr>
          <w:sz w:val="24"/>
          <w:szCs w:val="24"/>
        </w:rPr>
        <w:t xml:space="preserve">HUD published a 60-Day Notice of Proposed Information Collection for the program on </w:t>
      </w:r>
      <w:r w:rsidRPr="144F3E93" w:rsidR="7240C826">
        <w:rPr>
          <w:sz w:val="24"/>
          <w:szCs w:val="24"/>
        </w:rPr>
        <w:t>November 16, 2023</w:t>
      </w:r>
      <w:r w:rsidRPr="144F3E93">
        <w:rPr>
          <w:sz w:val="24"/>
          <w:szCs w:val="24"/>
        </w:rPr>
        <w:t xml:space="preserve">, </w:t>
      </w:r>
      <w:r w:rsidRPr="144F3E93" w:rsidR="53483C76">
        <w:rPr>
          <w:sz w:val="24"/>
          <w:szCs w:val="24"/>
        </w:rPr>
        <w:t xml:space="preserve">Docket No. FR-7075-N-13. </w:t>
      </w:r>
      <w:r w:rsidRPr="144F3E93">
        <w:rPr>
          <w:sz w:val="24"/>
          <w:szCs w:val="24"/>
        </w:rPr>
        <w:t xml:space="preserve"> </w:t>
      </w:r>
      <w:r w:rsidRPr="144F3E93" w:rsidR="000024ED">
        <w:rPr>
          <w:sz w:val="24"/>
          <w:szCs w:val="24"/>
        </w:rPr>
        <w:t xml:space="preserve">The present package addresses necessary revisions to HUD-52698, as well as three additional forms </w:t>
      </w:r>
      <w:r w:rsidRPr="144F3E93" w:rsidR="00C44DF5">
        <w:rPr>
          <w:sz w:val="24"/>
          <w:szCs w:val="24"/>
        </w:rPr>
        <w:t>(52698a, 52699, and 52700) designed</w:t>
      </w:r>
      <w:r w:rsidRPr="144F3E93" w:rsidR="000024ED">
        <w:rPr>
          <w:sz w:val="24"/>
          <w:szCs w:val="24"/>
        </w:rPr>
        <w:t xml:space="preserve"> to reduce known program execution issues. </w:t>
      </w:r>
    </w:p>
    <w:p w:rsidR="00670EF2" w:rsidRPr="0055069C" w:rsidP="00670EF2" w14:paraId="013C1F30" w14:textId="77777777">
      <w:pPr>
        <w:tabs>
          <w:tab w:val="left" w:pos="360"/>
        </w:tabs>
        <w:ind w:left="480"/>
        <w:rPr>
          <w:sz w:val="24"/>
          <w:szCs w:val="24"/>
        </w:rPr>
      </w:pPr>
    </w:p>
    <w:p w:rsidR="3AAE32BC" w:rsidP="390D5AAF" w14:paraId="086D7507" w14:textId="36C567C3">
      <w:pPr>
        <w:tabs>
          <w:tab w:val="left" w:pos="360"/>
        </w:tabs>
        <w:ind w:left="480"/>
        <w:rPr>
          <w:sz w:val="24"/>
          <w:szCs w:val="24"/>
        </w:rPr>
      </w:pPr>
      <w:r w:rsidRPr="144F3E93">
        <w:rPr>
          <w:sz w:val="24"/>
          <w:szCs w:val="24"/>
        </w:rPr>
        <w:t xml:space="preserve">HUD received public comments </w:t>
      </w:r>
      <w:r w:rsidRPr="144F3E93" w:rsidR="1FE510BD">
        <w:rPr>
          <w:sz w:val="24"/>
          <w:szCs w:val="24"/>
        </w:rPr>
        <w:t xml:space="preserve">from </w:t>
      </w:r>
      <w:r w:rsidRPr="144F3E93" w:rsidR="54D497DF">
        <w:rPr>
          <w:sz w:val="24"/>
          <w:szCs w:val="24"/>
        </w:rPr>
        <w:t xml:space="preserve">eight </w:t>
      </w:r>
      <w:r w:rsidRPr="144F3E93" w:rsidR="1FE510BD">
        <w:rPr>
          <w:sz w:val="24"/>
          <w:szCs w:val="24"/>
        </w:rPr>
        <w:t xml:space="preserve">parties </w:t>
      </w:r>
      <w:r w:rsidRPr="144F3E93" w:rsidR="1938B830">
        <w:rPr>
          <w:sz w:val="24"/>
          <w:szCs w:val="24"/>
        </w:rPr>
        <w:t>or</w:t>
      </w:r>
      <w:r w:rsidRPr="144F3E93" w:rsidR="1FE510BD">
        <w:rPr>
          <w:sz w:val="24"/>
          <w:szCs w:val="24"/>
        </w:rPr>
        <w:t xml:space="preserve"> groups </w:t>
      </w:r>
      <w:r w:rsidRPr="144F3E93">
        <w:rPr>
          <w:sz w:val="24"/>
          <w:szCs w:val="24"/>
        </w:rPr>
        <w:t xml:space="preserve">in response to the </w:t>
      </w:r>
      <w:r w:rsidRPr="144F3E93" w:rsidR="5E971A29">
        <w:rPr>
          <w:sz w:val="24"/>
          <w:szCs w:val="24"/>
        </w:rPr>
        <w:t xml:space="preserve">November 16, </w:t>
      </w:r>
      <w:r w:rsidRPr="144F3E93" w:rsidR="5BDE943B">
        <w:rPr>
          <w:sz w:val="24"/>
          <w:szCs w:val="24"/>
        </w:rPr>
        <w:t>2023,</w:t>
      </w:r>
      <w:r w:rsidRPr="144F3E93" w:rsidR="5E971A29">
        <w:rPr>
          <w:sz w:val="24"/>
          <w:szCs w:val="24"/>
        </w:rPr>
        <w:t xml:space="preserve"> </w:t>
      </w:r>
      <w:r w:rsidRPr="144F3E93">
        <w:rPr>
          <w:sz w:val="24"/>
          <w:szCs w:val="24"/>
        </w:rPr>
        <w:t>60-Day Federal Register Notice</w:t>
      </w:r>
      <w:r w:rsidRPr="144F3E93" w:rsidR="7552CFFC">
        <w:rPr>
          <w:sz w:val="24"/>
          <w:szCs w:val="24"/>
        </w:rPr>
        <w:t xml:space="preserve">. </w:t>
      </w:r>
      <w:r w:rsidRPr="144F3E93" w:rsidR="49DDDBED">
        <w:rPr>
          <w:sz w:val="24"/>
          <w:szCs w:val="24"/>
        </w:rPr>
        <w:t xml:space="preserve">The respondents </w:t>
      </w:r>
      <w:r w:rsidRPr="144F3E93" w:rsidR="40127D59">
        <w:rPr>
          <w:sz w:val="24"/>
          <w:szCs w:val="24"/>
        </w:rPr>
        <w:t xml:space="preserve">included </w:t>
      </w:r>
      <w:r w:rsidRPr="144F3E93" w:rsidR="71F677FE">
        <w:rPr>
          <w:sz w:val="24"/>
          <w:szCs w:val="24"/>
        </w:rPr>
        <w:t xml:space="preserve">EPGP </w:t>
      </w:r>
      <w:r w:rsidRPr="144F3E93" w:rsidR="49DDDBED">
        <w:rPr>
          <w:sz w:val="24"/>
          <w:szCs w:val="24"/>
        </w:rPr>
        <w:t>grantees, housing</w:t>
      </w:r>
      <w:r w:rsidRPr="144F3E93" w:rsidR="0A2D821D">
        <w:rPr>
          <w:sz w:val="24"/>
          <w:szCs w:val="24"/>
        </w:rPr>
        <w:t xml:space="preserve"> </w:t>
      </w:r>
      <w:r w:rsidRPr="144F3E93" w:rsidR="49DDDBED">
        <w:rPr>
          <w:sz w:val="24"/>
          <w:szCs w:val="24"/>
        </w:rPr>
        <w:t>legal organizations, research firms</w:t>
      </w:r>
      <w:r w:rsidRPr="144F3E93" w:rsidR="5E13BA51">
        <w:rPr>
          <w:sz w:val="24"/>
          <w:szCs w:val="24"/>
        </w:rPr>
        <w:t>, and individuals</w:t>
      </w:r>
      <w:r w:rsidRPr="144F3E93" w:rsidR="49DDDBED">
        <w:rPr>
          <w:sz w:val="24"/>
          <w:szCs w:val="24"/>
        </w:rPr>
        <w:t xml:space="preserve">. </w:t>
      </w:r>
      <w:r w:rsidRPr="144F3E93" w:rsidR="7CF4505F">
        <w:rPr>
          <w:sz w:val="24"/>
          <w:szCs w:val="24"/>
        </w:rPr>
        <w:t xml:space="preserve">HUD </w:t>
      </w:r>
      <w:r w:rsidRPr="144F3E93" w:rsidR="795317ED">
        <w:rPr>
          <w:sz w:val="24"/>
          <w:szCs w:val="24"/>
        </w:rPr>
        <w:t xml:space="preserve">continues to propose the </w:t>
      </w:r>
      <w:r w:rsidRPr="144F3E93" w:rsidR="1C4BD683">
        <w:rPr>
          <w:sz w:val="24"/>
          <w:szCs w:val="24"/>
        </w:rPr>
        <w:t xml:space="preserve">bulk of the </w:t>
      </w:r>
      <w:r w:rsidRPr="144F3E93" w:rsidR="795317ED">
        <w:rPr>
          <w:sz w:val="24"/>
          <w:szCs w:val="24"/>
        </w:rPr>
        <w:t xml:space="preserve">changes </w:t>
      </w:r>
      <w:r w:rsidRPr="144F3E93" w:rsidR="4A328768">
        <w:rPr>
          <w:sz w:val="24"/>
          <w:szCs w:val="24"/>
        </w:rPr>
        <w:t xml:space="preserve">it </w:t>
      </w:r>
      <w:r w:rsidRPr="144F3E93" w:rsidR="29ECD715">
        <w:rPr>
          <w:sz w:val="24"/>
          <w:szCs w:val="24"/>
        </w:rPr>
        <w:t xml:space="preserve">initially </w:t>
      </w:r>
      <w:r w:rsidRPr="144F3E93" w:rsidR="465B3CEC">
        <w:rPr>
          <w:sz w:val="24"/>
          <w:szCs w:val="24"/>
        </w:rPr>
        <w:t>pr</w:t>
      </w:r>
      <w:r w:rsidRPr="144F3E93" w:rsidR="417D987B">
        <w:rPr>
          <w:sz w:val="24"/>
          <w:szCs w:val="24"/>
        </w:rPr>
        <w:t>esented</w:t>
      </w:r>
      <w:r w:rsidRPr="144F3E93" w:rsidR="465B3CEC">
        <w:rPr>
          <w:sz w:val="24"/>
          <w:szCs w:val="24"/>
        </w:rPr>
        <w:t xml:space="preserve"> for </w:t>
      </w:r>
      <w:r w:rsidRPr="144F3E93" w:rsidR="795317ED">
        <w:rPr>
          <w:sz w:val="24"/>
          <w:szCs w:val="24"/>
        </w:rPr>
        <w:t xml:space="preserve">Form 52698 and </w:t>
      </w:r>
      <w:r w:rsidRPr="144F3E93" w:rsidR="2D28FE3C">
        <w:rPr>
          <w:sz w:val="24"/>
          <w:szCs w:val="24"/>
        </w:rPr>
        <w:t>continues to prop</w:t>
      </w:r>
      <w:r w:rsidRPr="144F3E93" w:rsidR="72EFC0A2">
        <w:rPr>
          <w:sz w:val="24"/>
          <w:szCs w:val="24"/>
        </w:rPr>
        <w:t>o</w:t>
      </w:r>
      <w:r w:rsidRPr="144F3E93" w:rsidR="2D28FE3C">
        <w:rPr>
          <w:sz w:val="24"/>
          <w:szCs w:val="24"/>
        </w:rPr>
        <w:t xml:space="preserve">se adding </w:t>
      </w:r>
      <w:r w:rsidRPr="144F3E93" w:rsidR="795317ED">
        <w:rPr>
          <w:sz w:val="24"/>
          <w:szCs w:val="24"/>
        </w:rPr>
        <w:t>three additional documents</w:t>
      </w:r>
      <w:r w:rsidRPr="144F3E93" w:rsidR="00C93CEE">
        <w:rPr>
          <w:sz w:val="24"/>
          <w:szCs w:val="24"/>
        </w:rPr>
        <w:t xml:space="preserve">: Forms </w:t>
      </w:r>
      <w:r w:rsidRPr="144F3E93" w:rsidR="64DBD7B1">
        <w:rPr>
          <w:sz w:val="24"/>
          <w:szCs w:val="24"/>
        </w:rPr>
        <w:t xml:space="preserve">52698a, 52699, and 52700. </w:t>
      </w:r>
    </w:p>
    <w:p w:rsidR="3AAE32BC" w:rsidP="390D5AAF" w14:paraId="52DAD936" w14:textId="5324D94C">
      <w:pPr>
        <w:tabs>
          <w:tab w:val="left" w:pos="360"/>
        </w:tabs>
        <w:ind w:left="480"/>
        <w:rPr>
          <w:sz w:val="24"/>
          <w:szCs w:val="24"/>
        </w:rPr>
      </w:pPr>
    </w:p>
    <w:p w:rsidR="3AAE32BC" w:rsidP="31F43199" w14:paraId="79BE29DE" w14:textId="5869D065">
      <w:pPr>
        <w:tabs>
          <w:tab w:val="left" w:pos="360"/>
        </w:tabs>
        <w:ind w:left="480"/>
        <w:rPr>
          <w:sz w:val="24"/>
          <w:szCs w:val="24"/>
        </w:rPr>
      </w:pPr>
      <w:r w:rsidRPr="144F3E93">
        <w:rPr>
          <w:sz w:val="24"/>
          <w:szCs w:val="24"/>
        </w:rPr>
        <w:t xml:space="preserve">HUD agreed </w:t>
      </w:r>
      <w:r w:rsidRPr="144F3E93" w:rsidR="7C814DB8">
        <w:rPr>
          <w:sz w:val="24"/>
          <w:szCs w:val="24"/>
        </w:rPr>
        <w:t xml:space="preserve">with a variety of suggested </w:t>
      </w:r>
      <w:r w:rsidRPr="144F3E93">
        <w:rPr>
          <w:sz w:val="24"/>
          <w:szCs w:val="24"/>
        </w:rPr>
        <w:t xml:space="preserve">changes and clarifications. </w:t>
      </w:r>
      <w:r w:rsidRPr="144F3E93" w:rsidR="1CE1047A">
        <w:rPr>
          <w:sz w:val="24"/>
          <w:szCs w:val="24"/>
        </w:rPr>
        <w:t>Some of the</w:t>
      </w:r>
      <w:r w:rsidRPr="144F3E93" w:rsidR="55FC386D">
        <w:rPr>
          <w:sz w:val="24"/>
          <w:szCs w:val="24"/>
        </w:rPr>
        <w:t>se</w:t>
      </w:r>
      <w:r w:rsidRPr="144F3E93" w:rsidR="1CE1047A">
        <w:rPr>
          <w:sz w:val="24"/>
          <w:szCs w:val="24"/>
        </w:rPr>
        <w:t xml:space="preserve"> </w:t>
      </w:r>
      <w:r w:rsidRPr="144F3E93" w:rsidR="3513F93E">
        <w:rPr>
          <w:sz w:val="24"/>
          <w:szCs w:val="24"/>
        </w:rPr>
        <w:t>include</w:t>
      </w:r>
      <w:r w:rsidRPr="144F3E93" w:rsidR="79FC28BA">
        <w:rPr>
          <w:sz w:val="24"/>
          <w:szCs w:val="24"/>
        </w:rPr>
        <w:t>d</w:t>
      </w:r>
      <w:r w:rsidRPr="144F3E93" w:rsidR="5105FF2E">
        <w:rPr>
          <w:sz w:val="24"/>
          <w:szCs w:val="24"/>
        </w:rPr>
        <w:t>: (1)</w:t>
      </w:r>
      <w:r w:rsidRPr="144F3E93" w:rsidR="748B07C0">
        <w:rPr>
          <w:sz w:val="24"/>
          <w:szCs w:val="24"/>
        </w:rPr>
        <w:t xml:space="preserve"> </w:t>
      </w:r>
      <w:r w:rsidRPr="144F3E93" w:rsidR="2CD467E5">
        <w:rPr>
          <w:sz w:val="24"/>
          <w:szCs w:val="24"/>
        </w:rPr>
        <w:t>distinguishing between cases involving legal representation versus those with light service</w:t>
      </w:r>
      <w:r w:rsidRPr="144F3E93" w:rsidR="6970EA89">
        <w:rPr>
          <w:sz w:val="24"/>
          <w:szCs w:val="24"/>
        </w:rPr>
        <w:t xml:space="preserve"> and moving these from the </w:t>
      </w:r>
      <w:r w:rsidRPr="144F3E93" w:rsidR="6970EA89">
        <w:rPr>
          <w:sz w:val="24"/>
          <w:szCs w:val="24"/>
        </w:rPr>
        <w:t xml:space="preserve">52698 </w:t>
      </w:r>
      <w:r w:rsidRPr="144F3E93" w:rsidR="06CF3F12">
        <w:rPr>
          <w:sz w:val="24"/>
          <w:szCs w:val="24"/>
        </w:rPr>
        <w:t>case</w:t>
      </w:r>
      <w:r w:rsidRPr="144F3E93" w:rsidR="06CF3F12">
        <w:rPr>
          <w:sz w:val="24"/>
          <w:szCs w:val="24"/>
        </w:rPr>
        <w:t xml:space="preserve"> form </w:t>
      </w:r>
      <w:r w:rsidRPr="144F3E93" w:rsidR="6970EA89">
        <w:rPr>
          <w:sz w:val="24"/>
          <w:szCs w:val="24"/>
        </w:rPr>
        <w:t>to aggregate reporting on the 52699</w:t>
      </w:r>
      <w:r w:rsidRPr="144F3E93" w:rsidR="331D6586">
        <w:rPr>
          <w:sz w:val="24"/>
          <w:szCs w:val="24"/>
        </w:rPr>
        <w:t>, (2) clarifying the difference</w:t>
      </w:r>
      <w:r w:rsidRPr="144F3E93" w:rsidR="42937357">
        <w:rPr>
          <w:sz w:val="24"/>
          <w:szCs w:val="24"/>
        </w:rPr>
        <w:t>s</w:t>
      </w:r>
      <w:r w:rsidRPr="144F3E93" w:rsidR="331D6586">
        <w:rPr>
          <w:sz w:val="24"/>
          <w:szCs w:val="24"/>
        </w:rPr>
        <w:t xml:space="preserve"> between “at risk</w:t>
      </w:r>
      <w:r w:rsidRPr="144F3E93" w:rsidR="2A040D5C">
        <w:rPr>
          <w:sz w:val="24"/>
          <w:szCs w:val="24"/>
        </w:rPr>
        <w:t xml:space="preserve"> of</w:t>
      </w:r>
      <w:r w:rsidRPr="144F3E93" w:rsidR="331D6586">
        <w:rPr>
          <w:sz w:val="24"/>
          <w:szCs w:val="24"/>
        </w:rPr>
        <w:t xml:space="preserve">” </w:t>
      </w:r>
      <w:r w:rsidRPr="144F3E93" w:rsidR="00AF1855">
        <w:rPr>
          <w:sz w:val="24"/>
          <w:szCs w:val="24"/>
        </w:rPr>
        <w:t xml:space="preserve">and </w:t>
      </w:r>
      <w:r w:rsidRPr="144F3E93" w:rsidR="331D6586">
        <w:rPr>
          <w:sz w:val="24"/>
          <w:szCs w:val="24"/>
        </w:rPr>
        <w:t xml:space="preserve">“subject to” eviction, (3) </w:t>
      </w:r>
      <w:r w:rsidRPr="144F3E93" w:rsidR="29AE3142">
        <w:rPr>
          <w:sz w:val="24"/>
          <w:szCs w:val="24"/>
        </w:rPr>
        <w:t xml:space="preserve">clarifying language about emergency assistance, </w:t>
      </w:r>
      <w:r w:rsidRPr="144F3E93" w:rsidR="2426D219">
        <w:rPr>
          <w:sz w:val="24"/>
          <w:szCs w:val="24"/>
        </w:rPr>
        <w:t xml:space="preserve">and </w:t>
      </w:r>
      <w:r w:rsidRPr="144F3E93" w:rsidR="29AE3142">
        <w:rPr>
          <w:sz w:val="24"/>
          <w:szCs w:val="24"/>
        </w:rPr>
        <w:t xml:space="preserve">(4) adding or revising several </w:t>
      </w:r>
      <w:r w:rsidRPr="144F3E93" w:rsidR="57824AA3">
        <w:rPr>
          <w:sz w:val="24"/>
          <w:szCs w:val="24"/>
        </w:rPr>
        <w:t xml:space="preserve">52698 </w:t>
      </w:r>
      <w:r w:rsidRPr="144F3E93" w:rsidR="29AE3142">
        <w:rPr>
          <w:sz w:val="24"/>
          <w:szCs w:val="24"/>
        </w:rPr>
        <w:t xml:space="preserve">Item 10 </w:t>
      </w:r>
      <w:r w:rsidRPr="144F3E93" w:rsidR="353DA529">
        <w:rPr>
          <w:sz w:val="24"/>
          <w:szCs w:val="24"/>
        </w:rPr>
        <w:t xml:space="preserve">case </w:t>
      </w:r>
      <w:r w:rsidRPr="144F3E93" w:rsidR="29AE3142">
        <w:rPr>
          <w:sz w:val="24"/>
          <w:szCs w:val="24"/>
        </w:rPr>
        <w:t>outcome options</w:t>
      </w:r>
      <w:r w:rsidRPr="144F3E93" w:rsidR="1388E02C">
        <w:rPr>
          <w:sz w:val="24"/>
          <w:szCs w:val="24"/>
        </w:rPr>
        <w:t>.</w:t>
      </w:r>
      <w:r w:rsidRPr="144F3E93" w:rsidR="0D69BBBF">
        <w:rPr>
          <w:sz w:val="24"/>
          <w:szCs w:val="24"/>
        </w:rPr>
        <w:t xml:space="preserve"> </w:t>
      </w:r>
      <w:r w:rsidRPr="144F3E93" w:rsidR="1C205DA1">
        <w:rPr>
          <w:sz w:val="24"/>
          <w:szCs w:val="24"/>
        </w:rPr>
        <w:t xml:space="preserve">HUD declined to accept </w:t>
      </w:r>
      <w:r w:rsidRPr="144F3E93" w:rsidR="7CA9701A">
        <w:rPr>
          <w:sz w:val="24"/>
          <w:szCs w:val="24"/>
        </w:rPr>
        <w:t xml:space="preserve">several </w:t>
      </w:r>
      <w:r w:rsidRPr="144F3E93" w:rsidR="1C205DA1">
        <w:rPr>
          <w:sz w:val="24"/>
          <w:szCs w:val="24"/>
        </w:rPr>
        <w:t>suggestions t</w:t>
      </w:r>
      <w:r w:rsidRPr="144F3E93" w:rsidR="0F60BCE2">
        <w:rPr>
          <w:sz w:val="24"/>
          <w:szCs w:val="24"/>
        </w:rPr>
        <w:t>hat would</w:t>
      </w:r>
      <w:r w:rsidRPr="144F3E93" w:rsidR="1C205DA1">
        <w:rPr>
          <w:sz w:val="24"/>
          <w:szCs w:val="24"/>
        </w:rPr>
        <w:t xml:space="preserve"> increase the response burden and</w:t>
      </w:r>
      <w:r w:rsidRPr="144F3E93" w:rsidR="54B7CF27">
        <w:rPr>
          <w:sz w:val="24"/>
          <w:szCs w:val="24"/>
        </w:rPr>
        <w:t>/or</w:t>
      </w:r>
      <w:r w:rsidRPr="144F3E93" w:rsidR="1C205DA1">
        <w:rPr>
          <w:sz w:val="24"/>
          <w:szCs w:val="24"/>
        </w:rPr>
        <w:t xml:space="preserve"> go beyond the scope of EPGP. </w:t>
      </w:r>
    </w:p>
    <w:p w:rsidR="3AAE32BC" w:rsidP="31F43199" w14:paraId="641BC695" w14:textId="3153CB59">
      <w:pPr>
        <w:tabs>
          <w:tab w:val="left" w:pos="360"/>
        </w:tabs>
        <w:spacing w:line="259" w:lineRule="auto"/>
        <w:ind w:left="480"/>
        <w:rPr>
          <w:sz w:val="24"/>
          <w:szCs w:val="24"/>
        </w:rPr>
      </w:pPr>
    </w:p>
    <w:p w:rsidR="38E5C3B8" w:rsidP="38E5C3B8" w14:paraId="1050610F" w14:textId="37118A95">
      <w:pPr>
        <w:tabs>
          <w:tab w:val="left" w:pos="360"/>
        </w:tabs>
        <w:ind w:left="480"/>
        <w:rPr>
          <w:sz w:val="24"/>
          <w:szCs w:val="24"/>
        </w:rPr>
      </w:pPr>
      <w:r w:rsidRPr="144F3E93">
        <w:rPr>
          <w:sz w:val="24"/>
          <w:szCs w:val="24"/>
        </w:rPr>
        <w:t>After the 60-day comment period closed, OMB released a</w:t>
      </w:r>
      <w:r w:rsidRPr="144F3E93" w:rsidR="1EB35C84">
        <w:rPr>
          <w:sz w:val="24"/>
          <w:szCs w:val="24"/>
        </w:rPr>
        <w:t xml:space="preserve"> March 28, </w:t>
      </w:r>
      <w:r w:rsidRPr="144F3E93" w:rsidR="7AE8E2AC">
        <w:rPr>
          <w:sz w:val="24"/>
          <w:szCs w:val="24"/>
        </w:rPr>
        <w:t>2024</w:t>
      </w:r>
      <w:r w:rsidRPr="144F3E93">
        <w:rPr>
          <w:sz w:val="24"/>
          <w:szCs w:val="24"/>
        </w:rPr>
        <w:t xml:space="preserve"> update to </w:t>
      </w:r>
      <w:r w:rsidRPr="144F3E93" w:rsidR="04CCCD6F">
        <w:rPr>
          <w:sz w:val="24"/>
          <w:szCs w:val="24"/>
        </w:rPr>
        <w:t xml:space="preserve">Statistical Policy Directive 15 (SPD 15) with </w:t>
      </w:r>
      <w:r w:rsidRPr="144F3E93" w:rsidR="00BC61BF">
        <w:rPr>
          <w:sz w:val="24"/>
          <w:szCs w:val="24"/>
        </w:rPr>
        <w:t xml:space="preserve">revisions to the </w:t>
      </w:r>
      <w:r w:rsidRPr="144F3E93" w:rsidR="04CCCD6F">
        <w:rPr>
          <w:sz w:val="24"/>
          <w:szCs w:val="24"/>
        </w:rPr>
        <w:t xml:space="preserve">required </w:t>
      </w:r>
      <w:r w:rsidRPr="144F3E93">
        <w:rPr>
          <w:sz w:val="24"/>
          <w:szCs w:val="24"/>
        </w:rPr>
        <w:t>federal race and ethnic</w:t>
      </w:r>
      <w:r w:rsidRPr="144F3E93" w:rsidR="79082C8C">
        <w:rPr>
          <w:sz w:val="24"/>
          <w:szCs w:val="24"/>
        </w:rPr>
        <w:t xml:space="preserve">ity </w:t>
      </w:r>
      <w:r w:rsidRPr="144F3E93" w:rsidR="00334E94">
        <w:rPr>
          <w:sz w:val="24"/>
          <w:szCs w:val="24"/>
        </w:rPr>
        <w:t xml:space="preserve">reporting </w:t>
      </w:r>
      <w:r w:rsidRPr="144F3E93" w:rsidR="79082C8C">
        <w:rPr>
          <w:sz w:val="24"/>
          <w:szCs w:val="24"/>
        </w:rPr>
        <w:t xml:space="preserve">categories. </w:t>
      </w:r>
      <w:r w:rsidRPr="144F3E93" w:rsidR="54C1D13C">
        <w:rPr>
          <w:sz w:val="24"/>
          <w:szCs w:val="24"/>
        </w:rPr>
        <w:t>In response</w:t>
      </w:r>
      <w:r w:rsidRPr="144F3E93" w:rsidR="510816B1">
        <w:rPr>
          <w:sz w:val="24"/>
          <w:szCs w:val="24"/>
        </w:rPr>
        <w:t>,</w:t>
      </w:r>
      <w:r w:rsidRPr="144F3E93" w:rsidR="54C1D13C">
        <w:rPr>
          <w:sz w:val="24"/>
          <w:szCs w:val="24"/>
        </w:rPr>
        <w:t xml:space="preserve"> </w:t>
      </w:r>
      <w:r w:rsidRPr="144F3E93" w:rsidR="79082C8C">
        <w:rPr>
          <w:sz w:val="24"/>
          <w:szCs w:val="24"/>
        </w:rPr>
        <w:t>HUD propose</w:t>
      </w:r>
      <w:r w:rsidRPr="144F3E93" w:rsidR="0CDAC813">
        <w:rPr>
          <w:sz w:val="24"/>
          <w:szCs w:val="24"/>
        </w:rPr>
        <w:t>s</w:t>
      </w:r>
      <w:r w:rsidRPr="144F3E93" w:rsidR="79082C8C">
        <w:rPr>
          <w:sz w:val="24"/>
          <w:szCs w:val="24"/>
        </w:rPr>
        <w:t xml:space="preserve"> incorporating the required changes </w:t>
      </w:r>
      <w:r w:rsidRPr="144F3E93" w:rsidR="36C11FAE">
        <w:rPr>
          <w:sz w:val="24"/>
          <w:szCs w:val="24"/>
        </w:rPr>
        <w:t>in</w:t>
      </w:r>
      <w:r w:rsidRPr="144F3E93" w:rsidR="79082C8C">
        <w:rPr>
          <w:sz w:val="24"/>
          <w:szCs w:val="24"/>
        </w:rPr>
        <w:t xml:space="preserve"> this PRA update,</w:t>
      </w:r>
      <w:r w:rsidRPr="144F3E93" w:rsidR="7AD297BB">
        <w:rPr>
          <w:sz w:val="24"/>
          <w:szCs w:val="24"/>
        </w:rPr>
        <w:t xml:space="preserve"> as </w:t>
      </w:r>
      <w:r w:rsidRPr="144F3E93" w:rsidR="1FCECEE4">
        <w:rPr>
          <w:sz w:val="24"/>
          <w:szCs w:val="24"/>
        </w:rPr>
        <w:t xml:space="preserve">the present update is well timed for </w:t>
      </w:r>
      <w:r w:rsidRPr="144F3E93" w:rsidR="47EB4AB0">
        <w:rPr>
          <w:sz w:val="24"/>
          <w:szCs w:val="24"/>
        </w:rPr>
        <w:t>the changes</w:t>
      </w:r>
      <w:r w:rsidRPr="144F3E93" w:rsidR="5303F250">
        <w:rPr>
          <w:sz w:val="24"/>
          <w:szCs w:val="24"/>
        </w:rPr>
        <w:t>,</w:t>
      </w:r>
      <w:r w:rsidRPr="144F3E93" w:rsidR="0AB2C18E">
        <w:rPr>
          <w:sz w:val="24"/>
          <w:szCs w:val="24"/>
        </w:rPr>
        <w:t xml:space="preserve"> and the</w:t>
      </w:r>
      <w:r w:rsidRPr="144F3E93" w:rsidR="446B3491">
        <w:rPr>
          <w:sz w:val="24"/>
          <w:szCs w:val="24"/>
        </w:rPr>
        <w:t>y</w:t>
      </w:r>
      <w:r w:rsidRPr="144F3E93" w:rsidR="47EB4AB0">
        <w:rPr>
          <w:sz w:val="24"/>
          <w:szCs w:val="24"/>
        </w:rPr>
        <w:t xml:space="preserve"> are </w:t>
      </w:r>
      <w:r w:rsidRPr="144F3E93" w:rsidR="7AD297BB">
        <w:rPr>
          <w:sz w:val="24"/>
          <w:szCs w:val="24"/>
        </w:rPr>
        <w:t xml:space="preserve">expected to improve the quality of data collected. The most significant </w:t>
      </w:r>
      <w:r w:rsidRPr="144F3E93" w:rsidR="57AC7672">
        <w:rPr>
          <w:sz w:val="24"/>
          <w:szCs w:val="24"/>
        </w:rPr>
        <w:t xml:space="preserve">updates </w:t>
      </w:r>
      <w:r w:rsidRPr="144F3E93" w:rsidR="27B3B651">
        <w:rPr>
          <w:sz w:val="24"/>
          <w:szCs w:val="24"/>
        </w:rPr>
        <w:t xml:space="preserve">include the addition of the Middle Eastern </w:t>
      </w:r>
      <w:r w:rsidRPr="144F3E93" w:rsidR="1022F4EB">
        <w:rPr>
          <w:sz w:val="24"/>
          <w:szCs w:val="24"/>
        </w:rPr>
        <w:t>or</w:t>
      </w:r>
      <w:r w:rsidRPr="144F3E93" w:rsidR="27B3B651">
        <w:rPr>
          <w:sz w:val="24"/>
          <w:szCs w:val="24"/>
        </w:rPr>
        <w:t xml:space="preserve"> North Africa</w:t>
      </w:r>
      <w:r w:rsidRPr="144F3E93" w:rsidR="55C2A4D3">
        <w:rPr>
          <w:sz w:val="24"/>
          <w:szCs w:val="24"/>
        </w:rPr>
        <w:t>n</w:t>
      </w:r>
      <w:r w:rsidRPr="144F3E93" w:rsidR="27B3B651">
        <w:rPr>
          <w:sz w:val="24"/>
          <w:szCs w:val="24"/>
        </w:rPr>
        <w:t xml:space="preserve"> (MENA) categor</w:t>
      </w:r>
      <w:r w:rsidRPr="144F3E93" w:rsidR="5B7B452C">
        <w:rPr>
          <w:sz w:val="24"/>
          <w:szCs w:val="24"/>
        </w:rPr>
        <w:t>y, plus</w:t>
      </w:r>
      <w:r w:rsidRPr="144F3E93" w:rsidR="27B3B651">
        <w:rPr>
          <w:sz w:val="24"/>
          <w:szCs w:val="24"/>
        </w:rPr>
        <w:t xml:space="preserve"> moving </w:t>
      </w:r>
      <w:r w:rsidRPr="144F3E93" w:rsidR="517E0FB9">
        <w:rPr>
          <w:sz w:val="24"/>
          <w:szCs w:val="24"/>
        </w:rPr>
        <w:t xml:space="preserve">the </w:t>
      </w:r>
      <w:r w:rsidRPr="144F3E93" w:rsidR="27B3B651">
        <w:rPr>
          <w:sz w:val="24"/>
          <w:szCs w:val="24"/>
        </w:rPr>
        <w:t xml:space="preserve">Hispanic or Latino </w:t>
      </w:r>
      <w:r w:rsidRPr="144F3E93" w:rsidR="50BCE2E4">
        <w:rPr>
          <w:sz w:val="24"/>
          <w:szCs w:val="24"/>
        </w:rPr>
        <w:t xml:space="preserve">category </w:t>
      </w:r>
      <w:r w:rsidRPr="144F3E93" w:rsidR="682B14AF">
        <w:rPr>
          <w:sz w:val="24"/>
          <w:szCs w:val="24"/>
        </w:rPr>
        <w:t xml:space="preserve">to </w:t>
      </w:r>
      <w:r w:rsidRPr="144F3E93" w:rsidR="76B2FDF7">
        <w:rPr>
          <w:sz w:val="24"/>
          <w:szCs w:val="24"/>
        </w:rPr>
        <w:t xml:space="preserve">a combined </w:t>
      </w:r>
      <w:r w:rsidRPr="144F3E93" w:rsidR="682B14AF">
        <w:rPr>
          <w:sz w:val="24"/>
          <w:szCs w:val="24"/>
        </w:rPr>
        <w:t xml:space="preserve">race </w:t>
      </w:r>
      <w:r w:rsidRPr="144F3E93" w:rsidR="1F9F952F">
        <w:rPr>
          <w:sz w:val="24"/>
          <w:szCs w:val="24"/>
        </w:rPr>
        <w:t xml:space="preserve">and ethnicity </w:t>
      </w:r>
      <w:r w:rsidRPr="144F3E93" w:rsidR="09BC5E87">
        <w:rPr>
          <w:sz w:val="24"/>
          <w:szCs w:val="24"/>
        </w:rPr>
        <w:t xml:space="preserve">question </w:t>
      </w:r>
      <w:r w:rsidRPr="144F3E93" w:rsidR="73EED7F1">
        <w:rPr>
          <w:sz w:val="24"/>
          <w:szCs w:val="24"/>
        </w:rPr>
        <w:t xml:space="preserve">from </w:t>
      </w:r>
      <w:r w:rsidRPr="144F3E93" w:rsidR="308F207C">
        <w:rPr>
          <w:sz w:val="24"/>
          <w:szCs w:val="24"/>
        </w:rPr>
        <w:t xml:space="preserve">a </w:t>
      </w:r>
      <w:r w:rsidRPr="144F3E93" w:rsidR="2AC6C7DD">
        <w:rPr>
          <w:sz w:val="24"/>
          <w:szCs w:val="24"/>
        </w:rPr>
        <w:t xml:space="preserve">separate ethnicity </w:t>
      </w:r>
      <w:r w:rsidRPr="144F3E93" w:rsidR="417EABC9">
        <w:rPr>
          <w:sz w:val="24"/>
          <w:szCs w:val="24"/>
        </w:rPr>
        <w:t>question</w:t>
      </w:r>
      <w:r w:rsidRPr="144F3E93" w:rsidR="2AC6C7DD">
        <w:rPr>
          <w:sz w:val="24"/>
          <w:szCs w:val="24"/>
        </w:rPr>
        <w:t>.</w:t>
      </w:r>
      <w:r w:rsidRPr="144F3E93" w:rsidR="7F8ADE67">
        <w:rPr>
          <w:sz w:val="24"/>
          <w:szCs w:val="24"/>
        </w:rPr>
        <w:t xml:space="preserve"> HUD </w:t>
      </w:r>
      <w:r w:rsidRPr="144F3E93" w:rsidR="228BB1B6">
        <w:rPr>
          <w:sz w:val="24"/>
          <w:szCs w:val="24"/>
        </w:rPr>
        <w:t xml:space="preserve">proposes </w:t>
      </w:r>
      <w:r w:rsidRPr="144F3E93" w:rsidR="7F8ADE67">
        <w:rPr>
          <w:sz w:val="24"/>
          <w:szCs w:val="24"/>
        </w:rPr>
        <w:t xml:space="preserve">new instructions for </w:t>
      </w:r>
      <w:r w:rsidRPr="144F3E93" w:rsidR="33785733">
        <w:rPr>
          <w:sz w:val="24"/>
          <w:szCs w:val="24"/>
        </w:rPr>
        <w:t xml:space="preserve">the </w:t>
      </w:r>
      <w:r w:rsidRPr="144F3E93" w:rsidR="7F8ADE67">
        <w:rPr>
          <w:sz w:val="24"/>
          <w:szCs w:val="24"/>
        </w:rPr>
        <w:t>application of the</w:t>
      </w:r>
      <w:r w:rsidRPr="144F3E93" w:rsidR="3741745D">
        <w:rPr>
          <w:sz w:val="24"/>
          <w:szCs w:val="24"/>
        </w:rPr>
        <w:t xml:space="preserve">se </w:t>
      </w:r>
      <w:r w:rsidRPr="144F3E93" w:rsidR="7F8ADE67">
        <w:rPr>
          <w:sz w:val="24"/>
          <w:szCs w:val="24"/>
        </w:rPr>
        <w:t>race and ethnicity categories.</w:t>
      </w:r>
    </w:p>
    <w:p w:rsidR="148C1527" w:rsidP="148C1527" w14:paraId="0F3EF690" w14:textId="403F71AD">
      <w:pPr>
        <w:tabs>
          <w:tab w:val="left" w:pos="360"/>
        </w:tabs>
        <w:ind w:left="480"/>
        <w:rPr>
          <w:sz w:val="24"/>
          <w:szCs w:val="24"/>
        </w:rPr>
      </w:pPr>
    </w:p>
    <w:p w:rsidR="009E13B1" w:rsidRPr="0055069C" w14:paraId="7A851E2B" w14:textId="2DCDF8EA">
      <w:pPr>
        <w:keepLines/>
        <w:tabs>
          <w:tab w:val="left" w:pos="360"/>
        </w:tabs>
        <w:spacing w:after="80"/>
        <w:ind w:left="360" w:hanging="360"/>
        <w:rPr>
          <w:sz w:val="24"/>
          <w:szCs w:val="24"/>
        </w:rPr>
      </w:pPr>
      <w:r w:rsidRPr="0B05764F">
        <w:rPr>
          <w:sz w:val="24"/>
          <w:szCs w:val="24"/>
        </w:rPr>
        <w:t>9.</w:t>
      </w:r>
      <w:r>
        <w:tab/>
      </w:r>
      <w:r w:rsidRPr="0B05764F">
        <w:rPr>
          <w:b/>
          <w:bCs/>
          <w:sz w:val="24"/>
          <w:szCs w:val="24"/>
        </w:rPr>
        <w:t>Explain any decision to provide any payment or gift to respondents, other than renumeration of contractors or grantees.</w:t>
      </w:r>
    </w:p>
    <w:p w:rsidR="009E13B1" w:rsidRPr="0055069C" w14:paraId="5FE35E7E" w14:textId="77777777">
      <w:pPr>
        <w:tabs>
          <w:tab w:val="left" w:pos="360"/>
        </w:tabs>
        <w:ind w:left="360" w:hanging="360"/>
        <w:rPr>
          <w:bCs/>
          <w:color w:val="000000"/>
          <w:sz w:val="24"/>
          <w:szCs w:val="24"/>
        </w:rPr>
      </w:pPr>
      <w:r w:rsidRPr="0055069C">
        <w:rPr>
          <w:sz w:val="24"/>
          <w:szCs w:val="24"/>
        </w:rPr>
        <w:tab/>
      </w:r>
      <w:r w:rsidRPr="0055069C" w:rsidR="00385376">
        <w:rPr>
          <w:bCs/>
          <w:color w:val="000000"/>
          <w:sz w:val="24"/>
          <w:szCs w:val="24"/>
        </w:rPr>
        <w:t>There are no payments or gifts to respondents with respect to this collection.</w:t>
      </w:r>
    </w:p>
    <w:p w:rsidR="00385376" w:rsidRPr="0055069C" w14:paraId="30ACEB5B" w14:textId="77777777">
      <w:pPr>
        <w:tabs>
          <w:tab w:val="left" w:pos="360"/>
        </w:tabs>
        <w:ind w:left="360" w:hanging="360"/>
        <w:rPr>
          <w:sz w:val="24"/>
          <w:szCs w:val="24"/>
        </w:rPr>
      </w:pPr>
    </w:p>
    <w:p w:rsidR="009E13B1" w:rsidRPr="0055069C" w14:paraId="74CDC4E4" w14:textId="50FA81FD">
      <w:pPr>
        <w:keepLines/>
        <w:tabs>
          <w:tab w:val="left" w:pos="360"/>
        </w:tabs>
        <w:spacing w:after="80"/>
        <w:ind w:left="360" w:hanging="360"/>
        <w:rPr>
          <w:sz w:val="24"/>
          <w:szCs w:val="24"/>
        </w:rPr>
      </w:pPr>
      <w:r w:rsidRPr="0B05764F">
        <w:rPr>
          <w:sz w:val="24"/>
          <w:szCs w:val="24"/>
        </w:rPr>
        <w:t>10.</w:t>
      </w:r>
      <w:r>
        <w:tab/>
      </w:r>
      <w:r w:rsidRPr="0B05764F" w:rsidR="752F06EB">
        <w:rPr>
          <w:b/>
          <w:bCs/>
          <w:sz w:val="24"/>
          <w:szCs w:val="24"/>
        </w:rPr>
        <w:t>Describe any assurance of confidentiality provided to respondents and the basis for assurance in statute, regulation or agency policy. If the collection requires a system of records notice (SORN) or privacy impact assessment (PIA), those should be cited and described here.</w:t>
      </w:r>
    </w:p>
    <w:p w:rsidR="00385376" w:rsidRPr="0055069C" w:rsidP="00385376" w14:paraId="15075FEF" w14:textId="77777777">
      <w:pPr>
        <w:keepNext/>
        <w:tabs>
          <w:tab w:val="left" w:pos="360"/>
        </w:tabs>
        <w:ind w:left="360"/>
        <w:rPr>
          <w:sz w:val="24"/>
          <w:szCs w:val="24"/>
        </w:rPr>
      </w:pPr>
    </w:p>
    <w:p w:rsidR="009E13B1" w:rsidRPr="0055069C" w:rsidP="00385376" w14:paraId="56F8061A" w14:textId="393F3DFC">
      <w:pPr>
        <w:tabs>
          <w:tab w:val="left" w:pos="360"/>
        </w:tabs>
        <w:ind w:left="360"/>
        <w:rPr>
          <w:sz w:val="24"/>
          <w:szCs w:val="24"/>
        </w:rPr>
      </w:pPr>
      <w:r w:rsidRPr="0B05764F">
        <w:rPr>
          <w:sz w:val="24"/>
          <w:szCs w:val="24"/>
        </w:rPr>
        <w:t xml:space="preserve">HUD </w:t>
      </w:r>
      <w:r w:rsidRPr="0B05764F" w:rsidR="3EB8F8BC">
        <w:rPr>
          <w:sz w:val="24"/>
          <w:szCs w:val="24"/>
        </w:rPr>
        <w:t xml:space="preserve">will not release any personally identifiable information pursuant to the Freedom of Information Act. HUD </w:t>
      </w:r>
      <w:r w:rsidRPr="0B05764F">
        <w:rPr>
          <w:sz w:val="24"/>
          <w:szCs w:val="24"/>
        </w:rPr>
        <w:t>will secure and protect the electronic transfer of sensitive information by using firewall protection, encryptions, and restricted access security.</w:t>
      </w:r>
    </w:p>
    <w:p w:rsidR="00385376" w:rsidRPr="0055069C" w:rsidP="00385376" w14:paraId="040EE8B8" w14:textId="77777777">
      <w:pPr>
        <w:tabs>
          <w:tab w:val="left" w:pos="360"/>
        </w:tabs>
        <w:ind w:left="360"/>
        <w:rPr>
          <w:b/>
          <w:bCs/>
          <w:sz w:val="24"/>
          <w:szCs w:val="24"/>
        </w:rPr>
      </w:pPr>
    </w:p>
    <w:p w:rsidR="009E13B1" w:rsidRPr="0055069C" w14:paraId="4B028314" w14:textId="77777777">
      <w:pPr>
        <w:keepLines/>
        <w:tabs>
          <w:tab w:val="left" w:pos="360"/>
        </w:tabs>
        <w:spacing w:after="80"/>
        <w:ind w:left="360" w:hanging="360"/>
        <w:rPr>
          <w:b/>
          <w:bCs/>
          <w:sz w:val="24"/>
          <w:szCs w:val="24"/>
        </w:rPr>
      </w:pPr>
      <w:r w:rsidRPr="0055069C">
        <w:rPr>
          <w:sz w:val="24"/>
          <w:szCs w:val="24"/>
        </w:rPr>
        <w:t>11.</w:t>
      </w:r>
      <w:r w:rsidRPr="0055069C">
        <w:rPr>
          <w:sz w:val="24"/>
          <w:szCs w:val="24"/>
        </w:rPr>
        <w:tab/>
      </w:r>
      <w:r w:rsidRPr="0055069C">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497A" w:rsidP="144F3E93" w14:paraId="3A6B84DC" w14:textId="1E7ABD97">
      <w:pPr>
        <w:spacing w:line="259" w:lineRule="auto"/>
        <w:ind w:left="360"/>
        <w:rPr>
          <w:sz w:val="24"/>
          <w:szCs w:val="24"/>
        </w:rPr>
      </w:pPr>
      <w:r w:rsidRPr="144F3E93">
        <w:rPr>
          <w:sz w:val="24"/>
          <w:szCs w:val="24"/>
        </w:rPr>
        <w:t xml:space="preserve">HUD </w:t>
      </w:r>
      <w:r w:rsidRPr="144F3E93" w:rsidR="23561666">
        <w:rPr>
          <w:sz w:val="24"/>
          <w:szCs w:val="24"/>
        </w:rPr>
        <w:t xml:space="preserve">maintains </w:t>
      </w:r>
      <w:r w:rsidRPr="144F3E93">
        <w:rPr>
          <w:sz w:val="24"/>
          <w:szCs w:val="24"/>
        </w:rPr>
        <w:t xml:space="preserve">standard precautions regarding the electronic transfer of information, including firewall protection, encryptions, and access security.  </w:t>
      </w:r>
      <w:r w:rsidRPr="144F3E93" w:rsidR="00552709">
        <w:rPr>
          <w:sz w:val="24"/>
          <w:szCs w:val="24"/>
        </w:rPr>
        <w:t xml:space="preserve">Some </w:t>
      </w:r>
      <w:r w:rsidRPr="144F3E93" w:rsidR="003B6814">
        <w:rPr>
          <w:sz w:val="24"/>
          <w:szCs w:val="24"/>
        </w:rPr>
        <w:t xml:space="preserve">tenant </w:t>
      </w:r>
      <w:r w:rsidRPr="144F3E93" w:rsidR="00552709">
        <w:rPr>
          <w:sz w:val="24"/>
          <w:szCs w:val="24"/>
        </w:rPr>
        <w:t xml:space="preserve">information collected on </w:t>
      </w:r>
      <w:r w:rsidRPr="144F3E93" w:rsidR="00FA24DC">
        <w:rPr>
          <w:sz w:val="24"/>
          <w:szCs w:val="24"/>
        </w:rPr>
        <w:t>F</w:t>
      </w:r>
      <w:r w:rsidRPr="144F3E93" w:rsidR="00552709">
        <w:rPr>
          <w:sz w:val="24"/>
          <w:szCs w:val="24"/>
        </w:rPr>
        <w:t xml:space="preserve">orm </w:t>
      </w:r>
      <w:r w:rsidRPr="144F3E93" w:rsidR="00FA24DC">
        <w:rPr>
          <w:sz w:val="24"/>
          <w:szCs w:val="24"/>
        </w:rPr>
        <w:t>HUD-</w:t>
      </w:r>
      <w:r w:rsidRPr="144F3E93" w:rsidR="00552709">
        <w:rPr>
          <w:sz w:val="24"/>
          <w:szCs w:val="24"/>
        </w:rPr>
        <w:t>52698</w:t>
      </w:r>
      <w:r w:rsidRPr="144F3E93" w:rsidR="00C414B0">
        <w:rPr>
          <w:sz w:val="24"/>
          <w:szCs w:val="24"/>
        </w:rPr>
        <w:t xml:space="preserve"> and 52698a</w:t>
      </w:r>
      <w:r w:rsidRPr="144F3E93" w:rsidR="00552709">
        <w:rPr>
          <w:sz w:val="24"/>
          <w:szCs w:val="24"/>
        </w:rPr>
        <w:t xml:space="preserve"> may be considered sensitive, such as information about English proficiency, gender</w:t>
      </w:r>
      <w:r w:rsidRPr="144F3E93" w:rsidR="00FA24DC">
        <w:rPr>
          <w:sz w:val="24"/>
          <w:szCs w:val="24"/>
        </w:rPr>
        <w:t xml:space="preserve"> (including</w:t>
      </w:r>
      <w:r w:rsidRPr="144F3E93" w:rsidR="00552709">
        <w:rPr>
          <w:sz w:val="24"/>
          <w:szCs w:val="24"/>
        </w:rPr>
        <w:t xml:space="preserve"> </w:t>
      </w:r>
      <w:r w:rsidRPr="144F3E93" w:rsidR="00FA24DC">
        <w:rPr>
          <w:sz w:val="24"/>
          <w:szCs w:val="24"/>
        </w:rPr>
        <w:t xml:space="preserve">gender transition), </w:t>
      </w:r>
      <w:r w:rsidRPr="144F3E93" w:rsidR="00DE67BC">
        <w:rPr>
          <w:sz w:val="24"/>
          <w:szCs w:val="24"/>
        </w:rPr>
        <w:t>race, ethnicity, disability status, income, eviction risk, or rental address. Collection of this information is required for HUD to meet its statutory program monitoring and demonstration obligations for the program</w:t>
      </w:r>
      <w:r w:rsidRPr="144F3E93" w:rsidR="00FA24DC">
        <w:rPr>
          <w:sz w:val="24"/>
          <w:szCs w:val="24"/>
        </w:rPr>
        <w:t xml:space="preserve">, as well as its obligation </w:t>
      </w:r>
      <w:r w:rsidRPr="144F3E93" w:rsidR="007049B5">
        <w:rPr>
          <w:sz w:val="24"/>
          <w:szCs w:val="24"/>
        </w:rPr>
        <w:t xml:space="preserve">to </w:t>
      </w:r>
      <w:r w:rsidRPr="144F3E93" w:rsidR="00FA24DC">
        <w:rPr>
          <w:sz w:val="24"/>
          <w:szCs w:val="24"/>
        </w:rPr>
        <w:t>collect demographic information on applicants and beneficiaries under fair housing and other civil rights authorities</w:t>
      </w:r>
      <w:r w:rsidRPr="144F3E93" w:rsidR="00DE67BC">
        <w:rPr>
          <w:sz w:val="24"/>
          <w:szCs w:val="24"/>
        </w:rPr>
        <w:t>.</w:t>
      </w:r>
      <w:r w:rsidRPr="144F3E93" w:rsidR="00552709">
        <w:rPr>
          <w:sz w:val="24"/>
          <w:szCs w:val="24"/>
        </w:rPr>
        <w:t xml:space="preserve"> </w:t>
      </w:r>
      <w:r w:rsidRPr="144F3E93" w:rsidR="00DE67BC">
        <w:rPr>
          <w:sz w:val="24"/>
          <w:szCs w:val="24"/>
        </w:rPr>
        <w:t xml:space="preserve">In addition to taking standard precautions </w:t>
      </w:r>
      <w:r w:rsidRPr="144F3E93" w:rsidR="00856D38">
        <w:rPr>
          <w:sz w:val="24"/>
          <w:szCs w:val="24"/>
        </w:rPr>
        <w:t xml:space="preserve">for </w:t>
      </w:r>
      <w:r w:rsidRPr="144F3E93" w:rsidR="00DE67BC">
        <w:rPr>
          <w:sz w:val="24"/>
          <w:szCs w:val="24"/>
        </w:rPr>
        <w:t xml:space="preserve">the electronic transfer of information, including firewall protection, encryptions, and access security, HUD is </w:t>
      </w:r>
      <w:r w:rsidRPr="144F3E93" w:rsidR="00FA24DC">
        <w:rPr>
          <w:sz w:val="24"/>
          <w:szCs w:val="24"/>
        </w:rPr>
        <w:t xml:space="preserve">minimizing the collection of </w:t>
      </w:r>
      <w:r w:rsidRPr="144F3E93" w:rsidR="00DE67BC">
        <w:rPr>
          <w:sz w:val="24"/>
          <w:szCs w:val="24"/>
        </w:rPr>
        <w:t xml:space="preserve">personally identifying information about </w:t>
      </w:r>
      <w:r w:rsidRPr="144F3E93" w:rsidR="003B6814">
        <w:rPr>
          <w:sz w:val="24"/>
          <w:szCs w:val="24"/>
        </w:rPr>
        <w:t xml:space="preserve">tenants </w:t>
      </w:r>
      <w:r w:rsidRPr="144F3E93" w:rsidR="00DE67BC">
        <w:rPr>
          <w:sz w:val="24"/>
          <w:szCs w:val="24"/>
        </w:rPr>
        <w:t xml:space="preserve">such as </w:t>
      </w:r>
      <w:r w:rsidRPr="144F3E93" w:rsidR="3A437C69">
        <w:rPr>
          <w:sz w:val="24"/>
          <w:szCs w:val="24"/>
        </w:rPr>
        <w:t xml:space="preserve">not requiring </w:t>
      </w:r>
      <w:r w:rsidRPr="144F3E93" w:rsidR="00DE67BC">
        <w:rPr>
          <w:sz w:val="24"/>
          <w:szCs w:val="24"/>
        </w:rPr>
        <w:t xml:space="preserve">name or date of birth. Instead, grantees will </w:t>
      </w:r>
      <w:r w:rsidRPr="144F3E93" w:rsidR="00E561B5">
        <w:rPr>
          <w:sz w:val="24"/>
          <w:szCs w:val="24"/>
        </w:rPr>
        <w:t xml:space="preserve">be </w:t>
      </w:r>
      <w:r w:rsidRPr="144F3E93" w:rsidR="00DE67BC">
        <w:rPr>
          <w:sz w:val="24"/>
          <w:szCs w:val="24"/>
        </w:rPr>
        <w:t xml:space="preserve">asked to assign </w:t>
      </w:r>
      <w:r w:rsidRPr="144F3E93" w:rsidR="00861873">
        <w:rPr>
          <w:sz w:val="24"/>
          <w:szCs w:val="24"/>
        </w:rPr>
        <w:t xml:space="preserve">unique identifying numbers to </w:t>
      </w:r>
      <w:r w:rsidRPr="144F3E93" w:rsidR="003B6814">
        <w:rPr>
          <w:sz w:val="24"/>
          <w:szCs w:val="24"/>
        </w:rPr>
        <w:t xml:space="preserve">tenants </w:t>
      </w:r>
      <w:r w:rsidRPr="144F3E93" w:rsidR="00861873">
        <w:rPr>
          <w:sz w:val="24"/>
          <w:szCs w:val="24"/>
        </w:rPr>
        <w:t>for grant activity reporting.</w:t>
      </w:r>
      <w:r w:rsidRPr="144F3E93" w:rsidR="00DE67BC">
        <w:rPr>
          <w:sz w:val="24"/>
          <w:szCs w:val="24"/>
        </w:rPr>
        <w:t xml:space="preserve"> </w:t>
      </w:r>
      <w:r w:rsidRPr="144F3E93">
        <w:rPr>
          <w:sz w:val="24"/>
          <w:szCs w:val="24"/>
        </w:rPr>
        <w:t>Additionally, the information provided is subject to the Privacy Act.</w:t>
      </w:r>
    </w:p>
    <w:p w:rsidR="00670EF2" w:rsidRPr="0055069C" w:rsidP="00CA1090" w14:paraId="233FCCC2" w14:textId="77777777">
      <w:pPr>
        <w:tabs>
          <w:tab w:val="left" w:pos="360"/>
        </w:tabs>
        <w:rPr>
          <w:sz w:val="24"/>
          <w:szCs w:val="24"/>
        </w:rPr>
      </w:pPr>
    </w:p>
    <w:p w:rsidR="009E13B1" w:rsidRPr="0055069C" w14:paraId="619EE1A7" w14:textId="77777777">
      <w:pPr>
        <w:tabs>
          <w:tab w:val="left" w:pos="360"/>
        </w:tabs>
        <w:ind w:left="360" w:hanging="360"/>
        <w:rPr>
          <w:b/>
          <w:bCs/>
          <w:sz w:val="24"/>
          <w:szCs w:val="24"/>
        </w:rPr>
      </w:pPr>
      <w:r w:rsidRPr="0055069C">
        <w:rPr>
          <w:sz w:val="24"/>
          <w:szCs w:val="24"/>
        </w:rPr>
        <w:t>12.</w:t>
      </w:r>
      <w:r w:rsidRPr="0055069C">
        <w:rPr>
          <w:sz w:val="24"/>
          <w:szCs w:val="24"/>
        </w:rPr>
        <w:tab/>
      </w:r>
      <w:r w:rsidRPr="0055069C">
        <w:rPr>
          <w:b/>
          <w:bCs/>
          <w:sz w:val="24"/>
          <w:szCs w:val="24"/>
        </w:rPr>
        <w:t xml:space="preserve">Provide estimates of the hour burden of the collection of information.  The statement should: </w:t>
      </w:r>
    </w:p>
    <w:p w:rsidR="009E13B1" w:rsidRPr="0055069C" w:rsidP="0B05764F" w14:paraId="27439FD5" w14:textId="622C106D">
      <w:pPr>
        <w:pStyle w:val="ListParagraph"/>
        <w:numPr>
          <w:ilvl w:val="0"/>
          <w:numId w:val="1"/>
        </w:numPr>
        <w:tabs>
          <w:tab w:val="left" w:pos="480"/>
        </w:tabs>
        <w:rPr>
          <w:rFonts w:ascii="Times New Roman" w:hAnsi="Times New Roman"/>
          <w:b/>
          <w:bCs/>
        </w:rPr>
      </w:pPr>
      <w:r w:rsidRPr="0B05764F">
        <w:rPr>
          <w:rFonts w:ascii="Times New Roman" w:hAnsi="Times New Roman"/>
          <w:b/>
          <w:bCs/>
          <w:sz w:val="24"/>
          <w:szCs w:val="24"/>
        </w:rPr>
        <w:t>I</w:t>
      </w:r>
      <w:r w:rsidRPr="0B05764F" w:rsidR="7A030346">
        <w:rPr>
          <w:rFonts w:ascii="Times New Roman" w:hAnsi="Times New Roman"/>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0B05764F" w:rsidR="7A030346">
        <w:rPr>
          <w:rFonts w:ascii="Times New Roman" w:hAnsi="Times New Roman"/>
          <w:b/>
          <w:bCs/>
          <w:sz w:val="24"/>
          <w:szCs w:val="24"/>
        </w:rPr>
        <w:t>hour</w:t>
      </w:r>
      <w:r w:rsidRPr="0B05764F" w:rsidR="7A030346">
        <w:rPr>
          <w:rFonts w:ascii="Times New Roman" w:hAnsi="Times New Roman"/>
          <w:b/>
          <w:bCs/>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B05764F" w:rsidR="690FB2B2">
        <w:rPr>
          <w:rFonts w:ascii="Times New Roman" w:hAnsi="Times New Roman"/>
          <w:b/>
          <w:bCs/>
          <w:sz w:val="24"/>
          <w:szCs w:val="24"/>
        </w:rPr>
        <w:t>Generally,</w:t>
      </w:r>
      <w:r w:rsidRPr="0B05764F" w:rsidR="7A030346">
        <w:rPr>
          <w:rFonts w:ascii="Times New Roman" w:hAnsi="Times New Roman"/>
          <w:b/>
          <w:bCs/>
          <w:sz w:val="24"/>
          <w:szCs w:val="24"/>
        </w:rPr>
        <w:t xml:space="preserve"> estimates should not include burden hours for customary and usual business </w:t>
      </w:r>
      <w:r w:rsidRPr="0B05764F" w:rsidR="7A030346">
        <w:rPr>
          <w:rFonts w:ascii="Times New Roman" w:hAnsi="Times New Roman"/>
          <w:b/>
          <w:bCs/>
          <w:sz w:val="24"/>
          <w:szCs w:val="24"/>
        </w:rPr>
        <w:t>practices;</w:t>
      </w:r>
      <w:r w:rsidRPr="0B05764F" w:rsidR="7A030346">
        <w:rPr>
          <w:rFonts w:ascii="Times New Roman" w:hAnsi="Times New Roman"/>
          <w:b/>
          <w:bCs/>
          <w:sz w:val="24"/>
          <w:szCs w:val="24"/>
        </w:rPr>
        <w:t xml:space="preserve"> </w:t>
      </w:r>
    </w:p>
    <w:p w:rsidR="009E13B1" w:rsidRPr="0055069C" w:rsidP="0B05764F" w14:paraId="685771E3" w14:textId="52FFD27E">
      <w:pPr>
        <w:pStyle w:val="ListParagraph"/>
        <w:numPr>
          <w:ilvl w:val="0"/>
          <w:numId w:val="1"/>
        </w:numPr>
        <w:tabs>
          <w:tab w:val="left" w:pos="480"/>
        </w:tabs>
        <w:rPr>
          <w:rFonts w:ascii="Times New Roman" w:hAnsi="Times New Roman"/>
          <w:b/>
          <w:bCs/>
        </w:rPr>
      </w:pPr>
      <w:r w:rsidRPr="0B05764F">
        <w:rPr>
          <w:rFonts w:ascii="Times New Roman" w:hAnsi="Times New Roman"/>
          <w:b/>
          <w:bCs/>
          <w:sz w:val="24"/>
          <w:szCs w:val="24"/>
        </w:rPr>
        <w:t>I</w:t>
      </w:r>
      <w:r w:rsidRPr="0B05764F" w:rsidR="7A030346">
        <w:rPr>
          <w:rFonts w:ascii="Times New Roman" w:hAnsi="Times New Roman"/>
          <w:b/>
          <w:bCs/>
          <w:sz w:val="24"/>
          <w:szCs w:val="24"/>
        </w:rPr>
        <w:t xml:space="preserve">f this request covers more than one form, provide separate hour burden estimates for each form and aggregate the hour burdens in Item 13 of OMB Form 83-I; and </w:t>
      </w:r>
    </w:p>
    <w:p w:rsidR="009E13B1" w:rsidRPr="0055069C" w:rsidP="0B05764F" w14:paraId="7DB9048D" w14:textId="5BEF4C59">
      <w:pPr>
        <w:pStyle w:val="ListParagraph"/>
        <w:keepLines/>
        <w:numPr>
          <w:ilvl w:val="0"/>
          <w:numId w:val="1"/>
        </w:numPr>
        <w:tabs>
          <w:tab w:val="left" w:pos="480"/>
        </w:tabs>
        <w:rPr>
          <w:rFonts w:ascii="Times New Roman" w:hAnsi="Times New Roman"/>
          <w:b/>
          <w:bCs/>
        </w:rPr>
      </w:pPr>
      <w:r w:rsidRPr="0B05764F">
        <w:rPr>
          <w:rFonts w:ascii="Times New Roman" w:hAnsi="Times New Roman"/>
          <w:b/>
          <w:bCs/>
          <w:sz w:val="24"/>
          <w:szCs w:val="24"/>
        </w:rPr>
        <w:t>P</w:t>
      </w:r>
      <w:r w:rsidRPr="0B05764F" w:rsidR="7A030346">
        <w:rPr>
          <w:rFonts w:ascii="Times New Roman" w:hAnsi="Times New Roman"/>
          <w:b/>
          <w:bCs/>
          <w:sz w:val="24"/>
          <w:szCs w:val="24"/>
        </w:rPr>
        <w:t>rovide estimates of annualized cost to respondents for the hour burdens for collections of information, identifying and using appropriate wage rate categories.  The cost of</w:t>
      </w:r>
      <w:r w:rsidRPr="0B05764F" w:rsidR="798887BF">
        <w:rPr>
          <w:rFonts w:ascii="Times New Roman" w:hAnsi="Times New Roman"/>
          <w:b/>
          <w:bCs/>
          <w:sz w:val="24"/>
          <w:szCs w:val="24"/>
        </w:rPr>
        <w:t xml:space="preserve"> </w:t>
      </w:r>
      <w:r w:rsidRPr="0B05764F" w:rsidR="7A030346">
        <w:rPr>
          <w:rFonts w:ascii="Times New Roman" w:hAnsi="Times New Roman"/>
          <w:b/>
          <w:bCs/>
          <w:sz w:val="24"/>
          <w:szCs w:val="24"/>
        </w:rPr>
        <w:t xml:space="preserve">contracting out or paying outside parties for information collection activities should not be included here.  </w:t>
      </w:r>
      <w:r w:rsidRPr="0B05764F" w:rsidR="7A030346">
        <w:rPr>
          <w:rFonts w:ascii="Times New Roman" w:hAnsi="Times New Roman"/>
          <w:b/>
          <w:bCs/>
          <w:sz w:val="24"/>
          <w:szCs w:val="24"/>
        </w:rPr>
        <w:t>Instead</w:t>
      </w:r>
      <w:r w:rsidRPr="0B05764F" w:rsidR="7A030346">
        <w:rPr>
          <w:rFonts w:ascii="Times New Roman" w:hAnsi="Times New Roman"/>
          <w:b/>
          <w:bCs/>
          <w:sz w:val="24"/>
          <w:szCs w:val="24"/>
        </w:rPr>
        <w:t xml:space="preserve"> this cost should be included in Item 13.</w:t>
      </w:r>
    </w:p>
    <w:p w:rsidR="00411D1B" w:rsidRPr="0055069C" w:rsidP="00411D1B" w14:paraId="3DF0956D" w14:textId="77777777">
      <w:pPr>
        <w:rPr>
          <w:color w:val="000000"/>
          <w:sz w:val="24"/>
          <w:szCs w:val="24"/>
        </w:rPr>
      </w:pPr>
    </w:p>
    <w:p w:rsidR="00411D1B" w:rsidRPr="0055069C" w:rsidP="31F43199" w14:paraId="51A14858" w14:textId="13EDE791">
      <w:pPr>
        <w:spacing w:line="259" w:lineRule="auto"/>
        <w:ind w:left="360"/>
        <w:rPr>
          <w:color w:val="000000" w:themeColor="text1"/>
          <w:sz w:val="24"/>
          <w:szCs w:val="24"/>
        </w:rPr>
      </w:pPr>
      <w:r w:rsidRPr="2FFF701C">
        <w:rPr>
          <w:color w:val="000000" w:themeColor="text1"/>
          <w:sz w:val="24"/>
          <w:szCs w:val="24"/>
        </w:rPr>
        <w:t xml:space="preserve">The initial </w:t>
      </w:r>
      <w:r w:rsidRPr="2FFF701C" w:rsidR="00C44DF5">
        <w:rPr>
          <w:color w:val="000000" w:themeColor="text1"/>
          <w:sz w:val="24"/>
          <w:szCs w:val="24"/>
        </w:rPr>
        <w:t xml:space="preserve">years of program execution resulted in the requirements and estimates shown below for the post award phase. The pre award </w:t>
      </w:r>
      <w:r w:rsidRPr="2FFF701C" w:rsidR="009C4526">
        <w:rPr>
          <w:color w:val="000000" w:themeColor="text1"/>
          <w:sz w:val="24"/>
          <w:szCs w:val="24"/>
        </w:rPr>
        <w:t xml:space="preserve">burden </w:t>
      </w:r>
      <w:r w:rsidRPr="2FFF701C" w:rsidR="2FCA902A">
        <w:rPr>
          <w:color w:val="000000" w:themeColor="text1"/>
          <w:sz w:val="24"/>
          <w:szCs w:val="24"/>
        </w:rPr>
        <w:t xml:space="preserve">has been addressed in Child IC package </w:t>
      </w:r>
      <w:r w:rsidRPr="2FFF701C" w:rsidR="4A11872D">
        <w:rPr>
          <w:color w:val="000000" w:themeColor="text1"/>
          <w:sz w:val="24"/>
          <w:szCs w:val="24"/>
        </w:rPr>
        <w:t>(</w:t>
      </w:r>
      <w:r w:rsidRPr="2FFF701C" w:rsidR="435207DD">
        <w:rPr>
          <w:color w:val="000000" w:themeColor="text1"/>
          <w:sz w:val="24"/>
          <w:szCs w:val="24"/>
        </w:rPr>
        <w:t>OMB Control Number: 2501-0044</w:t>
      </w:r>
      <w:r w:rsidRPr="2FFF701C" w:rsidR="77080F3A">
        <w:rPr>
          <w:color w:val="000000" w:themeColor="text1"/>
          <w:sz w:val="24"/>
          <w:szCs w:val="24"/>
        </w:rPr>
        <w:t xml:space="preserve">, </w:t>
      </w:r>
      <w:r w:rsidRPr="2FFF701C" w:rsidR="70A178D6">
        <w:rPr>
          <w:color w:val="000000" w:themeColor="text1"/>
          <w:sz w:val="24"/>
          <w:szCs w:val="24"/>
        </w:rPr>
        <w:t>Exp.</w:t>
      </w:r>
      <w:r w:rsidRPr="2FFF701C" w:rsidR="005C30E9">
        <w:rPr>
          <w:color w:val="000000" w:themeColor="text1"/>
          <w:sz w:val="24"/>
          <w:szCs w:val="24"/>
        </w:rPr>
        <w:t xml:space="preserve"> </w:t>
      </w:r>
      <w:r w:rsidRPr="2FFF701C" w:rsidR="2B68E1A0">
        <w:rPr>
          <w:color w:val="000000" w:themeColor="text1"/>
          <w:sz w:val="24"/>
          <w:szCs w:val="24"/>
        </w:rPr>
        <w:t>Da</w:t>
      </w:r>
      <w:r w:rsidRPr="2FFF701C" w:rsidR="295A60E2">
        <w:rPr>
          <w:color w:val="000000" w:themeColor="text1"/>
          <w:sz w:val="24"/>
          <w:szCs w:val="24"/>
        </w:rPr>
        <w:t>t</w:t>
      </w:r>
      <w:r w:rsidRPr="2FFF701C" w:rsidR="0068666E">
        <w:rPr>
          <w:color w:val="000000" w:themeColor="text1"/>
          <w:sz w:val="24"/>
          <w:szCs w:val="24"/>
        </w:rPr>
        <w:t>e: 2/27/2027)</w:t>
      </w:r>
      <w:r w:rsidRPr="2FFF701C" w:rsidR="00AF3CC9">
        <w:rPr>
          <w:color w:val="000000" w:themeColor="text1"/>
          <w:sz w:val="24"/>
          <w:szCs w:val="24"/>
        </w:rPr>
        <w:t>.</w:t>
      </w:r>
      <w:r w:rsidRPr="2FFF701C" w:rsidR="0068666E">
        <w:rPr>
          <w:color w:val="000000" w:themeColor="text1"/>
          <w:sz w:val="24"/>
          <w:szCs w:val="24"/>
        </w:rPr>
        <w:t xml:space="preserve"> </w:t>
      </w:r>
      <w:r w:rsidRPr="2FFF701C" w:rsidR="5BD64B44">
        <w:rPr>
          <w:color w:val="000000" w:themeColor="text1"/>
          <w:sz w:val="24"/>
          <w:szCs w:val="24"/>
        </w:rPr>
        <w:t>In early 2024 OMB released an update to the federal race and ethnicity categories a</w:t>
      </w:r>
      <w:r w:rsidRPr="2FFF701C" w:rsidR="01089124">
        <w:rPr>
          <w:color w:val="000000" w:themeColor="text1"/>
          <w:sz w:val="24"/>
          <w:szCs w:val="24"/>
        </w:rPr>
        <w:t xml:space="preserve">nd </w:t>
      </w:r>
      <w:r w:rsidRPr="2FFF701C" w:rsidR="5BD64B44">
        <w:rPr>
          <w:color w:val="000000" w:themeColor="text1"/>
          <w:sz w:val="24"/>
          <w:szCs w:val="24"/>
        </w:rPr>
        <w:t xml:space="preserve">revised </w:t>
      </w:r>
      <w:r w:rsidRPr="2FFF701C" w:rsidR="00AF3CC9">
        <w:rPr>
          <w:color w:val="000000" w:themeColor="text1"/>
          <w:sz w:val="24"/>
          <w:szCs w:val="24"/>
        </w:rPr>
        <w:t xml:space="preserve">its </w:t>
      </w:r>
      <w:r w:rsidRPr="2FFF701C" w:rsidR="5BD64B44">
        <w:rPr>
          <w:color w:val="000000" w:themeColor="text1"/>
          <w:sz w:val="24"/>
          <w:szCs w:val="24"/>
        </w:rPr>
        <w:t xml:space="preserve">rules for implementation. </w:t>
      </w:r>
      <w:r w:rsidRPr="2FFF701C" w:rsidR="4E68FF54">
        <w:rPr>
          <w:color w:val="000000" w:themeColor="text1"/>
          <w:sz w:val="24"/>
          <w:szCs w:val="24"/>
        </w:rPr>
        <w:t xml:space="preserve">This affected </w:t>
      </w:r>
      <w:r w:rsidRPr="2FFF701C" w:rsidR="0002514D">
        <w:rPr>
          <w:color w:val="000000" w:themeColor="text1"/>
          <w:sz w:val="24"/>
          <w:szCs w:val="24"/>
        </w:rPr>
        <w:t xml:space="preserve">the HUD </w:t>
      </w:r>
      <w:r w:rsidRPr="2FFF701C" w:rsidR="4E68FF54">
        <w:rPr>
          <w:color w:val="000000" w:themeColor="text1"/>
          <w:sz w:val="24"/>
          <w:szCs w:val="24"/>
        </w:rPr>
        <w:t xml:space="preserve">52698 draft in progress, and </w:t>
      </w:r>
      <w:r w:rsidRPr="2FFF701C" w:rsidR="68DF6DEE">
        <w:rPr>
          <w:color w:val="000000" w:themeColor="text1"/>
          <w:sz w:val="24"/>
          <w:szCs w:val="24"/>
        </w:rPr>
        <w:t xml:space="preserve">it was modified to meet the minimal data collection requirements. The minimal collection was proposed because </w:t>
      </w:r>
      <w:r w:rsidRPr="2FFF701C" w:rsidR="2584F1EF">
        <w:rPr>
          <w:color w:val="000000" w:themeColor="text1"/>
          <w:sz w:val="24"/>
          <w:szCs w:val="24"/>
        </w:rPr>
        <w:t xml:space="preserve">it parallels the data previously collected by EPGP, and because </w:t>
      </w:r>
      <w:r w:rsidRPr="2FFF701C" w:rsidR="5B9845FD">
        <w:rPr>
          <w:color w:val="000000" w:themeColor="text1"/>
          <w:sz w:val="24"/>
          <w:szCs w:val="24"/>
        </w:rPr>
        <w:t>additional collections</w:t>
      </w:r>
      <w:r w:rsidRPr="2FFF701C" w:rsidR="2584F1EF">
        <w:rPr>
          <w:color w:val="000000" w:themeColor="text1"/>
          <w:sz w:val="24"/>
          <w:szCs w:val="24"/>
        </w:rPr>
        <w:t xml:space="preserve"> increase burden and </w:t>
      </w:r>
      <w:r w:rsidRPr="2FFF701C" w:rsidR="42978807">
        <w:rPr>
          <w:color w:val="000000" w:themeColor="text1"/>
          <w:sz w:val="24"/>
          <w:szCs w:val="24"/>
        </w:rPr>
        <w:t xml:space="preserve">may </w:t>
      </w:r>
      <w:r w:rsidRPr="2FFF701C" w:rsidR="2584F1EF">
        <w:rPr>
          <w:color w:val="000000" w:themeColor="text1"/>
          <w:sz w:val="24"/>
          <w:szCs w:val="24"/>
        </w:rPr>
        <w:t>affect</w:t>
      </w:r>
      <w:r w:rsidRPr="2FFF701C" w:rsidR="710325FD">
        <w:rPr>
          <w:color w:val="000000" w:themeColor="text1"/>
          <w:sz w:val="24"/>
          <w:szCs w:val="24"/>
        </w:rPr>
        <w:t xml:space="preserve"> the</w:t>
      </w:r>
      <w:r w:rsidRPr="2FFF701C" w:rsidR="2584F1EF">
        <w:rPr>
          <w:color w:val="000000" w:themeColor="text1"/>
          <w:sz w:val="24"/>
          <w:szCs w:val="24"/>
        </w:rPr>
        <w:t xml:space="preserve"> relationships between tenants and their legal service providers</w:t>
      </w:r>
      <w:r w:rsidRPr="2FFF701C" w:rsidR="68DF6DEE">
        <w:rPr>
          <w:color w:val="000000" w:themeColor="text1"/>
          <w:sz w:val="24"/>
          <w:szCs w:val="24"/>
        </w:rPr>
        <w:t xml:space="preserve">. </w:t>
      </w:r>
      <w:r w:rsidRPr="2FFF701C" w:rsidR="0811CC47">
        <w:rPr>
          <w:color w:val="000000" w:themeColor="text1"/>
          <w:sz w:val="24"/>
          <w:szCs w:val="24"/>
        </w:rPr>
        <w:t xml:space="preserve">Requiring more detailed race and ethnicity data may </w:t>
      </w:r>
      <w:r w:rsidRPr="2FFF701C" w:rsidR="078D9A25">
        <w:rPr>
          <w:color w:val="000000" w:themeColor="text1"/>
          <w:sz w:val="24"/>
          <w:szCs w:val="24"/>
        </w:rPr>
        <w:t xml:space="preserve">deter </w:t>
      </w:r>
      <w:r w:rsidRPr="2FFF701C" w:rsidR="71C743ED">
        <w:rPr>
          <w:color w:val="000000" w:themeColor="text1"/>
          <w:sz w:val="24"/>
          <w:szCs w:val="24"/>
        </w:rPr>
        <w:t xml:space="preserve">the participation of </w:t>
      </w:r>
      <w:r w:rsidRPr="2FFF701C" w:rsidR="0811CC47">
        <w:rPr>
          <w:color w:val="000000" w:themeColor="text1"/>
          <w:sz w:val="24"/>
          <w:szCs w:val="24"/>
        </w:rPr>
        <w:t xml:space="preserve">some tenants at risk of </w:t>
      </w:r>
      <w:r w:rsidRPr="2FFF701C" w:rsidR="6D2D8A1C">
        <w:rPr>
          <w:color w:val="000000" w:themeColor="text1"/>
          <w:sz w:val="24"/>
          <w:szCs w:val="24"/>
        </w:rPr>
        <w:t>eviction</w:t>
      </w:r>
      <w:r w:rsidRPr="2FFF701C" w:rsidR="0811CC47">
        <w:rPr>
          <w:color w:val="000000" w:themeColor="text1"/>
          <w:sz w:val="24"/>
          <w:szCs w:val="24"/>
        </w:rPr>
        <w:t xml:space="preserve">. </w:t>
      </w:r>
      <w:r w:rsidRPr="2FFF701C" w:rsidR="68DF6DEE">
        <w:rPr>
          <w:color w:val="000000" w:themeColor="text1"/>
          <w:sz w:val="24"/>
          <w:szCs w:val="24"/>
        </w:rPr>
        <w:t xml:space="preserve">HUD does not believe that </w:t>
      </w:r>
      <w:r w:rsidRPr="2FFF701C" w:rsidR="7A994F9F">
        <w:rPr>
          <w:color w:val="000000" w:themeColor="text1"/>
          <w:sz w:val="24"/>
          <w:szCs w:val="24"/>
        </w:rPr>
        <w:t>changing to the new minimal categories will affect the response burden</w:t>
      </w:r>
      <w:r w:rsidRPr="2FFF701C" w:rsidR="4E68FF54">
        <w:rPr>
          <w:color w:val="000000" w:themeColor="text1"/>
          <w:sz w:val="24"/>
          <w:szCs w:val="24"/>
        </w:rPr>
        <w:t xml:space="preserve">. </w:t>
      </w:r>
    </w:p>
    <w:p w:rsidR="001B0D43" w:rsidRPr="0055069C" w:rsidP="00411D1B" w14:paraId="33613854" w14:textId="77777777">
      <w:pPr>
        <w:ind w:left="360"/>
        <w:rPr>
          <w:bCs/>
          <w:color w:val="000000"/>
          <w:sz w:val="24"/>
          <w:szCs w:val="24"/>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1170"/>
        <w:gridCol w:w="1170"/>
        <w:gridCol w:w="1080"/>
        <w:gridCol w:w="1350"/>
        <w:gridCol w:w="1080"/>
        <w:gridCol w:w="1193"/>
        <w:gridCol w:w="1260"/>
      </w:tblGrid>
      <w:tr w14:paraId="03BD18C8" w14:textId="77777777" w:rsidTr="007267DF">
        <w:tblPrEx>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47" w:type="dxa"/>
            <w:shd w:val="clear" w:color="auto" w:fill="auto"/>
            <w:vAlign w:val="center"/>
          </w:tcPr>
          <w:p w:rsidR="00F35FE2" w:rsidRPr="007267DF" w:rsidP="007267DF" w14:paraId="33BAB89F" w14:textId="77777777">
            <w:pPr>
              <w:jc w:val="center"/>
              <w:rPr>
                <w:b/>
                <w:bCs/>
                <w:color w:val="000000"/>
                <w:sz w:val="18"/>
                <w:szCs w:val="18"/>
              </w:rPr>
            </w:pPr>
            <w:bookmarkStart w:id="0" w:name="_Hlk73713326"/>
            <w:r w:rsidRPr="007267DF">
              <w:rPr>
                <w:b/>
                <w:bCs/>
                <w:color w:val="000000"/>
                <w:sz w:val="18"/>
                <w:szCs w:val="18"/>
              </w:rPr>
              <w:t>Information Collection</w:t>
            </w:r>
          </w:p>
        </w:tc>
        <w:tc>
          <w:tcPr>
            <w:tcW w:w="1170" w:type="dxa"/>
            <w:shd w:val="clear" w:color="auto" w:fill="auto"/>
            <w:vAlign w:val="center"/>
          </w:tcPr>
          <w:p w:rsidR="00F35FE2" w:rsidRPr="007267DF" w:rsidP="007267DF" w14:paraId="1D4977E4" w14:textId="77777777">
            <w:pPr>
              <w:ind w:right="-108"/>
              <w:jc w:val="center"/>
              <w:rPr>
                <w:b/>
                <w:bCs/>
                <w:color w:val="000000"/>
                <w:sz w:val="18"/>
                <w:szCs w:val="18"/>
              </w:rPr>
            </w:pPr>
            <w:r w:rsidRPr="007267DF">
              <w:rPr>
                <w:b/>
                <w:bCs/>
                <w:color w:val="000000"/>
                <w:sz w:val="18"/>
                <w:szCs w:val="18"/>
              </w:rPr>
              <w:t>Number of Respondents</w:t>
            </w:r>
          </w:p>
        </w:tc>
        <w:tc>
          <w:tcPr>
            <w:tcW w:w="1170" w:type="dxa"/>
            <w:shd w:val="clear" w:color="auto" w:fill="auto"/>
            <w:vAlign w:val="center"/>
          </w:tcPr>
          <w:p w:rsidR="00F35FE2" w:rsidRPr="007267DF" w:rsidP="007267DF" w14:paraId="26892E49" w14:textId="77777777">
            <w:pPr>
              <w:ind w:left="72" w:right="-108"/>
              <w:rPr>
                <w:b/>
                <w:bCs/>
                <w:color w:val="000000"/>
                <w:sz w:val="18"/>
                <w:szCs w:val="18"/>
              </w:rPr>
            </w:pPr>
            <w:r w:rsidRPr="007267DF">
              <w:rPr>
                <w:b/>
                <w:bCs/>
                <w:color w:val="000000"/>
                <w:sz w:val="18"/>
                <w:szCs w:val="18"/>
              </w:rPr>
              <w:t>Frequency of Response</w:t>
            </w:r>
          </w:p>
        </w:tc>
        <w:tc>
          <w:tcPr>
            <w:tcW w:w="1080" w:type="dxa"/>
            <w:shd w:val="clear" w:color="auto" w:fill="auto"/>
            <w:vAlign w:val="center"/>
          </w:tcPr>
          <w:p w:rsidR="00F35FE2" w:rsidRPr="007267DF" w:rsidP="007267DF" w14:paraId="77C172CB" w14:textId="77777777">
            <w:pPr>
              <w:jc w:val="center"/>
              <w:rPr>
                <w:b/>
                <w:bCs/>
                <w:color w:val="000000"/>
                <w:sz w:val="18"/>
                <w:szCs w:val="18"/>
              </w:rPr>
            </w:pPr>
            <w:r w:rsidRPr="007267DF">
              <w:rPr>
                <w:b/>
                <w:bCs/>
                <w:color w:val="000000"/>
                <w:sz w:val="18"/>
                <w:szCs w:val="18"/>
              </w:rPr>
              <w:t>Responses Per Year</w:t>
            </w:r>
          </w:p>
        </w:tc>
        <w:tc>
          <w:tcPr>
            <w:tcW w:w="1350" w:type="dxa"/>
            <w:shd w:val="clear" w:color="auto" w:fill="auto"/>
            <w:vAlign w:val="center"/>
          </w:tcPr>
          <w:p w:rsidR="00F35FE2" w:rsidRPr="007267DF" w:rsidP="007267DF" w14:paraId="535DD280" w14:textId="3E35CF55">
            <w:pPr>
              <w:ind w:right="-108"/>
              <w:jc w:val="center"/>
              <w:rPr>
                <w:b/>
                <w:bCs/>
                <w:color w:val="000000"/>
                <w:sz w:val="18"/>
                <w:szCs w:val="18"/>
              </w:rPr>
            </w:pPr>
            <w:r w:rsidRPr="007267DF">
              <w:rPr>
                <w:b/>
                <w:bCs/>
                <w:color w:val="000000"/>
                <w:sz w:val="18"/>
                <w:szCs w:val="18"/>
              </w:rPr>
              <w:t>Burden Hours Per Response</w:t>
            </w:r>
          </w:p>
        </w:tc>
        <w:tc>
          <w:tcPr>
            <w:tcW w:w="1080" w:type="dxa"/>
            <w:shd w:val="clear" w:color="auto" w:fill="auto"/>
            <w:vAlign w:val="center"/>
          </w:tcPr>
          <w:p w:rsidR="00F35FE2" w:rsidRPr="007267DF" w:rsidP="007267DF" w14:paraId="516162F9" w14:textId="77777777">
            <w:pPr>
              <w:ind w:right="-108"/>
              <w:jc w:val="center"/>
              <w:rPr>
                <w:b/>
                <w:bCs/>
                <w:color w:val="000000"/>
                <w:sz w:val="18"/>
                <w:szCs w:val="18"/>
              </w:rPr>
            </w:pPr>
            <w:r w:rsidRPr="007267DF">
              <w:rPr>
                <w:b/>
                <w:bCs/>
                <w:color w:val="000000"/>
                <w:sz w:val="18"/>
                <w:szCs w:val="18"/>
              </w:rPr>
              <w:t>Annual Burden Hours</w:t>
            </w:r>
          </w:p>
        </w:tc>
        <w:tc>
          <w:tcPr>
            <w:tcW w:w="1193" w:type="dxa"/>
            <w:shd w:val="clear" w:color="auto" w:fill="auto"/>
            <w:vAlign w:val="center"/>
          </w:tcPr>
          <w:p w:rsidR="00F35FE2" w:rsidRPr="007267DF" w:rsidP="007267DF" w14:paraId="580141E9" w14:textId="798E8F41">
            <w:pPr>
              <w:ind w:right="-108"/>
              <w:jc w:val="center"/>
              <w:rPr>
                <w:b/>
                <w:bCs/>
                <w:color w:val="000000"/>
                <w:sz w:val="18"/>
                <w:szCs w:val="18"/>
              </w:rPr>
            </w:pPr>
            <w:r w:rsidRPr="007267DF">
              <w:rPr>
                <w:b/>
                <w:bCs/>
                <w:color w:val="000000"/>
                <w:sz w:val="18"/>
                <w:szCs w:val="18"/>
              </w:rPr>
              <w:t>Hourly Cost per Response</w:t>
            </w:r>
          </w:p>
        </w:tc>
        <w:tc>
          <w:tcPr>
            <w:tcW w:w="1260" w:type="dxa"/>
            <w:shd w:val="clear" w:color="auto" w:fill="auto"/>
          </w:tcPr>
          <w:p w:rsidR="00F35FE2" w:rsidRPr="007267DF" w:rsidP="007267DF" w14:paraId="434A5C50" w14:textId="77777777">
            <w:pPr>
              <w:ind w:right="-108"/>
              <w:jc w:val="center"/>
              <w:rPr>
                <w:b/>
                <w:bCs/>
                <w:color w:val="000000"/>
                <w:sz w:val="18"/>
                <w:szCs w:val="18"/>
              </w:rPr>
            </w:pPr>
          </w:p>
          <w:p w:rsidR="00F35FE2" w:rsidRPr="007267DF" w:rsidP="007267DF" w14:paraId="16C44CA5" w14:textId="77777777">
            <w:pPr>
              <w:ind w:right="-108"/>
              <w:jc w:val="center"/>
              <w:rPr>
                <w:b/>
                <w:bCs/>
                <w:color w:val="000000"/>
                <w:sz w:val="18"/>
                <w:szCs w:val="18"/>
              </w:rPr>
            </w:pPr>
            <w:r w:rsidRPr="007267DF">
              <w:rPr>
                <w:b/>
                <w:bCs/>
                <w:color w:val="000000"/>
                <w:sz w:val="18"/>
                <w:szCs w:val="18"/>
              </w:rPr>
              <w:t>Total Annual Respondent Cost</w:t>
            </w:r>
          </w:p>
        </w:tc>
      </w:tr>
      <w:tr w14:paraId="1D43DB01" w14:textId="77777777" w:rsidTr="007267DF">
        <w:tblPrEx>
          <w:tblW w:w="10350" w:type="dxa"/>
          <w:tblInd w:w="108" w:type="dxa"/>
          <w:tblLayout w:type="fixed"/>
          <w:tblLook w:val="0000"/>
        </w:tblPrEx>
        <w:tc>
          <w:tcPr>
            <w:tcW w:w="2047" w:type="dxa"/>
            <w:shd w:val="clear" w:color="auto" w:fill="auto"/>
            <w:vAlign w:val="center"/>
          </w:tcPr>
          <w:p w:rsidR="00393F64" w:rsidRPr="007267DF" w:rsidP="00393F64" w14:paraId="2813873C" w14:textId="77777777">
            <w:pPr>
              <w:rPr>
                <w:bCs/>
                <w:color w:val="000000"/>
                <w:sz w:val="18"/>
                <w:szCs w:val="18"/>
              </w:rPr>
            </w:pPr>
            <w:r w:rsidRPr="007267DF">
              <w:rPr>
                <w:bCs/>
                <w:color w:val="000000"/>
                <w:sz w:val="18"/>
                <w:szCs w:val="18"/>
              </w:rPr>
              <w:t xml:space="preserve">Grant </w:t>
            </w:r>
            <w:r w:rsidRPr="007267DF" w:rsidR="003D4F43">
              <w:rPr>
                <w:bCs/>
                <w:color w:val="000000"/>
                <w:sz w:val="18"/>
                <w:szCs w:val="18"/>
              </w:rPr>
              <w:t>work plan</w:t>
            </w:r>
          </w:p>
        </w:tc>
        <w:tc>
          <w:tcPr>
            <w:tcW w:w="1170" w:type="dxa"/>
            <w:shd w:val="clear" w:color="auto" w:fill="auto"/>
            <w:vAlign w:val="center"/>
          </w:tcPr>
          <w:p w:rsidR="00393F64" w:rsidRPr="007267DF" w:rsidP="000157F5" w14:paraId="1037CCFC" w14:textId="442227DB">
            <w:pPr>
              <w:jc w:val="right"/>
              <w:rPr>
                <w:bCs/>
                <w:color w:val="000000"/>
                <w:sz w:val="18"/>
                <w:szCs w:val="18"/>
              </w:rPr>
            </w:pPr>
            <w:r w:rsidRPr="007267DF">
              <w:rPr>
                <w:bCs/>
                <w:color w:val="000000"/>
                <w:sz w:val="18"/>
                <w:szCs w:val="18"/>
              </w:rPr>
              <w:t>2</w:t>
            </w:r>
            <w:r w:rsidRPr="007267DF" w:rsidR="00C414B0">
              <w:rPr>
                <w:bCs/>
                <w:color w:val="000000"/>
                <w:sz w:val="18"/>
                <w:szCs w:val="18"/>
              </w:rPr>
              <w:t>1</w:t>
            </w:r>
          </w:p>
        </w:tc>
        <w:tc>
          <w:tcPr>
            <w:tcW w:w="1170" w:type="dxa"/>
            <w:shd w:val="clear" w:color="auto" w:fill="auto"/>
            <w:vAlign w:val="center"/>
          </w:tcPr>
          <w:p w:rsidR="00393F64" w:rsidRPr="007267DF" w:rsidP="000157F5" w14:paraId="47BF9E43" w14:textId="77777777">
            <w:pPr>
              <w:jc w:val="right"/>
              <w:rPr>
                <w:bCs/>
                <w:color w:val="000000"/>
                <w:sz w:val="18"/>
                <w:szCs w:val="18"/>
              </w:rPr>
            </w:pPr>
            <w:r w:rsidRPr="007267DF">
              <w:rPr>
                <w:bCs/>
                <w:color w:val="000000"/>
                <w:sz w:val="18"/>
                <w:szCs w:val="18"/>
              </w:rPr>
              <w:t>1</w:t>
            </w:r>
          </w:p>
        </w:tc>
        <w:tc>
          <w:tcPr>
            <w:tcW w:w="1080" w:type="dxa"/>
            <w:shd w:val="clear" w:color="auto" w:fill="auto"/>
            <w:vAlign w:val="center"/>
          </w:tcPr>
          <w:p w:rsidR="00393F64" w:rsidRPr="007267DF" w:rsidP="000157F5" w14:paraId="1D274B75" w14:textId="6D5FDC8A">
            <w:pPr>
              <w:jc w:val="right"/>
              <w:rPr>
                <w:bCs/>
                <w:color w:val="000000"/>
                <w:sz w:val="18"/>
                <w:szCs w:val="18"/>
              </w:rPr>
            </w:pPr>
            <w:r w:rsidRPr="007267DF">
              <w:rPr>
                <w:bCs/>
                <w:color w:val="000000"/>
                <w:sz w:val="18"/>
                <w:szCs w:val="18"/>
              </w:rPr>
              <w:t>2</w:t>
            </w:r>
            <w:r w:rsidRPr="007267DF" w:rsidR="00A91A74">
              <w:rPr>
                <w:bCs/>
                <w:color w:val="000000"/>
                <w:sz w:val="18"/>
                <w:szCs w:val="18"/>
              </w:rPr>
              <w:t>1</w:t>
            </w:r>
          </w:p>
        </w:tc>
        <w:tc>
          <w:tcPr>
            <w:tcW w:w="1350" w:type="dxa"/>
            <w:shd w:val="clear" w:color="auto" w:fill="auto"/>
            <w:vAlign w:val="center"/>
          </w:tcPr>
          <w:p w:rsidR="00393F64" w:rsidRPr="007267DF" w:rsidP="000157F5" w14:paraId="07867630" w14:textId="77777777">
            <w:pPr>
              <w:jc w:val="right"/>
              <w:rPr>
                <w:bCs/>
                <w:color w:val="000000"/>
                <w:sz w:val="18"/>
                <w:szCs w:val="18"/>
              </w:rPr>
            </w:pPr>
            <w:r w:rsidRPr="007267DF">
              <w:rPr>
                <w:bCs/>
                <w:color w:val="000000"/>
                <w:sz w:val="18"/>
                <w:szCs w:val="18"/>
              </w:rPr>
              <w:t>2</w:t>
            </w:r>
          </w:p>
        </w:tc>
        <w:tc>
          <w:tcPr>
            <w:tcW w:w="1080" w:type="dxa"/>
            <w:shd w:val="clear" w:color="auto" w:fill="auto"/>
            <w:vAlign w:val="center"/>
          </w:tcPr>
          <w:p w:rsidR="00393F64" w:rsidRPr="007267DF" w:rsidP="000157F5" w14:paraId="4C70C922" w14:textId="119C8E20">
            <w:pPr>
              <w:jc w:val="right"/>
              <w:rPr>
                <w:bCs/>
                <w:color w:val="000000"/>
                <w:sz w:val="18"/>
                <w:szCs w:val="18"/>
              </w:rPr>
            </w:pPr>
            <w:r w:rsidRPr="007267DF">
              <w:rPr>
                <w:bCs/>
                <w:color w:val="000000"/>
                <w:sz w:val="18"/>
                <w:szCs w:val="18"/>
              </w:rPr>
              <w:t>4</w:t>
            </w:r>
            <w:r w:rsidRPr="007267DF" w:rsidR="007B3D2D">
              <w:rPr>
                <w:bCs/>
                <w:color w:val="000000"/>
                <w:sz w:val="18"/>
                <w:szCs w:val="18"/>
              </w:rPr>
              <w:t>2</w:t>
            </w:r>
          </w:p>
        </w:tc>
        <w:tc>
          <w:tcPr>
            <w:tcW w:w="1193" w:type="dxa"/>
            <w:shd w:val="clear" w:color="auto" w:fill="auto"/>
            <w:vAlign w:val="center"/>
          </w:tcPr>
          <w:p w:rsidR="00393F64" w:rsidRPr="007267DF" w:rsidP="2EB7D73D" w14:paraId="1DE0F1F3" w14:textId="7AD82F6D">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393F64" w:rsidRPr="007267DF" w:rsidP="2EB7D73D" w14:paraId="59AEAD86" w14:textId="728BA39E">
            <w:pPr>
              <w:jc w:val="right"/>
              <w:rPr>
                <w:color w:val="000000"/>
                <w:sz w:val="18"/>
                <w:szCs w:val="18"/>
              </w:rPr>
            </w:pPr>
            <w:r w:rsidRPr="007267DF">
              <w:rPr>
                <w:color w:val="000000" w:themeColor="text1"/>
                <w:sz w:val="18"/>
                <w:szCs w:val="18"/>
              </w:rPr>
              <w:t>$</w:t>
            </w:r>
            <w:r w:rsidRPr="007267DF" w:rsidR="5E57E44F">
              <w:rPr>
                <w:color w:val="000000" w:themeColor="text1"/>
                <w:sz w:val="18"/>
                <w:szCs w:val="18"/>
              </w:rPr>
              <w:t>2,</w:t>
            </w:r>
            <w:r w:rsidRPr="007267DF" w:rsidR="1BAB01CA">
              <w:rPr>
                <w:color w:val="000000" w:themeColor="text1"/>
                <w:sz w:val="18"/>
                <w:szCs w:val="18"/>
              </w:rPr>
              <w:t>57</w:t>
            </w:r>
            <w:r w:rsidR="0043276A">
              <w:rPr>
                <w:color w:val="000000" w:themeColor="text1"/>
                <w:sz w:val="18"/>
                <w:szCs w:val="18"/>
              </w:rPr>
              <w:t>5.8</w:t>
            </w:r>
            <w:r w:rsidRPr="007267DF" w:rsidR="1BAB01CA">
              <w:rPr>
                <w:color w:val="000000" w:themeColor="text1"/>
                <w:sz w:val="18"/>
                <w:szCs w:val="18"/>
              </w:rPr>
              <w:t>6</w:t>
            </w:r>
          </w:p>
        </w:tc>
      </w:tr>
      <w:tr w14:paraId="7560644C" w14:textId="77777777" w:rsidTr="007267DF">
        <w:tblPrEx>
          <w:tblW w:w="10350" w:type="dxa"/>
          <w:tblInd w:w="108" w:type="dxa"/>
          <w:tblLayout w:type="fixed"/>
          <w:tblLook w:val="0000"/>
        </w:tblPrEx>
        <w:tc>
          <w:tcPr>
            <w:tcW w:w="2047" w:type="dxa"/>
            <w:shd w:val="clear" w:color="auto" w:fill="auto"/>
          </w:tcPr>
          <w:p w:rsidR="00393F64" w:rsidRPr="007267DF" w:rsidP="000157F5" w14:paraId="4F35695D" w14:textId="77777777">
            <w:pPr>
              <w:rPr>
                <w:bCs/>
                <w:color w:val="000000"/>
                <w:sz w:val="18"/>
                <w:szCs w:val="18"/>
              </w:rPr>
            </w:pPr>
            <w:r w:rsidRPr="007267DF">
              <w:rPr>
                <w:sz w:val="18"/>
                <w:szCs w:val="18"/>
              </w:rPr>
              <w:t>Detailed Budget Worksheet, 424 CBW</w:t>
            </w:r>
          </w:p>
        </w:tc>
        <w:tc>
          <w:tcPr>
            <w:tcW w:w="1170" w:type="dxa"/>
            <w:shd w:val="clear" w:color="auto" w:fill="auto"/>
            <w:vAlign w:val="center"/>
          </w:tcPr>
          <w:p w:rsidR="00393F64" w:rsidRPr="007267DF" w:rsidP="000157F5" w14:paraId="4F17F0DF" w14:textId="509DC7C3">
            <w:pPr>
              <w:jc w:val="right"/>
              <w:rPr>
                <w:bCs/>
                <w:color w:val="000000"/>
                <w:sz w:val="18"/>
                <w:szCs w:val="18"/>
              </w:rPr>
            </w:pPr>
            <w:r w:rsidRPr="007267DF">
              <w:rPr>
                <w:bCs/>
                <w:color w:val="000000"/>
                <w:sz w:val="18"/>
                <w:szCs w:val="18"/>
              </w:rPr>
              <w:t>2</w:t>
            </w:r>
            <w:r w:rsidRPr="007267DF" w:rsidR="00C414B0">
              <w:rPr>
                <w:bCs/>
                <w:color w:val="000000"/>
                <w:sz w:val="18"/>
                <w:szCs w:val="18"/>
              </w:rPr>
              <w:t>1</w:t>
            </w:r>
          </w:p>
        </w:tc>
        <w:tc>
          <w:tcPr>
            <w:tcW w:w="1170" w:type="dxa"/>
            <w:shd w:val="clear" w:color="auto" w:fill="auto"/>
            <w:vAlign w:val="center"/>
          </w:tcPr>
          <w:p w:rsidR="00393F64" w:rsidRPr="007267DF" w:rsidP="000157F5" w14:paraId="64807DEA" w14:textId="77777777">
            <w:pPr>
              <w:jc w:val="right"/>
              <w:rPr>
                <w:bCs/>
                <w:color w:val="000000"/>
                <w:sz w:val="18"/>
                <w:szCs w:val="18"/>
              </w:rPr>
            </w:pPr>
            <w:r w:rsidRPr="007267DF">
              <w:rPr>
                <w:bCs/>
                <w:color w:val="000000"/>
                <w:sz w:val="18"/>
                <w:szCs w:val="18"/>
              </w:rPr>
              <w:t>1</w:t>
            </w:r>
          </w:p>
        </w:tc>
        <w:tc>
          <w:tcPr>
            <w:tcW w:w="1080" w:type="dxa"/>
            <w:shd w:val="clear" w:color="auto" w:fill="auto"/>
            <w:vAlign w:val="center"/>
          </w:tcPr>
          <w:p w:rsidR="00393F64" w:rsidRPr="007267DF" w:rsidP="000157F5" w14:paraId="306B7138" w14:textId="500564DF">
            <w:pPr>
              <w:jc w:val="right"/>
              <w:rPr>
                <w:bCs/>
                <w:color w:val="000000"/>
                <w:sz w:val="18"/>
                <w:szCs w:val="18"/>
              </w:rPr>
            </w:pPr>
            <w:r w:rsidRPr="007267DF">
              <w:rPr>
                <w:bCs/>
                <w:color w:val="000000"/>
                <w:sz w:val="18"/>
                <w:szCs w:val="18"/>
              </w:rPr>
              <w:t>2</w:t>
            </w:r>
            <w:r w:rsidRPr="007267DF" w:rsidR="00A91A74">
              <w:rPr>
                <w:bCs/>
                <w:color w:val="000000"/>
                <w:sz w:val="18"/>
                <w:szCs w:val="18"/>
              </w:rPr>
              <w:t>1</w:t>
            </w:r>
          </w:p>
        </w:tc>
        <w:tc>
          <w:tcPr>
            <w:tcW w:w="1350" w:type="dxa"/>
            <w:shd w:val="clear" w:color="auto" w:fill="auto"/>
            <w:vAlign w:val="center"/>
          </w:tcPr>
          <w:p w:rsidR="00393F64" w:rsidRPr="007267DF" w:rsidP="000157F5" w14:paraId="24E34ACF" w14:textId="37AF015D">
            <w:pPr>
              <w:jc w:val="right"/>
              <w:rPr>
                <w:bCs/>
                <w:color w:val="000000"/>
                <w:sz w:val="18"/>
                <w:szCs w:val="18"/>
              </w:rPr>
            </w:pPr>
            <w:r w:rsidRPr="007267DF">
              <w:rPr>
                <w:bCs/>
                <w:color w:val="000000"/>
                <w:sz w:val="18"/>
                <w:szCs w:val="18"/>
              </w:rPr>
              <w:t>3</w:t>
            </w:r>
          </w:p>
        </w:tc>
        <w:tc>
          <w:tcPr>
            <w:tcW w:w="1080" w:type="dxa"/>
            <w:shd w:val="clear" w:color="auto" w:fill="auto"/>
            <w:vAlign w:val="center"/>
          </w:tcPr>
          <w:p w:rsidR="00393F64" w:rsidRPr="007267DF" w:rsidP="000157F5" w14:paraId="3EB9BC65" w14:textId="1E9D1831">
            <w:pPr>
              <w:jc w:val="right"/>
              <w:rPr>
                <w:bCs/>
                <w:color w:val="000000"/>
                <w:sz w:val="18"/>
                <w:szCs w:val="18"/>
              </w:rPr>
            </w:pPr>
            <w:r w:rsidRPr="007267DF">
              <w:rPr>
                <w:bCs/>
                <w:color w:val="000000"/>
                <w:sz w:val="18"/>
                <w:szCs w:val="18"/>
              </w:rPr>
              <w:t>6</w:t>
            </w:r>
            <w:r w:rsidR="0043276A">
              <w:rPr>
                <w:bCs/>
                <w:color w:val="000000"/>
                <w:sz w:val="18"/>
                <w:szCs w:val="18"/>
              </w:rPr>
              <w:t>3</w:t>
            </w:r>
          </w:p>
        </w:tc>
        <w:tc>
          <w:tcPr>
            <w:tcW w:w="1193" w:type="dxa"/>
            <w:shd w:val="clear" w:color="auto" w:fill="auto"/>
            <w:vAlign w:val="center"/>
          </w:tcPr>
          <w:p w:rsidR="00393F64" w:rsidRPr="007267DF" w:rsidP="2EB7D73D" w14:paraId="767D3652" w14:textId="3CBC1733">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393F64" w:rsidRPr="007267DF" w:rsidP="2EB7D73D" w14:paraId="3C99DA81" w14:textId="7A0A6537">
            <w:pPr>
              <w:jc w:val="right"/>
              <w:rPr>
                <w:color w:val="000000"/>
                <w:sz w:val="18"/>
                <w:szCs w:val="18"/>
              </w:rPr>
            </w:pPr>
            <w:r w:rsidRPr="007267DF">
              <w:rPr>
                <w:color w:val="000000" w:themeColor="text1"/>
                <w:sz w:val="18"/>
                <w:szCs w:val="18"/>
              </w:rPr>
              <w:t>$</w:t>
            </w:r>
            <w:r w:rsidR="0043276A">
              <w:rPr>
                <w:color w:val="000000" w:themeColor="text1"/>
                <w:sz w:val="18"/>
                <w:szCs w:val="18"/>
              </w:rPr>
              <w:t>3</w:t>
            </w:r>
            <w:r w:rsidRPr="007267DF" w:rsidR="70DA9F9D">
              <w:rPr>
                <w:color w:val="000000" w:themeColor="text1"/>
                <w:sz w:val="18"/>
                <w:szCs w:val="18"/>
              </w:rPr>
              <w:t>,</w:t>
            </w:r>
            <w:r w:rsidR="0043276A">
              <w:rPr>
                <w:color w:val="000000" w:themeColor="text1"/>
                <w:sz w:val="18"/>
                <w:szCs w:val="18"/>
              </w:rPr>
              <w:t>863.79</w:t>
            </w:r>
          </w:p>
        </w:tc>
      </w:tr>
      <w:tr w14:paraId="3B09499B" w14:textId="77777777" w:rsidTr="007267DF">
        <w:tblPrEx>
          <w:tblW w:w="10350" w:type="dxa"/>
          <w:tblInd w:w="108" w:type="dxa"/>
          <w:tblLayout w:type="fixed"/>
          <w:tblLook w:val="0000"/>
        </w:tblPrEx>
        <w:tc>
          <w:tcPr>
            <w:tcW w:w="2047" w:type="dxa"/>
            <w:shd w:val="clear" w:color="auto" w:fill="auto"/>
          </w:tcPr>
          <w:p w:rsidR="00012AAA" w:rsidRPr="007267DF" w:rsidP="00012AAA" w14:paraId="5C5ACEC4" w14:textId="1E7E89C1">
            <w:pPr>
              <w:rPr>
                <w:sz w:val="18"/>
                <w:szCs w:val="18"/>
              </w:rPr>
            </w:pPr>
            <w:r w:rsidRPr="007267DF">
              <w:rPr>
                <w:color w:val="000000" w:themeColor="text1"/>
                <w:sz w:val="18"/>
                <w:szCs w:val="18"/>
              </w:rPr>
              <w:t xml:space="preserve">Household </w:t>
            </w:r>
            <w:r w:rsidRPr="007267DF" w:rsidR="2678A687">
              <w:rPr>
                <w:color w:val="000000" w:themeColor="text1"/>
                <w:sz w:val="18"/>
                <w:szCs w:val="18"/>
              </w:rPr>
              <w:t>Services and Outcomes Report, 52698</w:t>
            </w:r>
          </w:p>
        </w:tc>
        <w:tc>
          <w:tcPr>
            <w:tcW w:w="1170" w:type="dxa"/>
            <w:shd w:val="clear" w:color="auto" w:fill="auto"/>
            <w:vAlign w:val="center"/>
          </w:tcPr>
          <w:p w:rsidR="00012AAA" w:rsidRPr="007267DF" w:rsidP="00012AAA" w14:paraId="22BB2D77" w14:textId="5202F800">
            <w:pPr>
              <w:jc w:val="right"/>
              <w:rPr>
                <w:bCs/>
                <w:color w:val="000000"/>
                <w:sz w:val="18"/>
                <w:szCs w:val="18"/>
              </w:rPr>
            </w:pPr>
            <w:r w:rsidRPr="007267DF">
              <w:rPr>
                <w:color w:val="000000" w:themeColor="text1"/>
                <w:sz w:val="18"/>
                <w:szCs w:val="18"/>
              </w:rPr>
              <w:t>2</w:t>
            </w:r>
            <w:r w:rsidRPr="007267DF" w:rsidR="00C414B0">
              <w:rPr>
                <w:color w:val="000000" w:themeColor="text1"/>
                <w:sz w:val="18"/>
                <w:szCs w:val="18"/>
              </w:rPr>
              <w:t>1</w:t>
            </w:r>
          </w:p>
        </w:tc>
        <w:tc>
          <w:tcPr>
            <w:tcW w:w="1170" w:type="dxa"/>
            <w:shd w:val="clear" w:color="auto" w:fill="auto"/>
            <w:vAlign w:val="center"/>
          </w:tcPr>
          <w:p w:rsidR="00012AAA" w:rsidRPr="007267DF" w:rsidP="00012AAA" w14:paraId="01CBF62A" w14:textId="7AD4A2A4">
            <w:pPr>
              <w:jc w:val="right"/>
              <w:rPr>
                <w:bCs/>
                <w:color w:val="000000"/>
                <w:sz w:val="18"/>
                <w:szCs w:val="18"/>
              </w:rPr>
            </w:pPr>
            <w:r w:rsidRPr="007267DF">
              <w:rPr>
                <w:color w:val="000000" w:themeColor="text1"/>
                <w:sz w:val="18"/>
                <w:szCs w:val="18"/>
              </w:rPr>
              <w:t>*1,000</w:t>
            </w:r>
          </w:p>
        </w:tc>
        <w:tc>
          <w:tcPr>
            <w:tcW w:w="1080" w:type="dxa"/>
            <w:shd w:val="clear" w:color="auto" w:fill="auto"/>
            <w:vAlign w:val="center"/>
          </w:tcPr>
          <w:p w:rsidR="00012AAA" w:rsidRPr="007267DF" w:rsidP="00012AAA" w14:paraId="08AF6B20" w14:textId="56F0ED58">
            <w:pPr>
              <w:jc w:val="right"/>
              <w:rPr>
                <w:bCs/>
                <w:color w:val="000000"/>
                <w:sz w:val="18"/>
                <w:szCs w:val="18"/>
              </w:rPr>
            </w:pPr>
            <w:r w:rsidRPr="007267DF">
              <w:rPr>
                <w:color w:val="000000" w:themeColor="text1"/>
                <w:sz w:val="18"/>
                <w:szCs w:val="18"/>
              </w:rPr>
              <w:t>21</w:t>
            </w:r>
            <w:r w:rsidRPr="007267DF">
              <w:rPr>
                <w:color w:val="000000" w:themeColor="text1"/>
                <w:sz w:val="18"/>
                <w:szCs w:val="18"/>
              </w:rPr>
              <w:t>,000</w:t>
            </w:r>
          </w:p>
        </w:tc>
        <w:tc>
          <w:tcPr>
            <w:tcW w:w="1350" w:type="dxa"/>
            <w:shd w:val="clear" w:color="auto" w:fill="auto"/>
            <w:vAlign w:val="center"/>
          </w:tcPr>
          <w:p w:rsidR="00012AAA" w:rsidRPr="007267DF" w:rsidP="00012AAA" w14:paraId="4CAD5124" w14:textId="57DCB00F">
            <w:pPr>
              <w:jc w:val="right"/>
              <w:rPr>
                <w:bCs/>
                <w:color w:val="000000"/>
                <w:sz w:val="18"/>
                <w:szCs w:val="18"/>
              </w:rPr>
            </w:pPr>
            <w:r w:rsidRPr="007267DF">
              <w:rPr>
                <w:color w:val="000000" w:themeColor="text1"/>
                <w:sz w:val="18"/>
                <w:szCs w:val="18"/>
              </w:rPr>
              <w:t>0.25</w:t>
            </w:r>
          </w:p>
        </w:tc>
        <w:tc>
          <w:tcPr>
            <w:tcW w:w="1080" w:type="dxa"/>
            <w:shd w:val="clear" w:color="auto" w:fill="auto"/>
            <w:vAlign w:val="center"/>
          </w:tcPr>
          <w:p w:rsidR="00012AAA" w:rsidRPr="007267DF" w:rsidP="00012AAA" w14:paraId="300EAA7C" w14:textId="73CE1E89">
            <w:pPr>
              <w:jc w:val="right"/>
              <w:rPr>
                <w:bCs/>
                <w:color w:val="000000"/>
                <w:sz w:val="18"/>
                <w:szCs w:val="18"/>
              </w:rPr>
            </w:pPr>
            <w:r w:rsidRPr="007267DF">
              <w:rPr>
                <w:color w:val="000000" w:themeColor="text1"/>
                <w:sz w:val="18"/>
                <w:szCs w:val="18"/>
              </w:rPr>
              <w:t>5,</w:t>
            </w:r>
            <w:r w:rsidRPr="007267DF" w:rsidR="007B3D2D">
              <w:rPr>
                <w:color w:val="000000" w:themeColor="text1"/>
                <w:sz w:val="18"/>
                <w:szCs w:val="18"/>
              </w:rPr>
              <w:t>250</w:t>
            </w:r>
          </w:p>
        </w:tc>
        <w:tc>
          <w:tcPr>
            <w:tcW w:w="1193" w:type="dxa"/>
            <w:shd w:val="clear" w:color="auto" w:fill="auto"/>
            <w:vAlign w:val="center"/>
          </w:tcPr>
          <w:p w:rsidR="00012AAA" w:rsidRPr="007267DF" w:rsidP="2EB7D73D" w14:paraId="3DAF2E7D" w14:textId="0CBDE0BC">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012AAA" w:rsidRPr="007267DF" w:rsidP="2EB7D73D" w14:paraId="04974A47" w14:textId="31CCA376">
            <w:pPr>
              <w:jc w:val="right"/>
              <w:rPr>
                <w:color w:val="000000"/>
                <w:sz w:val="18"/>
                <w:szCs w:val="18"/>
              </w:rPr>
            </w:pPr>
            <w:r w:rsidRPr="007267DF">
              <w:rPr>
                <w:color w:val="000000" w:themeColor="text1"/>
                <w:sz w:val="18"/>
                <w:szCs w:val="18"/>
              </w:rPr>
              <w:t>$</w:t>
            </w:r>
            <w:r w:rsidRPr="007267DF" w:rsidR="03D275B9">
              <w:rPr>
                <w:color w:val="000000" w:themeColor="text1"/>
                <w:sz w:val="18"/>
                <w:szCs w:val="18"/>
              </w:rPr>
              <w:t>321,982.50</w:t>
            </w:r>
          </w:p>
        </w:tc>
      </w:tr>
      <w:tr w14:paraId="36C36A53" w14:textId="77777777" w:rsidTr="007267DF">
        <w:tblPrEx>
          <w:tblW w:w="10350" w:type="dxa"/>
          <w:tblInd w:w="108" w:type="dxa"/>
          <w:tblLayout w:type="fixed"/>
          <w:tblLook w:val="0000"/>
        </w:tblPrEx>
        <w:tc>
          <w:tcPr>
            <w:tcW w:w="2047" w:type="dxa"/>
            <w:shd w:val="clear" w:color="auto" w:fill="auto"/>
            <w:vAlign w:val="center"/>
          </w:tcPr>
          <w:p w:rsidR="00753056" w:rsidRPr="007267DF" w:rsidP="144F3E93" w14:paraId="6E28B6A3" w14:textId="23F2E92C">
            <w:pPr>
              <w:rPr>
                <w:color w:val="000000"/>
                <w:sz w:val="18"/>
                <w:szCs w:val="18"/>
              </w:rPr>
            </w:pPr>
            <w:r w:rsidRPr="007267DF">
              <w:rPr>
                <w:color w:val="000000" w:themeColor="text1"/>
                <w:sz w:val="18"/>
                <w:szCs w:val="18"/>
              </w:rPr>
              <w:t xml:space="preserve">Household Services and </w:t>
            </w:r>
            <w:r w:rsidRPr="007267DF" w:rsidR="34FC7B19">
              <w:rPr>
                <w:color w:val="000000" w:themeColor="text1"/>
                <w:sz w:val="18"/>
                <w:szCs w:val="18"/>
              </w:rPr>
              <w:t xml:space="preserve">Outcomes </w:t>
            </w:r>
            <w:r w:rsidRPr="007267DF">
              <w:rPr>
                <w:color w:val="000000" w:themeColor="text1"/>
                <w:sz w:val="18"/>
                <w:szCs w:val="18"/>
              </w:rPr>
              <w:t xml:space="preserve">Submission </w:t>
            </w:r>
            <w:r w:rsidRPr="007267DF" w:rsidR="34FC7B19">
              <w:rPr>
                <w:color w:val="000000" w:themeColor="text1"/>
                <w:sz w:val="18"/>
                <w:szCs w:val="18"/>
              </w:rPr>
              <w:t>Report 52698(a)</w:t>
            </w:r>
            <w:r w:rsidRPr="007267DF" w:rsidR="00E756FE">
              <w:rPr>
                <w:color w:val="000000" w:themeColor="text1"/>
                <w:sz w:val="18"/>
                <w:szCs w:val="18"/>
              </w:rPr>
              <w:t>†</w:t>
            </w:r>
          </w:p>
        </w:tc>
        <w:tc>
          <w:tcPr>
            <w:tcW w:w="1170" w:type="dxa"/>
            <w:shd w:val="clear" w:color="auto" w:fill="auto"/>
            <w:vAlign w:val="center"/>
          </w:tcPr>
          <w:p w:rsidR="00753056" w:rsidRPr="007267DF" w:rsidP="000157F5" w14:paraId="2AF36D39" w14:textId="3014C274">
            <w:pPr>
              <w:jc w:val="right"/>
              <w:rPr>
                <w:bCs/>
                <w:color w:val="000000"/>
                <w:sz w:val="18"/>
                <w:szCs w:val="18"/>
              </w:rPr>
            </w:pPr>
            <w:r w:rsidRPr="007267DF">
              <w:rPr>
                <w:bCs/>
                <w:color w:val="000000"/>
                <w:sz w:val="18"/>
                <w:szCs w:val="18"/>
              </w:rPr>
              <w:t>21</w:t>
            </w:r>
          </w:p>
        </w:tc>
        <w:tc>
          <w:tcPr>
            <w:tcW w:w="1170" w:type="dxa"/>
            <w:shd w:val="clear" w:color="auto" w:fill="auto"/>
            <w:vAlign w:val="center"/>
          </w:tcPr>
          <w:p w:rsidR="00753056" w:rsidRPr="007267DF" w:rsidP="000157F5" w14:paraId="57B1EDA9" w14:textId="422B385C">
            <w:pPr>
              <w:jc w:val="right"/>
              <w:rPr>
                <w:bCs/>
                <w:color w:val="000000"/>
                <w:sz w:val="18"/>
                <w:szCs w:val="18"/>
              </w:rPr>
            </w:pPr>
            <w:r w:rsidRPr="007267DF">
              <w:rPr>
                <w:bCs/>
                <w:color w:val="000000"/>
                <w:sz w:val="18"/>
                <w:szCs w:val="18"/>
              </w:rPr>
              <w:t>4</w:t>
            </w:r>
          </w:p>
        </w:tc>
        <w:tc>
          <w:tcPr>
            <w:tcW w:w="1080" w:type="dxa"/>
            <w:shd w:val="clear" w:color="auto" w:fill="auto"/>
            <w:vAlign w:val="center"/>
          </w:tcPr>
          <w:p w:rsidR="00753056" w:rsidRPr="007267DF" w:rsidP="000157F5" w14:paraId="5FF750F2" w14:textId="7206241B">
            <w:pPr>
              <w:jc w:val="right"/>
              <w:rPr>
                <w:bCs/>
                <w:color w:val="000000"/>
                <w:sz w:val="18"/>
                <w:szCs w:val="18"/>
              </w:rPr>
            </w:pPr>
            <w:r w:rsidRPr="007267DF">
              <w:rPr>
                <w:bCs/>
                <w:color w:val="000000"/>
                <w:sz w:val="18"/>
                <w:szCs w:val="18"/>
              </w:rPr>
              <w:t>84</w:t>
            </w:r>
          </w:p>
        </w:tc>
        <w:tc>
          <w:tcPr>
            <w:tcW w:w="1350" w:type="dxa"/>
            <w:shd w:val="clear" w:color="auto" w:fill="auto"/>
            <w:vAlign w:val="center"/>
          </w:tcPr>
          <w:p w:rsidR="00753056" w:rsidRPr="007267DF" w:rsidP="4F034976" w14:paraId="2DE94AFA" w14:textId="5DF0A96D">
            <w:pPr>
              <w:jc w:val="right"/>
              <w:rPr>
                <w:color w:val="000000"/>
                <w:sz w:val="18"/>
                <w:szCs w:val="18"/>
              </w:rPr>
            </w:pPr>
            <w:r w:rsidRPr="007267DF">
              <w:rPr>
                <w:color w:val="000000" w:themeColor="text1"/>
                <w:sz w:val="18"/>
                <w:szCs w:val="18"/>
              </w:rPr>
              <w:t>1</w:t>
            </w:r>
          </w:p>
        </w:tc>
        <w:tc>
          <w:tcPr>
            <w:tcW w:w="1080" w:type="dxa"/>
            <w:shd w:val="clear" w:color="auto" w:fill="auto"/>
            <w:vAlign w:val="center"/>
          </w:tcPr>
          <w:p w:rsidR="00753056" w:rsidRPr="007267DF" w:rsidP="2EB7D73D" w14:paraId="69EE2459" w14:textId="1AB76EE2">
            <w:pPr>
              <w:jc w:val="right"/>
              <w:rPr>
                <w:color w:val="000000"/>
                <w:sz w:val="18"/>
                <w:szCs w:val="18"/>
              </w:rPr>
            </w:pPr>
            <w:r w:rsidRPr="007267DF">
              <w:rPr>
                <w:color w:val="000000" w:themeColor="text1"/>
                <w:sz w:val="18"/>
                <w:szCs w:val="18"/>
              </w:rPr>
              <w:t>84</w:t>
            </w:r>
          </w:p>
        </w:tc>
        <w:tc>
          <w:tcPr>
            <w:tcW w:w="1193" w:type="dxa"/>
            <w:shd w:val="clear" w:color="auto" w:fill="auto"/>
            <w:vAlign w:val="center"/>
          </w:tcPr>
          <w:p w:rsidR="00753056" w:rsidRPr="007267DF" w:rsidP="2EB7D73D" w14:paraId="6FF547C4" w14:textId="0A71EC15">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753056" w:rsidRPr="007267DF" w:rsidP="2EB7D73D" w14:paraId="2FCF1773" w14:textId="6FBD4BFB">
            <w:pPr>
              <w:jc w:val="right"/>
              <w:rPr>
                <w:color w:val="000000"/>
                <w:sz w:val="18"/>
                <w:szCs w:val="18"/>
              </w:rPr>
            </w:pPr>
            <w:r w:rsidRPr="007267DF">
              <w:rPr>
                <w:color w:val="000000" w:themeColor="text1"/>
                <w:sz w:val="18"/>
                <w:szCs w:val="18"/>
              </w:rPr>
              <w:t>$</w:t>
            </w:r>
            <w:r w:rsidRPr="007267DF" w:rsidR="5F1DCEA5">
              <w:rPr>
                <w:color w:val="000000" w:themeColor="text1"/>
                <w:sz w:val="18"/>
                <w:szCs w:val="18"/>
              </w:rPr>
              <w:t>5,151.72</w:t>
            </w:r>
          </w:p>
        </w:tc>
      </w:tr>
      <w:tr w14:paraId="6B886C5D" w14:textId="77777777" w:rsidTr="007267DF">
        <w:tblPrEx>
          <w:tblW w:w="10350" w:type="dxa"/>
          <w:tblInd w:w="108" w:type="dxa"/>
          <w:tblLayout w:type="fixed"/>
          <w:tblLook w:val="0000"/>
        </w:tblPrEx>
        <w:tc>
          <w:tcPr>
            <w:tcW w:w="2047" w:type="dxa"/>
            <w:shd w:val="clear" w:color="auto" w:fill="auto"/>
            <w:vAlign w:val="center"/>
          </w:tcPr>
          <w:p w:rsidR="00753056" w:rsidRPr="007267DF" w:rsidP="00393F64" w14:paraId="3FDAAE62" w14:textId="74246D73">
            <w:pPr>
              <w:rPr>
                <w:bCs/>
                <w:color w:val="000000"/>
                <w:sz w:val="18"/>
                <w:szCs w:val="18"/>
              </w:rPr>
            </w:pPr>
            <w:r w:rsidRPr="007267DF">
              <w:rPr>
                <w:bCs/>
                <w:color w:val="000000"/>
                <w:sz w:val="18"/>
                <w:szCs w:val="18"/>
              </w:rPr>
              <w:t>Benchmarks Plan and Report, 52699</w:t>
            </w:r>
          </w:p>
        </w:tc>
        <w:tc>
          <w:tcPr>
            <w:tcW w:w="1170" w:type="dxa"/>
            <w:shd w:val="clear" w:color="auto" w:fill="auto"/>
            <w:vAlign w:val="center"/>
          </w:tcPr>
          <w:p w:rsidR="00753056" w:rsidRPr="007267DF" w:rsidP="000157F5" w14:paraId="4360B6F9" w14:textId="6E2D2C2F">
            <w:pPr>
              <w:jc w:val="right"/>
              <w:rPr>
                <w:bCs/>
                <w:color w:val="000000"/>
                <w:sz w:val="18"/>
                <w:szCs w:val="18"/>
              </w:rPr>
            </w:pPr>
            <w:r w:rsidRPr="007267DF">
              <w:rPr>
                <w:bCs/>
                <w:color w:val="000000"/>
                <w:sz w:val="18"/>
                <w:szCs w:val="18"/>
              </w:rPr>
              <w:t>21</w:t>
            </w:r>
          </w:p>
        </w:tc>
        <w:tc>
          <w:tcPr>
            <w:tcW w:w="1170" w:type="dxa"/>
            <w:shd w:val="clear" w:color="auto" w:fill="auto"/>
            <w:vAlign w:val="center"/>
          </w:tcPr>
          <w:p w:rsidR="00753056" w:rsidRPr="007267DF" w:rsidP="000157F5" w14:paraId="70585255" w14:textId="5AFFE33B">
            <w:pPr>
              <w:jc w:val="right"/>
              <w:rPr>
                <w:bCs/>
                <w:color w:val="000000"/>
                <w:sz w:val="18"/>
                <w:szCs w:val="18"/>
              </w:rPr>
            </w:pPr>
            <w:r w:rsidRPr="007267DF">
              <w:rPr>
                <w:bCs/>
                <w:color w:val="000000"/>
                <w:sz w:val="18"/>
                <w:szCs w:val="18"/>
              </w:rPr>
              <w:t>4</w:t>
            </w:r>
          </w:p>
        </w:tc>
        <w:tc>
          <w:tcPr>
            <w:tcW w:w="1080" w:type="dxa"/>
            <w:shd w:val="clear" w:color="auto" w:fill="auto"/>
            <w:vAlign w:val="center"/>
          </w:tcPr>
          <w:p w:rsidR="00753056" w:rsidRPr="007267DF" w:rsidP="000157F5" w14:paraId="075B8BF5" w14:textId="0A4CB1FC">
            <w:pPr>
              <w:jc w:val="right"/>
              <w:rPr>
                <w:bCs/>
                <w:color w:val="000000"/>
                <w:sz w:val="18"/>
                <w:szCs w:val="18"/>
              </w:rPr>
            </w:pPr>
            <w:r w:rsidRPr="007267DF">
              <w:rPr>
                <w:bCs/>
                <w:color w:val="000000"/>
                <w:sz w:val="18"/>
                <w:szCs w:val="18"/>
              </w:rPr>
              <w:t>84</w:t>
            </w:r>
          </w:p>
        </w:tc>
        <w:tc>
          <w:tcPr>
            <w:tcW w:w="1350" w:type="dxa"/>
            <w:shd w:val="clear" w:color="auto" w:fill="auto"/>
            <w:vAlign w:val="center"/>
          </w:tcPr>
          <w:p w:rsidR="00753056" w:rsidRPr="007267DF" w:rsidP="000157F5" w14:paraId="5E14D9E5" w14:textId="7A3DE1D0">
            <w:pPr>
              <w:jc w:val="right"/>
              <w:rPr>
                <w:bCs/>
                <w:color w:val="000000"/>
                <w:sz w:val="18"/>
                <w:szCs w:val="18"/>
              </w:rPr>
            </w:pPr>
            <w:r w:rsidRPr="007267DF">
              <w:rPr>
                <w:bCs/>
                <w:color w:val="000000"/>
                <w:sz w:val="18"/>
                <w:szCs w:val="18"/>
              </w:rPr>
              <w:t>0.5</w:t>
            </w:r>
          </w:p>
        </w:tc>
        <w:tc>
          <w:tcPr>
            <w:tcW w:w="1080" w:type="dxa"/>
            <w:shd w:val="clear" w:color="auto" w:fill="auto"/>
            <w:vAlign w:val="center"/>
          </w:tcPr>
          <w:p w:rsidR="00753056" w:rsidRPr="007267DF" w:rsidP="000157F5" w14:paraId="60F80041" w14:textId="03E2E949">
            <w:pPr>
              <w:jc w:val="right"/>
              <w:rPr>
                <w:bCs/>
                <w:color w:val="000000"/>
                <w:sz w:val="18"/>
                <w:szCs w:val="18"/>
              </w:rPr>
            </w:pPr>
            <w:r w:rsidRPr="007267DF">
              <w:rPr>
                <w:bCs/>
                <w:color w:val="000000"/>
                <w:sz w:val="18"/>
                <w:szCs w:val="18"/>
              </w:rPr>
              <w:t>42</w:t>
            </w:r>
          </w:p>
        </w:tc>
        <w:tc>
          <w:tcPr>
            <w:tcW w:w="1193" w:type="dxa"/>
            <w:shd w:val="clear" w:color="auto" w:fill="auto"/>
            <w:vAlign w:val="center"/>
          </w:tcPr>
          <w:p w:rsidR="00753056" w:rsidRPr="007267DF" w:rsidP="2EB7D73D" w14:paraId="252EA431" w14:textId="5F0E8B5E">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753056" w:rsidRPr="007267DF" w:rsidP="2EB7D73D" w14:paraId="095DB8D5" w14:textId="28FFDF02">
            <w:pPr>
              <w:jc w:val="right"/>
              <w:rPr>
                <w:color w:val="000000"/>
                <w:sz w:val="18"/>
                <w:szCs w:val="18"/>
              </w:rPr>
            </w:pPr>
            <w:r w:rsidRPr="007267DF">
              <w:rPr>
                <w:color w:val="000000" w:themeColor="text1"/>
                <w:sz w:val="18"/>
                <w:szCs w:val="18"/>
              </w:rPr>
              <w:t>$2,</w:t>
            </w:r>
            <w:r w:rsidRPr="007267DF" w:rsidR="61DB6B5E">
              <w:rPr>
                <w:color w:val="000000" w:themeColor="text1"/>
                <w:sz w:val="18"/>
                <w:szCs w:val="18"/>
              </w:rPr>
              <w:t>575.86</w:t>
            </w:r>
          </w:p>
        </w:tc>
      </w:tr>
      <w:tr w14:paraId="4ECECD13" w14:textId="77777777" w:rsidTr="007267DF">
        <w:tblPrEx>
          <w:tblW w:w="10350" w:type="dxa"/>
          <w:tblInd w:w="108" w:type="dxa"/>
          <w:tblLayout w:type="fixed"/>
          <w:tblLook w:val="0000"/>
        </w:tblPrEx>
        <w:tc>
          <w:tcPr>
            <w:tcW w:w="2047" w:type="dxa"/>
            <w:shd w:val="clear" w:color="auto" w:fill="auto"/>
            <w:vAlign w:val="center"/>
          </w:tcPr>
          <w:p w:rsidR="00753056" w:rsidRPr="007267DF" w:rsidP="00393F64" w14:paraId="293940E1" w14:textId="2E64B805">
            <w:pPr>
              <w:rPr>
                <w:bCs/>
                <w:color w:val="000000"/>
                <w:sz w:val="18"/>
                <w:szCs w:val="18"/>
              </w:rPr>
            </w:pPr>
            <w:r w:rsidRPr="007267DF">
              <w:rPr>
                <w:bCs/>
                <w:color w:val="000000"/>
                <w:sz w:val="18"/>
                <w:szCs w:val="18"/>
              </w:rPr>
              <w:t>Grant Detailed Voucher Worksheet, 52700</w:t>
            </w:r>
          </w:p>
        </w:tc>
        <w:tc>
          <w:tcPr>
            <w:tcW w:w="1170" w:type="dxa"/>
            <w:shd w:val="clear" w:color="auto" w:fill="auto"/>
            <w:vAlign w:val="center"/>
          </w:tcPr>
          <w:p w:rsidR="00753056" w:rsidRPr="007267DF" w:rsidP="000157F5" w14:paraId="147ABBB4" w14:textId="462535E5">
            <w:pPr>
              <w:jc w:val="right"/>
              <w:rPr>
                <w:bCs/>
                <w:color w:val="000000"/>
                <w:sz w:val="18"/>
                <w:szCs w:val="18"/>
              </w:rPr>
            </w:pPr>
            <w:r w:rsidRPr="007267DF">
              <w:rPr>
                <w:bCs/>
                <w:color w:val="000000"/>
                <w:sz w:val="18"/>
                <w:szCs w:val="18"/>
              </w:rPr>
              <w:t>21</w:t>
            </w:r>
          </w:p>
        </w:tc>
        <w:tc>
          <w:tcPr>
            <w:tcW w:w="1170" w:type="dxa"/>
            <w:shd w:val="clear" w:color="auto" w:fill="auto"/>
            <w:vAlign w:val="center"/>
          </w:tcPr>
          <w:p w:rsidR="00753056" w:rsidRPr="007267DF" w:rsidP="000157F5" w14:paraId="437F9233" w14:textId="2CCF7272">
            <w:pPr>
              <w:jc w:val="right"/>
              <w:rPr>
                <w:bCs/>
                <w:color w:val="000000"/>
                <w:sz w:val="18"/>
                <w:szCs w:val="18"/>
              </w:rPr>
            </w:pPr>
            <w:r w:rsidRPr="007267DF">
              <w:rPr>
                <w:bCs/>
                <w:color w:val="000000"/>
                <w:sz w:val="18"/>
                <w:szCs w:val="18"/>
              </w:rPr>
              <w:t>4</w:t>
            </w:r>
          </w:p>
        </w:tc>
        <w:tc>
          <w:tcPr>
            <w:tcW w:w="1080" w:type="dxa"/>
            <w:shd w:val="clear" w:color="auto" w:fill="auto"/>
            <w:vAlign w:val="center"/>
          </w:tcPr>
          <w:p w:rsidR="00753056" w:rsidRPr="007267DF" w:rsidP="000157F5" w14:paraId="10189602" w14:textId="696A863F">
            <w:pPr>
              <w:jc w:val="right"/>
              <w:rPr>
                <w:bCs/>
                <w:color w:val="000000"/>
                <w:sz w:val="18"/>
                <w:szCs w:val="18"/>
              </w:rPr>
            </w:pPr>
            <w:r w:rsidRPr="007267DF">
              <w:rPr>
                <w:bCs/>
                <w:color w:val="000000"/>
                <w:sz w:val="18"/>
                <w:szCs w:val="18"/>
              </w:rPr>
              <w:t>84</w:t>
            </w:r>
          </w:p>
        </w:tc>
        <w:tc>
          <w:tcPr>
            <w:tcW w:w="1350" w:type="dxa"/>
            <w:shd w:val="clear" w:color="auto" w:fill="auto"/>
            <w:vAlign w:val="center"/>
          </w:tcPr>
          <w:p w:rsidR="00753056" w:rsidRPr="007267DF" w:rsidP="000157F5" w14:paraId="1A3F7849" w14:textId="168EFEDB">
            <w:pPr>
              <w:jc w:val="right"/>
              <w:rPr>
                <w:bCs/>
                <w:color w:val="000000"/>
                <w:sz w:val="18"/>
                <w:szCs w:val="18"/>
              </w:rPr>
            </w:pPr>
            <w:r w:rsidRPr="007267DF">
              <w:rPr>
                <w:bCs/>
                <w:color w:val="000000"/>
                <w:sz w:val="18"/>
                <w:szCs w:val="18"/>
              </w:rPr>
              <w:t>1</w:t>
            </w:r>
          </w:p>
        </w:tc>
        <w:tc>
          <w:tcPr>
            <w:tcW w:w="1080" w:type="dxa"/>
            <w:shd w:val="clear" w:color="auto" w:fill="auto"/>
            <w:vAlign w:val="center"/>
          </w:tcPr>
          <w:p w:rsidR="00753056" w:rsidRPr="007267DF" w:rsidP="000157F5" w14:paraId="0FF64CC8" w14:textId="3684C6A0">
            <w:pPr>
              <w:jc w:val="right"/>
              <w:rPr>
                <w:bCs/>
                <w:color w:val="000000"/>
                <w:sz w:val="18"/>
                <w:szCs w:val="18"/>
              </w:rPr>
            </w:pPr>
            <w:r w:rsidRPr="007267DF">
              <w:rPr>
                <w:bCs/>
                <w:color w:val="000000"/>
                <w:sz w:val="18"/>
                <w:szCs w:val="18"/>
              </w:rPr>
              <w:t>84</w:t>
            </w:r>
          </w:p>
        </w:tc>
        <w:tc>
          <w:tcPr>
            <w:tcW w:w="1193" w:type="dxa"/>
            <w:shd w:val="clear" w:color="auto" w:fill="auto"/>
            <w:vAlign w:val="center"/>
          </w:tcPr>
          <w:p w:rsidR="00753056" w:rsidRPr="007267DF" w:rsidP="2EB7D73D" w14:paraId="76EC5A56" w14:textId="1847892C">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753056" w:rsidRPr="007267DF" w:rsidP="2EB7D73D" w14:paraId="64529298" w14:textId="238E8E83">
            <w:pPr>
              <w:jc w:val="right"/>
              <w:rPr>
                <w:color w:val="000000"/>
                <w:sz w:val="18"/>
                <w:szCs w:val="18"/>
              </w:rPr>
            </w:pPr>
            <w:r w:rsidRPr="007267DF">
              <w:rPr>
                <w:color w:val="000000" w:themeColor="text1"/>
                <w:sz w:val="18"/>
                <w:szCs w:val="18"/>
              </w:rPr>
              <w:t>$</w:t>
            </w:r>
            <w:r w:rsidRPr="007267DF" w:rsidR="7124A62F">
              <w:rPr>
                <w:color w:val="000000" w:themeColor="text1"/>
                <w:sz w:val="18"/>
                <w:szCs w:val="18"/>
              </w:rPr>
              <w:t>5,151.72</w:t>
            </w:r>
          </w:p>
        </w:tc>
      </w:tr>
      <w:tr w14:paraId="5A76A30B" w14:textId="77777777" w:rsidTr="007267DF">
        <w:tblPrEx>
          <w:tblW w:w="10350" w:type="dxa"/>
          <w:tblInd w:w="108" w:type="dxa"/>
          <w:tblLayout w:type="fixed"/>
          <w:tblLook w:val="0000"/>
        </w:tblPrEx>
        <w:tc>
          <w:tcPr>
            <w:tcW w:w="2047" w:type="dxa"/>
            <w:shd w:val="clear" w:color="auto" w:fill="auto"/>
            <w:vAlign w:val="center"/>
          </w:tcPr>
          <w:p w:rsidR="00393F64" w:rsidRPr="007267DF" w:rsidP="00393F64" w14:paraId="0DF4A4DC" w14:textId="7F7F1A82">
            <w:pPr>
              <w:rPr>
                <w:bCs/>
                <w:color w:val="000000"/>
                <w:sz w:val="18"/>
                <w:szCs w:val="18"/>
              </w:rPr>
            </w:pPr>
            <w:r w:rsidRPr="007267DF">
              <w:rPr>
                <w:bCs/>
                <w:color w:val="000000"/>
                <w:sz w:val="18"/>
                <w:szCs w:val="18"/>
              </w:rPr>
              <w:t>Grant reporting</w:t>
            </w:r>
            <w:r w:rsidRPr="007267DF" w:rsidR="00E158F6">
              <w:rPr>
                <w:bCs/>
                <w:color w:val="000000"/>
                <w:sz w:val="18"/>
                <w:szCs w:val="18"/>
              </w:rPr>
              <w:t xml:space="preserve"> (narratives, existing process)</w:t>
            </w:r>
          </w:p>
        </w:tc>
        <w:tc>
          <w:tcPr>
            <w:tcW w:w="1170" w:type="dxa"/>
            <w:shd w:val="clear" w:color="auto" w:fill="auto"/>
            <w:vAlign w:val="center"/>
          </w:tcPr>
          <w:p w:rsidR="00393F64" w:rsidRPr="007267DF" w:rsidP="000157F5" w14:paraId="7D65391A" w14:textId="3976788D">
            <w:pPr>
              <w:jc w:val="right"/>
              <w:rPr>
                <w:bCs/>
                <w:color w:val="000000"/>
                <w:sz w:val="18"/>
                <w:szCs w:val="18"/>
              </w:rPr>
            </w:pPr>
            <w:r w:rsidRPr="007267DF">
              <w:rPr>
                <w:bCs/>
                <w:color w:val="000000"/>
                <w:sz w:val="18"/>
                <w:szCs w:val="18"/>
              </w:rPr>
              <w:t>2</w:t>
            </w:r>
            <w:r w:rsidRPr="007267DF" w:rsidR="00C414B0">
              <w:rPr>
                <w:bCs/>
                <w:color w:val="000000"/>
                <w:sz w:val="18"/>
                <w:szCs w:val="18"/>
              </w:rPr>
              <w:t>1</w:t>
            </w:r>
          </w:p>
        </w:tc>
        <w:tc>
          <w:tcPr>
            <w:tcW w:w="1170" w:type="dxa"/>
            <w:shd w:val="clear" w:color="auto" w:fill="auto"/>
            <w:vAlign w:val="center"/>
          </w:tcPr>
          <w:p w:rsidR="00393F64" w:rsidRPr="007267DF" w:rsidP="000157F5" w14:paraId="2F4C8897" w14:textId="77777777">
            <w:pPr>
              <w:jc w:val="right"/>
              <w:rPr>
                <w:bCs/>
                <w:color w:val="000000"/>
                <w:sz w:val="18"/>
                <w:szCs w:val="18"/>
              </w:rPr>
            </w:pPr>
            <w:r w:rsidRPr="007267DF">
              <w:rPr>
                <w:bCs/>
                <w:color w:val="000000"/>
                <w:sz w:val="18"/>
                <w:szCs w:val="18"/>
              </w:rPr>
              <w:t>4</w:t>
            </w:r>
          </w:p>
        </w:tc>
        <w:tc>
          <w:tcPr>
            <w:tcW w:w="1080" w:type="dxa"/>
            <w:shd w:val="clear" w:color="auto" w:fill="auto"/>
            <w:vAlign w:val="center"/>
          </w:tcPr>
          <w:p w:rsidR="00393F64" w:rsidRPr="007267DF" w:rsidP="000157F5" w14:paraId="2620E34C" w14:textId="1FC9AD07">
            <w:pPr>
              <w:jc w:val="right"/>
              <w:rPr>
                <w:bCs/>
                <w:color w:val="000000"/>
                <w:sz w:val="18"/>
                <w:szCs w:val="18"/>
              </w:rPr>
            </w:pPr>
            <w:r w:rsidRPr="007267DF">
              <w:rPr>
                <w:bCs/>
                <w:color w:val="000000"/>
                <w:sz w:val="18"/>
                <w:szCs w:val="18"/>
              </w:rPr>
              <w:t>84</w:t>
            </w:r>
          </w:p>
        </w:tc>
        <w:tc>
          <w:tcPr>
            <w:tcW w:w="1350" w:type="dxa"/>
            <w:shd w:val="clear" w:color="auto" w:fill="auto"/>
            <w:vAlign w:val="center"/>
          </w:tcPr>
          <w:p w:rsidR="00393F64" w:rsidRPr="007267DF" w:rsidP="000157F5" w14:paraId="56BC974D" w14:textId="77777777">
            <w:pPr>
              <w:jc w:val="right"/>
              <w:rPr>
                <w:bCs/>
                <w:color w:val="000000"/>
                <w:sz w:val="18"/>
                <w:szCs w:val="18"/>
              </w:rPr>
            </w:pPr>
            <w:r w:rsidRPr="007267DF">
              <w:rPr>
                <w:bCs/>
                <w:color w:val="000000"/>
                <w:sz w:val="18"/>
                <w:szCs w:val="18"/>
              </w:rPr>
              <w:t>2</w:t>
            </w:r>
          </w:p>
        </w:tc>
        <w:tc>
          <w:tcPr>
            <w:tcW w:w="1080" w:type="dxa"/>
            <w:shd w:val="clear" w:color="auto" w:fill="auto"/>
            <w:vAlign w:val="center"/>
          </w:tcPr>
          <w:p w:rsidR="00393F64" w:rsidRPr="007267DF" w:rsidP="000157F5" w14:paraId="1C0543C2" w14:textId="16FFABAE">
            <w:pPr>
              <w:jc w:val="right"/>
              <w:rPr>
                <w:bCs/>
                <w:color w:val="000000"/>
                <w:sz w:val="18"/>
                <w:szCs w:val="18"/>
              </w:rPr>
            </w:pPr>
            <w:r w:rsidRPr="007267DF">
              <w:rPr>
                <w:bCs/>
                <w:color w:val="000000"/>
                <w:sz w:val="18"/>
                <w:szCs w:val="18"/>
              </w:rPr>
              <w:t>16</w:t>
            </w:r>
            <w:r w:rsidRPr="007267DF" w:rsidR="00867C8F">
              <w:rPr>
                <w:bCs/>
                <w:color w:val="000000"/>
                <w:sz w:val="18"/>
                <w:szCs w:val="18"/>
              </w:rPr>
              <w:t>8</w:t>
            </w:r>
          </w:p>
        </w:tc>
        <w:tc>
          <w:tcPr>
            <w:tcW w:w="1193" w:type="dxa"/>
            <w:shd w:val="clear" w:color="auto" w:fill="auto"/>
            <w:vAlign w:val="center"/>
          </w:tcPr>
          <w:p w:rsidR="00393F64" w:rsidRPr="007267DF" w:rsidP="2EB7D73D" w14:paraId="11053AB4" w14:textId="5E71AB9D">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393F64" w:rsidRPr="007267DF" w:rsidP="2EB7D73D" w14:paraId="10A9BAF9" w14:textId="70503E39">
            <w:pPr>
              <w:jc w:val="right"/>
              <w:rPr>
                <w:color w:val="000000"/>
                <w:sz w:val="18"/>
                <w:szCs w:val="18"/>
              </w:rPr>
            </w:pPr>
            <w:r w:rsidRPr="007267DF">
              <w:rPr>
                <w:color w:val="000000" w:themeColor="text1"/>
                <w:sz w:val="18"/>
                <w:szCs w:val="18"/>
              </w:rPr>
              <w:t>$</w:t>
            </w:r>
            <w:r w:rsidRPr="007267DF" w:rsidR="7E978FB9">
              <w:rPr>
                <w:color w:val="000000" w:themeColor="text1"/>
                <w:sz w:val="18"/>
                <w:szCs w:val="18"/>
              </w:rPr>
              <w:t>10,303.44</w:t>
            </w:r>
          </w:p>
        </w:tc>
      </w:tr>
      <w:tr w14:paraId="61D139B8" w14:textId="77777777" w:rsidTr="007267DF">
        <w:tblPrEx>
          <w:tblW w:w="10350" w:type="dxa"/>
          <w:tblInd w:w="108" w:type="dxa"/>
          <w:tblLayout w:type="fixed"/>
          <w:tblLook w:val="0000"/>
        </w:tblPrEx>
        <w:tc>
          <w:tcPr>
            <w:tcW w:w="2047" w:type="dxa"/>
            <w:shd w:val="clear" w:color="auto" w:fill="auto"/>
            <w:vAlign w:val="center"/>
          </w:tcPr>
          <w:p w:rsidR="007D0C7F" w:rsidRPr="007267DF" w:rsidP="007D0C7F" w14:paraId="1459CCDE" w14:textId="1439BBF5">
            <w:pPr>
              <w:rPr>
                <w:color w:val="000000"/>
                <w:sz w:val="18"/>
                <w:szCs w:val="18"/>
              </w:rPr>
            </w:pPr>
            <w:r w:rsidRPr="007267DF">
              <w:rPr>
                <w:b/>
                <w:bCs/>
                <w:color w:val="000000" w:themeColor="text1"/>
                <w:sz w:val="18"/>
                <w:szCs w:val="18"/>
              </w:rPr>
              <w:t xml:space="preserve">Total </w:t>
            </w:r>
          </w:p>
        </w:tc>
        <w:tc>
          <w:tcPr>
            <w:tcW w:w="1170" w:type="dxa"/>
            <w:shd w:val="clear" w:color="auto" w:fill="auto"/>
            <w:vAlign w:val="center"/>
          </w:tcPr>
          <w:p w:rsidR="007D0C7F" w:rsidRPr="007267DF" w:rsidP="007D0C7F" w14:paraId="54151B64" w14:textId="0E395E57">
            <w:pPr>
              <w:jc w:val="right"/>
              <w:rPr>
                <w:bCs/>
                <w:color w:val="000000"/>
                <w:sz w:val="18"/>
                <w:szCs w:val="18"/>
              </w:rPr>
            </w:pPr>
            <w:r w:rsidRPr="007267DF">
              <w:rPr>
                <w:bCs/>
                <w:color w:val="000000"/>
                <w:sz w:val="18"/>
                <w:szCs w:val="18"/>
              </w:rPr>
              <w:t>2</w:t>
            </w:r>
            <w:r w:rsidRPr="007267DF" w:rsidR="00C414B0">
              <w:rPr>
                <w:bCs/>
                <w:color w:val="000000"/>
                <w:sz w:val="18"/>
                <w:szCs w:val="18"/>
              </w:rPr>
              <w:t>1</w:t>
            </w:r>
          </w:p>
        </w:tc>
        <w:tc>
          <w:tcPr>
            <w:tcW w:w="1170" w:type="dxa"/>
            <w:shd w:val="clear" w:color="auto" w:fill="auto"/>
            <w:vAlign w:val="center"/>
          </w:tcPr>
          <w:p w:rsidR="007D0C7F" w:rsidRPr="007267DF" w:rsidP="007D0C7F" w14:paraId="48C8B4C1" w14:textId="49E4F032">
            <w:pPr>
              <w:jc w:val="right"/>
              <w:rPr>
                <w:bCs/>
                <w:color w:val="000000"/>
                <w:sz w:val="18"/>
                <w:szCs w:val="18"/>
              </w:rPr>
            </w:pPr>
            <w:r w:rsidRPr="007267DF">
              <w:rPr>
                <w:bCs/>
                <w:color w:val="000000"/>
                <w:sz w:val="18"/>
                <w:szCs w:val="18"/>
              </w:rPr>
              <w:t>18</w:t>
            </w:r>
          </w:p>
        </w:tc>
        <w:tc>
          <w:tcPr>
            <w:tcW w:w="1080" w:type="dxa"/>
            <w:shd w:val="clear" w:color="auto" w:fill="auto"/>
            <w:vAlign w:val="center"/>
          </w:tcPr>
          <w:p w:rsidR="007D0C7F" w:rsidRPr="007267DF" w:rsidP="007D0C7F" w14:paraId="56CB1964" w14:textId="6EDF77AB">
            <w:pPr>
              <w:jc w:val="right"/>
              <w:rPr>
                <w:bCs/>
                <w:color w:val="000000"/>
                <w:sz w:val="18"/>
                <w:szCs w:val="18"/>
              </w:rPr>
            </w:pPr>
            <w:r w:rsidRPr="007267DF">
              <w:rPr>
                <w:bCs/>
                <w:color w:val="000000"/>
                <w:sz w:val="18"/>
                <w:szCs w:val="18"/>
              </w:rPr>
              <w:t>21,378</w:t>
            </w:r>
          </w:p>
        </w:tc>
        <w:tc>
          <w:tcPr>
            <w:tcW w:w="1350" w:type="dxa"/>
            <w:shd w:val="clear" w:color="auto" w:fill="auto"/>
            <w:vAlign w:val="center"/>
          </w:tcPr>
          <w:p w:rsidR="007D0C7F" w:rsidRPr="007267DF" w:rsidP="007D0C7F" w14:paraId="489A03E5" w14:textId="478AB6C7">
            <w:pPr>
              <w:jc w:val="right"/>
              <w:rPr>
                <w:bCs/>
                <w:color w:val="000000"/>
                <w:sz w:val="18"/>
                <w:szCs w:val="18"/>
              </w:rPr>
            </w:pPr>
            <w:r>
              <w:rPr>
                <w:color w:val="000000" w:themeColor="text1"/>
                <w:sz w:val="18"/>
                <w:szCs w:val="18"/>
              </w:rPr>
              <w:t>9</w:t>
            </w:r>
            <w:r w:rsidRPr="007267DF" w:rsidR="00A91A74">
              <w:rPr>
                <w:color w:val="000000" w:themeColor="text1"/>
                <w:sz w:val="18"/>
                <w:szCs w:val="18"/>
              </w:rPr>
              <w:t>.</w:t>
            </w:r>
            <w:r>
              <w:rPr>
                <w:color w:val="000000" w:themeColor="text1"/>
                <w:sz w:val="18"/>
                <w:szCs w:val="18"/>
              </w:rPr>
              <w:t>75</w:t>
            </w:r>
          </w:p>
        </w:tc>
        <w:tc>
          <w:tcPr>
            <w:tcW w:w="1080" w:type="dxa"/>
            <w:shd w:val="clear" w:color="auto" w:fill="auto"/>
            <w:vAlign w:val="center"/>
          </w:tcPr>
          <w:p w:rsidR="007D0C7F" w:rsidRPr="007267DF" w:rsidP="4F034976" w14:paraId="5794379D" w14:textId="1B314392">
            <w:pPr>
              <w:jc w:val="right"/>
              <w:rPr>
                <w:color w:val="000000"/>
                <w:sz w:val="18"/>
                <w:szCs w:val="18"/>
              </w:rPr>
            </w:pPr>
            <w:r w:rsidRPr="007267DF">
              <w:rPr>
                <w:color w:val="000000" w:themeColor="text1"/>
                <w:sz w:val="18"/>
                <w:szCs w:val="18"/>
              </w:rPr>
              <w:t>5</w:t>
            </w:r>
            <w:r w:rsidR="00965BC5">
              <w:rPr>
                <w:color w:val="000000" w:themeColor="text1"/>
                <w:sz w:val="18"/>
                <w:szCs w:val="18"/>
              </w:rPr>
              <w:t>,733</w:t>
            </w:r>
          </w:p>
        </w:tc>
        <w:tc>
          <w:tcPr>
            <w:tcW w:w="1193" w:type="dxa"/>
            <w:shd w:val="clear" w:color="auto" w:fill="auto"/>
            <w:vAlign w:val="center"/>
          </w:tcPr>
          <w:p w:rsidR="007D0C7F" w:rsidRPr="007267DF" w:rsidP="2EB7D73D" w14:paraId="6C26708D" w14:textId="380F69A9">
            <w:pPr>
              <w:jc w:val="right"/>
              <w:rPr>
                <w:color w:val="000000"/>
                <w:sz w:val="18"/>
                <w:szCs w:val="18"/>
              </w:rPr>
            </w:pPr>
            <w:r w:rsidRPr="007267DF">
              <w:rPr>
                <w:color w:val="000000" w:themeColor="text1"/>
                <w:sz w:val="18"/>
                <w:szCs w:val="18"/>
              </w:rPr>
              <w:t>$61.33</w:t>
            </w:r>
          </w:p>
        </w:tc>
        <w:tc>
          <w:tcPr>
            <w:tcW w:w="1260" w:type="dxa"/>
            <w:shd w:val="clear" w:color="auto" w:fill="auto"/>
            <w:vAlign w:val="center"/>
          </w:tcPr>
          <w:p w:rsidR="007D0C7F" w:rsidRPr="007267DF" w:rsidP="2EB7D73D" w14:paraId="19B8CE5B" w14:textId="75094851">
            <w:pPr>
              <w:jc w:val="right"/>
              <w:rPr>
                <w:color w:val="000000"/>
                <w:sz w:val="18"/>
                <w:szCs w:val="18"/>
              </w:rPr>
            </w:pPr>
            <w:r w:rsidRPr="007267DF">
              <w:rPr>
                <w:color w:val="000000" w:themeColor="text1"/>
                <w:sz w:val="18"/>
                <w:szCs w:val="18"/>
              </w:rPr>
              <w:t>$35</w:t>
            </w:r>
            <w:r w:rsidRPr="007267DF" w:rsidR="2397434B">
              <w:rPr>
                <w:color w:val="000000" w:themeColor="text1"/>
                <w:sz w:val="18"/>
                <w:szCs w:val="18"/>
              </w:rPr>
              <w:t>1,</w:t>
            </w:r>
            <w:r w:rsidR="0043276A">
              <w:rPr>
                <w:color w:val="000000" w:themeColor="text1"/>
                <w:sz w:val="18"/>
                <w:szCs w:val="18"/>
              </w:rPr>
              <w:t>604</w:t>
            </w:r>
            <w:r w:rsidRPr="007267DF" w:rsidR="2397434B">
              <w:rPr>
                <w:color w:val="000000" w:themeColor="text1"/>
                <w:sz w:val="18"/>
                <w:szCs w:val="18"/>
              </w:rPr>
              <w:t>.</w:t>
            </w:r>
            <w:r w:rsidR="0043276A">
              <w:rPr>
                <w:color w:val="000000" w:themeColor="text1"/>
                <w:sz w:val="18"/>
                <w:szCs w:val="18"/>
              </w:rPr>
              <w:t>89</w:t>
            </w:r>
          </w:p>
        </w:tc>
      </w:tr>
      <w:bookmarkEnd w:id="0"/>
    </w:tbl>
    <w:p w:rsidR="144F3E93" w14:paraId="605DE4B1" w14:textId="16F8A8C5"/>
    <w:p w:rsidR="00CD214F" w:rsidP="00CA1090" w14:paraId="64D574CE" w14:textId="77777777">
      <w:pPr>
        <w:suppressAutoHyphens/>
        <w:ind w:left="540" w:right="720"/>
        <w:rPr>
          <w:color w:val="000000" w:themeColor="text1"/>
          <w:sz w:val="24"/>
          <w:szCs w:val="24"/>
        </w:rPr>
      </w:pPr>
      <w:r>
        <w:rPr>
          <w:color w:val="000000" w:themeColor="text1"/>
          <w:sz w:val="24"/>
          <w:szCs w:val="24"/>
        </w:rPr>
        <w:t>* Anticipated average number of annual responses per respondent (grantee), to be reported to HUD quarterly with grant activity report.</w:t>
      </w:r>
    </w:p>
    <w:p w:rsidR="00411D1B" w:rsidRPr="0055069C" w:rsidP="00411D1B" w14:paraId="5C59CB1C" w14:textId="60F252D5">
      <w:pPr>
        <w:ind w:left="540"/>
        <w:rPr>
          <w:sz w:val="24"/>
          <w:szCs w:val="24"/>
        </w:rPr>
      </w:pPr>
      <w:r w:rsidRPr="2EB7D73D">
        <w:rPr>
          <w:color w:val="000000" w:themeColor="text1"/>
          <w:sz w:val="24"/>
          <w:szCs w:val="24"/>
        </w:rPr>
        <w:t>†</w:t>
      </w:r>
      <w:r w:rsidRPr="2EB7D73D" w:rsidR="40EEC781">
        <w:rPr>
          <w:color w:val="000000" w:themeColor="text1"/>
          <w:sz w:val="24"/>
          <w:szCs w:val="24"/>
        </w:rPr>
        <w:t xml:space="preserve"> The 52698</w:t>
      </w:r>
      <w:r w:rsidRPr="2EB7D73D" w:rsidR="03DA36BB">
        <w:rPr>
          <w:color w:val="000000" w:themeColor="text1"/>
          <w:sz w:val="24"/>
          <w:szCs w:val="24"/>
        </w:rPr>
        <w:t>(</w:t>
      </w:r>
      <w:r w:rsidRPr="2EB7D73D" w:rsidR="40EEC781">
        <w:rPr>
          <w:color w:val="000000" w:themeColor="text1"/>
          <w:sz w:val="24"/>
          <w:szCs w:val="24"/>
        </w:rPr>
        <w:t>a</w:t>
      </w:r>
      <w:r w:rsidRPr="2EB7D73D" w:rsidR="7BEB194C">
        <w:rPr>
          <w:color w:val="000000" w:themeColor="text1"/>
          <w:sz w:val="24"/>
          <w:szCs w:val="24"/>
        </w:rPr>
        <w:t>)</w:t>
      </w:r>
      <w:r w:rsidRPr="2EB7D73D" w:rsidR="40EEC781">
        <w:rPr>
          <w:color w:val="000000" w:themeColor="text1"/>
          <w:sz w:val="24"/>
          <w:szCs w:val="24"/>
        </w:rPr>
        <w:t xml:space="preserve"> combines individual 52698 form data into a </w:t>
      </w:r>
      <w:r w:rsidRPr="2EB7D73D" w:rsidR="4E595B72">
        <w:rPr>
          <w:color w:val="000000" w:themeColor="text1"/>
          <w:sz w:val="24"/>
          <w:szCs w:val="24"/>
        </w:rPr>
        <w:t xml:space="preserve">comprehensive </w:t>
      </w:r>
      <w:r w:rsidRPr="2EB7D73D" w:rsidR="40EEC781">
        <w:rPr>
          <w:color w:val="000000" w:themeColor="text1"/>
          <w:sz w:val="24"/>
          <w:szCs w:val="24"/>
        </w:rPr>
        <w:t xml:space="preserve">database document. </w:t>
      </w:r>
      <w:r w:rsidRPr="2EB7D73D" w:rsidR="29112CF1">
        <w:rPr>
          <w:color w:val="000000" w:themeColor="text1"/>
          <w:sz w:val="24"/>
          <w:szCs w:val="24"/>
        </w:rPr>
        <w:t xml:space="preserve">We expect this </w:t>
      </w:r>
      <w:r w:rsidRPr="2EB7D73D" w:rsidR="0A27E740">
        <w:rPr>
          <w:color w:val="000000" w:themeColor="text1"/>
          <w:sz w:val="24"/>
          <w:szCs w:val="24"/>
        </w:rPr>
        <w:t>document</w:t>
      </w:r>
      <w:r w:rsidRPr="2EB7D73D" w:rsidR="29112CF1">
        <w:rPr>
          <w:color w:val="000000" w:themeColor="text1"/>
          <w:sz w:val="24"/>
          <w:szCs w:val="24"/>
        </w:rPr>
        <w:t xml:space="preserve"> to require about one hour per submission, </w:t>
      </w:r>
      <w:r w:rsidRPr="2EB7D73D" w:rsidR="29112CF1">
        <w:rPr>
          <w:color w:val="000000" w:themeColor="text1"/>
          <w:sz w:val="24"/>
          <w:szCs w:val="24"/>
        </w:rPr>
        <w:t>assuming that</w:t>
      </w:r>
      <w:r w:rsidRPr="2EB7D73D" w:rsidR="29112CF1">
        <w:rPr>
          <w:color w:val="000000" w:themeColor="text1"/>
          <w:sz w:val="24"/>
          <w:szCs w:val="24"/>
        </w:rPr>
        <w:t xml:space="preserve"> most grantees will </w:t>
      </w:r>
      <w:r w:rsidRPr="2EB7D73D" w:rsidR="5F54315D">
        <w:rPr>
          <w:color w:val="000000" w:themeColor="text1"/>
          <w:sz w:val="24"/>
          <w:szCs w:val="24"/>
        </w:rPr>
        <w:t xml:space="preserve">use </w:t>
      </w:r>
      <w:r w:rsidRPr="2EB7D73D" w:rsidR="29112CF1">
        <w:rPr>
          <w:color w:val="000000" w:themeColor="text1"/>
          <w:sz w:val="24"/>
          <w:szCs w:val="24"/>
        </w:rPr>
        <w:t>automated database software</w:t>
      </w:r>
      <w:r w:rsidRPr="2EB7D73D" w:rsidR="60D4069A">
        <w:rPr>
          <w:color w:val="000000" w:themeColor="text1"/>
          <w:sz w:val="24"/>
          <w:szCs w:val="24"/>
        </w:rPr>
        <w:t xml:space="preserve"> and </w:t>
      </w:r>
      <w:r w:rsidRPr="2EB7D73D" w:rsidR="00FB9BF7">
        <w:rPr>
          <w:color w:val="000000" w:themeColor="text1"/>
          <w:sz w:val="24"/>
          <w:szCs w:val="24"/>
        </w:rPr>
        <w:t xml:space="preserve">a </w:t>
      </w:r>
      <w:r w:rsidRPr="2EB7D73D" w:rsidR="29112CF1">
        <w:rPr>
          <w:color w:val="000000" w:themeColor="text1"/>
          <w:sz w:val="24"/>
          <w:szCs w:val="24"/>
        </w:rPr>
        <w:t xml:space="preserve">small number </w:t>
      </w:r>
      <w:r w:rsidRPr="2EB7D73D" w:rsidR="28BF506C">
        <w:rPr>
          <w:color w:val="000000" w:themeColor="text1"/>
          <w:sz w:val="24"/>
          <w:szCs w:val="24"/>
        </w:rPr>
        <w:t>will</w:t>
      </w:r>
      <w:r w:rsidRPr="2EB7D73D" w:rsidR="29112CF1">
        <w:rPr>
          <w:color w:val="000000" w:themeColor="text1"/>
          <w:sz w:val="24"/>
          <w:szCs w:val="24"/>
        </w:rPr>
        <w:t xml:space="preserve"> use manual entry.</w:t>
      </w:r>
      <w:r w:rsidRPr="2EB7D73D">
        <w:rPr>
          <w:sz w:val="24"/>
          <w:szCs w:val="24"/>
        </w:rPr>
        <w:t xml:space="preserve">‡ </w:t>
      </w:r>
      <w:r w:rsidRPr="2EB7D73D" w:rsidR="143F7518">
        <w:rPr>
          <w:sz w:val="24"/>
          <w:szCs w:val="24"/>
        </w:rPr>
        <w:t>The “Avg. Hourly Wage Rate” for each respondent</w:t>
      </w:r>
      <w:r w:rsidRPr="2EB7D73D" w:rsidR="0C166287">
        <w:rPr>
          <w:sz w:val="24"/>
          <w:szCs w:val="24"/>
        </w:rPr>
        <w:t xml:space="preserve"> reflects a wage of </w:t>
      </w:r>
      <w:r w:rsidRPr="2EB7D73D" w:rsidR="5AD21934">
        <w:rPr>
          <w:sz w:val="24"/>
          <w:szCs w:val="24"/>
        </w:rPr>
        <w:t xml:space="preserve">$35.87 </w:t>
      </w:r>
      <w:r w:rsidRPr="2EB7D73D" w:rsidR="5AD21934">
        <w:rPr>
          <w:sz w:val="24"/>
          <w:szCs w:val="24"/>
        </w:rPr>
        <w:t>pre</w:t>
      </w:r>
      <w:r w:rsidRPr="2EB7D73D" w:rsidR="3D8166AD">
        <w:rPr>
          <w:sz w:val="24"/>
          <w:szCs w:val="24"/>
        </w:rPr>
        <w:t xml:space="preserve"> </w:t>
      </w:r>
      <w:r w:rsidRPr="2EB7D73D" w:rsidR="5AD21934">
        <w:rPr>
          <w:sz w:val="24"/>
          <w:szCs w:val="24"/>
        </w:rPr>
        <w:t xml:space="preserve">award (2021) and </w:t>
      </w:r>
      <w:r w:rsidRPr="2EB7D73D" w:rsidR="0C166287">
        <w:rPr>
          <w:sz w:val="24"/>
          <w:szCs w:val="24"/>
        </w:rPr>
        <w:t>$</w:t>
      </w:r>
      <w:r w:rsidRPr="2EB7D73D" w:rsidR="50CC6ADE">
        <w:rPr>
          <w:sz w:val="24"/>
          <w:szCs w:val="24"/>
        </w:rPr>
        <w:t>42.01</w:t>
      </w:r>
      <w:r w:rsidRPr="2EB7D73D" w:rsidR="0C166287">
        <w:rPr>
          <w:sz w:val="24"/>
          <w:szCs w:val="24"/>
        </w:rPr>
        <w:t xml:space="preserve"> </w:t>
      </w:r>
      <w:r w:rsidRPr="2EB7D73D" w:rsidR="5AD21934">
        <w:rPr>
          <w:sz w:val="24"/>
          <w:szCs w:val="24"/>
        </w:rPr>
        <w:t>post award (202</w:t>
      </w:r>
      <w:r w:rsidRPr="2EB7D73D" w:rsidR="72C45EDF">
        <w:rPr>
          <w:sz w:val="24"/>
          <w:szCs w:val="24"/>
        </w:rPr>
        <w:t>4</w:t>
      </w:r>
      <w:r w:rsidRPr="2EB7D73D" w:rsidR="5AD21934">
        <w:rPr>
          <w:sz w:val="24"/>
          <w:szCs w:val="24"/>
        </w:rPr>
        <w:t>)</w:t>
      </w:r>
      <w:r w:rsidRPr="2EB7D73D">
        <w:rPr>
          <w:sz w:val="24"/>
          <w:szCs w:val="24"/>
        </w:rPr>
        <w:t xml:space="preserve"> </w:t>
      </w:r>
      <w:r w:rsidRPr="2EB7D73D" w:rsidR="0C166287">
        <w:rPr>
          <w:sz w:val="24"/>
          <w:szCs w:val="24"/>
        </w:rPr>
        <w:t xml:space="preserve">for professional and business services and </w:t>
      </w:r>
      <w:r w:rsidRPr="2EB7D73D" w:rsidR="143F7518">
        <w:rPr>
          <w:sz w:val="24"/>
          <w:szCs w:val="24"/>
        </w:rPr>
        <w:t xml:space="preserve">a 1.46 multiplier to reflect a </w:t>
      </w:r>
      <w:r w:rsidRPr="2EB7D73D">
        <w:rPr>
          <w:sz w:val="24"/>
          <w:szCs w:val="24"/>
        </w:rPr>
        <w:t>fully loaded</w:t>
      </w:r>
      <w:r w:rsidRPr="2EB7D73D" w:rsidR="143F7518">
        <w:rPr>
          <w:sz w:val="24"/>
          <w:szCs w:val="24"/>
        </w:rPr>
        <w:t xml:space="preserve"> wage rate. </w:t>
      </w:r>
    </w:p>
    <w:p w:rsidR="00411D1B" w:rsidP="00D92D85" w14:paraId="7BD1C5FD" w14:textId="77777777">
      <w:pPr>
        <w:tabs>
          <w:tab w:val="left" w:pos="360"/>
        </w:tabs>
        <w:rPr>
          <w:sz w:val="24"/>
          <w:szCs w:val="24"/>
        </w:rPr>
      </w:pPr>
    </w:p>
    <w:p w:rsidR="007267DF" w:rsidRPr="0055069C" w:rsidP="00D92D85" w14:paraId="7B93523C" w14:textId="77777777">
      <w:pPr>
        <w:tabs>
          <w:tab w:val="left" w:pos="360"/>
        </w:tabs>
        <w:rPr>
          <w:sz w:val="24"/>
          <w:szCs w:val="24"/>
        </w:rPr>
      </w:pPr>
    </w:p>
    <w:p w:rsidR="009E13B1" w:rsidRPr="0055069C" w14:paraId="39A56C6D" w14:textId="260E677E">
      <w:pPr>
        <w:tabs>
          <w:tab w:val="left" w:pos="360"/>
        </w:tabs>
        <w:ind w:left="360" w:hanging="360"/>
        <w:rPr>
          <w:b/>
          <w:bCs/>
          <w:sz w:val="24"/>
          <w:szCs w:val="24"/>
        </w:rPr>
      </w:pPr>
      <w:r w:rsidRPr="0B05764F">
        <w:rPr>
          <w:sz w:val="24"/>
          <w:szCs w:val="24"/>
        </w:rPr>
        <w:t>13.</w:t>
      </w:r>
      <w:r>
        <w:tab/>
      </w:r>
      <w:r w:rsidRPr="0B05764F">
        <w:rPr>
          <w:b/>
          <w:bCs/>
          <w:sz w:val="24"/>
          <w:szCs w:val="24"/>
        </w:rPr>
        <w:t>Provide an estimate of the total annual cost burden to respondents or recordkeepers resulting from the collection of information</w:t>
      </w:r>
      <w:r w:rsidRPr="0B05764F" w:rsidR="770727B6">
        <w:rPr>
          <w:b/>
          <w:bCs/>
          <w:sz w:val="24"/>
          <w:szCs w:val="24"/>
        </w:rPr>
        <w:t>.</w:t>
      </w:r>
      <w:r w:rsidRPr="0B05764F">
        <w:rPr>
          <w:b/>
          <w:bCs/>
          <w:sz w:val="24"/>
          <w:szCs w:val="24"/>
        </w:rPr>
        <w:t xml:space="preserve"> (</w:t>
      </w:r>
      <w:r w:rsidRPr="0B05764F" w:rsidR="67E1CE61">
        <w:rPr>
          <w:b/>
          <w:bCs/>
          <w:sz w:val="24"/>
          <w:szCs w:val="24"/>
        </w:rPr>
        <w:t>D</w:t>
      </w:r>
      <w:r w:rsidRPr="0B05764F">
        <w:rPr>
          <w:b/>
          <w:bCs/>
          <w:sz w:val="24"/>
          <w:szCs w:val="24"/>
        </w:rPr>
        <w:t xml:space="preserve">o not include the cost of any hour burden shown in Items 12 and 14). </w:t>
      </w:r>
    </w:p>
    <w:p w:rsidR="009E13B1" w:rsidRPr="0055069C" w14:paraId="1A3D72A2" w14:textId="77777777">
      <w:pPr>
        <w:numPr>
          <w:ilvl w:val="0"/>
          <w:numId w:val="23"/>
        </w:numPr>
        <w:tabs>
          <w:tab w:val="left" w:pos="360"/>
        </w:tabs>
        <w:ind w:left="480"/>
        <w:rPr>
          <w:b/>
          <w:bCs/>
          <w:sz w:val="24"/>
          <w:szCs w:val="24"/>
        </w:rPr>
      </w:pPr>
      <w:r w:rsidRPr="4F034976">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4F034976">
        <w:rPr>
          <w:b/>
          <w:bCs/>
          <w:sz w:val="24"/>
          <w:szCs w:val="24"/>
        </w:rPr>
        <w:t>take into account</w:t>
      </w:r>
      <w:r w:rsidRPr="4F034976">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4F034976">
        <w:rPr>
          <w:b/>
          <w:bCs/>
          <w:sz w:val="24"/>
          <w:szCs w:val="24"/>
        </w:rPr>
        <w:t>time period</w:t>
      </w:r>
      <w:r w:rsidRPr="4F034976">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4F034976">
        <w:rPr>
          <w:b/>
          <w:bCs/>
          <w:sz w:val="24"/>
          <w:szCs w:val="24"/>
        </w:rPr>
        <w:t>facilities;</w:t>
      </w:r>
      <w:r w:rsidRPr="4F034976">
        <w:rPr>
          <w:b/>
          <w:bCs/>
          <w:sz w:val="24"/>
          <w:szCs w:val="24"/>
        </w:rPr>
        <w:t xml:space="preserve"> </w:t>
      </w:r>
    </w:p>
    <w:p w:rsidR="009E13B1" w:rsidRPr="0055069C" w14:paraId="42636CF2" w14:textId="77777777">
      <w:pPr>
        <w:numPr>
          <w:ilvl w:val="0"/>
          <w:numId w:val="23"/>
        </w:numPr>
        <w:tabs>
          <w:tab w:val="left" w:pos="360"/>
        </w:tabs>
        <w:ind w:left="480"/>
        <w:rPr>
          <w:b/>
          <w:bCs/>
          <w:sz w:val="24"/>
          <w:szCs w:val="24"/>
        </w:rPr>
      </w:pPr>
      <w:r w:rsidRPr="4F034976">
        <w:rPr>
          <w:b/>
          <w:bCs/>
          <w:sz w:val="24"/>
          <w:szCs w:val="24"/>
        </w:rPr>
        <w:t xml:space="preserve">If cost estimates are expected to vary widely, agencies should present ranges of cost burdens and explain the reasons for the variance.  The cost of purchasing or contracting </w:t>
      </w:r>
      <w:r w:rsidRPr="4F034976">
        <w:rPr>
          <w:b/>
          <w:bCs/>
          <w:sz w:val="24"/>
          <w:szCs w:val="24"/>
        </w:rPr>
        <w:t>out</w:t>
      </w:r>
      <w:r w:rsidRPr="4F034976">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55069C" w14:paraId="7B574D50" w14:textId="005DC26F">
      <w:pPr>
        <w:keepLines/>
        <w:numPr>
          <w:ilvl w:val="0"/>
          <w:numId w:val="23"/>
        </w:numPr>
        <w:tabs>
          <w:tab w:val="left" w:pos="360"/>
        </w:tabs>
        <w:spacing w:after="80"/>
        <w:ind w:left="480"/>
        <w:rPr>
          <w:sz w:val="24"/>
          <w:szCs w:val="24"/>
        </w:rPr>
      </w:pPr>
      <w:r w:rsidRPr="4F034976">
        <w:rPr>
          <w:b/>
          <w:bCs/>
          <w:sz w:val="24"/>
          <w:szCs w:val="24"/>
        </w:rPr>
        <w:t>G</w:t>
      </w:r>
      <w:r w:rsidRPr="4F034976" w:rsidR="7A030346">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11D1B" w:rsidRPr="0055069C" w:rsidP="00411D1B" w14:paraId="5F3DE840" w14:textId="77777777">
      <w:pPr>
        <w:ind w:left="684"/>
        <w:rPr>
          <w:b/>
          <w:color w:val="000000"/>
          <w:sz w:val="24"/>
          <w:szCs w:val="24"/>
        </w:rPr>
      </w:pPr>
    </w:p>
    <w:p w:rsidR="00EF1384" w:rsidP="00CA1090" w14:paraId="03EF3373" w14:textId="08F2ADE5">
      <w:pPr>
        <w:ind w:left="480"/>
        <w:rPr>
          <w:bCs/>
          <w:color w:val="000000"/>
          <w:sz w:val="24"/>
          <w:szCs w:val="24"/>
        </w:rPr>
      </w:pPr>
      <w:r w:rsidRPr="0055069C">
        <w:rPr>
          <w:bCs/>
          <w:color w:val="000000"/>
          <w:sz w:val="24"/>
          <w:szCs w:val="24"/>
        </w:rPr>
        <w:t>There are no additional costs to respondents for the bulleted items above.</w:t>
      </w:r>
    </w:p>
    <w:p w:rsidR="00CA1090" w:rsidRPr="00CA1090" w:rsidP="00CA1090" w14:paraId="6105E0E3" w14:textId="77777777">
      <w:pPr>
        <w:ind w:left="480"/>
        <w:rPr>
          <w:bCs/>
          <w:color w:val="000000"/>
          <w:sz w:val="24"/>
          <w:szCs w:val="24"/>
        </w:rPr>
      </w:pPr>
    </w:p>
    <w:p w:rsidR="009E13B1" w:rsidRPr="0055069C" w14:paraId="0A956313" w14:textId="77777777">
      <w:pPr>
        <w:keepLines/>
        <w:tabs>
          <w:tab w:val="left" w:pos="360"/>
        </w:tabs>
        <w:spacing w:after="80"/>
        <w:ind w:left="360" w:hanging="360"/>
        <w:rPr>
          <w:b/>
          <w:bCs/>
          <w:sz w:val="24"/>
          <w:szCs w:val="24"/>
        </w:rPr>
      </w:pPr>
      <w:r w:rsidRPr="0055069C">
        <w:rPr>
          <w:sz w:val="24"/>
          <w:szCs w:val="24"/>
        </w:rPr>
        <w:t>14.</w:t>
      </w:r>
      <w:r w:rsidRPr="0055069C">
        <w:rPr>
          <w:sz w:val="24"/>
          <w:szCs w:val="24"/>
        </w:rPr>
        <w:tab/>
      </w:r>
      <w:r w:rsidRPr="0055069C">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92D85" w:rsidRPr="0055069C" w:rsidP="00D92D85" w14:paraId="20068E65" w14:textId="77777777">
      <w:pPr>
        <w:pStyle w:val="ListParagraph"/>
        <w:spacing w:after="0" w:line="240" w:lineRule="auto"/>
        <w:ind w:left="0"/>
        <w:rPr>
          <w:rFonts w:ascii="Times New Roman" w:hAnsi="Times New Roman"/>
          <w:bCs/>
          <w:color w:val="000000"/>
          <w:sz w:val="24"/>
          <w:szCs w:val="24"/>
        </w:rPr>
      </w:pPr>
    </w:p>
    <w:p w:rsidR="00D92D85" w:rsidRPr="0055069C" w:rsidP="144F3E93" w14:paraId="36917EE6" w14:textId="47498EC3">
      <w:pPr>
        <w:ind w:left="360"/>
        <w:rPr>
          <w:color w:val="000000"/>
          <w:sz w:val="24"/>
          <w:szCs w:val="24"/>
        </w:rPr>
      </w:pPr>
      <w:r w:rsidRPr="144F3E93">
        <w:rPr>
          <w:color w:val="000000" w:themeColor="text1"/>
          <w:sz w:val="24"/>
          <w:szCs w:val="24"/>
        </w:rPr>
        <w:t>The number of hours and costs for staff to review are reflected in the following chart:</w:t>
      </w:r>
    </w:p>
    <w:p w:rsidR="00D92D85" w:rsidRPr="0055069C" w:rsidP="00D92D85" w14:paraId="06BE1EF7" w14:textId="77777777">
      <w:pPr>
        <w:pStyle w:val="ListParagraph"/>
        <w:spacing w:after="0" w:line="240" w:lineRule="auto"/>
        <w:ind w:left="0"/>
        <w:rPr>
          <w:rFonts w:ascii="Times New Roman" w:hAnsi="Times New Roman"/>
          <w:bCs/>
          <w:color w:val="000000"/>
          <w:sz w:val="24"/>
          <w:szCs w:val="24"/>
        </w:rPr>
      </w:pPr>
    </w:p>
    <w:tbl>
      <w:tblPr>
        <w:tblW w:w="9802"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0"/>
        <w:gridCol w:w="1247"/>
        <w:gridCol w:w="1028"/>
        <w:gridCol w:w="1005"/>
        <w:gridCol w:w="949"/>
        <w:gridCol w:w="966"/>
        <w:gridCol w:w="1170"/>
        <w:gridCol w:w="1247"/>
      </w:tblGrid>
      <w:tr w14:paraId="06A544E2" w14:textId="77777777" w:rsidTr="2EB7D73D">
        <w:tblPrEx>
          <w:tblW w:w="9802"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2190" w:type="dxa"/>
            <w:vAlign w:val="center"/>
          </w:tcPr>
          <w:p w:rsidR="00873E01" w:rsidRPr="007267DF" w:rsidP="00B721E9" w14:paraId="46B6A24D" w14:textId="77777777">
            <w:pPr>
              <w:spacing w:before="20" w:after="20"/>
              <w:jc w:val="center"/>
              <w:rPr>
                <w:color w:val="000000"/>
                <w:sz w:val="18"/>
                <w:szCs w:val="18"/>
              </w:rPr>
            </w:pPr>
            <w:r w:rsidRPr="007267DF">
              <w:rPr>
                <w:color w:val="000000"/>
                <w:sz w:val="18"/>
                <w:szCs w:val="18"/>
              </w:rPr>
              <w:t>Information Collection</w:t>
            </w:r>
          </w:p>
        </w:tc>
        <w:tc>
          <w:tcPr>
            <w:tcW w:w="1247" w:type="dxa"/>
            <w:vAlign w:val="center"/>
          </w:tcPr>
          <w:p w:rsidR="00873E01" w:rsidRPr="007267DF" w:rsidP="00B721E9" w14:paraId="677D4321" w14:textId="77777777">
            <w:pPr>
              <w:spacing w:before="20" w:after="20"/>
              <w:jc w:val="center"/>
              <w:rPr>
                <w:sz w:val="18"/>
                <w:szCs w:val="18"/>
              </w:rPr>
            </w:pPr>
            <w:r w:rsidRPr="007267DF">
              <w:rPr>
                <w:color w:val="000000"/>
                <w:sz w:val="18"/>
                <w:szCs w:val="18"/>
              </w:rPr>
              <w:t>Number of Submissions</w:t>
            </w:r>
          </w:p>
        </w:tc>
        <w:tc>
          <w:tcPr>
            <w:tcW w:w="1028" w:type="dxa"/>
          </w:tcPr>
          <w:p w:rsidR="00873E01" w:rsidRPr="007267DF" w:rsidP="00B721E9" w14:paraId="4B853D0D" w14:textId="77777777">
            <w:pPr>
              <w:spacing w:before="20" w:after="20"/>
              <w:jc w:val="center"/>
              <w:rPr>
                <w:color w:val="000000"/>
                <w:sz w:val="18"/>
                <w:szCs w:val="18"/>
              </w:rPr>
            </w:pPr>
            <w:r w:rsidRPr="007267DF">
              <w:rPr>
                <w:color w:val="000000"/>
                <w:sz w:val="18"/>
                <w:szCs w:val="18"/>
              </w:rPr>
              <w:t>Frequency</w:t>
            </w:r>
          </w:p>
        </w:tc>
        <w:tc>
          <w:tcPr>
            <w:tcW w:w="1005" w:type="dxa"/>
          </w:tcPr>
          <w:p w:rsidR="00873E01" w:rsidRPr="007267DF" w:rsidP="00B721E9" w14:paraId="5184036C" w14:textId="77777777">
            <w:pPr>
              <w:spacing w:before="20" w:after="20"/>
              <w:jc w:val="center"/>
              <w:rPr>
                <w:color w:val="000000"/>
                <w:sz w:val="18"/>
                <w:szCs w:val="18"/>
              </w:rPr>
            </w:pPr>
            <w:r w:rsidRPr="007267DF">
              <w:rPr>
                <w:color w:val="000000"/>
                <w:sz w:val="18"/>
                <w:szCs w:val="18"/>
              </w:rPr>
              <w:t>Responses per year</w:t>
            </w:r>
          </w:p>
        </w:tc>
        <w:tc>
          <w:tcPr>
            <w:tcW w:w="949" w:type="dxa"/>
            <w:vAlign w:val="center"/>
          </w:tcPr>
          <w:p w:rsidR="00873E01" w:rsidRPr="007267DF" w:rsidP="00B721E9" w14:paraId="50842F0F" w14:textId="77777777">
            <w:pPr>
              <w:spacing w:before="20" w:after="20"/>
              <w:jc w:val="center"/>
              <w:rPr>
                <w:sz w:val="18"/>
                <w:szCs w:val="18"/>
              </w:rPr>
            </w:pPr>
            <w:r w:rsidRPr="007267DF">
              <w:rPr>
                <w:color w:val="000000"/>
                <w:sz w:val="18"/>
                <w:szCs w:val="18"/>
              </w:rPr>
              <w:t>Hrs. per Review</w:t>
            </w:r>
          </w:p>
        </w:tc>
        <w:tc>
          <w:tcPr>
            <w:tcW w:w="966" w:type="dxa"/>
            <w:vAlign w:val="center"/>
          </w:tcPr>
          <w:p w:rsidR="00873E01" w:rsidRPr="007267DF" w:rsidP="00B721E9" w14:paraId="7A0E30B5" w14:textId="77777777">
            <w:pPr>
              <w:spacing w:before="20" w:after="20"/>
              <w:jc w:val="center"/>
              <w:rPr>
                <w:sz w:val="18"/>
                <w:szCs w:val="18"/>
              </w:rPr>
            </w:pPr>
            <w:r w:rsidRPr="007267DF">
              <w:rPr>
                <w:sz w:val="18"/>
                <w:szCs w:val="18"/>
              </w:rPr>
              <w:t xml:space="preserve">Total </w:t>
            </w:r>
            <w:r w:rsidRPr="007267DF">
              <w:rPr>
                <w:sz w:val="18"/>
                <w:szCs w:val="18"/>
              </w:rPr>
              <w:t>Hrs</w:t>
            </w:r>
            <w:r w:rsidRPr="007267DF" w:rsidR="00D63420">
              <w:rPr>
                <w:sz w:val="18"/>
                <w:szCs w:val="18"/>
              </w:rPr>
              <w:t xml:space="preserve"> (per person)</w:t>
            </w:r>
            <w:r w:rsidRPr="007267DF">
              <w:rPr>
                <w:sz w:val="18"/>
                <w:szCs w:val="18"/>
              </w:rPr>
              <w:t>.</w:t>
            </w:r>
          </w:p>
        </w:tc>
        <w:tc>
          <w:tcPr>
            <w:tcW w:w="1170" w:type="dxa"/>
            <w:vAlign w:val="center"/>
          </w:tcPr>
          <w:p w:rsidR="00873E01" w:rsidRPr="007267DF" w:rsidP="00B721E9" w14:paraId="0D6F7CEE" w14:textId="77777777">
            <w:pPr>
              <w:spacing w:before="20" w:after="20"/>
              <w:jc w:val="center"/>
              <w:rPr>
                <w:sz w:val="18"/>
                <w:szCs w:val="18"/>
              </w:rPr>
            </w:pPr>
            <w:r w:rsidRPr="007267DF">
              <w:rPr>
                <w:color w:val="000000"/>
                <w:sz w:val="18"/>
                <w:szCs w:val="18"/>
              </w:rPr>
              <w:t>Average Pay per Hr.</w:t>
            </w:r>
          </w:p>
        </w:tc>
        <w:tc>
          <w:tcPr>
            <w:tcW w:w="1247" w:type="dxa"/>
            <w:vAlign w:val="center"/>
          </w:tcPr>
          <w:p w:rsidR="00873E01" w:rsidRPr="007267DF" w:rsidP="00B721E9" w14:paraId="09185C9A" w14:textId="77777777">
            <w:pPr>
              <w:spacing w:before="20" w:after="20"/>
              <w:jc w:val="center"/>
              <w:rPr>
                <w:sz w:val="18"/>
                <w:szCs w:val="18"/>
              </w:rPr>
            </w:pPr>
            <w:r w:rsidRPr="007267DF">
              <w:rPr>
                <w:sz w:val="18"/>
                <w:szCs w:val="18"/>
              </w:rPr>
              <w:t>Total staff cost</w:t>
            </w:r>
          </w:p>
        </w:tc>
      </w:tr>
      <w:tr w14:paraId="7BACA940" w14:textId="77777777" w:rsidTr="2EB7D73D">
        <w:tblPrEx>
          <w:tblW w:w="9802" w:type="dxa"/>
          <w:tblInd w:w="268" w:type="dxa"/>
          <w:tblLook w:val="0000"/>
        </w:tblPrEx>
        <w:trPr>
          <w:trHeight w:val="305"/>
        </w:trPr>
        <w:tc>
          <w:tcPr>
            <w:tcW w:w="2190" w:type="dxa"/>
          </w:tcPr>
          <w:p w:rsidR="0055069C" w:rsidRPr="007267DF" w:rsidP="00F35FE2" w14:paraId="302A25DA" w14:textId="77777777">
            <w:pPr>
              <w:spacing w:before="20" w:after="20"/>
              <w:rPr>
                <w:color w:val="000000"/>
                <w:sz w:val="18"/>
                <w:szCs w:val="18"/>
                <w:shd w:val="clear" w:color="auto" w:fill="FFFFFF"/>
              </w:rPr>
            </w:pPr>
            <w:r w:rsidRPr="007267DF">
              <w:rPr>
                <w:color w:val="000000"/>
                <w:sz w:val="18"/>
                <w:szCs w:val="18"/>
                <w:shd w:val="clear" w:color="auto" w:fill="FFFFFF"/>
              </w:rPr>
              <w:t>Assistance Award/Amendment</w:t>
            </w:r>
          </w:p>
          <w:p w:rsidR="00F35FE2" w:rsidRPr="007267DF" w:rsidP="00F35FE2" w14:paraId="5BFAF715" w14:textId="329D66A2">
            <w:pPr>
              <w:spacing w:before="20" w:after="20"/>
              <w:rPr>
                <w:sz w:val="18"/>
                <w:szCs w:val="18"/>
              </w:rPr>
            </w:pPr>
            <w:r w:rsidRPr="007267DF">
              <w:rPr>
                <w:color w:val="000000"/>
                <w:sz w:val="18"/>
                <w:szCs w:val="18"/>
                <w:shd w:val="clear" w:color="auto" w:fill="FFFFFF"/>
              </w:rPr>
              <w:t>(</w:t>
            </w:r>
            <w:r w:rsidRPr="007267DF" w:rsidR="00D92D85">
              <w:rPr>
                <w:sz w:val="18"/>
                <w:szCs w:val="18"/>
              </w:rPr>
              <w:t>HUD-1044</w:t>
            </w:r>
            <w:r w:rsidRPr="007267DF">
              <w:rPr>
                <w:sz w:val="18"/>
                <w:szCs w:val="18"/>
              </w:rPr>
              <w:t>)</w:t>
            </w:r>
            <w:r w:rsidRPr="007267DF" w:rsidR="00D92D85">
              <w:rPr>
                <w:sz w:val="18"/>
                <w:szCs w:val="18"/>
              </w:rPr>
              <w:t xml:space="preserve"> </w:t>
            </w:r>
          </w:p>
        </w:tc>
        <w:tc>
          <w:tcPr>
            <w:tcW w:w="1247" w:type="dxa"/>
            <w:vAlign w:val="center"/>
          </w:tcPr>
          <w:p w:rsidR="00F35FE2" w:rsidRPr="007267DF" w:rsidP="00BE2598" w14:paraId="45E5C721" w14:textId="1F941D01">
            <w:pPr>
              <w:pStyle w:val="NoSpacing"/>
              <w:jc w:val="right"/>
              <w:rPr>
                <w:sz w:val="18"/>
                <w:szCs w:val="18"/>
              </w:rPr>
            </w:pPr>
            <w:r w:rsidRPr="007267DF">
              <w:rPr>
                <w:sz w:val="18"/>
                <w:szCs w:val="18"/>
              </w:rPr>
              <w:t>2</w:t>
            </w:r>
            <w:r w:rsidRPr="007267DF" w:rsidR="00CE562F">
              <w:rPr>
                <w:sz w:val="18"/>
                <w:szCs w:val="18"/>
              </w:rPr>
              <w:t>1</w:t>
            </w:r>
          </w:p>
        </w:tc>
        <w:tc>
          <w:tcPr>
            <w:tcW w:w="1028" w:type="dxa"/>
            <w:vAlign w:val="center"/>
          </w:tcPr>
          <w:p w:rsidR="00F35FE2" w:rsidRPr="007267DF" w:rsidP="00BE2598" w14:paraId="1B152969" w14:textId="77777777">
            <w:pPr>
              <w:pStyle w:val="NoSpacing"/>
              <w:jc w:val="right"/>
              <w:rPr>
                <w:sz w:val="18"/>
                <w:szCs w:val="18"/>
              </w:rPr>
            </w:pPr>
            <w:r w:rsidRPr="007267DF">
              <w:rPr>
                <w:sz w:val="18"/>
                <w:szCs w:val="18"/>
              </w:rPr>
              <w:t>1</w:t>
            </w:r>
          </w:p>
        </w:tc>
        <w:tc>
          <w:tcPr>
            <w:tcW w:w="1005" w:type="dxa"/>
            <w:vAlign w:val="center"/>
          </w:tcPr>
          <w:p w:rsidR="00F35FE2" w:rsidRPr="007267DF" w:rsidP="00BE2598" w14:paraId="15E2749E" w14:textId="10297CD8">
            <w:pPr>
              <w:pStyle w:val="NoSpacing"/>
              <w:jc w:val="right"/>
              <w:rPr>
                <w:sz w:val="18"/>
                <w:szCs w:val="18"/>
              </w:rPr>
            </w:pPr>
            <w:r w:rsidRPr="007267DF">
              <w:rPr>
                <w:sz w:val="18"/>
                <w:szCs w:val="18"/>
              </w:rPr>
              <w:t>2</w:t>
            </w:r>
            <w:r w:rsidRPr="007267DF" w:rsidR="00E15794">
              <w:rPr>
                <w:sz w:val="18"/>
                <w:szCs w:val="18"/>
              </w:rPr>
              <w:t>1</w:t>
            </w:r>
          </w:p>
        </w:tc>
        <w:tc>
          <w:tcPr>
            <w:tcW w:w="949" w:type="dxa"/>
            <w:vAlign w:val="center"/>
          </w:tcPr>
          <w:p w:rsidR="00F35FE2" w:rsidRPr="007267DF" w:rsidP="00BE2598" w14:paraId="2BA09237" w14:textId="77777777">
            <w:pPr>
              <w:pStyle w:val="NoSpacing"/>
              <w:jc w:val="right"/>
              <w:rPr>
                <w:sz w:val="18"/>
                <w:szCs w:val="18"/>
              </w:rPr>
            </w:pPr>
            <w:r w:rsidRPr="007267DF">
              <w:rPr>
                <w:sz w:val="18"/>
                <w:szCs w:val="18"/>
              </w:rPr>
              <w:t>.3</w:t>
            </w:r>
          </w:p>
        </w:tc>
        <w:tc>
          <w:tcPr>
            <w:tcW w:w="966" w:type="dxa"/>
            <w:vAlign w:val="center"/>
          </w:tcPr>
          <w:p w:rsidR="00F35FE2" w:rsidRPr="007267DF" w:rsidP="00BE2598" w14:paraId="4A160007" w14:textId="0E564D86">
            <w:pPr>
              <w:pStyle w:val="NoSpacing"/>
              <w:jc w:val="right"/>
              <w:rPr>
                <w:sz w:val="18"/>
                <w:szCs w:val="18"/>
              </w:rPr>
            </w:pPr>
            <w:r w:rsidRPr="007267DF">
              <w:rPr>
                <w:sz w:val="18"/>
                <w:szCs w:val="18"/>
              </w:rPr>
              <w:t>6</w:t>
            </w:r>
            <w:r w:rsidRPr="007267DF" w:rsidR="00240193">
              <w:rPr>
                <w:sz w:val="18"/>
                <w:szCs w:val="18"/>
              </w:rPr>
              <w:t>.3</w:t>
            </w:r>
          </w:p>
        </w:tc>
        <w:tc>
          <w:tcPr>
            <w:tcW w:w="1170" w:type="dxa"/>
            <w:vAlign w:val="center"/>
          </w:tcPr>
          <w:p w:rsidR="00F35FE2" w:rsidRPr="007267DF" w:rsidP="00BE2598" w14:paraId="490BE149" w14:textId="2FD76181">
            <w:pPr>
              <w:pStyle w:val="NoSpacing"/>
              <w:jc w:val="right"/>
              <w:rPr>
                <w:sz w:val="18"/>
                <w:szCs w:val="18"/>
              </w:rPr>
            </w:pPr>
            <w:r w:rsidRPr="007267DF">
              <w:rPr>
                <w:sz w:val="18"/>
                <w:szCs w:val="18"/>
              </w:rPr>
              <w:t>$110.89</w:t>
            </w:r>
          </w:p>
        </w:tc>
        <w:tc>
          <w:tcPr>
            <w:tcW w:w="1247" w:type="dxa"/>
            <w:vAlign w:val="center"/>
          </w:tcPr>
          <w:p w:rsidR="00F35FE2" w:rsidRPr="007267DF" w:rsidP="00BE2598" w14:paraId="67CE9811" w14:textId="4D47F2DC">
            <w:pPr>
              <w:pStyle w:val="NoSpacing"/>
              <w:jc w:val="right"/>
              <w:rPr>
                <w:sz w:val="18"/>
                <w:szCs w:val="18"/>
              </w:rPr>
            </w:pPr>
            <w:r w:rsidRPr="007267DF">
              <w:rPr>
                <w:sz w:val="18"/>
                <w:szCs w:val="18"/>
              </w:rPr>
              <w:t>$</w:t>
            </w:r>
            <w:r w:rsidRPr="007267DF" w:rsidR="314DCDFA">
              <w:rPr>
                <w:sz w:val="18"/>
                <w:szCs w:val="18"/>
              </w:rPr>
              <w:t>6</w:t>
            </w:r>
            <w:r w:rsidRPr="007267DF" w:rsidR="37B4292C">
              <w:rPr>
                <w:sz w:val="18"/>
                <w:szCs w:val="18"/>
              </w:rPr>
              <w:t>98.61</w:t>
            </w:r>
          </w:p>
        </w:tc>
      </w:tr>
      <w:tr w14:paraId="3729DCE8" w14:textId="77777777" w:rsidTr="2EB7D73D">
        <w:tblPrEx>
          <w:tblW w:w="9802" w:type="dxa"/>
          <w:tblInd w:w="268" w:type="dxa"/>
          <w:tblLook w:val="0000"/>
        </w:tblPrEx>
        <w:trPr>
          <w:trHeight w:val="300"/>
        </w:trPr>
        <w:tc>
          <w:tcPr>
            <w:tcW w:w="2190" w:type="dxa"/>
            <w:vAlign w:val="center"/>
          </w:tcPr>
          <w:p w:rsidR="00D63420" w:rsidRPr="007267DF" w:rsidP="00D63420" w14:paraId="29E5FDBA" w14:textId="77777777">
            <w:pPr>
              <w:spacing w:before="20" w:after="20"/>
              <w:rPr>
                <w:sz w:val="18"/>
                <w:szCs w:val="18"/>
              </w:rPr>
            </w:pPr>
            <w:r w:rsidRPr="007267DF">
              <w:rPr>
                <w:bCs/>
                <w:color w:val="000000"/>
                <w:sz w:val="18"/>
                <w:szCs w:val="18"/>
              </w:rPr>
              <w:t>Grant work plan</w:t>
            </w:r>
          </w:p>
        </w:tc>
        <w:tc>
          <w:tcPr>
            <w:tcW w:w="1247" w:type="dxa"/>
            <w:vAlign w:val="center"/>
          </w:tcPr>
          <w:p w:rsidR="00D63420" w:rsidRPr="007267DF" w:rsidP="00D63420" w14:paraId="77439D9C" w14:textId="7FD9D828">
            <w:pPr>
              <w:pStyle w:val="NoSpacing"/>
              <w:jc w:val="right"/>
              <w:rPr>
                <w:sz w:val="18"/>
                <w:szCs w:val="18"/>
              </w:rPr>
            </w:pPr>
            <w:r w:rsidRPr="007267DF">
              <w:rPr>
                <w:sz w:val="18"/>
                <w:szCs w:val="18"/>
              </w:rPr>
              <w:t>2</w:t>
            </w:r>
            <w:r w:rsidRPr="007267DF" w:rsidR="00CE562F">
              <w:rPr>
                <w:sz w:val="18"/>
                <w:szCs w:val="18"/>
              </w:rPr>
              <w:t>1</w:t>
            </w:r>
          </w:p>
        </w:tc>
        <w:tc>
          <w:tcPr>
            <w:tcW w:w="1028" w:type="dxa"/>
            <w:vAlign w:val="center"/>
          </w:tcPr>
          <w:p w:rsidR="00D63420" w:rsidRPr="007267DF" w:rsidP="00D63420" w14:paraId="78027017" w14:textId="77777777">
            <w:pPr>
              <w:pStyle w:val="NoSpacing"/>
              <w:jc w:val="right"/>
              <w:rPr>
                <w:sz w:val="18"/>
                <w:szCs w:val="18"/>
              </w:rPr>
            </w:pPr>
            <w:r w:rsidRPr="007267DF">
              <w:rPr>
                <w:sz w:val="18"/>
                <w:szCs w:val="18"/>
              </w:rPr>
              <w:t>1</w:t>
            </w:r>
          </w:p>
        </w:tc>
        <w:tc>
          <w:tcPr>
            <w:tcW w:w="1005" w:type="dxa"/>
            <w:vAlign w:val="center"/>
          </w:tcPr>
          <w:p w:rsidR="00D63420" w:rsidRPr="007267DF" w:rsidP="00D63420" w14:paraId="10931D77" w14:textId="63466E57">
            <w:pPr>
              <w:pStyle w:val="NoSpacing"/>
              <w:jc w:val="right"/>
              <w:rPr>
                <w:sz w:val="18"/>
                <w:szCs w:val="18"/>
              </w:rPr>
            </w:pPr>
            <w:r w:rsidRPr="007267DF">
              <w:rPr>
                <w:sz w:val="18"/>
                <w:szCs w:val="18"/>
              </w:rPr>
              <w:t>2</w:t>
            </w:r>
            <w:r w:rsidRPr="007267DF" w:rsidR="00E15794">
              <w:rPr>
                <w:sz w:val="18"/>
                <w:szCs w:val="18"/>
              </w:rPr>
              <w:t>1</w:t>
            </w:r>
          </w:p>
        </w:tc>
        <w:tc>
          <w:tcPr>
            <w:tcW w:w="949" w:type="dxa"/>
            <w:vAlign w:val="center"/>
          </w:tcPr>
          <w:p w:rsidR="00D63420" w:rsidRPr="007267DF" w:rsidP="00D63420" w14:paraId="76DE227D" w14:textId="77777777">
            <w:pPr>
              <w:pStyle w:val="NoSpacing"/>
              <w:jc w:val="right"/>
              <w:rPr>
                <w:sz w:val="18"/>
                <w:szCs w:val="18"/>
              </w:rPr>
            </w:pPr>
            <w:r w:rsidRPr="007267DF">
              <w:rPr>
                <w:sz w:val="18"/>
                <w:szCs w:val="18"/>
              </w:rPr>
              <w:t>2</w:t>
            </w:r>
          </w:p>
        </w:tc>
        <w:tc>
          <w:tcPr>
            <w:tcW w:w="966" w:type="dxa"/>
            <w:vAlign w:val="center"/>
          </w:tcPr>
          <w:p w:rsidR="00D63420" w:rsidRPr="007267DF" w:rsidP="00D63420" w14:paraId="42DE0175" w14:textId="2003EA88">
            <w:pPr>
              <w:pStyle w:val="NoSpacing"/>
              <w:jc w:val="right"/>
              <w:rPr>
                <w:sz w:val="18"/>
                <w:szCs w:val="18"/>
              </w:rPr>
            </w:pPr>
            <w:r w:rsidRPr="007267DF">
              <w:rPr>
                <w:sz w:val="18"/>
                <w:szCs w:val="18"/>
              </w:rPr>
              <w:t>4</w:t>
            </w:r>
            <w:r w:rsidRPr="007267DF" w:rsidR="00240193">
              <w:rPr>
                <w:sz w:val="18"/>
                <w:szCs w:val="18"/>
              </w:rPr>
              <w:t>2</w:t>
            </w:r>
          </w:p>
        </w:tc>
        <w:tc>
          <w:tcPr>
            <w:tcW w:w="1170" w:type="dxa"/>
            <w:vAlign w:val="center"/>
          </w:tcPr>
          <w:p w:rsidR="00D63420" w:rsidRPr="007267DF" w:rsidP="00D63420" w14:paraId="59EABCA5" w14:textId="394B14B1">
            <w:pPr>
              <w:pStyle w:val="NoSpacing"/>
              <w:jc w:val="right"/>
              <w:rPr>
                <w:sz w:val="18"/>
                <w:szCs w:val="18"/>
              </w:rPr>
            </w:pPr>
            <w:r w:rsidRPr="007267DF">
              <w:rPr>
                <w:sz w:val="18"/>
                <w:szCs w:val="18"/>
              </w:rPr>
              <w:t>$110.89</w:t>
            </w:r>
          </w:p>
        </w:tc>
        <w:tc>
          <w:tcPr>
            <w:tcW w:w="1247" w:type="dxa"/>
            <w:vAlign w:val="center"/>
          </w:tcPr>
          <w:p w:rsidR="00D63420" w:rsidRPr="007267DF" w:rsidP="00D63420" w14:paraId="1D53E94C" w14:textId="42F2EF56">
            <w:pPr>
              <w:pStyle w:val="NoSpacing"/>
              <w:jc w:val="right"/>
              <w:rPr>
                <w:sz w:val="18"/>
                <w:szCs w:val="18"/>
              </w:rPr>
            </w:pPr>
            <w:r w:rsidRPr="007267DF">
              <w:rPr>
                <w:sz w:val="18"/>
                <w:szCs w:val="18"/>
              </w:rPr>
              <w:t>$</w:t>
            </w:r>
            <w:r w:rsidRPr="007267DF" w:rsidR="314DCDFA">
              <w:rPr>
                <w:sz w:val="18"/>
                <w:szCs w:val="18"/>
              </w:rPr>
              <w:t>4,</w:t>
            </w:r>
            <w:r w:rsidRPr="007267DF" w:rsidR="0E14E63A">
              <w:rPr>
                <w:sz w:val="18"/>
                <w:szCs w:val="18"/>
              </w:rPr>
              <w:t>657.38</w:t>
            </w:r>
          </w:p>
        </w:tc>
      </w:tr>
      <w:tr w14:paraId="4AAE13A6" w14:textId="77777777" w:rsidTr="2EB7D73D">
        <w:tblPrEx>
          <w:tblW w:w="9802" w:type="dxa"/>
          <w:tblInd w:w="268" w:type="dxa"/>
          <w:tblLook w:val="0000"/>
        </w:tblPrEx>
        <w:trPr>
          <w:trHeight w:val="300"/>
        </w:trPr>
        <w:tc>
          <w:tcPr>
            <w:tcW w:w="2190" w:type="dxa"/>
          </w:tcPr>
          <w:p w:rsidR="00D63420" w:rsidRPr="007267DF" w:rsidP="00D63420" w14:paraId="5C0C7105" w14:textId="77777777">
            <w:pPr>
              <w:spacing w:before="20" w:after="20"/>
              <w:rPr>
                <w:sz w:val="18"/>
                <w:szCs w:val="18"/>
              </w:rPr>
            </w:pPr>
            <w:r w:rsidRPr="007267DF">
              <w:rPr>
                <w:sz w:val="18"/>
                <w:szCs w:val="18"/>
              </w:rPr>
              <w:t>Detailed Budget Worksheet, 424 CBW</w:t>
            </w:r>
          </w:p>
        </w:tc>
        <w:tc>
          <w:tcPr>
            <w:tcW w:w="1247" w:type="dxa"/>
            <w:vAlign w:val="center"/>
          </w:tcPr>
          <w:p w:rsidR="00D63420" w:rsidRPr="007267DF" w:rsidP="00D63420" w14:paraId="6458A441" w14:textId="0D2B924A">
            <w:pPr>
              <w:pStyle w:val="NoSpacing"/>
              <w:jc w:val="right"/>
              <w:rPr>
                <w:sz w:val="18"/>
                <w:szCs w:val="18"/>
              </w:rPr>
            </w:pPr>
            <w:r w:rsidRPr="007267DF">
              <w:rPr>
                <w:sz w:val="18"/>
                <w:szCs w:val="18"/>
              </w:rPr>
              <w:t>2</w:t>
            </w:r>
            <w:r w:rsidRPr="007267DF" w:rsidR="00CE562F">
              <w:rPr>
                <w:sz w:val="18"/>
                <w:szCs w:val="18"/>
              </w:rPr>
              <w:t>1</w:t>
            </w:r>
          </w:p>
        </w:tc>
        <w:tc>
          <w:tcPr>
            <w:tcW w:w="1028" w:type="dxa"/>
            <w:vAlign w:val="center"/>
          </w:tcPr>
          <w:p w:rsidR="00D63420" w:rsidRPr="007267DF" w:rsidP="00D63420" w14:paraId="37A250D8" w14:textId="77777777">
            <w:pPr>
              <w:pStyle w:val="NoSpacing"/>
              <w:jc w:val="right"/>
              <w:rPr>
                <w:sz w:val="18"/>
                <w:szCs w:val="18"/>
              </w:rPr>
            </w:pPr>
            <w:r w:rsidRPr="007267DF">
              <w:rPr>
                <w:sz w:val="18"/>
                <w:szCs w:val="18"/>
              </w:rPr>
              <w:t>1</w:t>
            </w:r>
          </w:p>
        </w:tc>
        <w:tc>
          <w:tcPr>
            <w:tcW w:w="1005" w:type="dxa"/>
            <w:vAlign w:val="center"/>
          </w:tcPr>
          <w:p w:rsidR="00D63420" w:rsidRPr="007267DF" w:rsidP="00D63420" w14:paraId="69043247" w14:textId="5B97E777">
            <w:pPr>
              <w:pStyle w:val="NoSpacing"/>
              <w:jc w:val="right"/>
              <w:rPr>
                <w:sz w:val="18"/>
                <w:szCs w:val="18"/>
              </w:rPr>
            </w:pPr>
            <w:r w:rsidRPr="007267DF">
              <w:rPr>
                <w:sz w:val="18"/>
                <w:szCs w:val="18"/>
              </w:rPr>
              <w:t>2</w:t>
            </w:r>
            <w:r w:rsidRPr="007267DF" w:rsidR="00E15794">
              <w:rPr>
                <w:sz w:val="18"/>
                <w:szCs w:val="18"/>
              </w:rPr>
              <w:t>1</w:t>
            </w:r>
          </w:p>
        </w:tc>
        <w:tc>
          <w:tcPr>
            <w:tcW w:w="949" w:type="dxa"/>
            <w:vAlign w:val="center"/>
          </w:tcPr>
          <w:p w:rsidR="00D63420" w:rsidRPr="007267DF" w:rsidP="00D63420" w14:paraId="6109B664" w14:textId="77777777">
            <w:pPr>
              <w:pStyle w:val="NoSpacing"/>
              <w:jc w:val="right"/>
              <w:rPr>
                <w:sz w:val="18"/>
                <w:szCs w:val="18"/>
              </w:rPr>
            </w:pPr>
            <w:r w:rsidRPr="007267DF">
              <w:rPr>
                <w:sz w:val="18"/>
                <w:szCs w:val="18"/>
              </w:rPr>
              <w:t>1</w:t>
            </w:r>
          </w:p>
        </w:tc>
        <w:tc>
          <w:tcPr>
            <w:tcW w:w="966" w:type="dxa"/>
            <w:vAlign w:val="center"/>
          </w:tcPr>
          <w:p w:rsidR="00D63420" w:rsidRPr="007267DF" w:rsidP="00D63420" w14:paraId="4CA70A0C" w14:textId="6D979E1D">
            <w:pPr>
              <w:pStyle w:val="NoSpacing"/>
              <w:jc w:val="right"/>
              <w:rPr>
                <w:sz w:val="18"/>
                <w:szCs w:val="18"/>
              </w:rPr>
            </w:pPr>
            <w:r w:rsidRPr="007267DF">
              <w:rPr>
                <w:sz w:val="18"/>
                <w:szCs w:val="18"/>
              </w:rPr>
              <w:t>2</w:t>
            </w:r>
            <w:r w:rsidRPr="007267DF" w:rsidR="00240193">
              <w:rPr>
                <w:sz w:val="18"/>
                <w:szCs w:val="18"/>
              </w:rPr>
              <w:t>1</w:t>
            </w:r>
          </w:p>
        </w:tc>
        <w:tc>
          <w:tcPr>
            <w:tcW w:w="1170" w:type="dxa"/>
            <w:vAlign w:val="center"/>
          </w:tcPr>
          <w:p w:rsidR="00D63420" w:rsidRPr="007267DF" w:rsidP="2EB7D73D" w14:paraId="3F394188" w14:textId="2D977A76">
            <w:pPr>
              <w:pStyle w:val="NoSpacing"/>
              <w:jc w:val="right"/>
              <w:rPr>
                <w:sz w:val="18"/>
                <w:szCs w:val="18"/>
              </w:rPr>
            </w:pPr>
            <w:r w:rsidRPr="007267DF">
              <w:rPr>
                <w:sz w:val="18"/>
                <w:szCs w:val="18"/>
              </w:rPr>
              <w:t>$110.89</w:t>
            </w:r>
          </w:p>
        </w:tc>
        <w:tc>
          <w:tcPr>
            <w:tcW w:w="1247" w:type="dxa"/>
            <w:vAlign w:val="center"/>
          </w:tcPr>
          <w:p w:rsidR="00D63420" w:rsidRPr="007267DF" w:rsidP="00D63420" w14:paraId="1293C9B6" w14:textId="2016CE7C">
            <w:pPr>
              <w:pStyle w:val="NoSpacing"/>
              <w:jc w:val="right"/>
              <w:rPr>
                <w:sz w:val="18"/>
                <w:szCs w:val="18"/>
              </w:rPr>
            </w:pPr>
            <w:r w:rsidRPr="007267DF">
              <w:rPr>
                <w:sz w:val="18"/>
                <w:szCs w:val="18"/>
              </w:rPr>
              <w:t>$</w:t>
            </w:r>
            <w:r w:rsidRPr="007267DF" w:rsidR="314DCDFA">
              <w:rPr>
                <w:sz w:val="18"/>
                <w:szCs w:val="18"/>
              </w:rPr>
              <w:t>2,</w:t>
            </w:r>
            <w:r w:rsidRPr="007267DF" w:rsidR="4ADBE903">
              <w:rPr>
                <w:sz w:val="18"/>
                <w:szCs w:val="18"/>
              </w:rPr>
              <w:t>328.69</w:t>
            </w:r>
          </w:p>
        </w:tc>
      </w:tr>
      <w:tr w14:paraId="6025AE22" w14:textId="77777777" w:rsidTr="2EB7D73D">
        <w:tblPrEx>
          <w:tblW w:w="9802" w:type="dxa"/>
          <w:tblInd w:w="268" w:type="dxa"/>
          <w:tblLook w:val="0000"/>
        </w:tblPrEx>
        <w:trPr>
          <w:trHeight w:val="300"/>
        </w:trPr>
        <w:tc>
          <w:tcPr>
            <w:tcW w:w="2190" w:type="dxa"/>
            <w:vAlign w:val="center"/>
          </w:tcPr>
          <w:p w:rsidR="00CE562F" w:rsidRPr="007267DF" w:rsidP="00CE562F" w14:paraId="4F0A2721" w14:textId="2114E913">
            <w:pPr>
              <w:spacing w:before="20" w:after="20"/>
              <w:rPr>
                <w:sz w:val="18"/>
                <w:szCs w:val="18"/>
              </w:rPr>
            </w:pPr>
            <w:r w:rsidRPr="007267DF">
              <w:rPr>
                <w:color w:val="000000" w:themeColor="text1"/>
                <w:sz w:val="18"/>
                <w:szCs w:val="18"/>
              </w:rPr>
              <w:t xml:space="preserve">Household </w:t>
            </w:r>
            <w:r w:rsidRPr="007267DF" w:rsidR="00241A68">
              <w:rPr>
                <w:color w:val="000000" w:themeColor="text1"/>
                <w:sz w:val="18"/>
                <w:szCs w:val="18"/>
              </w:rPr>
              <w:t>Services and Outcomes Report, 52698*</w:t>
            </w:r>
          </w:p>
        </w:tc>
        <w:tc>
          <w:tcPr>
            <w:tcW w:w="1247" w:type="dxa"/>
            <w:vAlign w:val="center"/>
          </w:tcPr>
          <w:p w:rsidR="00CE562F" w:rsidRPr="007267DF" w:rsidP="00CE562F" w14:paraId="538C0F41" w14:textId="3380112C">
            <w:pPr>
              <w:pStyle w:val="NoSpacing"/>
              <w:jc w:val="right"/>
              <w:rPr>
                <w:sz w:val="18"/>
                <w:szCs w:val="18"/>
              </w:rPr>
            </w:pPr>
            <w:r w:rsidRPr="007267DF">
              <w:rPr>
                <w:bCs/>
                <w:color w:val="000000"/>
                <w:sz w:val="18"/>
                <w:szCs w:val="18"/>
              </w:rPr>
              <w:t>2</w:t>
            </w:r>
            <w:r w:rsidRPr="007267DF" w:rsidR="00241A68">
              <w:rPr>
                <w:bCs/>
                <w:color w:val="000000"/>
                <w:sz w:val="18"/>
                <w:szCs w:val="18"/>
              </w:rPr>
              <w:t>1</w:t>
            </w:r>
          </w:p>
        </w:tc>
        <w:tc>
          <w:tcPr>
            <w:tcW w:w="1028" w:type="dxa"/>
            <w:vAlign w:val="center"/>
          </w:tcPr>
          <w:p w:rsidR="00CE562F" w:rsidRPr="007267DF" w:rsidP="00CE562F" w14:paraId="3F320A87" w14:textId="3BAA945E">
            <w:pPr>
              <w:pStyle w:val="NoSpacing"/>
              <w:jc w:val="right"/>
              <w:rPr>
                <w:sz w:val="18"/>
                <w:szCs w:val="18"/>
              </w:rPr>
            </w:pPr>
            <w:r w:rsidRPr="007267DF">
              <w:rPr>
                <w:bCs/>
                <w:color w:val="000000"/>
                <w:sz w:val="18"/>
                <w:szCs w:val="18"/>
              </w:rPr>
              <w:t>1,000</w:t>
            </w:r>
          </w:p>
        </w:tc>
        <w:tc>
          <w:tcPr>
            <w:tcW w:w="1005" w:type="dxa"/>
            <w:vAlign w:val="center"/>
          </w:tcPr>
          <w:p w:rsidR="00CE562F" w:rsidRPr="007267DF" w:rsidP="00CE562F" w14:paraId="7DCAB5AE" w14:textId="6D7184B0">
            <w:pPr>
              <w:pStyle w:val="NoSpacing"/>
              <w:jc w:val="right"/>
              <w:rPr>
                <w:sz w:val="18"/>
                <w:szCs w:val="18"/>
              </w:rPr>
            </w:pPr>
            <w:r w:rsidRPr="007267DF">
              <w:rPr>
                <w:sz w:val="18"/>
                <w:szCs w:val="18"/>
              </w:rPr>
              <w:t>21,000</w:t>
            </w:r>
          </w:p>
        </w:tc>
        <w:tc>
          <w:tcPr>
            <w:tcW w:w="949" w:type="dxa"/>
            <w:vAlign w:val="center"/>
          </w:tcPr>
          <w:p w:rsidR="00CE562F" w:rsidRPr="007267DF" w:rsidP="00CE562F" w14:paraId="64A8CFD7" w14:textId="77874E5E">
            <w:pPr>
              <w:pStyle w:val="NoSpacing"/>
              <w:jc w:val="right"/>
              <w:rPr>
                <w:sz w:val="18"/>
                <w:szCs w:val="18"/>
              </w:rPr>
            </w:pPr>
            <w:r w:rsidRPr="007267DF">
              <w:rPr>
                <w:sz w:val="18"/>
                <w:szCs w:val="18"/>
              </w:rPr>
              <w:t>NA</w:t>
            </w:r>
          </w:p>
        </w:tc>
        <w:tc>
          <w:tcPr>
            <w:tcW w:w="966" w:type="dxa"/>
            <w:vAlign w:val="center"/>
          </w:tcPr>
          <w:p w:rsidR="00CE562F" w:rsidRPr="007267DF" w:rsidP="00CE562F" w14:paraId="3B3A6038" w14:textId="68B6F63D">
            <w:pPr>
              <w:pStyle w:val="NoSpacing"/>
              <w:jc w:val="right"/>
              <w:rPr>
                <w:sz w:val="18"/>
                <w:szCs w:val="18"/>
              </w:rPr>
            </w:pPr>
            <w:r w:rsidRPr="007267DF">
              <w:rPr>
                <w:sz w:val="18"/>
                <w:szCs w:val="18"/>
              </w:rPr>
              <w:t>NA</w:t>
            </w:r>
          </w:p>
        </w:tc>
        <w:tc>
          <w:tcPr>
            <w:tcW w:w="1170" w:type="dxa"/>
            <w:vAlign w:val="center"/>
          </w:tcPr>
          <w:p w:rsidR="00CE562F" w:rsidRPr="007267DF" w:rsidP="00CE562F" w14:paraId="20DCFAEF" w14:textId="4E0226B6">
            <w:pPr>
              <w:pStyle w:val="NoSpacing"/>
              <w:jc w:val="right"/>
              <w:rPr>
                <w:sz w:val="18"/>
                <w:szCs w:val="18"/>
              </w:rPr>
            </w:pPr>
            <w:r w:rsidRPr="007267DF">
              <w:rPr>
                <w:sz w:val="18"/>
                <w:szCs w:val="18"/>
              </w:rPr>
              <w:t>$110.89</w:t>
            </w:r>
          </w:p>
          <w:p w:rsidR="00CE562F" w:rsidRPr="007267DF" w:rsidP="00CE562F" w14:paraId="498A1A83" w14:textId="44040516">
            <w:pPr>
              <w:pStyle w:val="NoSpacing"/>
              <w:jc w:val="right"/>
              <w:rPr>
                <w:sz w:val="18"/>
                <w:szCs w:val="18"/>
              </w:rPr>
            </w:pPr>
          </w:p>
        </w:tc>
        <w:tc>
          <w:tcPr>
            <w:tcW w:w="1247" w:type="dxa"/>
            <w:vAlign w:val="center"/>
          </w:tcPr>
          <w:p w:rsidR="00CE562F" w:rsidRPr="007267DF" w:rsidP="00CE562F" w14:paraId="5227E915" w14:textId="65484693">
            <w:pPr>
              <w:pStyle w:val="NoSpacing"/>
              <w:jc w:val="right"/>
              <w:rPr>
                <w:sz w:val="18"/>
                <w:szCs w:val="18"/>
              </w:rPr>
            </w:pPr>
            <w:r w:rsidRPr="007267DF">
              <w:rPr>
                <w:sz w:val="18"/>
                <w:szCs w:val="18"/>
              </w:rPr>
              <w:t>NA</w:t>
            </w:r>
          </w:p>
        </w:tc>
      </w:tr>
      <w:tr w14:paraId="2F10EC99" w14:textId="77777777" w:rsidTr="2EB7D73D">
        <w:tblPrEx>
          <w:tblW w:w="9802" w:type="dxa"/>
          <w:tblInd w:w="268" w:type="dxa"/>
          <w:tblLook w:val="0000"/>
        </w:tblPrEx>
        <w:trPr>
          <w:trHeight w:val="300"/>
        </w:trPr>
        <w:tc>
          <w:tcPr>
            <w:tcW w:w="2190" w:type="dxa"/>
            <w:vAlign w:val="center"/>
          </w:tcPr>
          <w:p w:rsidR="00241A68" w:rsidRPr="007267DF" w:rsidP="00241A68" w14:paraId="20963096" w14:textId="4B51163E">
            <w:pPr>
              <w:spacing w:before="20" w:after="20"/>
              <w:rPr>
                <w:sz w:val="18"/>
                <w:szCs w:val="18"/>
              </w:rPr>
            </w:pPr>
            <w:r w:rsidRPr="007267DF">
              <w:rPr>
                <w:color w:val="000000" w:themeColor="text1"/>
                <w:sz w:val="18"/>
                <w:szCs w:val="18"/>
              </w:rPr>
              <w:t xml:space="preserve">Household Services and </w:t>
            </w:r>
            <w:r w:rsidRPr="007267DF">
              <w:rPr>
                <w:color w:val="000000" w:themeColor="text1"/>
                <w:sz w:val="18"/>
                <w:szCs w:val="18"/>
              </w:rPr>
              <w:t xml:space="preserve">Outcomes </w:t>
            </w:r>
            <w:r w:rsidRPr="007267DF">
              <w:rPr>
                <w:color w:val="000000" w:themeColor="text1"/>
                <w:sz w:val="18"/>
                <w:szCs w:val="18"/>
              </w:rPr>
              <w:t xml:space="preserve">Submission </w:t>
            </w:r>
            <w:r w:rsidRPr="007267DF">
              <w:rPr>
                <w:color w:val="000000" w:themeColor="text1"/>
                <w:sz w:val="18"/>
                <w:szCs w:val="18"/>
              </w:rPr>
              <w:t>Report 52698(a)</w:t>
            </w:r>
          </w:p>
        </w:tc>
        <w:tc>
          <w:tcPr>
            <w:tcW w:w="1247" w:type="dxa"/>
            <w:vAlign w:val="center"/>
          </w:tcPr>
          <w:p w:rsidR="00241A68" w:rsidRPr="007267DF" w:rsidP="00241A68" w14:paraId="3CD2A2FD" w14:textId="12A0C0DE">
            <w:pPr>
              <w:pStyle w:val="NoSpacing"/>
              <w:jc w:val="right"/>
              <w:rPr>
                <w:sz w:val="18"/>
                <w:szCs w:val="18"/>
              </w:rPr>
            </w:pPr>
            <w:r w:rsidRPr="007267DF">
              <w:rPr>
                <w:bCs/>
                <w:color w:val="000000"/>
                <w:sz w:val="18"/>
                <w:szCs w:val="18"/>
              </w:rPr>
              <w:t>21</w:t>
            </w:r>
          </w:p>
        </w:tc>
        <w:tc>
          <w:tcPr>
            <w:tcW w:w="1028" w:type="dxa"/>
            <w:vAlign w:val="center"/>
          </w:tcPr>
          <w:p w:rsidR="00241A68" w:rsidRPr="007267DF" w:rsidP="00241A68" w14:paraId="77C39C19" w14:textId="3C13B893">
            <w:pPr>
              <w:pStyle w:val="NoSpacing"/>
              <w:jc w:val="right"/>
              <w:rPr>
                <w:sz w:val="18"/>
                <w:szCs w:val="18"/>
              </w:rPr>
            </w:pPr>
            <w:r w:rsidRPr="007267DF">
              <w:rPr>
                <w:bCs/>
                <w:color w:val="000000"/>
                <w:sz w:val="18"/>
                <w:szCs w:val="18"/>
              </w:rPr>
              <w:t>4</w:t>
            </w:r>
          </w:p>
        </w:tc>
        <w:tc>
          <w:tcPr>
            <w:tcW w:w="1005" w:type="dxa"/>
            <w:vAlign w:val="center"/>
          </w:tcPr>
          <w:p w:rsidR="00241A68" w:rsidRPr="007267DF" w:rsidP="00241A68" w14:paraId="26486345" w14:textId="18D9DD86">
            <w:pPr>
              <w:pStyle w:val="NoSpacing"/>
              <w:jc w:val="right"/>
              <w:rPr>
                <w:sz w:val="18"/>
                <w:szCs w:val="18"/>
              </w:rPr>
            </w:pPr>
            <w:r w:rsidRPr="007267DF">
              <w:rPr>
                <w:sz w:val="18"/>
                <w:szCs w:val="18"/>
              </w:rPr>
              <w:t>84</w:t>
            </w:r>
          </w:p>
        </w:tc>
        <w:tc>
          <w:tcPr>
            <w:tcW w:w="949" w:type="dxa"/>
            <w:vAlign w:val="center"/>
          </w:tcPr>
          <w:p w:rsidR="00241A68" w:rsidRPr="007267DF" w:rsidP="00241A68" w14:paraId="42150F08" w14:textId="76FC41A1">
            <w:pPr>
              <w:pStyle w:val="NoSpacing"/>
              <w:jc w:val="right"/>
              <w:rPr>
                <w:sz w:val="18"/>
                <w:szCs w:val="18"/>
              </w:rPr>
            </w:pPr>
            <w:r w:rsidRPr="007267DF">
              <w:rPr>
                <w:sz w:val="18"/>
                <w:szCs w:val="18"/>
              </w:rPr>
              <w:t>1</w:t>
            </w:r>
          </w:p>
        </w:tc>
        <w:tc>
          <w:tcPr>
            <w:tcW w:w="966" w:type="dxa"/>
            <w:vAlign w:val="center"/>
          </w:tcPr>
          <w:p w:rsidR="00241A68" w:rsidRPr="007267DF" w:rsidP="00241A68" w14:paraId="3CEE6BE4" w14:textId="70475A2A">
            <w:pPr>
              <w:pStyle w:val="NoSpacing"/>
              <w:jc w:val="right"/>
              <w:rPr>
                <w:sz w:val="18"/>
                <w:szCs w:val="18"/>
              </w:rPr>
            </w:pPr>
            <w:r w:rsidRPr="007267DF">
              <w:rPr>
                <w:sz w:val="18"/>
                <w:szCs w:val="18"/>
              </w:rPr>
              <w:t>84</w:t>
            </w:r>
          </w:p>
        </w:tc>
        <w:tc>
          <w:tcPr>
            <w:tcW w:w="1170" w:type="dxa"/>
            <w:vAlign w:val="center"/>
          </w:tcPr>
          <w:p w:rsidR="00241A68" w:rsidRPr="007267DF" w:rsidP="00241A68" w14:paraId="47579905" w14:textId="5E33497B">
            <w:pPr>
              <w:pStyle w:val="NoSpacing"/>
              <w:jc w:val="right"/>
              <w:rPr>
                <w:sz w:val="18"/>
                <w:szCs w:val="18"/>
              </w:rPr>
            </w:pPr>
            <w:r w:rsidRPr="007267DF">
              <w:rPr>
                <w:sz w:val="18"/>
                <w:szCs w:val="18"/>
              </w:rPr>
              <w:t>$110.89</w:t>
            </w:r>
          </w:p>
          <w:p w:rsidR="00241A68" w:rsidRPr="007267DF" w:rsidP="00241A68" w14:paraId="21ADD655" w14:textId="77777777">
            <w:pPr>
              <w:pStyle w:val="NoSpacing"/>
              <w:jc w:val="right"/>
              <w:rPr>
                <w:sz w:val="18"/>
                <w:szCs w:val="18"/>
              </w:rPr>
            </w:pPr>
          </w:p>
        </w:tc>
        <w:tc>
          <w:tcPr>
            <w:tcW w:w="1247" w:type="dxa"/>
            <w:vAlign w:val="center"/>
          </w:tcPr>
          <w:p w:rsidR="00241A68" w:rsidRPr="007267DF" w:rsidP="00241A68" w14:paraId="25043FD1" w14:textId="516A44B7">
            <w:pPr>
              <w:pStyle w:val="NoSpacing"/>
              <w:jc w:val="right"/>
              <w:rPr>
                <w:sz w:val="18"/>
                <w:szCs w:val="18"/>
              </w:rPr>
            </w:pPr>
            <w:r w:rsidRPr="007267DF">
              <w:rPr>
                <w:sz w:val="18"/>
                <w:szCs w:val="18"/>
              </w:rPr>
              <w:t>$</w:t>
            </w:r>
            <w:r w:rsidRPr="007267DF" w:rsidR="760D1B49">
              <w:rPr>
                <w:sz w:val="18"/>
                <w:szCs w:val="18"/>
              </w:rPr>
              <w:t>9</w:t>
            </w:r>
            <w:r w:rsidRPr="007267DF" w:rsidR="2252EE28">
              <w:rPr>
                <w:sz w:val="18"/>
                <w:szCs w:val="18"/>
              </w:rPr>
              <w:t>,</w:t>
            </w:r>
            <w:r w:rsidRPr="007267DF" w:rsidR="760D1B49">
              <w:rPr>
                <w:sz w:val="18"/>
                <w:szCs w:val="18"/>
              </w:rPr>
              <w:t>314.76</w:t>
            </w:r>
          </w:p>
        </w:tc>
      </w:tr>
      <w:tr w14:paraId="7602AB51" w14:textId="77777777" w:rsidTr="2EB7D73D">
        <w:tblPrEx>
          <w:tblW w:w="9802" w:type="dxa"/>
          <w:tblInd w:w="268" w:type="dxa"/>
          <w:tblLook w:val="0000"/>
        </w:tblPrEx>
        <w:trPr>
          <w:trHeight w:val="300"/>
        </w:trPr>
        <w:tc>
          <w:tcPr>
            <w:tcW w:w="2190" w:type="dxa"/>
            <w:vAlign w:val="center"/>
          </w:tcPr>
          <w:p w:rsidR="00241A68" w:rsidRPr="007267DF" w:rsidP="00241A68" w14:paraId="2C355505" w14:textId="7F0B13E4">
            <w:pPr>
              <w:spacing w:before="20" w:after="20"/>
              <w:rPr>
                <w:sz w:val="18"/>
                <w:szCs w:val="18"/>
              </w:rPr>
            </w:pPr>
            <w:r w:rsidRPr="007267DF">
              <w:rPr>
                <w:bCs/>
                <w:color w:val="000000"/>
                <w:sz w:val="18"/>
                <w:szCs w:val="18"/>
              </w:rPr>
              <w:t>Benchmarks Plan and Report, 52699</w:t>
            </w:r>
          </w:p>
        </w:tc>
        <w:tc>
          <w:tcPr>
            <w:tcW w:w="1247" w:type="dxa"/>
            <w:vAlign w:val="center"/>
          </w:tcPr>
          <w:p w:rsidR="00241A68" w:rsidRPr="007267DF" w:rsidP="00241A68" w14:paraId="150B6A53" w14:textId="5B9CB485">
            <w:pPr>
              <w:pStyle w:val="NoSpacing"/>
              <w:jc w:val="right"/>
              <w:rPr>
                <w:sz w:val="18"/>
                <w:szCs w:val="18"/>
              </w:rPr>
            </w:pPr>
            <w:r w:rsidRPr="007267DF">
              <w:rPr>
                <w:bCs/>
                <w:color w:val="000000"/>
                <w:sz w:val="18"/>
                <w:szCs w:val="18"/>
              </w:rPr>
              <w:t>21</w:t>
            </w:r>
          </w:p>
        </w:tc>
        <w:tc>
          <w:tcPr>
            <w:tcW w:w="1028" w:type="dxa"/>
            <w:vAlign w:val="center"/>
          </w:tcPr>
          <w:p w:rsidR="00241A68" w:rsidRPr="007267DF" w:rsidP="00241A68" w14:paraId="71FAACE5" w14:textId="25C63958">
            <w:pPr>
              <w:pStyle w:val="NoSpacing"/>
              <w:jc w:val="right"/>
              <w:rPr>
                <w:sz w:val="18"/>
                <w:szCs w:val="18"/>
              </w:rPr>
            </w:pPr>
            <w:r w:rsidRPr="007267DF">
              <w:rPr>
                <w:bCs/>
                <w:color w:val="000000"/>
                <w:sz w:val="18"/>
                <w:szCs w:val="18"/>
              </w:rPr>
              <w:t>4</w:t>
            </w:r>
          </w:p>
        </w:tc>
        <w:tc>
          <w:tcPr>
            <w:tcW w:w="1005" w:type="dxa"/>
            <w:vAlign w:val="center"/>
          </w:tcPr>
          <w:p w:rsidR="00241A68" w:rsidRPr="007267DF" w:rsidP="00241A68" w14:paraId="38C7B69E" w14:textId="697480BB">
            <w:pPr>
              <w:pStyle w:val="NoSpacing"/>
              <w:jc w:val="right"/>
              <w:rPr>
                <w:sz w:val="18"/>
                <w:szCs w:val="18"/>
              </w:rPr>
            </w:pPr>
            <w:r w:rsidRPr="007267DF">
              <w:rPr>
                <w:sz w:val="18"/>
                <w:szCs w:val="18"/>
              </w:rPr>
              <w:t>84</w:t>
            </w:r>
          </w:p>
        </w:tc>
        <w:tc>
          <w:tcPr>
            <w:tcW w:w="949" w:type="dxa"/>
            <w:vAlign w:val="center"/>
          </w:tcPr>
          <w:p w:rsidR="00241A68" w:rsidRPr="007267DF" w:rsidP="00241A68" w14:paraId="60B594C0" w14:textId="5F97D05A">
            <w:pPr>
              <w:pStyle w:val="NoSpacing"/>
              <w:jc w:val="right"/>
              <w:rPr>
                <w:sz w:val="18"/>
                <w:szCs w:val="18"/>
              </w:rPr>
            </w:pPr>
            <w:r w:rsidRPr="007267DF">
              <w:rPr>
                <w:sz w:val="18"/>
                <w:szCs w:val="18"/>
              </w:rPr>
              <w:t>.5</w:t>
            </w:r>
          </w:p>
        </w:tc>
        <w:tc>
          <w:tcPr>
            <w:tcW w:w="966" w:type="dxa"/>
            <w:vAlign w:val="center"/>
          </w:tcPr>
          <w:p w:rsidR="00241A68" w:rsidRPr="007267DF" w:rsidP="00241A68" w14:paraId="31188349" w14:textId="4A0DF44C">
            <w:pPr>
              <w:pStyle w:val="NoSpacing"/>
              <w:jc w:val="right"/>
              <w:rPr>
                <w:sz w:val="18"/>
                <w:szCs w:val="18"/>
              </w:rPr>
            </w:pPr>
            <w:r w:rsidRPr="007267DF">
              <w:rPr>
                <w:sz w:val="18"/>
                <w:szCs w:val="18"/>
              </w:rPr>
              <w:t>42</w:t>
            </w:r>
          </w:p>
        </w:tc>
        <w:tc>
          <w:tcPr>
            <w:tcW w:w="1170" w:type="dxa"/>
            <w:vAlign w:val="center"/>
          </w:tcPr>
          <w:p w:rsidR="00241A68" w:rsidRPr="007267DF" w:rsidP="00241A68" w14:paraId="62D5577B" w14:textId="659E98EB">
            <w:pPr>
              <w:pStyle w:val="NoSpacing"/>
              <w:jc w:val="right"/>
              <w:rPr>
                <w:sz w:val="18"/>
                <w:szCs w:val="18"/>
              </w:rPr>
            </w:pPr>
            <w:r w:rsidRPr="007267DF">
              <w:rPr>
                <w:sz w:val="18"/>
                <w:szCs w:val="18"/>
              </w:rPr>
              <w:t>$110.89</w:t>
            </w:r>
          </w:p>
          <w:p w:rsidR="00241A68" w:rsidRPr="007267DF" w:rsidP="00241A68" w14:paraId="147152D3" w14:textId="77777777">
            <w:pPr>
              <w:pStyle w:val="NoSpacing"/>
              <w:jc w:val="right"/>
              <w:rPr>
                <w:sz w:val="18"/>
                <w:szCs w:val="18"/>
              </w:rPr>
            </w:pPr>
          </w:p>
        </w:tc>
        <w:tc>
          <w:tcPr>
            <w:tcW w:w="1247" w:type="dxa"/>
            <w:vAlign w:val="center"/>
          </w:tcPr>
          <w:p w:rsidR="00241A68" w:rsidRPr="007267DF" w:rsidP="00241A68" w14:paraId="5A83312E" w14:textId="68EA109F">
            <w:pPr>
              <w:pStyle w:val="NoSpacing"/>
              <w:jc w:val="right"/>
              <w:rPr>
                <w:sz w:val="18"/>
                <w:szCs w:val="18"/>
              </w:rPr>
            </w:pPr>
            <w:r w:rsidRPr="007267DF">
              <w:rPr>
                <w:sz w:val="18"/>
                <w:szCs w:val="18"/>
              </w:rPr>
              <w:t>$4,</w:t>
            </w:r>
            <w:r w:rsidRPr="007267DF" w:rsidR="3C98EC9A">
              <w:rPr>
                <w:sz w:val="18"/>
                <w:szCs w:val="18"/>
              </w:rPr>
              <w:t>657.38</w:t>
            </w:r>
          </w:p>
        </w:tc>
      </w:tr>
      <w:tr w14:paraId="441EB198" w14:textId="77777777" w:rsidTr="2EB7D73D">
        <w:tblPrEx>
          <w:tblW w:w="9802" w:type="dxa"/>
          <w:tblInd w:w="268" w:type="dxa"/>
          <w:tblLook w:val="0000"/>
        </w:tblPrEx>
        <w:trPr>
          <w:trHeight w:val="300"/>
        </w:trPr>
        <w:tc>
          <w:tcPr>
            <w:tcW w:w="2190" w:type="dxa"/>
            <w:vAlign w:val="center"/>
          </w:tcPr>
          <w:p w:rsidR="00241A68" w:rsidRPr="007267DF" w:rsidP="00241A68" w14:paraId="375181D9" w14:textId="67071DCB">
            <w:pPr>
              <w:spacing w:before="20" w:after="20"/>
              <w:rPr>
                <w:sz w:val="18"/>
                <w:szCs w:val="18"/>
              </w:rPr>
            </w:pPr>
            <w:r w:rsidRPr="007267DF">
              <w:rPr>
                <w:bCs/>
                <w:color w:val="000000"/>
                <w:sz w:val="18"/>
                <w:szCs w:val="18"/>
              </w:rPr>
              <w:t>Grant Detailed Voucher Worksheet, 52700</w:t>
            </w:r>
          </w:p>
        </w:tc>
        <w:tc>
          <w:tcPr>
            <w:tcW w:w="1247" w:type="dxa"/>
            <w:vAlign w:val="center"/>
          </w:tcPr>
          <w:p w:rsidR="00241A68" w:rsidRPr="007267DF" w:rsidP="00241A68" w14:paraId="4CEF3A9F" w14:textId="4092B571">
            <w:pPr>
              <w:pStyle w:val="NoSpacing"/>
              <w:jc w:val="right"/>
              <w:rPr>
                <w:sz w:val="18"/>
                <w:szCs w:val="18"/>
              </w:rPr>
            </w:pPr>
            <w:r w:rsidRPr="007267DF">
              <w:rPr>
                <w:bCs/>
                <w:color w:val="000000"/>
                <w:sz w:val="18"/>
                <w:szCs w:val="18"/>
              </w:rPr>
              <w:t>21</w:t>
            </w:r>
          </w:p>
        </w:tc>
        <w:tc>
          <w:tcPr>
            <w:tcW w:w="1028" w:type="dxa"/>
            <w:vAlign w:val="center"/>
          </w:tcPr>
          <w:p w:rsidR="00241A68" w:rsidRPr="007267DF" w:rsidP="00241A68" w14:paraId="10A8C8F8" w14:textId="57478D09">
            <w:pPr>
              <w:pStyle w:val="NoSpacing"/>
              <w:jc w:val="right"/>
              <w:rPr>
                <w:sz w:val="18"/>
                <w:szCs w:val="18"/>
              </w:rPr>
            </w:pPr>
            <w:r w:rsidRPr="007267DF">
              <w:rPr>
                <w:bCs/>
                <w:color w:val="000000"/>
                <w:sz w:val="18"/>
                <w:szCs w:val="18"/>
              </w:rPr>
              <w:t>4</w:t>
            </w:r>
          </w:p>
        </w:tc>
        <w:tc>
          <w:tcPr>
            <w:tcW w:w="1005" w:type="dxa"/>
            <w:vAlign w:val="center"/>
          </w:tcPr>
          <w:p w:rsidR="00241A68" w:rsidRPr="007267DF" w:rsidP="00241A68" w14:paraId="36329874" w14:textId="495BFB47">
            <w:pPr>
              <w:pStyle w:val="NoSpacing"/>
              <w:jc w:val="right"/>
              <w:rPr>
                <w:sz w:val="18"/>
                <w:szCs w:val="18"/>
              </w:rPr>
            </w:pPr>
            <w:r w:rsidRPr="007267DF">
              <w:rPr>
                <w:sz w:val="18"/>
                <w:szCs w:val="18"/>
              </w:rPr>
              <w:t>84</w:t>
            </w:r>
          </w:p>
        </w:tc>
        <w:tc>
          <w:tcPr>
            <w:tcW w:w="949" w:type="dxa"/>
            <w:vAlign w:val="center"/>
          </w:tcPr>
          <w:p w:rsidR="00241A68" w:rsidRPr="007267DF" w:rsidP="00241A68" w14:paraId="4E0F631F" w14:textId="3704C121">
            <w:pPr>
              <w:pStyle w:val="NoSpacing"/>
              <w:jc w:val="right"/>
              <w:rPr>
                <w:sz w:val="18"/>
                <w:szCs w:val="18"/>
              </w:rPr>
            </w:pPr>
            <w:r w:rsidRPr="007267DF">
              <w:rPr>
                <w:sz w:val="18"/>
                <w:szCs w:val="18"/>
              </w:rPr>
              <w:t>1</w:t>
            </w:r>
          </w:p>
        </w:tc>
        <w:tc>
          <w:tcPr>
            <w:tcW w:w="966" w:type="dxa"/>
            <w:vAlign w:val="center"/>
          </w:tcPr>
          <w:p w:rsidR="00241A68" w:rsidRPr="007267DF" w:rsidP="00241A68" w14:paraId="3F5A72F4" w14:textId="4319604A">
            <w:pPr>
              <w:pStyle w:val="NoSpacing"/>
              <w:jc w:val="right"/>
              <w:rPr>
                <w:sz w:val="18"/>
                <w:szCs w:val="18"/>
              </w:rPr>
            </w:pPr>
            <w:r w:rsidRPr="007267DF">
              <w:rPr>
                <w:sz w:val="18"/>
                <w:szCs w:val="18"/>
              </w:rPr>
              <w:t>84</w:t>
            </w:r>
          </w:p>
        </w:tc>
        <w:tc>
          <w:tcPr>
            <w:tcW w:w="1170" w:type="dxa"/>
            <w:vAlign w:val="center"/>
          </w:tcPr>
          <w:p w:rsidR="00241A68" w:rsidRPr="007267DF" w:rsidP="00241A68" w14:paraId="19CB60F7" w14:textId="4D36B3ED">
            <w:pPr>
              <w:pStyle w:val="NoSpacing"/>
              <w:jc w:val="right"/>
              <w:rPr>
                <w:sz w:val="18"/>
                <w:szCs w:val="18"/>
              </w:rPr>
            </w:pPr>
            <w:r w:rsidRPr="007267DF">
              <w:rPr>
                <w:sz w:val="18"/>
                <w:szCs w:val="18"/>
              </w:rPr>
              <w:t>$110.89</w:t>
            </w:r>
          </w:p>
          <w:p w:rsidR="00241A68" w:rsidRPr="007267DF" w:rsidP="00241A68" w14:paraId="0BF8DA8D" w14:textId="77777777">
            <w:pPr>
              <w:pStyle w:val="NoSpacing"/>
              <w:jc w:val="right"/>
              <w:rPr>
                <w:sz w:val="18"/>
                <w:szCs w:val="18"/>
              </w:rPr>
            </w:pPr>
          </w:p>
        </w:tc>
        <w:tc>
          <w:tcPr>
            <w:tcW w:w="1247" w:type="dxa"/>
            <w:vAlign w:val="center"/>
          </w:tcPr>
          <w:p w:rsidR="00241A68" w:rsidRPr="007267DF" w:rsidP="00241A68" w14:paraId="64E519E1" w14:textId="1067752F">
            <w:pPr>
              <w:pStyle w:val="NoSpacing"/>
              <w:jc w:val="right"/>
              <w:rPr>
                <w:sz w:val="18"/>
                <w:szCs w:val="18"/>
              </w:rPr>
            </w:pPr>
            <w:r w:rsidRPr="007267DF">
              <w:rPr>
                <w:sz w:val="18"/>
                <w:szCs w:val="18"/>
              </w:rPr>
              <w:t>$</w:t>
            </w:r>
            <w:r w:rsidRPr="007267DF" w:rsidR="0B3DA2A2">
              <w:rPr>
                <w:sz w:val="18"/>
                <w:szCs w:val="18"/>
              </w:rPr>
              <w:t>9</w:t>
            </w:r>
            <w:r w:rsidRPr="007267DF" w:rsidR="309AA9F9">
              <w:rPr>
                <w:sz w:val="18"/>
                <w:szCs w:val="18"/>
              </w:rPr>
              <w:t>,</w:t>
            </w:r>
            <w:r w:rsidRPr="007267DF" w:rsidR="0B3DA2A2">
              <w:rPr>
                <w:sz w:val="18"/>
                <w:szCs w:val="18"/>
              </w:rPr>
              <w:t>314.76</w:t>
            </w:r>
          </w:p>
        </w:tc>
      </w:tr>
      <w:tr w14:paraId="5C53025C" w14:textId="77777777" w:rsidTr="2EB7D73D">
        <w:tblPrEx>
          <w:tblW w:w="9802" w:type="dxa"/>
          <w:tblInd w:w="268" w:type="dxa"/>
          <w:tblLook w:val="0000"/>
        </w:tblPrEx>
        <w:trPr>
          <w:trHeight w:val="300"/>
        </w:trPr>
        <w:tc>
          <w:tcPr>
            <w:tcW w:w="2190" w:type="dxa"/>
          </w:tcPr>
          <w:p w:rsidR="00241A68" w:rsidRPr="007267DF" w:rsidP="00241A68" w14:paraId="13349A8E" w14:textId="70011DD1">
            <w:pPr>
              <w:spacing w:before="20" w:after="20"/>
              <w:rPr>
                <w:sz w:val="18"/>
                <w:szCs w:val="18"/>
              </w:rPr>
            </w:pPr>
            <w:r w:rsidRPr="007267DF">
              <w:rPr>
                <w:bCs/>
                <w:color w:val="000000"/>
                <w:sz w:val="18"/>
                <w:szCs w:val="18"/>
              </w:rPr>
              <w:t>Grant reporting (narratives, existing process)</w:t>
            </w:r>
          </w:p>
        </w:tc>
        <w:tc>
          <w:tcPr>
            <w:tcW w:w="1247" w:type="dxa"/>
            <w:vAlign w:val="center"/>
          </w:tcPr>
          <w:p w:rsidR="00241A68" w:rsidRPr="007267DF" w:rsidP="00241A68" w14:paraId="6419E57E" w14:textId="75E1C6F8">
            <w:pPr>
              <w:pStyle w:val="NoSpacing"/>
              <w:jc w:val="right"/>
              <w:rPr>
                <w:sz w:val="18"/>
                <w:szCs w:val="18"/>
              </w:rPr>
            </w:pPr>
            <w:r w:rsidRPr="007267DF">
              <w:rPr>
                <w:sz w:val="18"/>
                <w:szCs w:val="18"/>
              </w:rPr>
              <w:t>21</w:t>
            </w:r>
          </w:p>
        </w:tc>
        <w:tc>
          <w:tcPr>
            <w:tcW w:w="1028" w:type="dxa"/>
            <w:vAlign w:val="center"/>
          </w:tcPr>
          <w:p w:rsidR="00241A68" w:rsidRPr="007267DF" w:rsidP="00241A68" w14:paraId="5085FD8C" w14:textId="77777777">
            <w:pPr>
              <w:pStyle w:val="NoSpacing"/>
              <w:jc w:val="right"/>
              <w:rPr>
                <w:sz w:val="18"/>
                <w:szCs w:val="18"/>
              </w:rPr>
            </w:pPr>
            <w:r w:rsidRPr="007267DF">
              <w:rPr>
                <w:sz w:val="18"/>
                <w:szCs w:val="18"/>
              </w:rPr>
              <w:t>4</w:t>
            </w:r>
          </w:p>
        </w:tc>
        <w:tc>
          <w:tcPr>
            <w:tcW w:w="1005" w:type="dxa"/>
            <w:vAlign w:val="center"/>
          </w:tcPr>
          <w:p w:rsidR="00241A68" w:rsidRPr="007267DF" w:rsidP="00241A68" w14:paraId="3F5CB77B" w14:textId="719B1599">
            <w:pPr>
              <w:pStyle w:val="NoSpacing"/>
              <w:jc w:val="right"/>
              <w:rPr>
                <w:sz w:val="18"/>
                <w:szCs w:val="18"/>
              </w:rPr>
            </w:pPr>
            <w:r w:rsidRPr="007267DF">
              <w:rPr>
                <w:sz w:val="18"/>
                <w:szCs w:val="18"/>
              </w:rPr>
              <w:t>8</w:t>
            </w:r>
            <w:r w:rsidRPr="007267DF" w:rsidR="00E15794">
              <w:rPr>
                <w:sz w:val="18"/>
                <w:szCs w:val="18"/>
              </w:rPr>
              <w:t>4</w:t>
            </w:r>
          </w:p>
        </w:tc>
        <w:tc>
          <w:tcPr>
            <w:tcW w:w="949" w:type="dxa"/>
            <w:vAlign w:val="center"/>
          </w:tcPr>
          <w:p w:rsidR="00241A68" w:rsidRPr="007267DF" w:rsidP="00241A68" w14:paraId="62F7B86E" w14:textId="77777777">
            <w:pPr>
              <w:pStyle w:val="NoSpacing"/>
              <w:jc w:val="right"/>
              <w:rPr>
                <w:sz w:val="18"/>
                <w:szCs w:val="18"/>
              </w:rPr>
            </w:pPr>
            <w:r w:rsidRPr="007267DF">
              <w:rPr>
                <w:sz w:val="18"/>
                <w:szCs w:val="18"/>
              </w:rPr>
              <w:t>1</w:t>
            </w:r>
          </w:p>
        </w:tc>
        <w:tc>
          <w:tcPr>
            <w:tcW w:w="966" w:type="dxa"/>
            <w:vAlign w:val="center"/>
          </w:tcPr>
          <w:p w:rsidR="00241A68" w:rsidRPr="007267DF" w:rsidP="00241A68" w14:paraId="546B507E" w14:textId="65987203">
            <w:pPr>
              <w:pStyle w:val="NoSpacing"/>
              <w:jc w:val="right"/>
              <w:rPr>
                <w:sz w:val="18"/>
                <w:szCs w:val="18"/>
              </w:rPr>
            </w:pPr>
            <w:r w:rsidRPr="007267DF">
              <w:rPr>
                <w:sz w:val="18"/>
                <w:szCs w:val="18"/>
              </w:rPr>
              <w:t>8</w:t>
            </w:r>
            <w:r w:rsidRPr="007267DF" w:rsidR="00BA6265">
              <w:rPr>
                <w:sz w:val="18"/>
                <w:szCs w:val="18"/>
              </w:rPr>
              <w:t>4</w:t>
            </w:r>
          </w:p>
        </w:tc>
        <w:tc>
          <w:tcPr>
            <w:tcW w:w="1170" w:type="dxa"/>
            <w:vAlign w:val="center"/>
          </w:tcPr>
          <w:p w:rsidR="00241A68" w:rsidRPr="007267DF" w:rsidP="00241A68" w14:paraId="33FBC745" w14:textId="5D9D19EA">
            <w:pPr>
              <w:pStyle w:val="NoSpacing"/>
              <w:jc w:val="right"/>
              <w:rPr>
                <w:sz w:val="18"/>
                <w:szCs w:val="18"/>
              </w:rPr>
            </w:pPr>
            <w:r w:rsidRPr="007267DF">
              <w:rPr>
                <w:sz w:val="18"/>
                <w:szCs w:val="18"/>
              </w:rPr>
              <w:t>$110.89</w:t>
            </w:r>
          </w:p>
        </w:tc>
        <w:tc>
          <w:tcPr>
            <w:tcW w:w="1247" w:type="dxa"/>
            <w:vAlign w:val="center"/>
          </w:tcPr>
          <w:p w:rsidR="00241A68" w:rsidRPr="007267DF" w:rsidP="00241A68" w14:paraId="5D185F35" w14:textId="1DF96798">
            <w:pPr>
              <w:pStyle w:val="NoSpacing"/>
              <w:jc w:val="right"/>
              <w:rPr>
                <w:sz w:val="18"/>
                <w:szCs w:val="18"/>
              </w:rPr>
            </w:pPr>
            <w:r w:rsidRPr="007267DF">
              <w:rPr>
                <w:sz w:val="18"/>
                <w:szCs w:val="18"/>
              </w:rPr>
              <w:t>$</w:t>
            </w:r>
            <w:r w:rsidRPr="007267DF" w:rsidR="4863AADE">
              <w:rPr>
                <w:sz w:val="18"/>
                <w:szCs w:val="18"/>
              </w:rPr>
              <w:t>9</w:t>
            </w:r>
            <w:r w:rsidRPr="007267DF" w:rsidR="538901D2">
              <w:rPr>
                <w:sz w:val="18"/>
                <w:szCs w:val="18"/>
              </w:rPr>
              <w:t>,</w:t>
            </w:r>
            <w:r w:rsidRPr="007267DF" w:rsidR="4863AADE">
              <w:rPr>
                <w:sz w:val="18"/>
                <w:szCs w:val="18"/>
              </w:rPr>
              <w:t>314.76</w:t>
            </w:r>
          </w:p>
        </w:tc>
      </w:tr>
      <w:tr w14:paraId="59EB59AD" w14:textId="77777777" w:rsidTr="2EB7D73D">
        <w:tblPrEx>
          <w:tblW w:w="9802" w:type="dxa"/>
          <w:tblInd w:w="268" w:type="dxa"/>
          <w:tblLook w:val="0000"/>
        </w:tblPrEx>
        <w:trPr>
          <w:trHeight w:val="300"/>
        </w:trPr>
        <w:tc>
          <w:tcPr>
            <w:tcW w:w="2190" w:type="dxa"/>
          </w:tcPr>
          <w:p w:rsidR="00241A68" w:rsidRPr="007267DF" w:rsidP="00241A68" w14:paraId="0047B1E9" w14:textId="77777777">
            <w:pPr>
              <w:spacing w:before="20" w:after="20"/>
              <w:rPr>
                <w:sz w:val="18"/>
                <w:szCs w:val="18"/>
              </w:rPr>
            </w:pPr>
            <w:r w:rsidRPr="007267DF">
              <w:rPr>
                <w:sz w:val="18"/>
                <w:szCs w:val="18"/>
              </w:rPr>
              <w:t>Total post award</w:t>
            </w:r>
          </w:p>
        </w:tc>
        <w:tc>
          <w:tcPr>
            <w:tcW w:w="1247" w:type="dxa"/>
            <w:vAlign w:val="center"/>
          </w:tcPr>
          <w:p w:rsidR="00241A68" w:rsidRPr="007267DF" w:rsidP="00241A68" w14:paraId="5980E978" w14:textId="1AFD024E">
            <w:pPr>
              <w:pStyle w:val="NoSpacing"/>
              <w:jc w:val="right"/>
              <w:rPr>
                <w:sz w:val="18"/>
                <w:szCs w:val="18"/>
              </w:rPr>
            </w:pPr>
            <w:r w:rsidRPr="007267DF">
              <w:rPr>
                <w:sz w:val="18"/>
                <w:szCs w:val="18"/>
              </w:rPr>
              <w:t>168</w:t>
            </w:r>
          </w:p>
        </w:tc>
        <w:tc>
          <w:tcPr>
            <w:tcW w:w="1028" w:type="dxa"/>
          </w:tcPr>
          <w:p w:rsidR="00241A68" w:rsidRPr="007267DF" w:rsidP="00241A68" w14:paraId="418998C8" w14:textId="62A83C49">
            <w:pPr>
              <w:pStyle w:val="NoSpacing"/>
              <w:jc w:val="right"/>
              <w:rPr>
                <w:sz w:val="18"/>
                <w:szCs w:val="18"/>
              </w:rPr>
            </w:pPr>
            <w:r w:rsidRPr="007267DF">
              <w:rPr>
                <w:sz w:val="18"/>
                <w:szCs w:val="18"/>
              </w:rPr>
              <w:t>1</w:t>
            </w:r>
            <w:r w:rsidR="00965BC5">
              <w:rPr>
                <w:sz w:val="18"/>
                <w:szCs w:val="18"/>
              </w:rPr>
              <w:t>9</w:t>
            </w:r>
            <w:r w:rsidRPr="007267DF">
              <w:rPr>
                <w:sz w:val="18"/>
                <w:szCs w:val="18"/>
              </w:rPr>
              <w:t>8</w:t>
            </w:r>
          </w:p>
        </w:tc>
        <w:tc>
          <w:tcPr>
            <w:tcW w:w="1005" w:type="dxa"/>
          </w:tcPr>
          <w:p w:rsidR="00241A68" w:rsidRPr="007267DF" w:rsidP="00241A68" w14:paraId="56B70001" w14:textId="0F6F5179">
            <w:pPr>
              <w:pStyle w:val="NoSpacing"/>
              <w:jc w:val="right"/>
              <w:rPr>
                <w:sz w:val="18"/>
                <w:szCs w:val="18"/>
              </w:rPr>
            </w:pPr>
            <w:r w:rsidRPr="007267DF">
              <w:rPr>
                <w:sz w:val="18"/>
                <w:szCs w:val="18"/>
              </w:rPr>
              <w:t>399</w:t>
            </w:r>
          </w:p>
        </w:tc>
        <w:tc>
          <w:tcPr>
            <w:tcW w:w="949" w:type="dxa"/>
            <w:vAlign w:val="center"/>
          </w:tcPr>
          <w:p w:rsidR="00241A68" w:rsidRPr="007267DF" w:rsidP="00241A68" w14:paraId="45880DEA" w14:textId="3C9548BA">
            <w:pPr>
              <w:pStyle w:val="NoSpacing"/>
              <w:jc w:val="right"/>
              <w:rPr>
                <w:sz w:val="18"/>
                <w:szCs w:val="18"/>
              </w:rPr>
            </w:pPr>
            <w:r w:rsidRPr="007267DF">
              <w:rPr>
                <w:sz w:val="18"/>
                <w:szCs w:val="18"/>
              </w:rPr>
              <w:t>6.8</w:t>
            </w:r>
          </w:p>
        </w:tc>
        <w:tc>
          <w:tcPr>
            <w:tcW w:w="966" w:type="dxa"/>
            <w:vAlign w:val="center"/>
          </w:tcPr>
          <w:p w:rsidR="00241A68" w:rsidRPr="007267DF" w:rsidP="00241A68" w14:paraId="0F8AA4E6" w14:textId="4613E322">
            <w:pPr>
              <w:pStyle w:val="NoSpacing"/>
              <w:jc w:val="right"/>
              <w:rPr>
                <w:sz w:val="18"/>
                <w:szCs w:val="18"/>
              </w:rPr>
            </w:pPr>
            <w:r w:rsidRPr="007267DF">
              <w:rPr>
                <w:sz w:val="18"/>
                <w:szCs w:val="18"/>
              </w:rPr>
              <w:t>363.3</w:t>
            </w:r>
          </w:p>
        </w:tc>
        <w:tc>
          <w:tcPr>
            <w:tcW w:w="1170" w:type="dxa"/>
            <w:vAlign w:val="center"/>
          </w:tcPr>
          <w:p w:rsidR="00241A68" w:rsidRPr="007267DF" w:rsidP="00241A68" w14:paraId="54E4CBB1" w14:textId="1D58691C">
            <w:pPr>
              <w:pStyle w:val="NoSpacing"/>
              <w:jc w:val="right"/>
              <w:rPr>
                <w:sz w:val="18"/>
                <w:szCs w:val="18"/>
              </w:rPr>
            </w:pPr>
            <w:r w:rsidRPr="007267DF">
              <w:rPr>
                <w:sz w:val="18"/>
                <w:szCs w:val="18"/>
              </w:rPr>
              <w:t>$110.89</w:t>
            </w:r>
          </w:p>
        </w:tc>
        <w:tc>
          <w:tcPr>
            <w:tcW w:w="1247" w:type="dxa"/>
            <w:vAlign w:val="center"/>
          </w:tcPr>
          <w:p w:rsidR="00241A68" w:rsidRPr="007267DF" w:rsidP="00241A68" w14:paraId="686731B8" w14:textId="6F3ED761">
            <w:pPr>
              <w:pStyle w:val="NoSpacing"/>
              <w:jc w:val="right"/>
              <w:rPr>
                <w:sz w:val="18"/>
                <w:szCs w:val="18"/>
              </w:rPr>
            </w:pPr>
            <w:r w:rsidRPr="007267DF">
              <w:rPr>
                <w:sz w:val="18"/>
                <w:szCs w:val="18"/>
              </w:rPr>
              <w:t>$</w:t>
            </w:r>
            <w:r w:rsidRPr="007267DF" w:rsidR="1872FF07">
              <w:rPr>
                <w:sz w:val="18"/>
                <w:szCs w:val="18"/>
              </w:rPr>
              <w:t>40</w:t>
            </w:r>
            <w:r w:rsidRPr="007267DF" w:rsidR="40C8864E">
              <w:rPr>
                <w:sz w:val="18"/>
                <w:szCs w:val="18"/>
              </w:rPr>
              <w:t>,</w:t>
            </w:r>
            <w:r w:rsidRPr="007267DF" w:rsidR="1872FF07">
              <w:rPr>
                <w:sz w:val="18"/>
                <w:szCs w:val="18"/>
              </w:rPr>
              <w:t>286.34</w:t>
            </w:r>
          </w:p>
        </w:tc>
      </w:tr>
    </w:tbl>
    <w:p w:rsidR="00241A68" w:rsidRPr="007267DF" w:rsidP="007267DF" w14:paraId="74DAB326" w14:textId="00E7BF68">
      <w:pPr>
        <w:ind w:left="720"/>
      </w:pPr>
      <w:r w:rsidRPr="007267DF">
        <w:t>*</w:t>
      </w:r>
      <w:r w:rsidRPr="007267DF" w:rsidR="00E15794">
        <w:t xml:space="preserve">Grantees </w:t>
      </w:r>
      <w:r w:rsidRPr="007267DF" w:rsidR="003E7E1C">
        <w:t>collect and track</w:t>
      </w:r>
      <w:r w:rsidRPr="007267DF" w:rsidR="00A044B6">
        <w:t xml:space="preserve"> </w:t>
      </w:r>
      <w:r w:rsidRPr="007267DF" w:rsidR="00E15794">
        <w:t>i</w:t>
      </w:r>
      <w:r w:rsidRPr="007267DF">
        <w:t xml:space="preserve">ndividual 52698 forms </w:t>
      </w:r>
      <w:r w:rsidRPr="007267DF" w:rsidR="00E15794">
        <w:t>on</w:t>
      </w:r>
      <w:r w:rsidRPr="007267DF" w:rsidR="00C26039">
        <w:t xml:space="preserve"> internal systems. T</w:t>
      </w:r>
      <w:r w:rsidRPr="007267DF">
        <w:t xml:space="preserve">he </w:t>
      </w:r>
      <w:r w:rsidRPr="007267DF" w:rsidR="00240193">
        <w:t xml:space="preserve">new </w:t>
      </w:r>
      <w:r w:rsidRPr="007267DF">
        <w:t xml:space="preserve">52698(a) data table </w:t>
      </w:r>
      <w:r w:rsidRPr="007267DF" w:rsidR="00E15794">
        <w:t xml:space="preserve">report </w:t>
      </w:r>
      <w:r w:rsidRPr="007267DF">
        <w:t xml:space="preserve">facilitates </w:t>
      </w:r>
      <w:r w:rsidRPr="007267DF" w:rsidR="00240193">
        <w:t xml:space="preserve">rapid </w:t>
      </w:r>
      <w:r w:rsidRPr="007267DF">
        <w:t xml:space="preserve">aggregate </w:t>
      </w:r>
      <w:r w:rsidRPr="007267DF" w:rsidR="00EF4D1D">
        <w:t xml:space="preserve">grantee reporting of 52698 data to HUD and more efficient </w:t>
      </w:r>
      <w:r w:rsidRPr="007267DF">
        <w:t xml:space="preserve">analyses by </w:t>
      </w:r>
      <w:r w:rsidRPr="007267DF" w:rsidR="00240193">
        <w:t>federal</w:t>
      </w:r>
      <w:r w:rsidRPr="007267DF">
        <w:t xml:space="preserve"> staff.</w:t>
      </w:r>
    </w:p>
    <w:p w:rsidR="001F3030" w:rsidRPr="0055069C" w:rsidP="007267DF" w14:paraId="3C814664" w14:textId="01C53C3F">
      <w:pPr>
        <w:ind w:left="720"/>
        <w:rPr>
          <w:sz w:val="24"/>
          <w:szCs w:val="24"/>
        </w:rPr>
      </w:pPr>
      <w:r w:rsidRPr="007267DF">
        <w:t xml:space="preserve">† </w:t>
      </w:r>
      <w:r w:rsidRPr="007267DF" w:rsidR="6CCAFDF0">
        <w:t xml:space="preserve">The “Avg. Hourly Wage Rate” for each respondent </w:t>
      </w:r>
      <w:r w:rsidRPr="007267DF" w:rsidR="6748FD88">
        <w:t xml:space="preserve">reflects a wage of </w:t>
      </w:r>
      <w:r w:rsidRPr="007267DF" w:rsidR="5AD21934">
        <w:t xml:space="preserve">$67.15 </w:t>
      </w:r>
      <w:r w:rsidRPr="007267DF" w:rsidR="5AD21934">
        <w:t>pre</w:t>
      </w:r>
      <w:r w:rsidRPr="007267DF" w:rsidR="5AD21934">
        <w:t xml:space="preserve"> award (2021) and </w:t>
      </w:r>
      <w:r w:rsidRPr="007267DF" w:rsidR="6748FD88">
        <w:t>$</w:t>
      </w:r>
      <w:r w:rsidRPr="007267DF" w:rsidR="2A903262">
        <w:t>7</w:t>
      </w:r>
      <w:r w:rsidRPr="007267DF" w:rsidR="7FD2A884">
        <w:t>5.95</w:t>
      </w:r>
      <w:r w:rsidRPr="007267DF" w:rsidR="4F9446AF">
        <w:t xml:space="preserve"> </w:t>
      </w:r>
      <w:r w:rsidRPr="007267DF" w:rsidR="5AD21934">
        <w:t>post award (202</w:t>
      </w:r>
      <w:r w:rsidRPr="007267DF" w:rsidR="7935F551">
        <w:t>4</w:t>
      </w:r>
      <w:r w:rsidRPr="007267DF" w:rsidR="5AD21934">
        <w:t xml:space="preserve">) </w:t>
      </w:r>
      <w:r w:rsidRPr="007267DF" w:rsidR="6748FD88">
        <w:t xml:space="preserve">and </w:t>
      </w:r>
      <w:r w:rsidRPr="007267DF" w:rsidR="6CCAFDF0">
        <w:t xml:space="preserve">a 1.46 multiplier to reflect a </w:t>
      </w:r>
      <w:r w:rsidRPr="007267DF" w:rsidR="2638DE2A">
        <w:t>fully loaded</w:t>
      </w:r>
      <w:r w:rsidRPr="007267DF" w:rsidR="6CCAFDF0">
        <w:t xml:space="preserve"> wage rate</w:t>
      </w:r>
      <w:r w:rsidRPr="007267DF" w:rsidR="1C763A94">
        <w:t xml:space="preserve"> for GS </w:t>
      </w:r>
      <w:r w:rsidRPr="007267DF" w:rsidR="4F9446AF">
        <w:t>14</w:t>
      </w:r>
      <w:r w:rsidRPr="007267DF" w:rsidR="1C763A94">
        <w:t xml:space="preserve">, step </w:t>
      </w:r>
      <w:r w:rsidRPr="007267DF" w:rsidR="4F9446AF">
        <w:t>5</w:t>
      </w:r>
      <w:r w:rsidRPr="007267DF" w:rsidR="1C763A94">
        <w:t xml:space="preserve"> </w:t>
      </w:r>
      <w:r w:rsidRPr="007267DF" w:rsidR="2A903262">
        <w:t xml:space="preserve">in the Washington DC Locality Area </w:t>
      </w:r>
      <w:r w:rsidRPr="007267DF" w:rsidR="1C763A94">
        <w:t>(202</w:t>
      </w:r>
      <w:r w:rsidRPr="007267DF" w:rsidR="6AFE3D2E">
        <w:t>4</w:t>
      </w:r>
      <w:r w:rsidRPr="007267DF" w:rsidR="1C763A94">
        <w:t xml:space="preserve"> O</w:t>
      </w:r>
      <w:r w:rsidRPr="007267DF" w:rsidR="59705D26">
        <w:t>P</w:t>
      </w:r>
      <w:r w:rsidRPr="007267DF" w:rsidR="1C763A94">
        <w:t>M table)</w:t>
      </w:r>
    </w:p>
    <w:p w:rsidR="006C7FAE" w:rsidRPr="0055069C" w14:paraId="4676460A" w14:textId="77777777">
      <w:pPr>
        <w:tabs>
          <w:tab w:val="left" w:pos="360"/>
        </w:tabs>
        <w:ind w:left="360" w:hanging="360"/>
        <w:rPr>
          <w:sz w:val="24"/>
          <w:szCs w:val="24"/>
        </w:rPr>
      </w:pPr>
    </w:p>
    <w:p w:rsidR="001F3030" w:rsidRPr="0055069C" w:rsidP="0B05764F" w14:paraId="4269D40F" w14:textId="77777777">
      <w:pPr>
        <w:tabs>
          <w:tab w:val="left" w:pos="360"/>
        </w:tabs>
        <w:spacing w:line="259" w:lineRule="auto"/>
        <w:ind w:left="360"/>
        <w:rPr>
          <w:sz w:val="24"/>
          <w:szCs w:val="24"/>
        </w:rPr>
      </w:pPr>
      <w:r w:rsidRPr="0055069C">
        <w:rPr>
          <w:sz w:val="24"/>
          <w:szCs w:val="24"/>
        </w:rPr>
        <w:t>There are no additional costs for contractor, facilities, computer hardware and software, equipment maintenance, travel, printing, or postage.</w:t>
      </w:r>
    </w:p>
    <w:p w:rsidR="00D92D85" w:rsidRPr="0055069C" w14:paraId="70F928E6" w14:textId="77777777">
      <w:pPr>
        <w:tabs>
          <w:tab w:val="left" w:pos="360"/>
        </w:tabs>
        <w:ind w:left="360" w:hanging="360"/>
        <w:rPr>
          <w:sz w:val="24"/>
          <w:szCs w:val="24"/>
        </w:rPr>
      </w:pPr>
    </w:p>
    <w:p w:rsidR="009E13B1" w:rsidRPr="0055069C" w14:paraId="21A2FD83" w14:textId="1F5FAD7A">
      <w:pPr>
        <w:keepLines/>
        <w:tabs>
          <w:tab w:val="left" w:pos="360"/>
        </w:tabs>
        <w:spacing w:after="80"/>
        <w:ind w:left="360" w:hanging="360"/>
        <w:rPr>
          <w:b/>
          <w:bCs/>
          <w:sz w:val="24"/>
          <w:szCs w:val="24"/>
        </w:rPr>
      </w:pPr>
      <w:r w:rsidRPr="4F034976">
        <w:rPr>
          <w:sz w:val="24"/>
          <w:szCs w:val="24"/>
        </w:rPr>
        <w:t>15.</w:t>
      </w:r>
      <w:r>
        <w:tab/>
      </w:r>
      <w:r w:rsidRPr="4F034976">
        <w:rPr>
          <w:b/>
          <w:bCs/>
          <w:sz w:val="24"/>
          <w:szCs w:val="24"/>
        </w:rPr>
        <w:t>Explain the reasons for any program changes or adjustments reported in Items 1</w:t>
      </w:r>
      <w:r w:rsidRPr="4F034976" w:rsidR="5AEF1C7A">
        <w:rPr>
          <w:b/>
          <w:bCs/>
          <w:sz w:val="24"/>
          <w:szCs w:val="24"/>
        </w:rPr>
        <w:t>2</w:t>
      </w:r>
      <w:r w:rsidRPr="4F034976">
        <w:rPr>
          <w:b/>
          <w:bCs/>
          <w:sz w:val="24"/>
          <w:szCs w:val="24"/>
        </w:rPr>
        <w:t xml:space="preserve"> and 14 of the </w:t>
      </w:r>
      <w:r w:rsidRPr="4F034976" w:rsidR="59D178C8">
        <w:rPr>
          <w:b/>
          <w:bCs/>
          <w:sz w:val="24"/>
          <w:szCs w:val="24"/>
        </w:rPr>
        <w:t>Supporting Statement</w:t>
      </w:r>
      <w:r w:rsidRPr="4F034976">
        <w:rPr>
          <w:b/>
          <w:bCs/>
          <w:sz w:val="24"/>
          <w:szCs w:val="24"/>
        </w:rPr>
        <w:t>.</w:t>
      </w:r>
    </w:p>
    <w:p w:rsidR="00411D1B" w:rsidRPr="0055069C" w:rsidP="4F034976" w14:paraId="04E44B1B" w14:textId="7A577E93">
      <w:pPr>
        <w:ind w:left="360"/>
        <w:rPr>
          <w:color w:val="000000"/>
          <w:sz w:val="24"/>
          <w:szCs w:val="24"/>
        </w:rPr>
      </w:pPr>
      <w:r w:rsidRPr="4F034976">
        <w:rPr>
          <w:sz w:val="24"/>
          <w:szCs w:val="24"/>
        </w:rPr>
        <w:t xml:space="preserve">The present revision addresses only the post award collection of information, as </w:t>
      </w:r>
      <w:r w:rsidRPr="4F034976" w:rsidR="54CF4EA5">
        <w:rPr>
          <w:sz w:val="24"/>
          <w:szCs w:val="24"/>
        </w:rPr>
        <w:t xml:space="preserve">a parallel </w:t>
      </w:r>
      <w:r w:rsidRPr="4F034976">
        <w:rPr>
          <w:sz w:val="24"/>
          <w:szCs w:val="24"/>
        </w:rPr>
        <w:t xml:space="preserve">pre award update was completed through the Generic NOFO PRA process. </w:t>
      </w:r>
      <w:r w:rsidRPr="4F034976" w:rsidR="001F3030">
        <w:rPr>
          <w:color w:val="000000" w:themeColor="text1"/>
          <w:sz w:val="24"/>
          <w:szCs w:val="24"/>
        </w:rPr>
        <w:t xml:space="preserve">This is a </w:t>
      </w:r>
      <w:r w:rsidRPr="4F034976" w:rsidR="00592DD8">
        <w:rPr>
          <w:color w:val="000000" w:themeColor="text1"/>
          <w:sz w:val="24"/>
          <w:szCs w:val="24"/>
        </w:rPr>
        <w:t>renewal with changes</w:t>
      </w:r>
      <w:r w:rsidRPr="4F034976" w:rsidR="005E3724">
        <w:rPr>
          <w:color w:val="000000" w:themeColor="text1"/>
          <w:sz w:val="24"/>
          <w:szCs w:val="24"/>
        </w:rPr>
        <w:t xml:space="preserve"> to improve operational management of EPGP</w:t>
      </w:r>
      <w:r w:rsidRPr="4F034976" w:rsidR="3B10FB03">
        <w:rPr>
          <w:color w:val="000000" w:themeColor="text1"/>
          <w:sz w:val="24"/>
          <w:szCs w:val="24"/>
        </w:rPr>
        <w:t>,</w:t>
      </w:r>
      <w:r w:rsidRPr="4F034976" w:rsidR="005E3724">
        <w:rPr>
          <w:color w:val="000000" w:themeColor="text1"/>
          <w:sz w:val="24"/>
          <w:szCs w:val="24"/>
        </w:rPr>
        <w:t xml:space="preserve"> </w:t>
      </w:r>
      <w:r w:rsidRPr="4F034976" w:rsidR="71BEBE9B">
        <w:rPr>
          <w:color w:val="000000" w:themeColor="text1"/>
          <w:sz w:val="24"/>
          <w:szCs w:val="24"/>
        </w:rPr>
        <w:t>meant to</w:t>
      </w:r>
      <w:r w:rsidRPr="4F034976" w:rsidR="7D921477">
        <w:rPr>
          <w:color w:val="000000" w:themeColor="text1"/>
          <w:sz w:val="24"/>
          <w:szCs w:val="24"/>
        </w:rPr>
        <w:t xml:space="preserve"> </w:t>
      </w:r>
      <w:r w:rsidRPr="4F034976" w:rsidR="00FD2B7F">
        <w:rPr>
          <w:color w:val="000000" w:themeColor="text1"/>
          <w:sz w:val="24"/>
          <w:szCs w:val="24"/>
        </w:rPr>
        <w:t>facilitate required data analyses</w:t>
      </w:r>
      <w:r w:rsidRPr="4F034976" w:rsidR="1AC5D87A">
        <w:rPr>
          <w:color w:val="000000" w:themeColor="text1"/>
          <w:sz w:val="24"/>
          <w:szCs w:val="24"/>
        </w:rPr>
        <w:t xml:space="preserve"> and reduce </w:t>
      </w:r>
      <w:r w:rsidRPr="4F034976" w:rsidR="31006ACB">
        <w:rPr>
          <w:color w:val="000000" w:themeColor="text1"/>
          <w:sz w:val="24"/>
          <w:szCs w:val="24"/>
        </w:rPr>
        <w:t>the number of grantee</w:t>
      </w:r>
      <w:r w:rsidRPr="4F034976" w:rsidR="1AC5D87A">
        <w:rPr>
          <w:color w:val="000000" w:themeColor="text1"/>
          <w:sz w:val="24"/>
          <w:szCs w:val="24"/>
        </w:rPr>
        <w:t xml:space="preserve"> errors that have </w:t>
      </w:r>
      <w:r w:rsidRPr="4F034976" w:rsidR="31CB760E">
        <w:rPr>
          <w:color w:val="000000" w:themeColor="text1"/>
          <w:sz w:val="24"/>
          <w:szCs w:val="24"/>
        </w:rPr>
        <w:t xml:space="preserve">increased the burden </w:t>
      </w:r>
      <w:r w:rsidRPr="4F034976" w:rsidR="1AC5D87A">
        <w:rPr>
          <w:color w:val="000000" w:themeColor="text1"/>
          <w:sz w:val="24"/>
          <w:szCs w:val="24"/>
        </w:rPr>
        <w:t>on grantees</w:t>
      </w:r>
      <w:r w:rsidRPr="4F034976" w:rsidR="00592DD8">
        <w:rPr>
          <w:color w:val="000000" w:themeColor="text1"/>
          <w:sz w:val="24"/>
          <w:szCs w:val="24"/>
        </w:rPr>
        <w:t>.</w:t>
      </w:r>
      <w:r w:rsidRPr="4F034976" w:rsidR="00841B78">
        <w:rPr>
          <w:color w:val="000000" w:themeColor="text1"/>
          <w:sz w:val="24"/>
          <w:szCs w:val="24"/>
        </w:rPr>
        <w:t xml:space="preserve"> </w:t>
      </w:r>
      <w:r w:rsidRPr="4F034976" w:rsidR="00FD2B7F">
        <w:rPr>
          <w:color w:val="000000" w:themeColor="text1"/>
          <w:sz w:val="24"/>
          <w:szCs w:val="24"/>
        </w:rPr>
        <w:t xml:space="preserve">The </w:t>
      </w:r>
      <w:r w:rsidRPr="4F034976" w:rsidR="008D2F23">
        <w:rPr>
          <w:color w:val="000000" w:themeColor="text1"/>
          <w:sz w:val="24"/>
          <w:szCs w:val="24"/>
        </w:rPr>
        <w:t xml:space="preserve">approved burden was 9,774 hours while the new request has a burden of 10,793 hours. However, this </w:t>
      </w:r>
      <w:r w:rsidRPr="4F034976" w:rsidR="00841B78">
        <w:rPr>
          <w:color w:val="000000" w:themeColor="text1"/>
          <w:sz w:val="24"/>
          <w:szCs w:val="24"/>
        </w:rPr>
        <w:t xml:space="preserve">increase </w:t>
      </w:r>
      <w:r w:rsidRPr="4F034976" w:rsidR="008D2F23">
        <w:rPr>
          <w:color w:val="000000" w:themeColor="text1"/>
          <w:sz w:val="24"/>
          <w:szCs w:val="24"/>
        </w:rPr>
        <w:t>is expected to be offset by time savings</w:t>
      </w:r>
      <w:r w:rsidRPr="4F034976" w:rsidR="009601F3">
        <w:rPr>
          <w:color w:val="000000" w:themeColor="text1"/>
          <w:sz w:val="24"/>
          <w:szCs w:val="24"/>
        </w:rPr>
        <w:t xml:space="preserve"> per fewer errors and less time required to </w:t>
      </w:r>
      <w:r w:rsidRPr="4F034976" w:rsidR="00CF1B9A">
        <w:rPr>
          <w:color w:val="000000" w:themeColor="text1"/>
          <w:sz w:val="24"/>
          <w:szCs w:val="24"/>
        </w:rPr>
        <w:t>correct issues</w:t>
      </w:r>
      <w:r w:rsidRPr="4F034976" w:rsidR="009601F3">
        <w:rPr>
          <w:color w:val="000000" w:themeColor="text1"/>
          <w:sz w:val="24"/>
          <w:szCs w:val="24"/>
        </w:rPr>
        <w:t>.</w:t>
      </w:r>
    </w:p>
    <w:p w:rsidR="009A497A" w:rsidRPr="0055069C" w14:paraId="45220D58" w14:textId="77777777">
      <w:pPr>
        <w:keepLines/>
        <w:tabs>
          <w:tab w:val="left" w:pos="360"/>
          <w:tab w:val="left" w:pos="720"/>
        </w:tabs>
        <w:ind w:left="360"/>
        <w:rPr>
          <w:sz w:val="24"/>
          <w:szCs w:val="24"/>
        </w:rPr>
      </w:pPr>
    </w:p>
    <w:p w:rsidR="009E13B1" w:rsidRPr="0055069C" w14:paraId="4666CE32" w14:textId="77777777">
      <w:pPr>
        <w:keepLines/>
        <w:tabs>
          <w:tab w:val="left" w:pos="360"/>
        </w:tabs>
        <w:spacing w:after="80"/>
        <w:ind w:left="360" w:hanging="360"/>
        <w:rPr>
          <w:b/>
          <w:bCs/>
          <w:sz w:val="24"/>
          <w:szCs w:val="24"/>
        </w:rPr>
      </w:pPr>
      <w:r w:rsidRPr="0055069C">
        <w:rPr>
          <w:sz w:val="24"/>
          <w:szCs w:val="24"/>
        </w:rPr>
        <w:t>16.</w:t>
      </w:r>
      <w:r w:rsidRPr="0055069C">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3030" w:rsidRPr="0055069C" w:rsidP="144F3E93" w14:paraId="71013D36" w14:textId="0FF544E6">
      <w:pPr>
        <w:ind w:left="360"/>
        <w:rPr>
          <w:sz w:val="24"/>
          <w:szCs w:val="24"/>
        </w:rPr>
      </w:pPr>
      <w:r w:rsidRPr="144F3E93">
        <w:rPr>
          <w:color w:val="000000" w:themeColor="text1"/>
          <w:sz w:val="24"/>
          <w:szCs w:val="24"/>
        </w:rPr>
        <w:t>HUD will publish the names of the grantees</w:t>
      </w:r>
      <w:r w:rsidRPr="144F3E93" w:rsidR="00140740">
        <w:rPr>
          <w:color w:val="000000" w:themeColor="text1"/>
          <w:sz w:val="24"/>
          <w:szCs w:val="24"/>
        </w:rPr>
        <w:t xml:space="preserve"> and </w:t>
      </w:r>
      <w:r w:rsidRPr="144F3E93" w:rsidR="0093395A">
        <w:rPr>
          <w:color w:val="000000" w:themeColor="text1"/>
          <w:sz w:val="24"/>
          <w:szCs w:val="24"/>
        </w:rPr>
        <w:t>reports on</w:t>
      </w:r>
      <w:r w:rsidRPr="144F3E93">
        <w:rPr>
          <w:color w:val="000000" w:themeColor="text1"/>
          <w:sz w:val="24"/>
          <w:szCs w:val="24"/>
        </w:rPr>
        <w:t xml:space="preserve"> program activity </w:t>
      </w:r>
      <w:r w:rsidRPr="144F3E93" w:rsidR="0093395A">
        <w:rPr>
          <w:color w:val="000000" w:themeColor="text1"/>
          <w:sz w:val="24"/>
          <w:szCs w:val="24"/>
        </w:rPr>
        <w:t xml:space="preserve">and outcomes </w:t>
      </w:r>
      <w:r w:rsidRPr="144F3E93">
        <w:rPr>
          <w:color w:val="000000" w:themeColor="text1"/>
          <w:sz w:val="24"/>
          <w:szCs w:val="24"/>
        </w:rPr>
        <w:t>as necessary to meet its statutory program monitoring and demonstration obligations for th</w:t>
      </w:r>
      <w:r w:rsidRPr="144F3E93" w:rsidR="00E561B5">
        <w:rPr>
          <w:color w:val="000000" w:themeColor="text1"/>
          <w:sz w:val="24"/>
          <w:szCs w:val="24"/>
        </w:rPr>
        <w:t xml:space="preserve">is </w:t>
      </w:r>
      <w:r w:rsidRPr="144F3E93">
        <w:rPr>
          <w:color w:val="000000" w:themeColor="text1"/>
          <w:sz w:val="24"/>
          <w:szCs w:val="24"/>
        </w:rPr>
        <w:t>program</w:t>
      </w:r>
      <w:r w:rsidRPr="144F3E93" w:rsidR="0093395A">
        <w:rPr>
          <w:color w:val="000000" w:themeColor="text1"/>
          <w:sz w:val="24"/>
          <w:szCs w:val="24"/>
        </w:rPr>
        <w:t>, inform stakeholders of the number of households served and evictions prevented, and respond to legislative inquiries</w:t>
      </w:r>
      <w:r w:rsidRPr="144F3E93">
        <w:rPr>
          <w:color w:val="000000" w:themeColor="text1"/>
          <w:sz w:val="24"/>
          <w:szCs w:val="24"/>
        </w:rPr>
        <w:t>.</w:t>
      </w:r>
    </w:p>
    <w:p w:rsidR="00670EF2" w:rsidRPr="0055069C" w14:paraId="579633C8" w14:textId="77777777">
      <w:pPr>
        <w:tabs>
          <w:tab w:val="left" w:pos="360"/>
        </w:tabs>
        <w:ind w:left="360" w:hanging="360"/>
        <w:rPr>
          <w:sz w:val="24"/>
          <w:szCs w:val="24"/>
        </w:rPr>
      </w:pPr>
    </w:p>
    <w:p w:rsidR="009E13B1" w:rsidRPr="0055069C" w14:paraId="384D608A" w14:textId="77777777">
      <w:pPr>
        <w:keepLines/>
        <w:tabs>
          <w:tab w:val="left" w:pos="360"/>
        </w:tabs>
        <w:spacing w:after="80"/>
        <w:ind w:left="360" w:hanging="360"/>
        <w:rPr>
          <w:b/>
          <w:bCs/>
          <w:sz w:val="24"/>
          <w:szCs w:val="24"/>
        </w:rPr>
      </w:pPr>
      <w:r w:rsidRPr="0055069C">
        <w:rPr>
          <w:b/>
          <w:bCs/>
          <w:sz w:val="24"/>
          <w:szCs w:val="24"/>
        </w:rPr>
        <w:t>17.</w:t>
      </w:r>
      <w:r w:rsidRPr="0055069C">
        <w:rPr>
          <w:b/>
          <w:bCs/>
          <w:sz w:val="24"/>
          <w:szCs w:val="24"/>
        </w:rPr>
        <w:tab/>
        <w:t>If seeking approval to not display the expiration date for OMB approval of the information collection, explain the reasons that display would be inappropriate.</w:t>
      </w:r>
    </w:p>
    <w:p w:rsidR="00670EF2" w:rsidRPr="0055069C" w:rsidP="001F3030" w14:paraId="0B7D62A8" w14:textId="77777777">
      <w:pPr>
        <w:keepLines/>
        <w:tabs>
          <w:tab w:val="left" w:pos="360"/>
          <w:tab w:val="left" w:pos="720"/>
        </w:tabs>
        <w:ind w:left="360"/>
        <w:rPr>
          <w:bCs/>
          <w:color w:val="000000"/>
          <w:sz w:val="24"/>
          <w:szCs w:val="24"/>
        </w:rPr>
      </w:pPr>
      <w:r w:rsidRPr="0055069C">
        <w:rPr>
          <w:bCs/>
          <w:color w:val="000000"/>
          <w:sz w:val="24"/>
          <w:szCs w:val="24"/>
        </w:rPr>
        <w:t>HUD is not seeking approval to avoid displaying the OMB expiration date.</w:t>
      </w:r>
    </w:p>
    <w:p w:rsidR="001F3030" w:rsidRPr="0055069C" w:rsidP="001F3030" w14:paraId="643E764F" w14:textId="77777777">
      <w:pPr>
        <w:keepLines/>
        <w:tabs>
          <w:tab w:val="left" w:pos="360"/>
          <w:tab w:val="left" w:pos="720"/>
        </w:tabs>
        <w:ind w:left="360"/>
        <w:rPr>
          <w:sz w:val="24"/>
          <w:szCs w:val="24"/>
        </w:rPr>
      </w:pPr>
    </w:p>
    <w:p w:rsidR="009E13B1" w:rsidRPr="0055069C" w14:paraId="4B4DA624" w14:textId="77777777">
      <w:pPr>
        <w:keepLines/>
        <w:tabs>
          <w:tab w:val="left" w:pos="360"/>
        </w:tabs>
        <w:spacing w:after="80"/>
        <w:ind w:left="360" w:hanging="360"/>
        <w:rPr>
          <w:b/>
          <w:bCs/>
          <w:sz w:val="24"/>
          <w:szCs w:val="24"/>
        </w:rPr>
      </w:pPr>
      <w:r w:rsidRPr="0055069C">
        <w:rPr>
          <w:b/>
          <w:bCs/>
          <w:sz w:val="24"/>
          <w:szCs w:val="24"/>
        </w:rPr>
        <w:t>18.</w:t>
      </w:r>
      <w:r w:rsidRPr="0055069C">
        <w:rPr>
          <w:b/>
          <w:bCs/>
          <w:sz w:val="24"/>
          <w:szCs w:val="24"/>
        </w:rPr>
        <w:tab/>
        <w:t>Explain each exception to the certification statement identified in item 19.</w:t>
      </w:r>
    </w:p>
    <w:p w:rsidR="001F3030" w:rsidRPr="0055069C" w:rsidP="001F3030" w14:paraId="7CEB8D10" w14:textId="77777777">
      <w:pPr>
        <w:ind w:firstLine="360"/>
        <w:rPr>
          <w:bCs/>
          <w:color w:val="000000"/>
          <w:sz w:val="24"/>
          <w:szCs w:val="24"/>
        </w:rPr>
      </w:pPr>
      <w:r w:rsidRPr="0055069C">
        <w:rPr>
          <w:bCs/>
          <w:color w:val="000000"/>
          <w:sz w:val="24"/>
          <w:szCs w:val="24"/>
        </w:rPr>
        <w:t>There is no exception to Item #19 “Certification of Paperwork Reduction Act Submissions.”</w:t>
      </w:r>
    </w:p>
    <w:p w:rsidR="00007172" w:rsidRPr="0055069C" w14:paraId="738FA4C8" w14:textId="77777777">
      <w:pPr>
        <w:keepLines/>
        <w:tabs>
          <w:tab w:val="left" w:pos="360"/>
        </w:tabs>
        <w:spacing w:after="80"/>
        <w:ind w:left="360" w:hanging="360"/>
        <w:rPr>
          <w:sz w:val="24"/>
          <w:szCs w:val="24"/>
        </w:rPr>
      </w:pPr>
    </w:p>
    <w:p w:rsidR="00007172" w:rsidRPr="0055069C" w14:paraId="68B1842A" w14:textId="77777777">
      <w:pPr>
        <w:keepLines/>
        <w:tabs>
          <w:tab w:val="left" w:pos="360"/>
        </w:tabs>
        <w:spacing w:after="80"/>
        <w:ind w:left="360" w:hanging="360"/>
        <w:rPr>
          <w:sz w:val="24"/>
          <w:szCs w:val="24"/>
        </w:rPr>
      </w:pPr>
    </w:p>
    <w:sectPr w:rsidSect="000465B0">
      <w:footerReference w:type="default" r:id="rId8"/>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174E" w14:paraId="431629C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25174E" w14:paraId="444E3C7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1"/>
      <w:numFmt w:val="bullet"/>
      <w:lvlText w:val=""/>
      <w:lvlJc w:val="left"/>
      <w:rPr>
        <w:rFonts w:ascii="Symbol" w:hAnsi="Symbol"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5F0762D"/>
    <w:multiLevelType w:val="hybridMultilevel"/>
    <w:tmpl w:val="09B49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7246395"/>
    <w:multiLevelType w:val="hybridMultilevel"/>
    <w:tmpl w:val="D570A9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F56EC8"/>
    <w:multiLevelType w:val="hybridMultilevel"/>
    <w:tmpl w:val="8FD4637E"/>
    <w:lvl w:ilvl="0">
      <w:start w:val="10"/>
      <w:numFmt w:val="bullet"/>
      <w:lvlText w:val="-"/>
      <w:lvlJc w:val="left"/>
      <w:pPr>
        <w:ind w:left="720" w:hanging="360"/>
      </w:pPr>
      <w:rPr>
        <w:rFonts w:ascii="Lato" w:eastAsia="Calibri" w:hAnsi="Lato" w:cs="Times New Roman" w:hint="default"/>
        <w:b w:val="0"/>
        <w:bCs w:val="0"/>
        <w:i w:val="0"/>
        <w:iCs w:val="0"/>
        <w:color w:val="auto"/>
        <w:position w:val="2"/>
        <w:sz w:val="10"/>
        <w:szCs w:val="1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nsid w:val="34A84868"/>
    <w:multiLevelType w:val="hybridMultilevel"/>
    <w:tmpl w:val="BD226D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53026A0"/>
    <w:multiLevelType w:val="hybridMultilevel"/>
    <w:tmpl w:val="BB008B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4A7BBD"/>
    <w:multiLevelType w:val="hybridMultilevel"/>
    <w:tmpl w:val="EBCED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3F9E3661"/>
    <w:multiLevelType w:val="hybridMultilevel"/>
    <w:tmpl w:val="6666F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44943101"/>
    <w:multiLevelType w:val="hybridMultilevel"/>
    <w:tmpl w:val="83282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CB0342"/>
    <w:multiLevelType w:val="hybridMultilevel"/>
    <w:tmpl w:val="EC306A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664DA97"/>
    <w:multiLevelType w:val="hybridMultilevel"/>
    <w:tmpl w:val="5E2E9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75F3BE5"/>
    <w:multiLevelType w:val="hybridMultilevel"/>
    <w:tmpl w:val="DED08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9">
    <w:nsid w:val="4CE2235A"/>
    <w:multiLevelType w:val="hybridMultilevel"/>
    <w:tmpl w:val="8AEA9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1EC1A74"/>
    <w:multiLevelType w:val="hybridMultilevel"/>
    <w:tmpl w:val="DE749A7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5E68AB03"/>
    <w:multiLevelType w:val="hybridMultilevel"/>
    <w:tmpl w:val="86EEE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94ECD87"/>
    <w:multiLevelType w:val="hybridMultilevel"/>
    <w:tmpl w:val="78885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95C2396"/>
    <w:multiLevelType w:val="hybridMultilevel"/>
    <w:tmpl w:val="8D081492"/>
    <w:lvl w:ilvl="0">
      <w:start w:val="20"/>
      <w:numFmt w:val="bullet"/>
      <w:lvlText w:val="-"/>
      <w:lvlJc w:val="left"/>
      <w:pPr>
        <w:ind w:left="720" w:hanging="360"/>
      </w:pPr>
      <w:rPr>
        <w:rFonts w:ascii="Helvetica" w:eastAsia="Times New Roman" w:hAnsi="Helvetica" w:cs="Helvetic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8">
    <w:nsid w:val="7B985A55"/>
    <w:multiLevelType w:val="singleLevel"/>
    <w:tmpl w:val="B26EA4E0"/>
    <w:lvl w:ilvl="0">
      <w:start w:val="0"/>
      <w:numFmt w:val="decimal"/>
      <w:lvlText w:val="*"/>
      <w:lvlJc w:val="left"/>
    </w:lvl>
  </w:abstractNum>
  <w:num w:numId="1" w16cid:durableId="1962421456">
    <w:abstractNumId w:val="12"/>
  </w:num>
  <w:num w:numId="2" w16cid:durableId="1247808801">
    <w:abstractNumId w:val="8"/>
  </w:num>
  <w:num w:numId="3" w16cid:durableId="417026379">
    <w:abstractNumId w:val="19"/>
  </w:num>
  <w:num w:numId="4" w16cid:durableId="1961254515">
    <w:abstractNumId w:val="16"/>
  </w:num>
  <w:num w:numId="5" w16cid:durableId="1557277800">
    <w:abstractNumId w:val="23"/>
  </w:num>
  <w:num w:numId="6" w16cid:durableId="1631471087">
    <w:abstractNumId w:val="15"/>
  </w:num>
  <w:num w:numId="7" w16cid:durableId="631593523">
    <w:abstractNumId w:val="10"/>
  </w:num>
  <w:num w:numId="8" w16cid:durableId="146821487">
    <w:abstractNumId w:val="4"/>
  </w:num>
  <w:num w:numId="9" w16cid:durableId="708719712">
    <w:abstractNumId w:val="22"/>
  </w:num>
  <w:num w:numId="10" w16cid:durableId="2029326842">
    <w:abstractNumId w:val="7"/>
  </w:num>
  <w:num w:numId="11" w16cid:durableId="558906801">
    <w:abstractNumId w:val="2"/>
  </w:num>
  <w:num w:numId="12" w16cid:durableId="1130972980">
    <w:abstractNumId w:val="21"/>
  </w:num>
  <w:num w:numId="13" w16cid:durableId="1923635607">
    <w:abstractNumId w:val="11"/>
  </w:num>
  <w:num w:numId="14" w16cid:durableId="1897164281">
    <w:abstractNumId w:val="13"/>
  </w:num>
  <w:num w:numId="15" w16cid:durableId="838427964">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6" w16cid:durableId="107504631">
    <w:abstractNumId w:val="3"/>
  </w:num>
  <w:num w:numId="17" w16cid:durableId="864254267">
    <w:abstractNumId w:val="27"/>
  </w:num>
  <w:num w:numId="18" w16cid:durableId="907573761">
    <w:abstractNumId w:val="1"/>
  </w:num>
  <w:num w:numId="19" w16cid:durableId="871960438">
    <w:abstractNumId w:val="25"/>
  </w:num>
  <w:num w:numId="20" w16cid:durableId="188492489">
    <w:abstractNumId w:val="24"/>
  </w:num>
  <w:num w:numId="21" w16cid:durableId="874347808">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22" w16cid:durableId="556280097">
    <w:abstractNumId w:val="18"/>
  </w:num>
  <w:num w:numId="23" w16cid:durableId="1466462846">
    <w:abstractNumId w:val="0"/>
    <w:lvlOverride w:ilvl="0">
      <w:lvl w:ilvl="0">
        <w:start w:val="0"/>
        <w:numFmt w:val="bullet"/>
        <w:lvlText w:val=""/>
        <w:legacy w:legacy="1" w:legacySpace="0" w:legacyIndent="144"/>
        <w:lvlJc w:val="left"/>
        <w:pPr>
          <w:ind w:left="684" w:hanging="144"/>
        </w:pPr>
        <w:rPr>
          <w:rFonts w:ascii="Symbol" w:hAnsi="Symbol" w:hint="default"/>
          <w:sz w:val="16"/>
        </w:rPr>
      </w:lvl>
    </w:lvlOverride>
  </w:num>
  <w:num w:numId="24" w16cid:durableId="1966690230">
    <w:abstractNumId w:val="5"/>
  </w:num>
  <w:num w:numId="25" w16cid:durableId="1575316083">
    <w:abstractNumId w:val="9"/>
  </w:num>
  <w:num w:numId="26" w16cid:durableId="1675037888">
    <w:abstractNumId w:val="6"/>
  </w:num>
  <w:num w:numId="27" w16cid:durableId="1069579174">
    <w:abstractNumId w:val="26"/>
  </w:num>
  <w:num w:numId="28" w16cid:durableId="366178504">
    <w:abstractNumId w:val="0"/>
    <w:lvlOverride w:ilvl="0">
      <w:lvl w:ilvl="0">
        <w:start w:val="0"/>
        <w:numFmt w:val="bullet"/>
        <w:lvlText w:val=""/>
        <w:legacy w:legacy="1" w:legacySpace="120" w:legacyIndent="360"/>
        <w:lvlJc w:val="left"/>
        <w:pPr>
          <w:ind w:left="1080" w:hanging="360"/>
        </w:pPr>
        <w:rPr>
          <w:rFonts w:ascii="Symbol" w:hAnsi="Symbol" w:hint="default"/>
        </w:rPr>
      </w:lvl>
    </w:lvlOverride>
  </w:num>
  <w:num w:numId="29" w16cid:durableId="694889521">
    <w:abstractNumId w:val="28"/>
  </w:num>
  <w:num w:numId="30" w16cid:durableId="2125883493">
    <w:abstractNumId w:val="17"/>
  </w:num>
  <w:num w:numId="31" w16cid:durableId="1920872012">
    <w:abstractNumId w:val="14"/>
  </w:num>
  <w:num w:numId="32" w16cid:durableId="5193906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24ED"/>
    <w:rsid w:val="00006115"/>
    <w:rsid w:val="00006A42"/>
    <w:rsid w:val="00006CB8"/>
    <w:rsid w:val="00007172"/>
    <w:rsid w:val="00012AAA"/>
    <w:rsid w:val="000157F5"/>
    <w:rsid w:val="0002514D"/>
    <w:rsid w:val="000271CE"/>
    <w:rsid w:val="00030F6A"/>
    <w:rsid w:val="00035141"/>
    <w:rsid w:val="00041039"/>
    <w:rsid w:val="000429C3"/>
    <w:rsid w:val="000465B0"/>
    <w:rsid w:val="00046710"/>
    <w:rsid w:val="00050389"/>
    <w:rsid w:val="00050E44"/>
    <w:rsid w:val="00051D47"/>
    <w:rsid w:val="00062908"/>
    <w:rsid w:val="00062CAD"/>
    <w:rsid w:val="000645F6"/>
    <w:rsid w:val="000760E8"/>
    <w:rsid w:val="00080B03"/>
    <w:rsid w:val="00080C8B"/>
    <w:rsid w:val="000A00AD"/>
    <w:rsid w:val="000A1639"/>
    <w:rsid w:val="000A7C94"/>
    <w:rsid w:val="000B0E9C"/>
    <w:rsid w:val="000B3040"/>
    <w:rsid w:val="000B63D9"/>
    <w:rsid w:val="000C117C"/>
    <w:rsid w:val="000C1858"/>
    <w:rsid w:val="000C2AC6"/>
    <w:rsid w:val="000C7A4C"/>
    <w:rsid w:val="000D7275"/>
    <w:rsid w:val="000DFDBC"/>
    <w:rsid w:val="000E00A8"/>
    <w:rsid w:val="000E238C"/>
    <w:rsid w:val="000E2A89"/>
    <w:rsid w:val="000F017B"/>
    <w:rsid w:val="000F3FFC"/>
    <w:rsid w:val="000F5F77"/>
    <w:rsid w:val="00100240"/>
    <w:rsid w:val="00113537"/>
    <w:rsid w:val="001165D5"/>
    <w:rsid w:val="00122265"/>
    <w:rsid w:val="00140740"/>
    <w:rsid w:val="00144634"/>
    <w:rsid w:val="00164E46"/>
    <w:rsid w:val="00167E53"/>
    <w:rsid w:val="001744C9"/>
    <w:rsid w:val="0017463B"/>
    <w:rsid w:val="00180358"/>
    <w:rsid w:val="001821BA"/>
    <w:rsid w:val="00190172"/>
    <w:rsid w:val="00190FE2"/>
    <w:rsid w:val="001913B5"/>
    <w:rsid w:val="001918A6"/>
    <w:rsid w:val="001938AC"/>
    <w:rsid w:val="001A423A"/>
    <w:rsid w:val="001A6233"/>
    <w:rsid w:val="001B0D43"/>
    <w:rsid w:val="001B3D4D"/>
    <w:rsid w:val="001F27B4"/>
    <w:rsid w:val="001F2E2A"/>
    <w:rsid w:val="001F3030"/>
    <w:rsid w:val="001F4D4D"/>
    <w:rsid w:val="001F5812"/>
    <w:rsid w:val="001F6DF2"/>
    <w:rsid w:val="00211353"/>
    <w:rsid w:val="00223D96"/>
    <w:rsid w:val="0022689A"/>
    <w:rsid w:val="002319B3"/>
    <w:rsid w:val="0023256B"/>
    <w:rsid w:val="00240193"/>
    <w:rsid w:val="00240D73"/>
    <w:rsid w:val="0024167A"/>
    <w:rsid w:val="00241A68"/>
    <w:rsid w:val="0024386A"/>
    <w:rsid w:val="00243CC9"/>
    <w:rsid w:val="002468B9"/>
    <w:rsid w:val="0025061A"/>
    <w:rsid w:val="0025174E"/>
    <w:rsid w:val="00255F68"/>
    <w:rsid w:val="00256361"/>
    <w:rsid w:val="00265A96"/>
    <w:rsid w:val="00273681"/>
    <w:rsid w:val="00276FA2"/>
    <w:rsid w:val="00285B05"/>
    <w:rsid w:val="002915A1"/>
    <w:rsid w:val="002A65D4"/>
    <w:rsid w:val="002A683C"/>
    <w:rsid w:val="002A7FA2"/>
    <w:rsid w:val="002F6CE8"/>
    <w:rsid w:val="00333BE6"/>
    <w:rsid w:val="00334E94"/>
    <w:rsid w:val="00335A20"/>
    <w:rsid w:val="003360B4"/>
    <w:rsid w:val="00344E74"/>
    <w:rsid w:val="00346785"/>
    <w:rsid w:val="003475C6"/>
    <w:rsid w:val="00355C0A"/>
    <w:rsid w:val="00360090"/>
    <w:rsid w:val="00360E8B"/>
    <w:rsid w:val="00367616"/>
    <w:rsid w:val="00374E11"/>
    <w:rsid w:val="00377E1D"/>
    <w:rsid w:val="00385376"/>
    <w:rsid w:val="00391E60"/>
    <w:rsid w:val="00393F64"/>
    <w:rsid w:val="0039591C"/>
    <w:rsid w:val="003962A7"/>
    <w:rsid w:val="003A67AE"/>
    <w:rsid w:val="003A7BBF"/>
    <w:rsid w:val="003B1329"/>
    <w:rsid w:val="003B6814"/>
    <w:rsid w:val="003B7959"/>
    <w:rsid w:val="003D0C9F"/>
    <w:rsid w:val="003D1F46"/>
    <w:rsid w:val="003D4F43"/>
    <w:rsid w:val="003D551A"/>
    <w:rsid w:val="003E0590"/>
    <w:rsid w:val="003E501A"/>
    <w:rsid w:val="003E716E"/>
    <w:rsid w:val="003E7E1C"/>
    <w:rsid w:val="00411D1B"/>
    <w:rsid w:val="004238A4"/>
    <w:rsid w:val="00423DC9"/>
    <w:rsid w:val="00426D65"/>
    <w:rsid w:val="00427C50"/>
    <w:rsid w:val="0043276A"/>
    <w:rsid w:val="00450591"/>
    <w:rsid w:val="004628D6"/>
    <w:rsid w:val="004630AC"/>
    <w:rsid w:val="004779CC"/>
    <w:rsid w:val="00482216"/>
    <w:rsid w:val="00484E7C"/>
    <w:rsid w:val="004867B1"/>
    <w:rsid w:val="004872E6"/>
    <w:rsid w:val="0049008C"/>
    <w:rsid w:val="004A6C67"/>
    <w:rsid w:val="004B0D11"/>
    <w:rsid w:val="004B2E01"/>
    <w:rsid w:val="004F21F0"/>
    <w:rsid w:val="004F44FD"/>
    <w:rsid w:val="00503A49"/>
    <w:rsid w:val="005051AE"/>
    <w:rsid w:val="005144F0"/>
    <w:rsid w:val="00522D29"/>
    <w:rsid w:val="0052C2AC"/>
    <w:rsid w:val="00541468"/>
    <w:rsid w:val="0055069C"/>
    <w:rsid w:val="0055191B"/>
    <w:rsid w:val="00552709"/>
    <w:rsid w:val="005564BE"/>
    <w:rsid w:val="00570F37"/>
    <w:rsid w:val="00581740"/>
    <w:rsid w:val="00585B88"/>
    <w:rsid w:val="00587151"/>
    <w:rsid w:val="0058747D"/>
    <w:rsid w:val="00592417"/>
    <w:rsid w:val="00592DD8"/>
    <w:rsid w:val="00593594"/>
    <w:rsid w:val="0059734A"/>
    <w:rsid w:val="005A4D9A"/>
    <w:rsid w:val="005B3A30"/>
    <w:rsid w:val="005B4C05"/>
    <w:rsid w:val="005C30E9"/>
    <w:rsid w:val="005E3724"/>
    <w:rsid w:val="00601A6A"/>
    <w:rsid w:val="006150FF"/>
    <w:rsid w:val="006216AF"/>
    <w:rsid w:val="006229B6"/>
    <w:rsid w:val="006259C3"/>
    <w:rsid w:val="006313FD"/>
    <w:rsid w:val="0064002B"/>
    <w:rsid w:val="006421B7"/>
    <w:rsid w:val="00644BAE"/>
    <w:rsid w:val="00645388"/>
    <w:rsid w:val="00654227"/>
    <w:rsid w:val="006557C7"/>
    <w:rsid w:val="006558FB"/>
    <w:rsid w:val="0066468E"/>
    <w:rsid w:val="00670EF2"/>
    <w:rsid w:val="006717F2"/>
    <w:rsid w:val="0068666E"/>
    <w:rsid w:val="0069018B"/>
    <w:rsid w:val="00691350"/>
    <w:rsid w:val="006B7674"/>
    <w:rsid w:val="006C0124"/>
    <w:rsid w:val="006C2F5F"/>
    <w:rsid w:val="006C5AF5"/>
    <w:rsid w:val="006C7FAE"/>
    <w:rsid w:val="006D4D03"/>
    <w:rsid w:val="006F0E2D"/>
    <w:rsid w:val="006F1E40"/>
    <w:rsid w:val="006F3662"/>
    <w:rsid w:val="007049B5"/>
    <w:rsid w:val="007267DF"/>
    <w:rsid w:val="00734AC5"/>
    <w:rsid w:val="00753056"/>
    <w:rsid w:val="00757A26"/>
    <w:rsid w:val="00757A31"/>
    <w:rsid w:val="00770FBB"/>
    <w:rsid w:val="007720EE"/>
    <w:rsid w:val="0077248F"/>
    <w:rsid w:val="00773090"/>
    <w:rsid w:val="00776344"/>
    <w:rsid w:val="00776758"/>
    <w:rsid w:val="00780BA4"/>
    <w:rsid w:val="00781215"/>
    <w:rsid w:val="00784E98"/>
    <w:rsid w:val="00787004"/>
    <w:rsid w:val="00793D06"/>
    <w:rsid w:val="00796C3A"/>
    <w:rsid w:val="007B3D2D"/>
    <w:rsid w:val="007B4A33"/>
    <w:rsid w:val="007D0C7F"/>
    <w:rsid w:val="007D239C"/>
    <w:rsid w:val="007D5527"/>
    <w:rsid w:val="007E5BB1"/>
    <w:rsid w:val="007F0828"/>
    <w:rsid w:val="007F0C42"/>
    <w:rsid w:val="007F10D3"/>
    <w:rsid w:val="007F7A4F"/>
    <w:rsid w:val="00805013"/>
    <w:rsid w:val="00806F35"/>
    <w:rsid w:val="00812D4A"/>
    <w:rsid w:val="00821EEC"/>
    <w:rsid w:val="00836E05"/>
    <w:rsid w:val="008376D2"/>
    <w:rsid w:val="0084115D"/>
    <w:rsid w:val="00841B78"/>
    <w:rsid w:val="00845C21"/>
    <w:rsid w:val="008565E7"/>
    <w:rsid w:val="00856D38"/>
    <w:rsid w:val="008610BB"/>
    <w:rsid w:val="00861873"/>
    <w:rsid w:val="00867C8F"/>
    <w:rsid w:val="00870760"/>
    <w:rsid w:val="00873E01"/>
    <w:rsid w:val="00891CF9"/>
    <w:rsid w:val="008A5FCF"/>
    <w:rsid w:val="008A69EF"/>
    <w:rsid w:val="008A7175"/>
    <w:rsid w:val="008B3AE4"/>
    <w:rsid w:val="008C6828"/>
    <w:rsid w:val="008D2F23"/>
    <w:rsid w:val="008D3FDB"/>
    <w:rsid w:val="008D5D0A"/>
    <w:rsid w:val="008E1FAB"/>
    <w:rsid w:val="008E3013"/>
    <w:rsid w:val="008E4B0F"/>
    <w:rsid w:val="008F2FA2"/>
    <w:rsid w:val="0090034D"/>
    <w:rsid w:val="009020DD"/>
    <w:rsid w:val="00906236"/>
    <w:rsid w:val="0091530E"/>
    <w:rsid w:val="0091594A"/>
    <w:rsid w:val="0093077F"/>
    <w:rsid w:val="00931A50"/>
    <w:rsid w:val="0093395A"/>
    <w:rsid w:val="00940F57"/>
    <w:rsid w:val="00951FA9"/>
    <w:rsid w:val="009601F3"/>
    <w:rsid w:val="00965162"/>
    <w:rsid w:val="00965BC5"/>
    <w:rsid w:val="009814AA"/>
    <w:rsid w:val="009911BF"/>
    <w:rsid w:val="00993323"/>
    <w:rsid w:val="009942BE"/>
    <w:rsid w:val="009A497A"/>
    <w:rsid w:val="009B089F"/>
    <w:rsid w:val="009B5CE8"/>
    <w:rsid w:val="009B659A"/>
    <w:rsid w:val="009C361F"/>
    <w:rsid w:val="009C4526"/>
    <w:rsid w:val="009D0610"/>
    <w:rsid w:val="009D1960"/>
    <w:rsid w:val="009E0C3E"/>
    <w:rsid w:val="009E13B1"/>
    <w:rsid w:val="009E74E4"/>
    <w:rsid w:val="009F25DB"/>
    <w:rsid w:val="009F3616"/>
    <w:rsid w:val="00A044B6"/>
    <w:rsid w:val="00A13B2E"/>
    <w:rsid w:val="00A25617"/>
    <w:rsid w:val="00A26461"/>
    <w:rsid w:val="00A63665"/>
    <w:rsid w:val="00A83E46"/>
    <w:rsid w:val="00A853C8"/>
    <w:rsid w:val="00A86FEE"/>
    <w:rsid w:val="00A91A74"/>
    <w:rsid w:val="00A9202E"/>
    <w:rsid w:val="00AD5C4A"/>
    <w:rsid w:val="00AF1855"/>
    <w:rsid w:val="00AF3CC9"/>
    <w:rsid w:val="00AF4195"/>
    <w:rsid w:val="00B01940"/>
    <w:rsid w:val="00B04BA6"/>
    <w:rsid w:val="00B17C4C"/>
    <w:rsid w:val="00B21D00"/>
    <w:rsid w:val="00B246E4"/>
    <w:rsid w:val="00B2642D"/>
    <w:rsid w:val="00B33BEF"/>
    <w:rsid w:val="00B45DCD"/>
    <w:rsid w:val="00B50E23"/>
    <w:rsid w:val="00B51E19"/>
    <w:rsid w:val="00B573DC"/>
    <w:rsid w:val="00B628ED"/>
    <w:rsid w:val="00B721E9"/>
    <w:rsid w:val="00B7468F"/>
    <w:rsid w:val="00B7763E"/>
    <w:rsid w:val="00B8789B"/>
    <w:rsid w:val="00B91AED"/>
    <w:rsid w:val="00B93626"/>
    <w:rsid w:val="00B94401"/>
    <w:rsid w:val="00BA19BD"/>
    <w:rsid w:val="00BA6265"/>
    <w:rsid w:val="00BA630E"/>
    <w:rsid w:val="00BB0FF5"/>
    <w:rsid w:val="00BC10AF"/>
    <w:rsid w:val="00BC130A"/>
    <w:rsid w:val="00BC50C0"/>
    <w:rsid w:val="00BC61BF"/>
    <w:rsid w:val="00BE2598"/>
    <w:rsid w:val="00BF0560"/>
    <w:rsid w:val="00BF07C7"/>
    <w:rsid w:val="00BF4553"/>
    <w:rsid w:val="00C00992"/>
    <w:rsid w:val="00C06058"/>
    <w:rsid w:val="00C20009"/>
    <w:rsid w:val="00C23E17"/>
    <w:rsid w:val="00C26039"/>
    <w:rsid w:val="00C26FF9"/>
    <w:rsid w:val="00C305BD"/>
    <w:rsid w:val="00C414B0"/>
    <w:rsid w:val="00C42FC9"/>
    <w:rsid w:val="00C44DF5"/>
    <w:rsid w:val="00C56395"/>
    <w:rsid w:val="00C630B2"/>
    <w:rsid w:val="00C71611"/>
    <w:rsid w:val="00C74A97"/>
    <w:rsid w:val="00C828E7"/>
    <w:rsid w:val="00C90821"/>
    <w:rsid w:val="00C93CEE"/>
    <w:rsid w:val="00C96164"/>
    <w:rsid w:val="00CA1090"/>
    <w:rsid w:val="00CC5DBD"/>
    <w:rsid w:val="00CD214F"/>
    <w:rsid w:val="00CD6B31"/>
    <w:rsid w:val="00CE1567"/>
    <w:rsid w:val="00CE562F"/>
    <w:rsid w:val="00CF1B9A"/>
    <w:rsid w:val="00CF469C"/>
    <w:rsid w:val="00D02AEB"/>
    <w:rsid w:val="00D03172"/>
    <w:rsid w:val="00D175CA"/>
    <w:rsid w:val="00D25EEE"/>
    <w:rsid w:val="00D27BC7"/>
    <w:rsid w:val="00D371A5"/>
    <w:rsid w:val="00D459FE"/>
    <w:rsid w:val="00D46A4F"/>
    <w:rsid w:val="00D52CFD"/>
    <w:rsid w:val="00D572E4"/>
    <w:rsid w:val="00D63420"/>
    <w:rsid w:val="00D6525A"/>
    <w:rsid w:val="00D717DB"/>
    <w:rsid w:val="00D91C51"/>
    <w:rsid w:val="00D92D85"/>
    <w:rsid w:val="00DA5B52"/>
    <w:rsid w:val="00DB1718"/>
    <w:rsid w:val="00DD0D0B"/>
    <w:rsid w:val="00DE3A06"/>
    <w:rsid w:val="00DE67BC"/>
    <w:rsid w:val="00DF0EF6"/>
    <w:rsid w:val="00DF6E73"/>
    <w:rsid w:val="00E03013"/>
    <w:rsid w:val="00E037C6"/>
    <w:rsid w:val="00E12199"/>
    <w:rsid w:val="00E1363F"/>
    <w:rsid w:val="00E15794"/>
    <w:rsid w:val="00E158F6"/>
    <w:rsid w:val="00E21065"/>
    <w:rsid w:val="00E32AE6"/>
    <w:rsid w:val="00E46A2B"/>
    <w:rsid w:val="00E54665"/>
    <w:rsid w:val="00E55050"/>
    <w:rsid w:val="00E561B5"/>
    <w:rsid w:val="00E676BB"/>
    <w:rsid w:val="00E67C96"/>
    <w:rsid w:val="00E70082"/>
    <w:rsid w:val="00E727DE"/>
    <w:rsid w:val="00E74B8E"/>
    <w:rsid w:val="00E756FE"/>
    <w:rsid w:val="00E8071A"/>
    <w:rsid w:val="00E8488B"/>
    <w:rsid w:val="00E8680B"/>
    <w:rsid w:val="00E87AF7"/>
    <w:rsid w:val="00EA07A3"/>
    <w:rsid w:val="00EA203C"/>
    <w:rsid w:val="00EA343F"/>
    <w:rsid w:val="00EA4EBD"/>
    <w:rsid w:val="00EA6A5E"/>
    <w:rsid w:val="00EB1E47"/>
    <w:rsid w:val="00EC2C33"/>
    <w:rsid w:val="00EC48C8"/>
    <w:rsid w:val="00EC764C"/>
    <w:rsid w:val="00EC7858"/>
    <w:rsid w:val="00ED749E"/>
    <w:rsid w:val="00EF1384"/>
    <w:rsid w:val="00EF4D1D"/>
    <w:rsid w:val="00F10D05"/>
    <w:rsid w:val="00F15FA7"/>
    <w:rsid w:val="00F23295"/>
    <w:rsid w:val="00F27C8F"/>
    <w:rsid w:val="00F319B3"/>
    <w:rsid w:val="00F35BAE"/>
    <w:rsid w:val="00F35FE2"/>
    <w:rsid w:val="00F43277"/>
    <w:rsid w:val="00F442BD"/>
    <w:rsid w:val="00F5145B"/>
    <w:rsid w:val="00F6478C"/>
    <w:rsid w:val="00F7449A"/>
    <w:rsid w:val="00F764E2"/>
    <w:rsid w:val="00F8380D"/>
    <w:rsid w:val="00F86A6C"/>
    <w:rsid w:val="00F87F25"/>
    <w:rsid w:val="00FA03D3"/>
    <w:rsid w:val="00FA24DC"/>
    <w:rsid w:val="00FA375D"/>
    <w:rsid w:val="00FA70DB"/>
    <w:rsid w:val="00FB72FD"/>
    <w:rsid w:val="00FB9BF7"/>
    <w:rsid w:val="00FC0BB6"/>
    <w:rsid w:val="00FD0494"/>
    <w:rsid w:val="00FD2B7F"/>
    <w:rsid w:val="00FD3827"/>
    <w:rsid w:val="00FD3A06"/>
    <w:rsid w:val="00FD5B67"/>
    <w:rsid w:val="00FF469C"/>
    <w:rsid w:val="01089124"/>
    <w:rsid w:val="012EA2EA"/>
    <w:rsid w:val="016671AB"/>
    <w:rsid w:val="01AE4D5A"/>
    <w:rsid w:val="01B1462C"/>
    <w:rsid w:val="0208FB5D"/>
    <w:rsid w:val="0214BEA0"/>
    <w:rsid w:val="029E3F0D"/>
    <w:rsid w:val="02BF7D35"/>
    <w:rsid w:val="02E55527"/>
    <w:rsid w:val="0307CFEF"/>
    <w:rsid w:val="030A0F3D"/>
    <w:rsid w:val="030E5763"/>
    <w:rsid w:val="0379D21A"/>
    <w:rsid w:val="039FAF99"/>
    <w:rsid w:val="03D275B9"/>
    <w:rsid w:val="03DA36BB"/>
    <w:rsid w:val="03FCEE85"/>
    <w:rsid w:val="0423D214"/>
    <w:rsid w:val="04266C62"/>
    <w:rsid w:val="042B6A3F"/>
    <w:rsid w:val="0443E13E"/>
    <w:rsid w:val="04816321"/>
    <w:rsid w:val="04972BBA"/>
    <w:rsid w:val="04CCCD6F"/>
    <w:rsid w:val="0538558F"/>
    <w:rsid w:val="05493A58"/>
    <w:rsid w:val="05A2AF42"/>
    <w:rsid w:val="05AC10B6"/>
    <w:rsid w:val="05B259C0"/>
    <w:rsid w:val="05B5EE44"/>
    <w:rsid w:val="05C50DED"/>
    <w:rsid w:val="06382F72"/>
    <w:rsid w:val="063A44B9"/>
    <w:rsid w:val="0671F90F"/>
    <w:rsid w:val="06CF3F12"/>
    <w:rsid w:val="0742EA6F"/>
    <w:rsid w:val="075E0D24"/>
    <w:rsid w:val="078D9A25"/>
    <w:rsid w:val="0811CC47"/>
    <w:rsid w:val="0830AEE3"/>
    <w:rsid w:val="084F5EA2"/>
    <w:rsid w:val="08F9DD85"/>
    <w:rsid w:val="09232449"/>
    <w:rsid w:val="09721FE2"/>
    <w:rsid w:val="09BC5E87"/>
    <w:rsid w:val="09C0C37A"/>
    <w:rsid w:val="0A27E740"/>
    <w:rsid w:val="0A2D821D"/>
    <w:rsid w:val="0AB2C18E"/>
    <w:rsid w:val="0B05764F"/>
    <w:rsid w:val="0B1588F4"/>
    <w:rsid w:val="0B16ED10"/>
    <w:rsid w:val="0B3DA2A2"/>
    <w:rsid w:val="0B5A7801"/>
    <w:rsid w:val="0B8C19A9"/>
    <w:rsid w:val="0C11F0C6"/>
    <w:rsid w:val="0C166287"/>
    <w:rsid w:val="0CDAC813"/>
    <w:rsid w:val="0CF1EF1D"/>
    <w:rsid w:val="0D4AA696"/>
    <w:rsid w:val="0D69BBBF"/>
    <w:rsid w:val="0D96704E"/>
    <w:rsid w:val="0D9E0AF4"/>
    <w:rsid w:val="0DCA59D7"/>
    <w:rsid w:val="0DFED519"/>
    <w:rsid w:val="0E14E63A"/>
    <w:rsid w:val="0E8D8820"/>
    <w:rsid w:val="0EE56025"/>
    <w:rsid w:val="0F006CB4"/>
    <w:rsid w:val="0F384C19"/>
    <w:rsid w:val="0F44671E"/>
    <w:rsid w:val="0F4D9F76"/>
    <w:rsid w:val="0F4F83CA"/>
    <w:rsid w:val="0F60BCE2"/>
    <w:rsid w:val="0F810C46"/>
    <w:rsid w:val="0FA76457"/>
    <w:rsid w:val="1005E64F"/>
    <w:rsid w:val="10179ACA"/>
    <w:rsid w:val="1019229A"/>
    <w:rsid w:val="1022F4EB"/>
    <w:rsid w:val="104D5C03"/>
    <w:rsid w:val="1084BFEA"/>
    <w:rsid w:val="108AF5AE"/>
    <w:rsid w:val="10CC930C"/>
    <w:rsid w:val="10F3D776"/>
    <w:rsid w:val="114ED8E0"/>
    <w:rsid w:val="11527D91"/>
    <w:rsid w:val="11E71460"/>
    <w:rsid w:val="11FC9813"/>
    <w:rsid w:val="12690EA3"/>
    <w:rsid w:val="12CAC9CC"/>
    <w:rsid w:val="12F9DB56"/>
    <w:rsid w:val="13031583"/>
    <w:rsid w:val="131A4B5D"/>
    <w:rsid w:val="1388E02C"/>
    <w:rsid w:val="139328C7"/>
    <w:rsid w:val="13A15133"/>
    <w:rsid w:val="13B2A8F8"/>
    <w:rsid w:val="13EBD334"/>
    <w:rsid w:val="1416430F"/>
    <w:rsid w:val="143F7518"/>
    <w:rsid w:val="144F3E93"/>
    <w:rsid w:val="14643667"/>
    <w:rsid w:val="148C1527"/>
    <w:rsid w:val="14CBA8C6"/>
    <w:rsid w:val="14E6E5E7"/>
    <w:rsid w:val="14F535C4"/>
    <w:rsid w:val="14F93B52"/>
    <w:rsid w:val="152419D3"/>
    <w:rsid w:val="1568DC7C"/>
    <w:rsid w:val="15991082"/>
    <w:rsid w:val="166042B0"/>
    <w:rsid w:val="16A77509"/>
    <w:rsid w:val="17166DCD"/>
    <w:rsid w:val="17DDD99E"/>
    <w:rsid w:val="17E3FBFD"/>
    <w:rsid w:val="17F75406"/>
    <w:rsid w:val="180B252C"/>
    <w:rsid w:val="1814C9AD"/>
    <w:rsid w:val="1872FF07"/>
    <w:rsid w:val="18A07D3E"/>
    <w:rsid w:val="18E0E624"/>
    <w:rsid w:val="18F42EDA"/>
    <w:rsid w:val="1938B830"/>
    <w:rsid w:val="193FC0EC"/>
    <w:rsid w:val="19514C08"/>
    <w:rsid w:val="197039BB"/>
    <w:rsid w:val="19AD745A"/>
    <w:rsid w:val="19C4FA20"/>
    <w:rsid w:val="19E2D1F7"/>
    <w:rsid w:val="19E71F27"/>
    <w:rsid w:val="1A21EA7C"/>
    <w:rsid w:val="1A5B2F4D"/>
    <w:rsid w:val="1A94D599"/>
    <w:rsid w:val="1A98EB59"/>
    <w:rsid w:val="1A9B53F7"/>
    <w:rsid w:val="1AC5D87A"/>
    <w:rsid w:val="1ACEBFF4"/>
    <w:rsid w:val="1AF4FF0B"/>
    <w:rsid w:val="1B3373E9"/>
    <w:rsid w:val="1B427FE1"/>
    <w:rsid w:val="1B96C707"/>
    <w:rsid w:val="1BAB01CA"/>
    <w:rsid w:val="1C146683"/>
    <w:rsid w:val="1C205DA1"/>
    <w:rsid w:val="1C233FE3"/>
    <w:rsid w:val="1C4BD683"/>
    <w:rsid w:val="1C54D61D"/>
    <w:rsid w:val="1C697417"/>
    <w:rsid w:val="1C763A94"/>
    <w:rsid w:val="1C90CF6C"/>
    <w:rsid w:val="1CBD924E"/>
    <w:rsid w:val="1CDE4EE2"/>
    <w:rsid w:val="1CE1047A"/>
    <w:rsid w:val="1D35DFB3"/>
    <w:rsid w:val="1E5962AF"/>
    <w:rsid w:val="1EA7F39A"/>
    <w:rsid w:val="1EB35C84"/>
    <w:rsid w:val="1EBE0D08"/>
    <w:rsid w:val="1EE39BC8"/>
    <w:rsid w:val="1F0FBEC2"/>
    <w:rsid w:val="1F1B1C72"/>
    <w:rsid w:val="1F9F952F"/>
    <w:rsid w:val="1FCECEE4"/>
    <w:rsid w:val="1FDF38CE"/>
    <w:rsid w:val="1FE40008"/>
    <w:rsid w:val="1FE510BD"/>
    <w:rsid w:val="1FFA8771"/>
    <w:rsid w:val="207C7478"/>
    <w:rsid w:val="2103C163"/>
    <w:rsid w:val="2121A780"/>
    <w:rsid w:val="21656F7F"/>
    <w:rsid w:val="21BCEC0C"/>
    <w:rsid w:val="2242BE6F"/>
    <w:rsid w:val="2251FA7E"/>
    <w:rsid w:val="2252EE28"/>
    <w:rsid w:val="228BB1B6"/>
    <w:rsid w:val="22AFF3C2"/>
    <w:rsid w:val="22F18B40"/>
    <w:rsid w:val="231A6904"/>
    <w:rsid w:val="23442D5C"/>
    <w:rsid w:val="2354172C"/>
    <w:rsid w:val="23561666"/>
    <w:rsid w:val="2397434B"/>
    <w:rsid w:val="2414A143"/>
    <w:rsid w:val="2426D219"/>
    <w:rsid w:val="2436AB24"/>
    <w:rsid w:val="2451CAF6"/>
    <w:rsid w:val="246A81E7"/>
    <w:rsid w:val="248F936A"/>
    <w:rsid w:val="24A36758"/>
    <w:rsid w:val="24B50DF7"/>
    <w:rsid w:val="24FC7B9C"/>
    <w:rsid w:val="25162155"/>
    <w:rsid w:val="25727809"/>
    <w:rsid w:val="2574C637"/>
    <w:rsid w:val="2584F1EF"/>
    <w:rsid w:val="259E61EC"/>
    <w:rsid w:val="25DD710E"/>
    <w:rsid w:val="261DB56F"/>
    <w:rsid w:val="2638DE2A"/>
    <w:rsid w:val="2644BCBC"/>
    <w:rsid w:val="2678A687"/>
    <w:rsid w:val="2687DC9A"/>
    <w:rsid w:val="26D2E515"/>
    <w:rsid w:val="26FACD74"/>
    <w:rsid w:val="271488B6"/>
    <w:rsid w:val="2723DBC1"/>
    <w:rsid w:val="27277927"/>
    <w:rsid w:val="272B74A5"/>
    <w:rsid w:val="273BFFE8"/>
    <w:rsid w:val="276D114A"/>
    <w:rsid w:val="2776D80A"/>
    <w:rsid w:val="2777C0A7"/>
    <w:rsid w:val="27B3B651"/>
    <w:rsid w:val="27C1DFBD"/>
    <w:rsid w:val="27DB081A"/>
    <w:rsid w:val="27F1B222"/>
    <w:rsid w:val="27F30AD4"/>
    <w:rsid w:val="27F7ECDD"/>
    <w:rsid w:val="27FAB4D7"/>
    <w:rsid w:val="280E939A"/>
    <w:rsid w:val="2841CDF4"/>
    <w:rsid w:val="28BF506C"/>
    <w:rsid w:val="29112CF1"/>
    <w:rsid w:val="295A60E2"/>
    <w:rsid w:val="2984FA01"/>
    <w:rsid w:val="29AE3142"/>
    <w:rsid w:val="29ECD715"/>
    <w:rsid w:val="2A040D5C"/>
    <w:rsid w:val="2A07A01F"/>
    <w:rsid w:val="2A1C5041"/>
    <w:rsid w:val="2A7F16F4"/>
    <w:rsid w:val="2A903262"/>
    <w:rsid w:val="2AA4B2B3"/>
    <w:rsid w:val="2AA7A75E"/>
    <w:rsid w:val="2ABE80AF"/>
    <w:rsid w:val="2AC6C7DD"/>
    <w:rsid w:val="2ACC0558"/>
    <w:rsid w:val="2B68E1A0"/>
    <w:rsid w:val="2BB820A2"/>
    <w:rsid w:val="2BBE4F8F"/>
    <w:rsid w:val="2BCABDF1"/>
    <w:rsid w:val="2BE5BD6B"/>
    <w:rsid w:val="2C8EC624"/>
    <w:rsid w:val="2C9550E0"/>
    <w:rsid w:val="2C97A2B1"/>
    <w:rsid w:val="2CCA7096"/>
    <w:rsid w:val="2CD467E5"/>
    <w:rsid w:val="2D28FE3C"/>
    <w:rsid w:val="2D53F103"/>
    <w:rsid w:val="2DBB8389"/>
    <w:rsid w:val="2DD18009"/>
    <w:rsid w:val="2DEA487A"/>
    <w:rsid w:val="2DED0474"/>
    <w:rsid w:val="2E84A6DA"/>
    <w:rsid w:val="2E9AC3CC"/>
    <w:rsid w:val="2EB7D73D"/>
    <w:rsid w:val="2EBB9AE6"/>
    <w:rsid w:val="2EDB29C5"/>
    <w:rsid w:val="2EFD7E1A"/>
    <w:rsid w:val="2F30CF07"/>
    <w:rsid w:val="2F8A0838"/>
    <w:rsid w:val="2FB52ADD"/>
    <w:rsid w:val="2FC7055E"/>
    <w:rsid w:val="2FCA902A"/>
    <w:rsid w:val="2FFF701C"/>
    <w:rsid w:val="300D3F73"/>
    <w:rsid w:val="3031A403"/>
    <w:rsid w:val="304B2DAE"/>
    <w:rsid w:val="3059E1A9"/>
    <w:rsid w:val="30609EFE"/>
    <w:rsid w:val="308F207C"/>
    <w:rsid w:val="309AA9F9"/>
    <w:rsid w:val="30EA0460"/>
    <w:rsid w:val="31006ACB"/>
    <w:rsid w:val="3132F136"/>
    <w:rsid w:val="314DCDFA"/>
    <w:rsid w:val="31CB760E"/>
    <w:rsid w:val="31E6925B"/>
    <w:rsid w:val="31F33832"/>
    <w:rsid w:val="31F43199"/>
    <w:rsid w:val="32308DDB"/>
    <w:rsid w:val="32AB2C2E"/>
    <w:rsid w:val="32F6C6EB"/>
    <w:rsid w:val="331D6586"/>
    <w:rsid w:val="3334942D"/>
    <w:rsid w:val="3366E743"/>
    <w:rsid w:val="33785733"/>
    <w:rsid w:val="3382B79F"/>
    <w:rsid w:val="33E00760"/>
    <w:rsid w:val="3430BD79"/>
    <w:rsid w:val="3435A6F0"/>
    <w:rsid w:val="3436C377"/>
    <w:rsid w:val="345108F4"/>
    <w:rsid w:val="346A91F8"/>
    <w:rsid w:val="34FC7B19"/>
    <w:rsid w:val="3513F93E"/>
    <w:rsid w:val="353DA529"/>
    <w:rsid w:val="359F6072"/>
    <w:rsid w:val="35D3A260"/>
    <w:rsid w:val="36165DB6"/>
    <w:rsid w:val="36658F2A"/>
    <w:rsid w:val="367452CC"/>
    <w:rsid w:val="36B30855"/>
    <w:rsid w:val="36C11FAE"/>
    <w:rsid w:val="36CD5E69"/>
    <w:rsid w:val="37004FC1"/>
    <w:rsid w:val="3702626A"/>
    <w:rsid w:val="370BC0D4"/>
    <w:rsid w:val="3741745D"/>
    <w:rsid w:val="37B4292C"/>
    <w:rsid w:val="37CA380E"/>
    <w:rsid w:val="37E7EADD"/>
    <w:rsid w:val="38085539"/>
    <w:rsid w:val="384A83A1"/>
    <w:rsid w:val="38D61466"/>
    <w:rsid w:val="38E5C3B8"/>
    <w:rsid w:val="390D5AAF"/>
    <w:rsid w:val="3921AA90"/>
    <w:rsid w:val="3981B576"/>
    <w:rsid w:val="39A8F39E"/>
    <w:rsid w:val="39B34E07"/>
    <w:rsid w:val="39F1F923"/>
    <w:rsid w:val="3A117D65"/>
    <w:rsid w:val="3A437C69"/>
    <w:rsid w:val="3A58965F"/>
    <w:rsid w:val="3A7E4F97"/>
    <w:rsid w:val="3AAE32BC"/>
    <w:rsid w:val="3B10FB03"/>
    <w:rsid w:val="3B1377C6"/>
    <w:rsid w:val="3B4F5E04"/>
    <w:rsid w:val="3B798311"/>
    <w:rsid w:val="3B98BE3E"/>
    <w:rsid w:val="3BB2386B"/>
    <w:rsid w:val="3BE8DC6A"/>
    <w:rsid w:val="3C298A6F"/>
    <w:rsid w:val="3C4DAA8A"/>
    <w:rsid w:val="3C98EC9A"/>
    <w:rsid w:val="3D38F135"/>
    <w:rsid w:val="3D587F3D"/>
    <w:rsid w:val="3D68D389"/>
    <w:rsid w:val="3D7EFA9E"/>
    <w:rsid w:val="3D8166AD"/>
    <w:rsid w:val="3D8BEF67"/>
    <w:rsid w:val="3DD994D9"/>
    <w:rsid w:val="3E6D0DBD"/>
    <w:rsid w:val="3E8A4F40"/>
    <w:rsid w:val="3EB8F8BC"/>
    <w:rsid w:val="3F333E22"/>
    <w:rsid w:val="3F3B6F7D"/>
    <w:rsid w:val="40127D59"/>
    <w:rsid w:val="406FB3F2"/>
    <w:rsid w:val="40B459D1"/>
    <w:rsid w:val="40C8864E"/>
    <w:rsid w:val="40DD977E"/>
    <w:rsid w:val="40EE95ED"/>
    <w:rsid w:val="40EEC781"/>
    <w:rsid w:val="4108972C"/>
    <w:rsid w:val="41154EF6"/>
    <w:rsid w:val="41412FC3"/>
    <w:rsid w:val="4157F1F7"/>
    <w:rsid w:val="417D987B"/>
    <w:rsid w:val="417EABC9"/>
    <w:rsid w:val="41A351FF"/>
    <w:rsid w:val="41A50B8D"/>
    <w:rsid w:val="41C9ADDC"/>
    <w:rsid w:val="41D13DB2"/>
    <w:rsid w:val="41D61ED7"/>
    <w:rsid w:val="420F614D"/>
    <w:rsid w:val="4268C5E8"/>
    <w:rsid w:val="42690FEB"/>
    <w:rsid w:val="42937357"/>
    <w:rsid w:val="42978807"/>
    <w:rsid w:val="42DEDBB5"/>
    <w:rsid w:val="42F1410B"/>
    <w:rsid w:val="43213894"/>
    <w:rsid w:val="435207DD"/>
    <w:rsid w:val="435DFB1B"/>
    <w:rsid w:val="437797FC"/>
    <w:rsid w:val="43869EF1"/>
    <w:rsid w:val="438CFD67"/>
    <w:rsid w:val="43C0AAFE"/>
    <w:rsid w:val="43DACACC"/>
    <w:rsid w:val="4408D79C"/>
    <w:rsid w:val="44315473"/>
    <w:rsid w:val="443FE93E"/>
    <w:rsid w:val="446B3491"/>
    <w:rsid w:val="44B613C2"/>
    <w:rsid w:val="44D4B626"/>
    <w:rsid w:val="44D57DD8"/>
    <w:rsid w:val="4524C793"/>
    <w:rsid w:val="45335EDF"/>
    <w:rsid w:val="453C5359"/>
    <w:rsid w:val="453C9950"/>
    <w:rsid w:val="4556E89E"/>
    <w:rsid w:val="4567D33B"/>
    <w:rsid w:val="456860A4"/>
    <w:rsid w:val="45DF6938"/>
    <w:rsid w:val="461385B4"/>
    <w:rsid w:val="4646F07F"/>
    <w:rsid w:val="465B3CEC"/>
    <w:rsid w:val="468E3F80"/>
    <w:rsid w:val="46B0E1A3"/>
    <w:rsid w:val="46D823BA"/>
    <w:rsid w:val="47027E6F"/>
    <w:rsid w:val="47DE7652"/>
    <w:rsid w:val="47EB4AB0"/>
    <w:rsid w:val="47EB91A9"/>
    <w:rsid w:val="47FAA625"/>
    <w:rsid w:val="4804901C"/>
    <w:rsid w:val="48350CCD"/>
    <w:rsid w:val="4863AADE"/>
    <w:rsid w:val="487C6C25"/>
    <w:rsid w:val="48AF14D4"/>
    <w:rsid w:val="48E1EA44"/>
    <w:rsid w:val="4928E472"/>
    <w:rsid w:val="49405F5D"/>
    <w:rsid w:val="4953CFE9"/>
    <w:rsid w:val="49AA06F2"/>
    <w:rsid w:val="49DDDBED"/>
    <w:rsid w:val="49EC0C20"/>
    <w:rsid w:val="4A04BBE9"/>
    <w:rsid w:val="4A11872D"/>
    <w:rsid w:val="4A1C14D0"/>
    <w:rsid w:val="4A247710"/>
    <w:rsid w:val="4A328768"/>
    <w:rsid w:val="4A572C3F"/>
    <w:rsid w:val="4A98D86E"/>
    <w:rsid w:val="4A9A647C"/>
    <w:rsid w:val="4AA78E29"/>
    <w:rsid w:val="4AD06C67"/>
    <w:rsid w:val="4ADBE903"/>
    <w:rsid w:val="4B102C86"/>
    <w:rsid w:val="4B15C3DB"/>
    <w:rsid w:val="4C52F3FE"/>
    <w:rsid w:val="4C98A496"/>
    <w:rsid w:val="4CA8C572"/>
    <w:rsid w:val="4CC349F8"/>
    <w:rsid w:val="4CCB78C7"/>
    <w:rsid w:val="4CD90E86"/>
    <w:rsid w:val="4CF0C024"/>
    <w:rsid w:val="4D098661"/>
    <w:rsid w:val="4D2E82D8"/>
    <w:rsid w:val="4D8FCBCC"/>
    <w:rsid w:val="4DFED6CD"/>
    <w:rsid w:val="4E182436"/>
    <w:rsid w:val="4E4394E5"/>
    <w:rsid w:val="4E595B72"/>
    <w:rsid w:val="4E68FF54"/>
    <w:rsid w:val="4E98E1DB"/>
    <w:rsid w:val="4F034976"/>
    <w:rsid w:val="4F7B1B11"/>
    <w:rsid w:val="4F7E5629"/>
    <w:rsid w:val="4F9446AF"/>
    <w:rsid w:val="501EA194"/>
    <w:rsid w:val="50447251"/>
    <w:rsid w:val="5089624A"/>
    <w:rsid w:val="50BCE2E4"/>
    <w:rsid w:val="50CC6ADE"/>
    <w:rsid w:val="50D43B4B"/>
    <w:rsid w:val="5105FF2E"/>
    <w:rsid w:val="510816B1"/>
    <w:rsid w:val="511F34F1"/>
    <w:rsid w:val="513686E9"/>
    <w:rsid w:val="5140A792"/>
    <w:rsid w:val="517E0FB9"/>
    <w:rsid w:val="51EEF061"/>
    <w:rsid w:val="51EFE443"/>
    <w:rsid w:val="521B1C58"/>
    <w:rsid w:val="524A2BE4"/>
    <w:rsid w:val="525A02AE"/>
    <w:rsid w:val="5273B649"/>
    <w:rsid w:val="527791B3"/>
    <w:rsid w:val="52A408B3"/>
    <w:rsid w:val="52B4E34C"/>
    <w:rsid w:val="52E190E2"/>
    <w:rsid w:val="52ECD54E"/>
    <w:rsid w:val="5303F250"/>
    <w:rsid w:val="53483C76"/>
    <w:rsid w:val="535E337D"/>
    <w:rsid w:val="538901D2"/>
    <w:rsid w:val="53C12741"/>
    <w:rsid w:val="53D19E16"/>
    <w:rsid w:val="542C8A71"/>
    <w:rsid w:val="54540731"/>
    <w:rsid w:val="54B7CF27"/>
    <w:rsid w:val="54BDF307"/>
    <w:rsid w:val="54C1D13C"/>
    <w:rsid w:val="54CF4EA5"/>
    <w:rsid w:val="54D497DF"/>
    <w:rsid w:val="553994BD"/>
    <w:rsid w:val="55A9B9E6"/>
    <w:rsid w:val="55B30298"/>
    <w:rsid w:val="55B55F50"/>
    <w:rsid w:val="55C2A4D3"/>
    <w:rsid w:val="55FC386D"/>
    <w:rsid w:val="563435D6"/>
    <w:rsid w:val="5649CB3C"/>
    <w:rsid w:val="566F9F1D"/>
    <w:rsid w:val="56D33914"/>
    <w:rsid w:val="5708C991"/>
    <w:rsid w:val="57535946"/>
    <w:rsid w:val="575EA9C1"/>
    <w:rsid w:val="57824AA3"/>
    <w:rsid w:val="57AC7672"/>
    <w:rsid w:val="57ADF9E2"/>
    <w:rsid w:val="57D292D4"/>
    <w:rsid w:val="57FAFDCA"/>
    <w:rsid w:val="58006FCD"/>
    <w:rsid w:val="580F0D35"/>
    <w:rsid w:val="580FD1E6"/>
    <w:rsid w:val="5866339F"/>
    <w:rsid w:val="589CB421"/>
    <w:rsid w:val="58FFFB94"/>
    <w:rsid w:val="5907966C"/>
    <w:rsid w:val="596016A9"/>
    <w:rsid w:val="59705D26"/>
    <w:rsid w:val="59D178C8"/>
    <w:rsid w:val="59D3C7F3"/>
    <w:rsid w:val="5A27EB61"/>
    <w:rsid w:val="5AAA1AC5"/>
    <w:rsid w:val="5ABA8795"/>
    <w:rsid w:val="5AD21934"/>
    <w:rsid w:val="5AEBA872"/>
    <w:rsid w:val="5AEF1C7A"/>
    <w:rsid w:val="5B132B40"/>
    <w:rsid w:val="5B28954A"/>
    <w:rsid w:val="5B5DC749"/>
    <w:rsid w:val="5B7B452C"/>
    <w:rsid w:val="5B9845FD"/>
    <w:rsid w:val="5BAF0BA0"/>
    <w:rsid w:val="5BD64B44"/>
    <w:rsid w:val="5BD96619"/>
    <w:rsid w:val="5BDE943B"/>
    <w:rsid w:val="5C0A1BCD"/>
    <w:rsid w:val="5C0D12E8"/>
    <w:rsid w:val="5C202AA0"/>
    <w:rsid w:val="5C222DCC"/>
    <w:rsid w:val="5C9714C2"/>
    <w:rsid w:val="5CBA5963"/>
    <w:rsid w:val="5CCCE19A"/>
    <w:rsid w:val="5CD8F744"/>
    <w:rsid w:val="5CED84AA"/>
    <w:rsid w:val="5D26AB60"/>
    <w:rsid w:val="5D3D21B2"/>
    <w:rsid w:val="5D6F2CE3"/>
    <w:rsid w:val="5D8B39C3"/>
    <w:rsid w:val="5DAE667F"/>
    <w:rsid w:val="5DF17177"/>
    <w:rsid w:val="5E13BA51"/>
    <w:rsid w:val="5E4E9E19"/>
    <w:rsid w:val="5E57E44F"/>
    <w:rsid w:val="5E75B1FF"/>
    <w:rsid w:val="5E971A29"/>
    <w:rsid w:val="5EA62604"/>
    <w:rsid w:val="5EBBFF39"/>
    <w:rsid w:val="5EC15983"/>
    <w:rsid w:val="5F09855D"/>
    <w:rsid w:val="5F0C20EA"/>
    <w:rsid w:val="5F156149"/>
    <w:rsid w:val="5F1DCEA5"/>
    <w:rsid w:val="5F226E72"/>
    <w:rsid w:val="5F26F6FC"/>
    <w:rsid w:val="5F332950"/>
    <w:rsid w:val="5F364A72"/>
    <w:rsid w:val="5F36B4E3"/>
    <w:rsid w:val="5F54315D"/>
    <w:rsid w:val="5FBA166E"/>
    <w:rsid w:val="5FFE6816"/>
    <w:rsid w:val="608C7F07"/>
    <w:rsid w:val="60D4069A"/>
    <w:rsid w:val="6110B129"/>
    <w:rsid w:val="61CFD8E5"/>
    <w:rsid w:val="61DB6B5E"/>
    <w:rsid w:val="627FC573"/>
    <w:rsid w:val="62916B33"/>
    <w:rsid w:val="6293405D"/>
    <w:rsid w:val="62AE82E4"/>
    <w:rsid w:val="62FCCF7C"/>
    <w:rsid w:val="636603FF"/>
    <w:rsid w:val="63958243"/>
    <w:rsid w:val="64013FFE"/>
    <w:rsid w:val="6404C02B"/>
    <w:rsid w:val="642A7AC7"/>
    <w:rsid w:val="64596E35"/>
    <w:rsid w:val="645D115E"/>
    <w:rsid w:val="64AA4A52"/>
    <w:rsid w:val="64CC604E"/>
    <w:rsid w:val="64DBD7B1"/>
    <w:rsid w:val="64E0795E"/>
    <w:rsid w:val="66040781"/>
    <w:rsid w:val="665CB375"/>
    <w:rsid w:val="66986ACE"/>
    <w:rsid w:val="672C50D3"/>
    <w:rsid w:val="67406618"/>
    <w:rsid w:val="67439D8D"/>
    <w:rsid w:val="6748FD88"/>
    <w:rsid w:val="67E1CE61"/>
    <w:rsid w:val="67F0A424"/>
    <w:rsid w:val="6818DC39"/>
    <w:rsid w:val="682B14AF"/>
    <w:rsid w:val="683FCADD"/>
    <w:rsid w:val="68ADFDD7"/>
    <w:rsid w:val="68B0FE01"/>
    <w:rsid w:val="68C91489"/>
    <w:rsid w:val="68DF6DEE"/>
    <w:rsid w:val="690FB2B2"/>
    <w:rsid w:val="69151948"/>
    <w:rsid w:val="6959C8C4"/>
    <w:rsid w:val="6970EA89"/>
    <w:rsid w:val="698C7485"/>
    <w:rsid w:val="69C8BFE2"/>
    <w:rsid w:val="6A1E25B8"/>
    <w:rsid w:val="6A1E4D35"/>
    <w:rsid w:val="6A70C3EB"/>
    <w:rsid w:val="6A98C762"/>
    <w:rsid w:val="6A9AD110"/>
    <w:rsid w:val="6AC54C9A"/>
    <w:rsid w:val="6ACE47DC"/>
    <w:rsid w:val="6AFE3D2E"/>
    <w:rsid w:val="6B038FEB"/>
    <w:rsid w:val="6B1E48C7"/>
    <w:rsid w:val="6B5722B6"/>
    <w:rsid w:val="6BC5FDFC"/>
    <w:rsid w:val="6C4BD4AB"/>
    <w:rsid w:val="6C508F1C"/>
    <w:rsid w:val="6C9624CE"/>
    <w:rsid w:val="6CCAFDF0"/>
    <w:rsid w:val="6CED0F27"/>
    <w:rsid w:val="6CF0A1BA"/>
    <w:rsid w:val="6D2D8A1C"/>
    <w:rsid w:val="6D681521"/>
    <w:rsid w:val="6D822761"/>
    <w:rsid w:val="6D871DFA"/>
    <w:rsid w:val="6DC57D49"/>
    <w:rsid w:val="6DD0CFA3"/>
    <w:rsid w:val="6E054C82"/>
    <w:rsid w:val="6E24597D"/>
    <w:rsid w:val="6E42AF5D"/>
    <w:rsid w:val="6E48AE5D"/>
    <w:rsid w:val="6E5FD276"/>
    <w:rsid w:val="6E9AF377"/>
    <w:rsid w:val="6F7B2585"/>
    <w:rsid w:val="6FCC6F36"/>
    <w:rsid w:val="70A178D6"/>
    <w:rsid w:val="70B17892"/>
    <w:rsid w:val="70DA9F9D"/>
    <w:rsid w:val="710325FD"/>
    <w:rsid w:val="711EEC24"/>
    <w:rsid w:val="7124A62F"/>
    <w:rsid w:val="7127002F"/>
    <w:rsid w:val="71AEA56B"/>
    <w:rsid w:val="71BEBE9B"/>
    <w:rsid w:val="71C743ED"/>
    <w:rsid w:val="71DEFEE4"/>
    <w:rsid w:val="71F677FE"/>
    <w:rsid w:val="7214C8B2"/>
    <w:rsid w:val="7240C826"/>
    <w:rsid w:val="72ADE3D1"/>
    <w:rsid w:val="72C45EDF"/>
    <w:rsid w:val="72EFC0A2"/>
    <w:rsid w:val="7372BAD1"/>
    <w:rsid w:val="73ADCECE"/>
    <w:rsid w:val="73EED7F1"/>
    <w:rsid w:val="73F88F70"/>
    <w:rsid w:val="74300C8C"/>
    <w:rsid w:val="743E8FD8"/>
    <w:rsid w:val="74464959"/>
    <w:rsid w:val="745EA0F1"/>
    <w:rsid w:val="748B07C0"/>
    <w:rsid w:val="74C92B7E"/>
    <w:rsid w:val="751A443E"/>
    <w:rsid w:val="752F06EB"/>
    <w:rsid w:val="754F63F4"/>
    <w:rsid w:val="7552CFFC"/>
    <w:rsid w:val="75C70F49"/>
    <w:rsid w:val="76084716"/>
    <w:rsid w:val="760D1B49"/>
    <w:rsid w:val="7636E76A"/>
    <w:rsid w:val="763A3C34"/>
    <w:rsid w:val="76B2FDF7"/>
    <w:rsid w:val="76C478AD"/>
    <w:rsid w:val="76E9A01F"/>
    <w:rsid w:val="76FDBC36"/>
    <w:rsid w:val="770727B6"/>
    <w:rsid w:val="77080F3A"/>
    <w:rsid w:val="77191A99"/>
    <w:rsid w:val="776192F6"/>
    <w:rsid w:val="777CF6DC"/>
    <w:rsid w:val="77B4D96C"/>
    <w:rsid w:val="788C423C"/>
    <w:rsid w:val="7899518E"/>
    <w:rsid w:val="78DB8531"/>
    <w:rsid w:val="79082C8C"/>
    <w:rsid w:val="7935F551"/>
    <w:rsid w:val="795317ED"/>
    <w:rsid w:val="798887BF"/>
    <w:rsid w:val="79EF802F"/>
    <w:rsid w:val="79FC28BA"/>
    <w:rsid w:val="7A030346"/>
    <w:rsid w:val="7A8162BD"/>
    <w:rsid w:val="7A994F9F"/>
    <w:rsid w:val="7AD297BB"/>
    <w:rsid w:val="7AD5B780"/>
    <w:rsid w:val="7AE8E2AC"/>
    <w:rsid w:val="7BAE7947"/>
    <w:rsid w:val="7BEB194C"/>
    <w:rsid w:val="7BF9601F"/>
    <w:rsid w:val="7C73DD92"/>
    <w:rsid w:val="7C814DB8"/>
    <w:rsid w:val="7CA9701A"/>
    <w:rsid w:val="7CDF7438"/>
    <w:rsid w:val="7CF4505F"/>
    <w:rsid w:val="7CFD86DE"/>
    <w:rsid w:val="7D378447"/>
    <w:rsid w:val="7D5A75D9"/>
    <w:rsid w:val="7D921477"/>
    <w:rsid w:val="7D971FA1"/>
    <w:rsid w:val="7DBD0BF0"/>
    <w:rsid w:val="7DF509AD"/>
    <w:rsid w:val="7E047BE1"/>
    <w:rsid w:val="7E12C097"/>
    <w:rsid w:val="7E246EBC"/>
    <w:rsid w:val="7E978FB9"/>
    <w:rsid w:val="7EA6A534"/>
    <w:rsid w:val="7EF004B5"/>
    <w:rsid w:val="7F1EDFCA"/>
    <w:rsid w:val="7F6250F6"/>
    <w:rsid w:val="7F6CC0C2"/>
    <w:rsid w:val="7F7CF674"/>
    <w:rsid w:val="7F8ADE67"/>
    <w:rsid w:val="7FA1D2F0"/>
    <w:rsid w:val="7FD2A884"/>
    <w:rsid w:val="7FE3D7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307E5A"/>
  <w15:chartTrackingRefBased/>
  <w15:docId w15:val="{521DE30F-CEDA-4717-A315-A25824EB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D27BC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paragraph">
    <w:name w:val="paragraph"/>
    <w:basedOn w:val="Normal"/>
    <w:rsid w:val="00007172"/>
    <w:pPr>
      <w:overflowPunct/>
      <w:autoSpaceDE/>
      <w:autoSpaceDN/>
      <w:adjustRightInd/>
      <w:spacing w:before="100" w:beforeAutospacing="1" w:after="100" w:afterAutospacing="1"/>
      <w:textAlignment w:val="auto"/>
    </w:pPr>
    <w:rPr>
      <w:sz w:val="24"/>
      <w:szCs w:val="24"/>
    </w:rPr>
  </w:style>
  <w:style w:type="character" w:customStyle="1" w:styleId="spellingerror">
    <w:name w:val="spellingerror"/>
    <w:basedOn w:val="DefaultParagraphFont"/>
    <w:rsid w:val="00007172"/>
  </w:style>
  <w:style w:type="character" w:customStyle="1" w:styleId="normaltextrun">
    <w:name w:val="normaltextrun"/>
    <w:basedOn w:val="DefaultParagraphFont"/>
    <w:rsid w:val="00007172"/>
  </w:style>
  <w:style w:type="character" w:customStyle="1" w:styleId="eop">
    <w:name w:val="eop"/>
    <w:basedOn w:val="DefaultParagraphFont"/>
    <w:rsid w:val="00007172"/>
  </w:style>
  <w:style w:type="character" w:styleId="CommentReference">
    <w:name w:val="annotation reference"/>
    <w:uiPriority w:val="99"/>
    <w:semiHidden/>
    <w:unhideWhenUsed/>
    <w:rsid w:val="00007172"/>
    <w:rPr>
      <w:sz w:val="16"/>
      <w:szCs w:val="16"/>
    </w:rPr>
  </w:style>
  <w:style w:type="paragraph" w:styleId="CommentText">
    <w:name w:val="annotation text"/>
    <w:basedOn w:val="Normal"/>
    <w:link w:val="CommentTextChar"/>
    <w:uiPriority w:val="99"/>
    <w:unhideWhenUsed/>
    <w:rsid w:val="00007172"/>
  </w:style>
  <w:style w:type="character" w:customStyle="1" w:styleId="CommentTextChar">
    <w:name w:val="Comment Text Char"/>
    <w:basedOn w:val="DefaultParagraphFont"/>
    <w:link w:val="CommentText"/>
    <w:uiPriority w:val="99"/>
    <w:rsid w:val="00007172"/>
  </w:style>
  <w:style w:type="paragraph" w:styleId="CommentSubject">
    <w:name w:val="annotation subject"/>
    <w:basedOn w:val="CommentText"/>
    <w:next w:val="CommentText"/>
    <w:link w:val="CommentSubjectChar"/>
    <w:uiPriority w:val="99"/>
    <w:semiHidden/>
    <w:unhideWhenUsed/>
    <w:rsid w:val="00007172"/>
    <w:rPr>
      <w:b/>
      <w:bCs/>
    </w:rPr>
  </w:style>
  <w:style w:type="character" w:customStyle="1" w:styleId="CommentSubjectChar">
    <w:name w:val="Comment Subject Char"/>
    <w:link w:val="CommentSubject"/>
    <w:uiPriority w:val="99"/>
    <w:semiHidden/>
    <w:rsid w:val="00007172"/>
    <w:rPr>
      <w:b/>
      <w:bCs/>
    </w:rPr>
  </w:style>
  <w:style w:type="paragraph" w:styleId="BodyText">
    <w:name w:val="Body Text"/>
    <w:basedOn w:val="Normal"/>
    <w:link w:val="BodyTextChar"/>
    <w:uiPriority w:val="99"/>
    <w:unhideWhenUsed/>
    <w:rsid w:val="00E46A2B"/>
    <w:pPr>
      <w:overflowPunct/>
      <w:autoSpaceDE/>
      <w:autoSpaceDN/>
      <w:adjustRightInd/>
      <w:spacing w:after="120" w:line="276" w:lineRule="auto"/>
      <w:textAlignment w:val="auto"/>
    </w:pPr>
    <w:rPr>
      <w:rFonts w:ascii="Calibri" w:hAnsi="Calibri"/>
      <w:sz w:val="22"/>
      <w:szCs w:val="22"/>
    </w:rPr>
  </w:style>
  <w:style w:type="character" w:customStyle="1" w:styleId="BodyTextChar">
    <w:name w:val="Body Text Char"/>
    <w:link w:val="BodyText"/>
    <w:uiPriority w:val="99"/>
    <w:rsid w:val="00E46A2B"/>
    <w:rPr>
      <w:rFonts w:ascii="Calibri" w:hAnsi="Calibri"/>
      <w:sz w:val="22"/>
      <w:szCs w:val="22"/>
    </w:rPr>
  </w:style>
  <w:style w:type="character" w:customStyle="1" w:styleId="FooterChar">
    <w:name w:val="Footer Char"/>
    <w:basedOn w:val="DefaultParagraphFont"/>
    <w:link w:val="Footer"/>
    <w:uiPriority w:val="99"/>
    <w:rsid w:val="0025174E"/>
  </w:style>
  <w:style w:type="paragraph" w:styleId="ListParagraph">
    <w:name w:val="List Paragraph"/>
    <w:basedOn w:val="Normal"/>
    <w:uiPriority w:val="34"/>
    <w:qFormat/>
    <w:rsid w:val="00411D1B"/>
    <w:pPr>
      <w:overflowPunct/>
      <w:autoSpaceDE/>
      <w:autoSpaceDN/>
      <w:adjustRightInd/>
      <w:spacing w:after="200" w:line="276" w:lineRule="auto"/>
      <w:ind w:left="720"/>
      <w:contextualSpacing/>
      <w:textAlignment w:val="auto"/>
    </w:pPr>
    <w:rPr>
      <w:rFonts w:ascii="Calibri" w:hAnsi="Calibri"/>
      <w:sz w:val="22"/>
      <w:szCs w:val="22"/>
    </w:rPr>
  </w:style>
  <w:style w:type="paragraph" w:styleId="NoSpacing">
    <w:name w:val="No Spacing"/>
    <w:uiPriority w:val="1"/>
    <w:qFormat/>
    <w:rsid w:val="00FD5B67"/>
    <w:pPr>
      <w:overflowPunct w:val="0"/>
      <w:autoSpaceDE w:val="0"/>
      <w:autoSpaceDN w:val="0"/>
      <w:adjustRightInd w:val="0"/>
      <w:textAlignment w:val="baseline"/>
    </w:pPr>
  </w:style>
  <w:style w:type="character" w:styleId="Hyperlink">
    <w:name w:val="Hyperlink"/>
    <w:uiPriority w:val="99"/>
    <w:unhideWhenUsed/>
    <w:rsid w:val="00006CB8"/>
    <w:rPr>
      <w:color w:val="0563C1"/>
      <w:u w:val="single"/>
    </w:rPr>
  </w:style>
  <w:style w:type="character" w:styleId="UnresolvedMention">
    <w:name w:val="Unresolved Mention"/>
    <w:uiPriority w:val="99"/>
    <w:semiHidden/>
    <w:unhideWhenUsed/>
    <w:rsid w:val="00006CB8"/>
    <w:rPr>
      <w:color w:val="605E5C"/>
      <w:shd w:val="clear" w:color="auto" w:fill="E1DFDD"/>
    </w:rPr>
  </w:style>
  <w:style w:type="paragraph" w:styleId="Revision">
    <w:name w:val="Revision"/>
    <w:hidden/>
    <w:uiPriority w:val="99"/>
    <w:semiHidden/>
    <w:rsid w:val="00A63665"/>
  </w:style>
  <w:style w:type="character" w:customStyle="1" w:styleId="Heading1Char">
    <w:name w:val="Heading 1 Char"/>
    <w:basedOn w:val="DefaultParagraphFont"/>
    <w:link w:val="Heading1"/>
    <w:uiPriority w:val="9"/>
    <w:rsid w:val="00D27B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B936115B44E4EBE9110561C240801" ma:contentTypeVersion="16" ma:contentTypeDescription="Create a new document." ma:contentTypeScope="" ma:versionID="b1d7d680d967bad41ddd6c495eb8bb4d">
  <xsd:schema xmlns:xsd="http://www.w3.org/2001/XMLSchema" xmlns:xs="http://www.w3.org/2001/XMLSchema" xmlns:p="http://schemas.microsoft.com/office/2006/metadata/properties" xmlns:ns2="889cec9d-f49a-45ec-8448-fb6282d3c0b0" xmlns:ns3="bb82bc55-7145-4434-b4f4-dffe89b867da" targetNamespace="http://schemas.microsoft.com/office/2006/metadata/properties" ma:root="true" ma:fieldsID="b577c06c11e78d536ac8615e91ffb559" ns2:_="" ns3:_="">
    <xsd:import namespace="889cec9d-f49a-45ec-8448-fb6282d3c0b0"/>
    <xsd:import namespace="bb82bc55-7145-4434-b4f4-dffe89b867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Overview" minOccurs="0"/>
                <xsd:element ref="ns2:Labe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cec9d-f49a-45ec-8448-fb6282d3c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Overview" ma:index="18" nillable="true" ma:displayName="Overview" ma:description="Brief overview of folder contents." ma:format="Dropdown" ma:internalName="Overview">
      <xsd:simpleType>
        <xsd:restriction base="dms:Note">
          <xsd:maxLength value="255"/>
        </xsd:restriction>
      </xsd:simpleType>
    </xsd:element>
    <xsd:element name="Labels" ma:index="19" nillable="true" ma:displayName="Labels" ma:description="For quickly tagging files for later searching and filtering." ma:format="Dropdown" ma:internalName="Labels">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enumeration value="Choice 4"/>
                        <xsd:enumeration value="Choice 5"/>
                        <xsd:enumeration value="Choice 6"/>
                        <xsd:enumeration value="Choice 7"/>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bc55-7145-4434-b4f4-dffe89b867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97ae26-27e4-4df9-b92f-6d9106974c9b}" ma:internalName="TaxCatchAll" ma:showField="CatchAllData" ma:web="bb82bc55-7145-4434-b4f4-dffe89b86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verview xmlns="889cec9d-f49a-45ec-8448-fb6282d3c0b0" xsi:nil="true"/>
    <Labels xmlns="889cec9d-f49a-45ec-8448-fb6282d3c0b0" xsi:nil="true"/>
    <lcf76f155ced4ddcb4097134ff3c332f xmlns="889cec9d-f49a-45ec-8448-fb6282d3c0b0">
      <Terms xmlns="http://schemas.microsoft.com/office/infopath/2007/PartnerControls"/>
    </lcf76f155ced4ddcb4097134ff3c332f>
    <TaxCatchAll xmlns="bb82bc55-7145-4434-b4f4-dffe89b86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BA30E742-8BB6-442B-9081-E4128E2F5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cec9d-f49a-45ec-8448-fb6282d3c0b0"/>
    <ds:schemaRef ds:uri="bb82bc55-7145-4434-b4f4-dffe89b86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5D971-9B16-4182-A520-730C59B700D6}">
  <ds:schemaRefs>
    <ds:schemaRef ds:uri="http://schemas.microsoft.com/office/2006/metadata/properties"/>
    <ds:schemaRef ds:uri="http://schemas.microsoft.com/office/infopath/2007/PartnerControls"/>
    <ds:schemaRef ds:uri="889cec9d-f49a-45ec-8448-fb6282d3c0b0"/>
    <ds:schemaRef ds:uri="bb82bc55-7145-4434-b4f4-dffe89b867da"/>
  </ds:schemaRefs>
</ds:datastoreItem>
</file>

<file path=customXml/itemProps4.xml><?xml version="1.0" encoding="utf-8"?>
<ds:datastoreItem xmlns:ds="http://schemas.openxmlformats.org/officeDocument/2006/customXml" ds:itemID="{A335576D-A208-4017-823F-E55E4B37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3454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HUDWARE II</dc:creator>
  <cp:lastModifiedBy>Guido, Anna P</cp:lastModifiedBy>
  <cp:revision>2</cp:revision>
  <cp:lastPrinted>2024-06-06T17:34:00Z</cp:lastPrinted>
  <dcterms:created xsi:type="dcterms:W3CDTF">2024-07-03T14:22:00Z</dcterms:created>
  <dcterms:modified xsi:type="dcterms:W3CDTF">2024-07-03T14:22:00Z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0x0101003F7B936115B44E4EBE9110561C240801</vt:lpwstr>
  </property>
  <property fmtid="{D5CDD505-2E9C-101B-9397-08002B2CF9AE}" pid="3" name="MediaServiceImageTags">
    <vt:lpwstr/>
  </property>
  <property fmtid="{D5CDD505-2E9C-101B-9397-08002B2CF9AE}" pid="4" name="_ip_UnifiedCompliancePolicyProperties">
    <vt:lpwstr/>
  </property>
  <property fmtid="{D5CDD505-2E9C-101B-9397-08002B2CF9AE}" pid="5" name="_ip_UnifiedCompliancePolicyUIAction">
    <vt:lpwstr/>
  </property>
  <property fmtid="{D5CDD505-2E9C-101B-9397-08002B2CF9AE}" pid="6" name="_NewReviewCycle">
    <vt:lpwstr/>
  </property>
</Properties>
</file>