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7C45" w:rsidRPr="00D3497A" w:rsidP="000B0F4E" w14:paraId="2917B477" w14:textId="1271E2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p>
    <w:p w:rsidR="009444C1" w:rsidRPr="00D3497A" w:rsidP="009444C1" w14:paraId="3723A9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r w:rsidRPr="00D3497A">
        <w:rPr>
          <w:b/>
          <w:szCs w:val="24"/>
          <w:u w:val="single"/>
        </w:rPr>
        <w:t>SUPPORTING STATEMENT</w:t>
      </w:r>
    </w:p>
    <w:p w:rsidR="009444C1" w:rsidRPr="00D3497A" w:rsidP="009444C1" w14:paraId="6E1FC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r w:rsidRPr="00D3497A">
        <w:rPr>
          <w:b/>
          <w:szCs w:val="24"/>
          <w:u w:val="single"/>
        </w:rPr>
        <w:t>OMB Control No. 1505-0164</w:t>
      </w:r>
    </w:p>
    <w:p w:rsidR="009444C1" w:rsidRPr="00D3497A" w:rsidP="009444C1" w14:paraId="5316C1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r w:rsidRPr="00D3497A">
        <w:rPr>
          <w:b/>
          <w:szCs w:val="24"/>
          <w:u w:val="single"/>
        </w:rPr>
        <w:t>Reporting, Procedures and Penalties Regulations</w:t>
      </w:r>
    </w:p>
    <w:p w:rsidR="009444C1" w:rsidRPr="00D3497A" w:rsidP="009444C1" w14:paraId="2B1B9F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9444C1" w:rsidRPr="00D3497A" w:rsidP="009444C1" w14:paraId="5DCCA1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0E5AC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3497A">
        <w:rPr>
          <w:szCs w:val="24"/>
        </w:rPr>
        <w:t xml:space="preserve">A. </w:t>
      </w:r>
      <w:r w:rsidRPr="00D3497A">
        <w:rPr>
          <w:szCs w:val="24"/>
        </w:rPr>
        <w:tab/>
        <w:t>JUSTIFICATION</w:t>
      </w:r>
    </w:p>
    <w:p w:rsidR="009444C1" w:rsidRPr="00D3497A" w:rsidP="009444C1" w14:paraId="4A857A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7DC0FAAB" w14:textId="36628C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rsidRPr="00D3497A">
        <w:rPr>
          <w:szCs w:val="24"/>
        </w:rPr>
        <w:t>1</w:t>
      </w:r>
      <w:r w:rsidRPr="002B0F98">
        <w:rPr>
          <w:szCs w:val="24"/>
        </w:rPr>
        <w:t xml:space="preserve">. </w:t>
      </w:r>
      <w:r w:rsidRPr="002B0F98">
        <w:rPr>
          <w:szCs w:val="24"/>
          <w:u w:val="single"/>
        </w:rPr>
        <w:t>Circumstances</w:t>
      </w:r>
      <w:r w:rsidRPr="00D3497A">
        <w:rPr>
          <w:szCs w:val="24"/>
          <w:u w:val="single"/>
        </w:rPr>
        <w:t xml:space="preserve"> Making the Collection of Information Necessary</w:t>
      </w:r>
      <w:r w:rsidRPr="00090093">
        <w:rPr>
          <w:szCs w:val="24"/>
        </w:rPr>
        <w:t>.</w:t>
      </w:r>
    </w:p>
    <w:p w:rsidR="009444C1" w:rsidRPr="00D3497A" w:rsidP="009444C1" w14:paraId="6F5D63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6CC16573" w14:textId="1E9E188F">
      <w:pPr>
        <w:rPr>
          <w:szCs w:val="24"/>
        </w:rPr>
      </w:pPr>
      <w:r w:rsidRPr="00D3497A">
        <w:rPr>
          <w:szCs w:val="24"/>
        </w:rPr>
        <w:tab/>
        <w:t xml:space="preserve">This </w:t>
      </w:r>
      <w:r w:rsidR="007439BE">
        <w:rPr>
          <w:szCs w:val="24"/>
        </w:rPr>
        <w:t xml:space="preserve">information collection </w:t>
      </w:r>
      <w:r w:rsidR="008229F3">
        <w:rPr>
          <w:szCs w:val="24"/>
        </w:rPr>
        <w:t xml:space="preserve">request </w:t>
      </w:r>
      <w:r w:rsidRPr="00D3497A">
        <w:rPr>
          <w:szCs w:val="24"/>
        </w:rPr>
        <w:t xml:space="preserve">is submitted </w:t>
      </w:r>
      <w:r w:rsidR="008229F3">
        <w:rPr>
          <w:szCs w:val="24"/>
        </w:rPr>
        <w:t xml:space="preserve">pursuant to revisions </w:t>
      </w:r>
      <w:r w:rsidRPr="00D3497A" w:rsidR="00485B35">
        <w:rPr>
          <w:szCs w:val="24"/>
        </w:rPr>
        <w:t>of</w:t>
      </w:r>
      <w:r w:rsidRPr="00D3497A">
        <w:rPr>
          <w:szCs w:val="24"/>
        </w:rPr>
        <w:t xml:space="preserve"> the information collection authority </w:t>
      </w:r>
      <w:r w:rsidR="008229F3">
        <w:rPr>
          <w:szCs w:val="24"/>
        </w:rPr>
        <w:t xml:space="preserve">in </w:t>
      </w:r>
      <w:r w:rsidRPr="00D3497A">
        <w:rPr>
          <w:szCs w:val="24"/>
        </w:rPr>
        <w:t>the Office of Foreign Assets Control’s (OFAC) Reporting, Procedures and Penalties Regulations (31 CFR part 501) (the Regulations)</w:t>
      </w:r>
      <w:r w:rsidRPr="00D3497A" w:rsidR="009369F5">
        <w:rPr>
          <w:szCs w:val="24"/>
        </w:rPr>
        <w:t xml:space="preserve">, and certain </w:t>
      </w:r>
      <w:r w:rsidR="00930FAF">
        <w:rPr>
          <w:szCs w:val="24"/>
        </w:rPr>
        <w:t xml:space="preserve">other </w:t>
      </w:r>
      <w:r w:rsidRPr="00D3497A" w:rsidR="009369F5">
        <w:rPr>
          <w:szCs w:val="24"/>
        </w:rPr>
        <w:t>parts</w:t>
      </w:r>
      <w:r w:rsidR="00930FAF">
        <w:rPr>
          <w:szCs w:val="24"/>
        </w:rPr>
        <w:t xml:space="preserve"> </w:t>
      </w:r>
      <w:r w:rsidRPr="000206E7" w:rsidR="00930FAF">
        <w:rPr>
          <w:szCs w:val="24"/>
        </w:rPr>
        <w:t>of 31 CFR chapter V</w:t>
      </w:r>
      <w:r w:rsidRPr="00D3497A">
        <w:rPr>
          <w:szCs w:val="24"/>
        </w:rPr>
        <w:t>.</w:t>
      </w:r>
    </w:p>
    <w:p w:rsidR="009444C1" w:rsidRPr="00D3497A" w:rsidP="009444C1" w14:paraId="525DDA66" w14:textId="77777777">
      <w:pPr>
        <w:rPr>
          <w:szCs w:val="24"/>
        </w:rPr>
      </w:pPr>
    </w:p>
    <w:p w:rsidR="009444C1" w:rsidRPr="000206E7" w:rsidP="009444C1" w14:paraId="75904B00" w14:textId="7615FBE2">
      <w:pPr>
        <w:ind w:firstLine="720"/>
        <w:rPr>
          <w:szCs w:val="24"/>
        </w:rPr>
      </w:pPr>
      <w:r w:rsidRPr="00D3497A">
        <w:rPr>
          <w:szCs w:val="24"/>
        </w:rPr>
        <w:t xml:space="preserve">The Regulations are implemented pursuant to the Trading With the Enemy Act (50 U.S.C. </w:t>
      </w:r>
      <w:r w:rsidRPr="00D3497A" w:rsidR="00D36146">
        <w:rPr>
          <w:szCs w:val="24"/>
        </w:rPr>
        <w:t>§ 4301</w:t>
      </w:r>
      <w:r w:rsidRPr="00D3497A">
        <w:rPr>
          <w:szCs w:val="24"/>
        </w:rPr>
        <w:t>), the International Emergency Economic Powers Act (50 U.S.C. 1701</w:t>
      </w:r>
      <w:r w:rsidRPr="00D3497A" w:rsidR="004E0C05">
        <w:rPr>
          <w:szCs w:val="24"/>
        </w:rPr>
        <w:t>–</w:t>
      </w:r>
      <w:r w:rsidRPr="00D3497A">
        <w:rPr>
          <w:szCs w:val="24"/>
        </w:rPr>
        <w:t>1706), the United Nations Participation Act of 1945 (22 U.S.C. 287c), and other laws.</w:t>
      </w:r>
      <w:r w:rsidRPr="000206E7">
        <w:rPr>
          <w:szCs w:val="24"/>
        </w:rPr>
        <w:t xml:space="preserve">  </w:t>
      </w:r>
      <w:r w:rsidRPr="00D3497A">
        <w:rPr>
          <w:szCs w:val="24"/>
        </w:rPr>
        <w:t>The collections of information relevant to</w:t>
      </w:r>
      <w:r w:rsidRPr="00757DD3">
        <w:rPr>
          <w:szCs w:val="24"/>
        </w:rPr>
        <w:t xml:space="preserve"> this request are contained in §§ 501.601 through 501.605, 501.801, and 501.</w:t>
      </w:r>
      <w:r w:rsidRPr="005C779E" w:rsidR="009C442D">
        <w:rPr>
          <w:szCs w:val="24"/>
        </w:rPr>
        <w:t>80</w:t>
      </w:r>
      <w:r w:rsidR="009C442D">
        <w:rPr>
          <w:szCs w:val="24"/>
        </w:rPr>
        <w:t>4</w:t>
      </w:r>
      <w:r w:rsidR="00B1125E">
        <w:rPr>
          <w:szCs w:val="24"/>
        </w:rPr>
        <w:t xml:space="preserve"> </w:t>
      </w:r>
      <w:r w:rsidRPr="005C779E">
        <w:rPr>
          <w:szCs w:val="24"/>
        </w:rPr>
        <w:t>through 501.807,</w:t>
      </w:r>
      <w:r w:rsidRPr="00CF4CF1" w:rsidR="00485B35">
        <w:rPr>
          <w:szCs w:val="24"/>
        </w:rPr>
        <w:t xml:space="preserve"> and </w:t>
      </w:r>
      <w:r w:rsidRPr="00CF4CF1" w:rsidR="0018350C">
        <w:rPr>
          <w:szCs w:val="24"/>
        </w:rPr>
        <w:t>certain other parts</w:t>
      </w:r>
      <w:r w:rsidRPr="000206E7" w:rsidR="007C0058">
        <w:rPr>
          <w:szCs w:val="24"/>
        </w:rPr>
        <w:t xml:space="preserve"> of 31 CFR chapter V</w:t>
      </w:r>
      <w:r w:rsidRPr="000206E7" w:rsidR="0018350C">
        <w:rPr>
          <w:szCs w:val="24"/>
        </w:rPr>
        <w:t>,</w:t>
      </w:r>
      <w:r w:rsidRPr="000206E7" w:rsidR="00485B35">
        <w:rPr>
          <w:szCs w:val="24"/>
        </w:rPr>
        <w:t xml:space="preserve"> </w:t>
      </w:r>
      <w:r w:rsidRPr="000206E7">
        <w:rPr>
          <w:szCs w:val="24"/>
        </w:rPr>
        <w:t>and pertain to the operation of various economic sanctions programs administered by OFAC under 31 CFR chapter</w:t>
      </w:r>
      <w:r w:rsidRPr="000206E7" w:rsidR="007C0058">
        <w:rPr>
          <w:szCs w:val="24"/>
        </w:rPr>
        <w:t> </w:t>
      </w:r>
      <w:r w:rsidRPr="000206E7">
        <w:rPr>
          <w:szCs w:val="24"/>
        </w:rPr>
        <w:t>V.</w:t>
      </w:r>
    </w:p>
    <w:p w:rsidR="009444C1" w:rsidRPr="000206E7" w:rsidP="009444C1" w14:paraId="3B9A37EF" w14:textId="77777777">
      <w:pPr>
        <w:rPr>
          <w:szCs w:val="24"/>
        </w:rPr>
      </w:pPr>
    </w:p>
    <w:p w:rsidR="009444C1" w:rsidRPr="00D3497A" w:rsidP="009444C1" w14:paraId="2660AC42" w14:textId="77777777">
      <w:pPr>
        <w:rPr>
          <w:szCs w:val="24"/>
          <w:u w:val="single"/>
        </w:rPr>
      </w:pPr>
      <w:r w:rsidRPr="000206E7">
        <w:rPr>
          <w:szCs w:val="24"/>
          <w:u w:val="single"/>
        </w:rPr>
        <w:t>Background on Regulatory Provisions</w:t>
      </w:r>
    </w:p>
    <w:p w:rsidR="009444C1" w:rsidRPr="00757DD3" w:rsidP="009444C1" w14:paraId="65BD310C" w14:textId="77777777">
      <w:pPr>
        <w:rPr>
          <w:szCs w:val="24"/>
        </w:rPr>
      </w:pPr>
    </w:p>
    <w:p w:rsidR="008229F3" w:rsidP="008229F3" w14:paraId="57CC8DA5" w14:textId="2D3B1B27">
      <w:pPr>
        <w:rPr>
          <w:szCs w:val="24"/>
        </w:rPr>
      </w:pPr>
      <w:r w:rsidRPr="005C779E">
        <w:rPr>
          <w:szCs w:val="24"/>
        </w:rPr>
        <w:t xml:space="preserve">Section 501.601 addresses the maintenance of records and § 501.602 relates to OFAC demands for information </w:t>
      </w:r>
      <w:r w:rsidRPr="00CF4CF1" w:rsidR="001022C2">
        <w:rPr>
          <w:szCs w:val="24"/>
        </w:rPr>
        <w:t xml:space="preserve">relating </w:t>
      </w:r>
      <w:r w:rsidRPr="00CF4CF1">
        <w:rPr>
          <w:szCs w:val="24"/>
        </w:rPr>
        <w:t xml:space="preserve">to any transaction or property subject to the provisions of 31 CFR chapter V.  Section 501.603 imposes reporting requirements pertaining to </w:t>
      </w:r>
      <w:r w:rsidRPr="000206E7">
        <w:rPr>
          <w:szCs w:val="24"/>
        </w:rPr>
        <w:t xml:space="preserve">blocked property and retained funds, as well as </w:t>
      </w:r>
      <w:r w:rsidR="00EB7A6F">
        <w:rPr>
          <w:szCs w:val="24"/>
        </w:rPr>
        <w:t xml:space="preserve">blocked </w:t>
      </w:r>
      <w:r w:rsidRPr="000206E7">
        <w:rPr>
          <w:szCs w:val="24"/>
        </w:rPr>
        <w:t xml:space="preserve">property that is unblocked </w:t>
      </w:r>
      <w:r w:rsidR="00F85385">
        <w:rPr>
          <w:szCs w:val="24"/>
        </w:rPr>
        <w:t>or transferred</w:t>
      </w:r>
      <w:r w:rsidRPr="000206E7">
        <w:rPr>
          <w:szCs w:val="24"/>
        </w:rPr>
        <w:t>.  This information is required by OFAC to monitor compliance with regulatory requirements, to support diplomatic negotiations concerning the targets of sanctions, and to support settlement negotiations addressing U.S. claims.  Section 501.604 requires the filing of reports for compliance purposes by U.S. persons where a transaction is not required to be blocked but where processing or otherwise engaging in the transaction would nonetheless violate, or facilitate a transaction that is prohibited under, other provisions in 31 CFR chapter V.  Section 501.605 requires reporting of information pertaining to litigation, arbitration, and other binding alternative dispute resolution proceedings in the United States to prevent the intentional or inadvertent transfer through such proceedings of blocked property or retained funds.  Sections 501.801</w:t>
      </w:r>
      <w:r w:rsidR="00141E23">
        <w:rPr>
          <w:szCs w:val="24"/>
        </w:rPr>
        <w:t>, 501.804,</w:t>
      </w:r>
      <w:r w:rsidRPr="000206E7">
        <w:rPr>
          <w:szCs w:val="24"/>
        </w:rPr>
        <w:t xml:space="preserve"> and 501.805 relate to license requests</w:t>
      </w:r>
      <w:r w:rsidR="00141E23">
        <w:rPr>
          <w:szCs w:val="24"/>
        </w:rPr>
        <w:t>,</w:t>
      </w:r>
      <w:r w:rsidRPr="000206E7">
        <w:rPr>
          <w:szCs w:val="24"/>
        </w:rPr>
        <w:t xml:space="preserve"> </w:t>
      </w:r>
      <w:r w:rsidR="006635B5">
        <w:rPr>
          <w:szCs w:val="24"/>
        </w:rPr>
        <w:t>the procedures for rulemaking, and</w:t>
      </w:r>
      <w:r w:rsidRPr="000206E7" w:rsidR="006635B5">
        <w:rPr>
          <w:szCs w:val="24"/>
        </w:rPr>
        <w:t xml:space="preserve"> </w:t>
      </w:r>
      <w:r w:rsidRPr="000206E7">
        <w:rPr>
          <w:szCs w:val="24"/>
        </w:rPr>
        <w:t>records requests</w:t>
      </w:r>
      <w:r w:rsidR="00141E23">
        <w:rPr>
          <w:szCs w:val="24"/>
        </w:rPr>
        <w:t>,</w:t>
      </w:r>
      <w:r w:rsidRPr="000206E7">
        <w:rPr>
          <w:szCs w:val="24"/>
        </w:rPr>
        <w:t xml:space="preserve"> </w:t>
      </w:r>
      <w:r w:rsidR="00141E23">
        <w:rPr>
          <w:szCs w:val="24"/>
        </w:rPr>
        <w:t>respectively</w:t>
      </w:r>
      <w:r w:rsidR="00036144">
        <w:rPr>
          <w:szCs w:val="24"/>
        </w:rPr>
        <w:t xml:space="preserve">.  </w:t>
      </w:r>
      <w:r w:rsidRPr="000206E7">
        <w:rPr>
          <w:szCs w:val="24"/>
        </w:rPr>
        <w:t xml:space="preserve">Section 501.806 sets forth the procedures to be followed by a person seeking to </w:t>
      </w:r>
      <w:r w:rsidR="005B4377">
        <w:rPr>
          <w:szCs w:val="24"/>
        </w:rPr>
        <w:t>unblock funds</w:t>
      </w:r>
      <w:r w:rsidR="00D14E46">
        <w:rPr>
          <w:szCs w:val="24"/>
        </w:rPr>
        <w:t xml:space="preserve"> that </w:t>
      </w:r>
      <w:r w:rsidRPr="000206E7">
        <w:rPr>
          <w:szCs w:val="24"/>
        </w:rPr>
        <w:t>the person</w:t>
      </w:r>
      <w:r w:rsidR="005B4377">
        <w:rPr>
          <w:szCs w:val="24"/>
        </w:rPr>
        <w:t xml:space="preserve"> </w:t>
      </w:r>
      <w:r w:rsidRPr="000206E7">
        <w:rPr>
          <w:szCs w:val="24"/>
        </w:rPr>
        <w:t xml:space="preserve">believes </w:t>
      </w:r>
      <w:r w:rsidR="00D14E46">
        <w:rPr>
          <w:szCs w:val="24"/>
        </w:rPr>
        <w:t>they have</w:t>
      </w:r>
      <w:r w:rsidRPr="000206E7">
        <w:rPr>
          <w:szCs w:val="24"/>
        </w:rPr>
        <w:t xml:space="preserve"> blocked due to mistaken identity</w:t>
      </w:r>
      <w:r w:rsidR="00547C0A">
        <w:rPr>
          <w:szCs w:val="24"/>
        </w:rPr>
        <w:t xml:space="preserve"> or typographical or similar error</w:t>
      </w:r>
      <w:r w:rsidR="004A1A14">
        <w:rPr>
          <w:szCs w:val="24"/>
        </w:rPr>
        <w:t>s</w:t>
      </w:r>
      <w:r w:rsidRPr="000206E7">
        <w:rPr>
          <w:szCs w:val="24"/>
        </w:rPr>
        <w:t xml:space="preserve">.  Section 501.807 sets forth the procedures to be followed by a person seeking administrative reconsideration </w:t>
      </w:r>
      <w:r w:rsidR="00F65B86">
        <w:rPr>
          <w:szCs w:val="24"/>
        </w:rPr>
        <w:t xml:space="preserve">of the listing of </w:t>
      </w:r>
      <w:r w:rsidR="00141E23">
        <w:rPr>
          <w:szCs w:val="24"/>
        </w:rPr>
        <w:t>a person or property (</w:t>
      </w:r>
      <w:r w:rsidR="00141E23">
        <w:rPr>
          <w:i/>
          <w:iCs/>
          <w:szCs w:val="24"/>
        </w:rPr>
        <w:t>e.g.</w:t>
      </w:r>
      <w:r w:rsidR="00141E23">
        <w:rPr>
          <w:szCs w:val="24"/>
        </w:rPr>
        <w:t xml:space="preserve">, a vessel) </w:t>
      </w:r>
      <w:r w:rsidR="00F65B86">
        <w:rPr>
          <w:szCs w:val="24"/>
        </w:rPr>
        <w:t>on any list of sanctioned person</w:t>
      </w:r>
      <w:r w:rsidR="004B64BA">
        <w:rPr>
          <w:szCs w:val="24"/>
        </w:rPr>
        <w:t>s</w:t>
      </w:r>
      <w:r w:rsidR="00F65B86">
        <w:rPr>
          <w:szCs w:val="24"/>
        </w:rPr>
        <w:t xml:space="preserve"> maintained by OFAC</w:t>
      </w:r>
      <w:r w:rsidRPr="000206E7">
        <w:rPr>
          <w:szCs w:val="24"/>
        </w:rPr>
        <w:t>.</w:t>
      </w:r>
      <w:r>
        <w:rPr>
          <w:szCs w:val="24"/>
        </w:rPr>
        <w:t xml:space="preserve"> </w:t>
      </w:r>
      <w:r w:rsidRPr="00AD1317" w:rsidR="00876C8F">
        <w:rPr>
          <w:szCs w:val="24"/>
        </w:rPr>
        <w:t>OFAC maintains mandatory and voluntary forms for the bulk of these collections</w:t>
      </w:r>
      <w:r w:rsidRPr="00AD1317" w:rsidR="00E304A5">
        <w:rPr>
          <w:szCs w:val="24"/>
        </w:rPr>
        <w:t xml:space="preserve"> </w:t>
      </w:r>
      <w:r w:rsidRPr="00D65E1C" w:rsidR="00E304A5">
        <w:rPr>
          <w:szCs w:val="24"/>
        </w:rPr>
        <w:t>a</w:t>
      </w:r>
      <w:r w:rsidRPr="00AD1317" w:rsidR="00E304A5">
        <w:rPr>
          <w:szCs w:val="24"/>
        </w:rPr>
        <w:t xml:space="preserve">nd </w:t>
      </w:r>
      <w:r w:rsidRPr="00AD1317" w:rsidR="00876C8F">
        <w:rPr>
          <w:szCs w:val="24"/>
        </w:rPr>
        <w:t xml:space="preserve">is not making </w:t>
      </w:r>
      <w:r w:rsidRPr="00AD1317" w:rsidR="009F3906">
        <w:rPr>
          <w:szCs w:val="24"/>
        </w:rPr>
        <w:t xml:space="preserve">major </w:t>
      </w:r>
      <w:r w:rsidRPr="00AD1317" w:rsidR="00876C8F">
        <w:rPr>
          <w:szCs w:val="24"/>
        </w:rPr>
        <w:t>change</w:t>
      </w:r>
      <w:r w:rsidRPr="00AD1317" w:rsidR="00ED5E95">
        <w:rPr>
          <w:szCs w:val="24"/>
        </w:rPr>
        <w:t>s</w:t>
      </w:r>
      <w:r w:rsidRPr="00AD1317" w:rsidR="00AF19EE">
        <w:rPr>
          <w:szCs w:val="24"/>
        </w:rPr>
        <w:t xml:space="preserve"> </w:t>
      </w:r>
      <w:r w:rsidRPr="00AD1317" w:rsidR="009F3906">
        <w:rPr>
          <w:szCs w:val="24"/>
        </w:rPr>
        <w:t xml:space="preserve">to </w:t>
      </w:r>
      <w:r w:rsidR="00842E73">
        <w:rPr>
          <w:szCs w:val="24"/>
        </w:rPr>
        <w:t>these</w:t>
      </w:r>
      <w:r>
        <w:rPr>
          <w:szCs w:val="24"/>
        </w:rPr>
        <w:t xml:space="preserve"> existing</w:t>
      </w:r>
      <w:r w:rsidRPr="00AD1317" w:rsidR="009F3906">
        <w:rPr>
          <w:szCs w:val="24"/>
        </w:rPr>
        <w:t xml:space="preserve"> </w:t>
      </w:r>
      <w:r w:rsidRPr="00AD1317" w:rsidR="00876C8F">
        <w:rPr>
          <w:szCs w:val="24"/>
        </w:rPr>
        <w:t>forms</w:t>
      </w:r>
      <w:r w:rsidR="00842E73">
        <w:t>.</w:t>
      </w:r>
    </w:p>
    <w:p w:rsidR="008229F3" w:rsidP="008229F3" w14:paraId="44767604" w14:textId="77777777">
      <w:pPr>
        <w:rPr>
          <w:szCs w:val="24"/>
        </w:rPr>
      </w:pPr>
    </w:p>
    <w:p w:rsidR="008229F3" w:rsidP="008229F3" w14:paraId="6C88FC92" w14:textId="381A5727">
      <w:pPr>
        <w:ind w:firstLine="720"/>
        <w:rPr>
          <w:szCs w:val="24"/>
        </w:rPr>
      </w:pPr>
      <w:r>
        <w:rPr>
          <w:szCs w:val="24"/>
        </w:rPr>
        <w:t>On May 10, 2024</w:t>
      </w:r>
      <w:r w:rsidR="007439BE">
        <w:rPr>
          <w:szCs w:val="24"/>
        </w:rPr>
        <w:t>, OFAC publish</w:t>
      </w:r>
      <w:r>
        <w:rPr>
          <w:szCs w:val="24"/>
        </w:rPr>
        <w:t>ed</w:t>
      </w:r>
      <w:r w:rsidR="007439BE">
        <w:rPr>
          <w:szCs w:val="24"/>
        </w:rPr>
        <w:t xml:space="preserve"> an interim final rule </w:t>
      </w:r>
      <w:r>
        <w:rPr>
          <w:szCs w:val="24"/>
        </w:rPr>
        <w:t>(</w:t>
      </w:r>
      <w:r w:rsidRPr="008229F3">
        <w:rPr>
          <w:szCs w:val="24"/>
        </w:rPr>
        <w:t>89 FR 40372</w:t>
      </w:r>
      <w:r>
        <w:rPr>
          <w:szCs w:val="24"/>
        </w:rPr>
        <w:t xml:space="preserve">) </w:t>
      </w:r>
      <w:r w:rsidR="007439BE">
        <w:rPr>
          <w:szCs w:val="24"/>
        </w:rPr>
        <w:t xml:space="preserve">with a 30-day public comment period </w:t>
      </w:r>
      <w:r w:rsidR="00D97021">
        <w:rPr>
          <w:szCs w:val="24"/>
        </w:rPr>
        <w:t>to solicit public comments on mandating electronic reporting</w:t>
      </w:r>
      <w:r w:rsidR="0056106C">
        <w:rPr>
          <w:szCs w:val="24"/>
        </w:rPr>
        <w:t xml:space="preserve"> and other aspects of</w:t>
      </w:r>
      <w:r w:rsidR="004F7909">
        <w:rPr>
          <w:szCs w:val="24"/>
        </w:rPr>
        <w:t xml:space="preserve"> </w:t>
      </w:r>
      <w:r w:rsidR="0056106C">
        <w:rPr>
          <w:szCs w:val="24"/>
        </w:rPr>
        <w:t>the interim final rule</w:t>
      </w:r>
      <w:r w:rsidR="00D97021">
        <w:rPr>
          <w:szCs w:val="24"/>
        </w:rPr>
        <w:t>.  This interim final rule include</w:t>
      </w:r>
      <w:r>
        <w:rPr>
          <w:szCs w:val="24"/>
        </w:rPr>
        <w:t>s</w:t>
      </w:r>
      <w:r w:rsidR="007439BE">
        <w:rPr>
          <w:szCs w:val="24"/>
        </w:rPr>
        <w:t xml:space="preserve"> a 90-day delayed effective date</w:t>
      </w:r>
      <w:r w:rsidR="00D97021">
        <w:rPr>
          <w:szCs w:val="24"/>
        </w:rPr>
        <w:t xml:space="preserve"> in order to provide the public </w:t>
      </w:r>
      <w:r w:rsidR="0056106C">
        <w:rPr>
          <w:szCs w:val="24"/>
        </w:rPr>
        <w:t xml:space="preserve">with </w:t>
      </w:r>
      <w:r w:rsidR="00D97021">
        <w:rPr>
          <w:szCs w:val="24"/>
        </w:rPr>
        <w:t xml:space="preserve">time to </w:t>
      </w:r>
      <w:r w:rsidR="00431940">
        <w:rPr>
          <w:szCs w:val="24"/>
        </w:rPr>
        <w:t xml:space="preserve">submit comments on the rule and to </w:t>
      </w:r>
      <w:r w:rsidR="00D97021">
        <w:rPr>
          <w:szCs w:val="24"/>
        </w:rPr>
        <w:t xml:space="preserve">fully implement </w:t>
      </w:r>
      <w:r w:rsidR="006635B5">
        <w:rPr>
          <w:szCs w:val="24"/>
        </w:rPr>
        <w:t xml:space="preserve">any required </w:t>
      </w:r>
      <w:r w:rsidR="005F2BAE">
        <w:rPr>
          <w:szCs w:val="24"/>
        </w:rPr>
        <w:t>electronic reporting.</w:t>
      </w:r>
      <w:r w:rsidR="007439BE">
        <w:rPr>
          <w:szCs w:val="24"/>
        </w:rPr>
        <w:t xml:space="preserve">  </w:t>
      </w:r>
      <w:r w:rsidR="00842E73">
        <w:rPr>
          <w:szCs w:val="24"/>
        </w:rPr>
        <w:t>E</w:t>
      </w:r>
      <w:r w:rsidR="00D14E46">
        <w:rPr>
          <w:szCs w:val="24"/>
        </w:rPr>
        <w:t xml:space="preserve">ffective </w:t>
      </w:r>
      <w:r>
        <w:rPr>
          <w:szCs w:val="24"/>
        </w:rPr>
        <w:t>Aug</w:t>
      </w:r>
      <w:r w:rsidR="00520482">
        <w:rPr>
          <w:szCs w:val="24"/>
        </w:rPr>
        <w:t>u</w:t>
      </w:r>
      <w:r>
        <w:rPr>
          <w:szCs w:val="24"/>
        </w:rPr>
        <w:t>st 8, 2024</w:t>
      </w:r>
      <w:r w:rsidR="007439BE">
        <w:rPr>
          <w:szCs w:val="24"/>
        </w:rPr>
        <w:t>,</w:t>
      </w:r>
      <w:r w:rsidR="00842E73">
        <w:rPr>
          <w:szCs w:val="24"/>
        </w:rPr>
        <w:t xml:space="preserve"> </w:t>
      </w:r>
      <w:r w:rsidR="008A7122">
        <w:rPr>
          <w:szCs w:val="24"/>
        </w:rPr>
        <w:t xml:space="preserve">OFAC </w:t>
      </w:r>
      <w:r w:rsidR="00FF1941">
        <w:rPr>
          <w:szCs w:val="24"/>
        </w:rPr>
        <w:t>plans to</w:t>
      </w:r>
      <w:r w:rsidR="008A7122">
        <w:rPr>
          <w:szCs w:val="24"/>
        </w:rPr>
        <w:t xml:space="preserve"> mandat</w:t>
      </w:r>
      <w:r w:rsidR="00FF1941">
        <w:rPr>
          <w:szCs w:val="24"/>
        </w:rPr>
        <w:t>e</w:t>
      </w:r>
      <w:r w:rsidR="008A7122">
        <w:rPr>
          <w:szCs w:val="24"/>
        </w:rPr>
        <w:t xml:space="preserve"> electronic reporting using the OFAC Reporting System (ORS) for </w:t>
      </w:r>
      <w:r w:rsidRPr="00710F3F" w:rsidR="008A7122">
        <w:t>initial</w:t>
      </w:r>
      <w:r w:rsidR="008A7122">
        <w:t xml:space="preserve"> </w:t>
      </w:r>
      <w:r w:rsidR="00F65B86">
        <w:t xml:space="preserve">reports of </w:t>
      </w:r>
      <w:r w:rsidR="008A7122">
        <w:t>blocked property and rejected transaction</w:t>
      </w:r>
      <w:r w:rsidR="00842E73">
        <w:t>s</w:t>
      </w:r>
      <w:r w:rsidR="00D402F7">
        <w:t xml:space="preserve">, </w:t>
      </w:r>
      <w:r w:rsidR="00D14E46">
        <w:t>as well as</w:t>
      </w:r>
      <w:r w:rsidR="008A7122">
        <w:t xml:space="preserve"> Annual Reports o</w:t>
      </w:r>
      <w:r w:rsidR="00F65B86">
        <w:t>f</w:t>
      </w:r>
      <w:r w:rsidR="008A7122">
        <w:t xml:space="preserve"> Blocked Property</w:t>
      </w:r>
      <w:r w:rsidR="00F615E4">
        <w:t xml:space="preserve"> (ARBP)</w:t>
      </w:r>
      <w:r w:rsidR="000E1439">
        <w:t xml:space="preserve"> (although filers may request an exception for unique </w:t>
      </w:r>
      <w:r w:rsidR="00453F59">
        <w:t xml:space="preserve">and extraordinary </w:t>
      </w:r>
      <w:r w:rsidR="000E1439">
        <w:t>circumstances)</w:t>
      </w:r>
      <w:r w:rsidR="009F3906">
        <w:rPr>
          <w:szCs w:val="24"/>
        </w:rPr>
        <w:t xml:space="preserve">.  </w:t>
      </w:r>
      <w:r w:rsidR="005B4377">
        <w:rPr>
          <w:szCs w:val="24"/>
        </w:rPr>
        <w:t>Until th</w:t>
      </w:r>
      <w:r w:rsidR="006635B5">
        <w:rPr>
          <w:szCs w:val="24"/>
        </w:rPr>
        <w:t>is date</w:t>
      </w:r>
      <w:r w:rsidR="005B4377">
        <w:rPr>
          <w:szCs w:val="24"/>
        </w:rPr>
        <w:t xml:space="preserve">, </w:t>
      </w:r>
      <w:r w:rsidRPr="00C055DA" w:rsidR="006B3141">
        <w:rPr>
          <w:szCs w:val="24"/>
        </w:rPr>
        <w:t xml:space="preserve">OFAC </w:t>
      </w:r>
      <w:r w:rsidR="005B4377">
        <w:rPr>
          <w:szCs w:val="24"/>
        </w:rPr>
        <w:t>will continue to require the</w:t>
      </w:r>
      <w:r w:rsidR="00ED5E95">
        <w:rPr>
          <w:szCs w:val="24"/>
        </w:rPr>
        <w:t xml:space="preserve"> </w:t>
      </w:r>
      <w:r w:rsidRPr="00C055DA" w:rsidR="00ED5E95">
        <w:rPr>
          <w:szCs w:val="24"/>
        </w:rPr>
        <w:t>submi</w:t>
      </w:r>
      <w:r w:rsidR="00ED5E95">
        <w:rPr>
          <w:szCs w:val="24"/>
        </w:rPr>
        <w:t>s</w:t>
      </w:r>
      <w:r w:rsidRPr="00C055DA" w:rsidR="00ED5E95">
        <w:rPr>
          <w:szCs w:val="24"/>
        </w:rPr>
        <w:t>sion</w:t>
      </w:r>
      <w:r w:rsidRPr="00C055DA" w:rsidR="006B3141">
        <w:rPr>
          <w:szCs w:val="24"/>
        </w:rPr>
        <w:t xml:space="preserve"> of the ARBP through</w:t>
      </w:r>
      <w:r w:rsidR="00FF57DA">
        <w:rPr>
          <w:szCs w:val="24"/>
        </w:rPr>
        <w:t xml:space="preserve"> the</w:t>
      </w:r>
      <w:r w:rsidRPr="00C055DA" w:rsidR="006B3141">
        <w:rPr>
          <w:szCs w:val="24"/>
        </w:rPr>
        <w:t xml:space="preserve"> approved </w:t>
      </w:r>
      <w:r w:rsidR="00842E73">
        <w:rPr>
          <w:szCs w:val="24"/>
        </w:rPr>
        <w:t>Annual Report of Blocked Property</w:t>
      </w:r>
      <w:r w:rsidRPr="00C055DA" w:rsidR="00842E73">
        <w:rPr>
          <w:szCs w:val="24"/>
        </w:rPr>
        <w:t xml:space="preserve"> </w:t>
      </w:r>
      <w:r w:rsidRPr="00C055DA" w:rsidR="006B3141">
        <w:rPr>
          <w:szCs w:val="24"/>
        </w:rPr>
        <w:t>form</w:t>
      </w:r>
      <w:r w:rsidR="00842E73">
        <w:rPr>
          <w:color w:val="000000"/>
          <w:szCs w:val="24"/>
        </w:rPr>
        <w:t xml:space="preserve">, </w:t>
      </w:r>
      <w:r w:rsidRPr="00C055DA" w:rsidR="006B3141">
        <w:rPr>
          <w:szCs w:val="24"/>
        </w:rPr>
        <w:t>TD-F 90-22.50</w:t>
      </w:r>
      <w:r w:rsidR="00842E73">
        <w:rPr>
          <w:szCs w:val="24"/>
        </w:rPr>
        <w:t>, which</w:t>
      </w:r>
      <w:r w:rsidR="004307AC">
        <w:rPr>
          <w:szCs w:val="24"/>
        </w:rPr>
        <w:t xml:space="preserve"> </w:t>
      </w:r>
      <w:r w:rsidR="00842E73">
        <w:rPr>
          <w:szCs w:val="24"/>
        </w:rPr>
        <w:t>is available on OFAC’s</w:t>
      </w:r>
      <w:r w:rsidR="004307AC">
        <w:rPr>
          <w:szCs w:val="24"/>
        </w:rPr>
        <w:t xml:space="preserve"> website</w:t>
      </w:r>
      <w:r w:rsidR="005B4377">
        <w:rPr>
          <w:szCs w:val="24"/>
        </w:rPr>
        <w:t xml:space="preserve">. </w:t>
      </w:r>
      <w:r w:rsidR="00ED5E95">
        <w:rPr>
          <w:szCs w:val="24"/>
        </w:rPr>
        <w:t xml:space="preserve"> </w:t>
      </w:r>
      <w:r w:rsidR="00D14E46">
        <w:rPr>
          <w:szCs w:val="24"/>
        </w:rPr>
        <w:t xml:space="preserve">Additionally, for those filers who have been </w:t>
      </w:r>
      <w:r w:rsidR="004307AC">
        <w:rPr>
          <w:szCs w:val="24"/>
        </w:rPr>
        <w:t>granted an exception</w:t>
      </w:r>
      <w:r w:rsidRPr="004307AC" w:rsidR="004307AC">
        <w:rPr>
          <w:szCs w:val="24"/>
        </w:rPr>
        <w:t xml:space="preserve"> </w:t>
      </w:r>
      <w:r w:rsidR="00D14E46">
        <w:rPr>
          <w:szCs w:val="24"/>
        </w:rPr>
        <w:t xml:space="preserve">to file </w:t>
      </w:r>
      <w:r w:rsidR="00842E73">
        <w:rPr>
          <w:szCs w:val="24"/>
        </w:rPr>
        <w:t>reports of blocked property</w:t>
      </w:r>
      <w:r w:rsidR="006635B5">
        <w:rPr>
          <w:szCs w:val="24"/>
        </w:rPr>
        <w:t>, A</w:t>
      </w:r>
      <w:r w:rsidR="008C57A9">
        <w:rPr>
          <w:szCs w:val="24"/>
        </w:rPr>
        <w:t>RBPs</w:t>
      </w:r>
      <w:r w:rsidR="006635B5">
        <w:rPr>
          <w:szCs w:val="24"/>
        </w:rPr>
        <w:t>,</w:t>
      </w:r>
      <w:r w:rsidR="00842E73">
        <w:rPr>
          <w:szCs w:val="24"/>
        </w:rPr>
        <w:t xml:space="preserve"> or rejected transactions </w:t>
      </w:r>
      <w:r w:rsidR="00D14E46">
        <w:rPr>
          <w:szCs w:val="24"/>
        </w:rPr>
        <w:t>outside of ORS,</w:t>
      </w:r>
      <w:r w:rsidRPr="00C055DA" w:rsidR="00D14E46">
        <w:rPr>
          <w:szCs w:val="24"/>
        </w:rPr>
        <w:t xml:space="preserve"> </w:t>
      </w:r>
      <w:r w:rsidRPr="00C055DA" w:rsidR="006B3141">
        <w:rPr>
          <w:szCs w:val="24"/>
        </w:rPr>
        <w:t xml:space="preserve">OFAC </w:t>
      </w:r>
      <w:r w:rsidR="003B1E72">
        <w:rPr>
          <w:szCs w:val="24"/>
        </w:rPr>
        <w:t xml:space="preserve">will continue to </w:t>
      </w:r>
      <w:r w:rsidRPr="00C055DA" w:rsidR="006B3141">
        <w:rPr>
          <w:szCs w:val="24"/>
        </w:rPr>
        <w:t xml:space="preserve">maintain </w:t>
      </w:r>
      <w:r w:rsidR="004307AC">
        <w:rPr>
          <w:szCs w:val="24"/>
        </w:rPr>
        <w:t>the following</w:t>
      </w:r>
      <w:r w:rsidRPr="00C055DA" w:rsidR="004307AC">
        <w:rPr>
          <w:szCs w:val="24"/>
        </w:rPr>
        <w:t xml:space="preserve"> </w:t>
      </w:r>
      <w:r w:rsidR="00FF57DA">
        <w:rPr>
          <w:szCs w:val="24"/>
        </w:rPr>
        <w:t xml:space="preserve">approved </w:t>
      </w:r>
      <w:r w:rsidRPr="00C055DA" w:rsidR="006B3141">
        <w:rPr>
          <w:szCs w:val="24"/>
        </w:rPr>
        <w:t>forms</w:t>
      </w:r>
      <w:r w:rsidR="004307AC">
        <w:rPr>
          <w:szCs w:val="24"/>
        </w:rPr>
        <w:t xml:space="preserve"> on its website</w:t>
      </w:r>
      <w:r w:rsidRPr="00C055DA" w:rsidR="006B3141">
        <w:rPr>
          <w:szCs w:val="24"/>
        </w:rPr>
        <w:t xml:space="preserve">: </w:t>
      </w:r>
      <w:bookmarkStart w:id="0" w:name="_Hlk158211050"/>
      <w:r w:rsidRPr="00AA0899" w:rsidR="00842E73">
        <w:t>Report on Blocked Property – Financia</w:t>
      </w:r>
      <w:r w:rsidR="00842E73">
        <w:t xml:space="preserve">l, </w:t>
      </w:r>
      <w:r w:rsidRPr="00AD1317" w:rsidR="00842E73">
        <w:rPr>
          <w:szCs w:val="24"/>
        </w:rPr>
        <w:t>TD-F 93.02</w:t>
      </w:r>
      <w:r w:rsidR="00842E73">
        <w:rPr>
          <w:szCs w:val="24"/>
        </w:rPr>
        <w:t xml:space="preserve">; </w:t>
      </w:r>
      <w:r w:rsidRPr="00AA0899" w:rsidR="00842E73">
        <w:rPr>
          <w:szCs w:val="24"/>
        </w:rPr>
        <w:t>Report on Rejected Transactions</w:t>
      </w:r>
      <w:r w:rsidR="00842E73">
        <w:rPr>
          <w:szCs w:val="24"/>
        </w:rPr>
        <w:t>,</w:t>
      </w:r>
      <w:r w:rsidRPr="00AA0899" w:rsidR="00842E73">
        <w:rPr>
          <w:szCs w:val="24"/>
        </w:rPr>
        <w:t xml:space="preserve"> </w:t>
      </w:r>
      <w:r w:rsidRPr="00AD1317" w:rsidR="00842E73">
        <w:rPr>
          <w:szCs w:val="24"/>
        </w:rPr>
        <w:t>TD-F 93.07</w:t>
      </w:r>
      <w:r w:rsidR="00842E73">
        <w:rPr>
          <w:szCs w:val="24"/>
        </w:rPr>
        <w:t xml:space="preserve">; </w:t>
      </w:r>
      <w:r w:rsidRPr="00AA0899" w:rsidR="00842E73">
        <w:rPr>
          <w:szCs w:val="24"/>
        </w:rPr>
        <w:t>Report on Blocked Property – Tangible/Real/Other Non-Financial Property</w:t>
      </w:r>
      <w:r w:rsidR="00842E73">
        <w:rPr>
          <w:szCs w:val="24"/>
        </w:rPr>
        <w:t>,</w:t>
      </w:r>
      <w:r w:rsidRPr="00AD1317" w:rsidR="00842E73">
        <w:rPr>
          <w:szCs w:val="24"/>
        </w:rPr>
        <w:t xml:space="preserve"> TD-F 93.08</w:t>
      </w:r>
      <w:r w:rsidR="006635B5">
        <w:rPr>
          <w:szCs w:val="24"/>
        </w:rPr>
        <w:t>;</w:t>
      </w:r>
      <w:r w:rsidR="004307AC">
        <w:rPr>
          <w:szCs w:val="24"/>
        </w:rPr>
        <w:t xml:space="preserve"> </w:t>
      </w:r>
      <w:bookmarkEnd w:id="0"/>
      <w:r w:rsidR="006635B5">
        <w:rPr>
          <w:szCs w:val="24"/>
        </w:rPr>
        <w:t>Annual Report of Blocked Property</w:t>
      </w:r>
      <w:r w:rsidRPr="00C055DA" w:rsidR="006635B5">
        <w:rPr>
          <w:szCs w:val="24"/>
        </w:rPr>
        <w:t xml:space="preserve"> form</w:t>
      </w:r>
      <w:r w:rsidR="006635B5">
        <w:rPr>
          <w:color w:val="000000"/>
          <w:szCs w:val="24"/>
        </w:rPr>
        <w:t xml:space="preserve">, </w:t>
      </w:r>
      <w:r w:rsidRPr="00C055DA" w:rsidR="006635B5">
        <w:rPr>
          <w:szCs w:val="24"/>
        </w:rPr>
        <w:t>TD-F 90-22.50</w:t>
      </w:r>
      <w:r w:rsidR="006635B5">
        <w:rPr>
          <w:szCs w:val="24"/>
        </w:rPr>
        <w:t xml:space="preserve">.  </w:t>
      </w:r>
      <w:r w:rsidR="004307AC">
        <w:rPr>
          <w:szCs w:val="24"/>
        </w:rPr>
        <w:t xml:space="preserve">OFAC </w:t>
      </w:r>
      <w:r w:rsidR="00842E73">
        <w:rPr>
          <w:szCs w:val="24"/>
        </w:rPr>
        <w:t>also</w:t>
      </w:r>
      <w:r w:rsidR="004307AC">
        <w:rPr>
          <w:szCs w:val="24"/>
        </w:rPr>
        <w:t xml:space="preserve"> maintain</w:t>
      </w:r>
      <w:r w:rsidR="00842E73">
        <w:rPr>
          <w:szCs w:val="24"/>
        </w:rPr>
        <w:t>s voluntary forms</w:t>
      </w:r>
      <w:r w:rsidR="004307AC">
        <w:rPr>
          <w:szCs w:val="24"/>
        </w:rPr>
        <w:t xml:space="preserve"> </w:t>
      </w:r>
      <w:r w:rsidRPr="00C055DA" w:rsidR="004307AC">
        <w:rPr>
          <w:szCs w:val="24"/>
        </w:rPr>
        <w:t xml:space="preserve">for submission of certain other information required as a part of the information collections covered by this </w:t>
      </w:r>
      <w:r w:rsidR="004307AC">
        <w:rPr>
          <w:szCs w:val="24"/>
        </w:rPr>
        <w:t>authority</w:t>
      </w:r>
      <w:r w:rsidRPr="00C055DA" w:rsidR="004307AC">
        <w:rPr>
          <w:szCs w:val="24"/>
        </w:rPr>
        <w:t>, including the following approved forms</w:t>
      </w:r>
      <w:r w:rsidR="00842E73">
        <w:rPr>
          <w:szCs w:val="24"/>
        </w:rPr>
        <w:t>:</w:t>
      </w:r>
      <w:r w:rsidRPr="001F717D" w:rsidR="001F717D">
        <w:rPr>
          <w:szCs w:val="24"/>
        </w:rPr>
        <w:t xml:space="preserve"> </w:t>
      </w:r>
      <w:bookmarkStart w:id="1" w:name="_Hlk148965379"/>
      <w:r w:rsidR="00842E73">
        <w:rPr>
          <w:szCs w:val="24"/>
        </w:rPr>
        <w:t xml:space="preserve"> </w:t>
      </w:r>
      <w:r w:rsidRPr="000206E7" w:rsidR="00842E73">
        <w:rPr>
          <w:szCs w:val="24"/>
        </w:rPr>
        <w:t xml:space="preserve">TSRA License Application, </w:t>
      </w:r>
      <w:r w:rsidRPr="00AD1317" w:rsidR="00842E73">
        <w:rPr>
          <w:szCs w:val="24"/>
        </w:rPr>
        <w:t>TD-F 93.04</w:t>
      </w:r>
      <w:r w:rsidR="00842E73">
        <w:rPr>
          <w:szCs w:val="24"/>
        </w:rPr>
        <w:t xml:space="preserve">; and </w:t>
      </w:r>
      <w:r w:rsidRPr="000206E7" w:rsidR="00842E73">
        <w:rPr>
          <w:szCs w:val="24"/>
        </w:rPr>
        <w:t xml:space="preserve">Licensing Cover Sheet, </w:t>
      </w:r>
      <w:r w:rsidRPr="00AD1317" w:rsidR="00842E73">
        <w:rPr>
          <w:szCs w:val="24"/>
        </w:rPr>
        <w:t>TD-F 98-22.61</w:t>
      </w:r>
      <w:bookmarkEnd w:id="1"/>
      <w:r w:rsidRPr="000206E7" w:rsidR="006B3141">
        <w:rPr>
          <w:szCs w:val="24"/>
        </w:rPr>
        <w:t>.</w:t>
      </w:r>
    </w:p>
    <w:p w:rsidR="008229F3" w:rsidP="008229F3" w14:paraId="36E783D9" w14:textId="77777777">
      <w:pPr>
        <w:ind w:firstLine="720"/>
        <w:rPr>
          <w:szCs w:val="24"/>
        </w:rPr>
      </w:pPr>
    </w:p>
    <w:p w:rsidR="006B3141" w:rsidRPr="00C055DA" w:rsidP="008229F3" w14:paraId="4C6D5E8D" w14:textId="2E25D1CE">
      <w:pPr>
        <w:ind w:firstLine="720"/>
        <w:rPr>
          <w:szCs w:val="24"/>
        </w:rPr>
      </w:pPr>
      <w:r>
        <w:rPr>
          <w:szCs w:val="24"/>
        </w:rPr>
        <w:t xml:space="preserve">In addition, OFAC </w:t>
      </w:r>
      <w:r w:rsidR="008229F3">
        <w:rPr>
          <w:szCs w:val="24"/>
        </w:rPr>
        <w:t xml:space="preserve">is </w:t>
      </w:r>
      <w:r>
        <w:rPr>
          <w:szCs w:val="24"/>
        </w:rPr>
        <w:t>issu</w:t>
      </w:r>
      <w:r w:rsidR="008229F3">
        <w:rPr>
          <w:szCs w:val="24"/>
        </w:rPr>
        <w:t>ing</w:t>
      </w:r>
      <w:r>
        <w:rPr>
          <w:szCs w:val="24"/>
        </w:rPr>
        <w:t xml:space="preserve"> </w:t>
      </w:r>
      <w:r w:rsidR="008229F3">
        <w:rPr>
          <w:szCs w:val="24"/>
        </w:rPr>
        <w:t xml:space="preserve">a </w:t>
      </w:r>
      <w:r>
        <w:rPr>
          <w:szCs w:val="24"/>
        </w:rPr>
        <w:t xml:space="preserve">new form, </w:t>
      </w:r>
      <w:r w:rsidR="00252C68">
        <w:t>REPO for Ukrainians Act</w:t>
      </w:r>
      <w:r w:rsidRPr="00FD1B43" w:rsidR="00252C68">
        <w:t xml:space="preserve"> </w:t>
      </w:r>
      <w:r w:rsidR="00252C68">
        <w:t xml:space="preserve">Report </w:t>
      </w:r>
      <w:r w:rsidRPr="00FD1B43" w:rsidR="00252C68">
        <w:t>Form</w:t>
      </w:r>
      <w:r>
        <w:rPr>
          <w:szCs w:val="24"/>
        </w:rPr>
        <w:t xml:space="preserve">, TD.F </w:t>
      </w:r>
      <w:r w:rsidR="00CD4931">
        <w:rPr>
          <w:szCs w:val="24"/>
        </w:rPr>
        <w:t>93.09</w:t>
      </w:r>
      <w:r w:rsidR="00B57F3B">
        <w:rPr>
          <w:szCs w:val="24"/>
        </w:rPr>
        <w:t>,</w:t>
      </w:r>
      <w:r>
        <w:rPr>
          <w:szCs w:val="24"/>
        </w:rPr>
        <w:t xml:space="preserve"> to implement a new reporting requirement pursuant to the </w:t>
      </w:r>
      <w:r w:rsidRPr="00982C52">
        <w:t>Rebuilding Economic Prosperity and Opportunity for Ukrainians Act</w:t>
      </w:r>
      <w:r>
        <w:rPr>
          <w:szCs w:val="24"/>
        </w:rPr>
        <w:t xml:space="preserve"> (the “REPO for Ukrainians Act”), for financial institutions holding Russian sovereign assets, if not previously reported to OFAC.  </w:t>
      </w:r>
      <w:r w:rsidRPr="000206E7">
        <w:rPr>
          <w:szCs w:val="24"/>
        </w:rPr>
        <w:t xml:space="preserve">Any other information collections covered by this </w:t>
      </w:r>
      <w:r w:rsidR="000D6EF3">
        <w:rPr>
          <w:szCs w:val="24"/>
        </w:rPr>
        <w:t>authority</w:t>
      </w:r>
      <w:r w:rsidRPr="000206E7" w:rsidR="000D6EF3">
        <w:rPr>
          <w:szCs w:val="24"/>
        </w:rPr>
        <w:t xml:space="preserve"> </w:t>
      </w:r>
      <w:r w:rsidRPr="000206E7">
        <w:rPr>
          <w:szCs w:val="24"/>
        </w:rPr>
        <w:t>do not have mandatory or voluntary forms.</w:t>
      </w:r>
    </w:p>
    <w:p w:rsidR="009444C1" w:rsidRPr="00C055DA" w:rsidP="009444C1" w14:paraId="63BE4F6B" w14:textId="77777777">
      <w:pPr>
        <w:ind w:firstLine="720"/>
        <w:rPr>
          <w:szCs w:val="24"/>
        </w:rPr>
      </w:pPr>
    </w:p>
    <w:p w:rsidR="009444C1" w:rsidRPr="00C055DA" w:rsidP="00CA5AE2" w14:paraId="16F9A5D3" w14:textId="0872C7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055DA">
        <w:rPr>
          <w:szCs w:val="24"/>
        </w:rPr>
        <w:t>2</w:t>
      </w:r>
      <w:r w:rsidRPr="002B0F98">
        <w:rPr>
          <w:szCs w:val="24"/>
        </w:rPr>
        <w:t xml:space="preserve">. </w:t>
      </w:r>
      <w:r w:rsidRPr="002B0F98">
        <w:rPr>
          <w:szCs w:val="24"/>
          <w:u w:val="single"/>
        </w:rPr>
        <w:t>Purpose</w:t>
      </w:r>
      <w:r w:rsidRPr="00C055DA">
        <w:rPr>
          <w:szCs w:val="24"/>
          <w:u w:val="single"/>
        </w:rPr>
        <w:t xml:space="preserve"> and Use of the Information Collected</w:t>
      </w:r>
      <w:r w:rsidRPr="00090093">
        <w:rPr>
          <w:szCs w:val="24"/>
        </w:rPr>
        <w:t>.</w:t>
      </w:r>
    </w:p>
    <w:p w:rsidR="009444C1" w:rsidRPr="00C055DA" w:rsidP="00CA5AE2" w14:paraId="025B3CFD"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0206E7" w:rsidP="00CA5AE2" w14:paraId="013F6545" w14:textId="7BEE9DF4">
      <w:pPr>
        <w:keepNext/>
        <w:rPr>
          <w:rFonts w:ascii="Courier New" w:hAnsi="Courier New"/>
          <w:szCs w:val="24"/>
        </w:rPr>
      </w:pPr>
      <w:r w:rsidRPr="00C055DA">
        <w:rPr>
          <w:szCs w:val="24"/>
        </w:rPr>
        <w:tab/>
      </w:r>
      <w:r w:rsidRPr="00C055DA" w:rsidR="008100A2">
        <w:rPr>
          <w:szCs w:val="24"/>
        </w:rPr>
        <w:t xml:space="preserve">This information is required by OFAC to monitor compliance with regulatory requirements, to support diplomatic negotiations concerning the targets of sanctions, </w:t>
      </w:r>
      <w:r w:rsidR="00520482">
        <w:rPr>
          <w:szCs w:val="24"/>
        </w:rPr>
        <w:t xml:space="preserve">to meet statutory reporting requirements, </w:t>
      </w:r>
      <w:r w:rsidRPr="00C055DA" w:rsidR="008100A2">
        <w:rPr>
          <w:szCs w:val="24"/>
        </w:rPr>
        <w:t xml:space="preserve">and to support settlement negotiations addressing U.S. claims.  </w:t>
      </w:r>
      <w:r w:rsidRPr="00C055DA" w:rsidR="00F07158">
        <w:rPr>
          <w:szCs w:val="24"/>
        </w:rPr>
        <w:t xml:space="preserve">The reports </w:t>
      </w:r>
      <w:r w:rsidRPr="00C055DA" w:rsidR="00115841">
        <w:rPr>
          <w:szCs w:val="24"/>
        </w:rPr>
        <w:t xml:space="preserve">and information collections </w:t>
      </w:r>
      <w:r w:rsidRPr="00C055DA" w:rsidR="00F07158">
        <w:rPr>
          <w:szCs w:val="24"/>
        </w:rPr>
        <w:t xml:space="preserve">covered by </w:t>
      </w:r>
      <w:r w:rsidRPr="00C055DA" w:rsidR="00115841">
        <w:rPr>
          <w:szCs w:val="24"/>
        </w:rPr>
        <w:t>this authority</w:t>
      </w:r>
      <w:r w:rsidRPr="00C055DA" w:rsidR="00F07158">
        <w:rPr>
          <w:szCs w:val="24"/>
        </w:rPr>
        <w:t xml:space="preserve"> will be reviewed by the U.S. Department of the Treasury </w:t>
      </w:r>
      <w:r w:rsidRPr="00C055DA" w:rsidR="00670E63">
        <w:rPr>
          <w:szCs w:val="24"/>
        </w:rPr>
        <w:t>(Tr</w:t>
      </w:r>
      <w:r w:rsidRPr="000206E7" w:rsidR="00670E63">
        <w:rPr>
          <w:szCs w:val="24"/>
        </w:rPr>
        <w:t xml:space="preserve">easury) </w:t>
      </w:r>
      <w:r w:rsidRPr="000206E7" w:rsidR="00F07158">
        <w:rPr>
          <w:szCs w:val="24"/>
        </w:rPr>
        <w:t>and may be used for compliance, civil penalty, and enforcement purposes by the agency</w:t>
      </w:r>
      <w:r w:rsidRPr="000206E7" w:rsidR="008100A2">
        <w:rPr>
          <w:szCs w:val="24"/>
        </w:rPr>
        <w:t>.</w:t>
      </w:r>
      <w:r w:rsidRPr="000206E7" w:rsidR="0008479A">
        <w:rPr>
          <w:szCs w:val="24"/>
        </w:rPr>
        <w:t xml:space="preserve">  </w:t>
      </w:r>
      <w:r w:rsidRPr="00C055DA" w:rsidR="0008479A">
        <w:rPr>
          <w:szCs w:val="24"/>
        </w:rPr>
        <w:t xml:space="preserve">The </w:t>
      </w:r>
      <w:r w:rsidRPr="000206E7" w:rsidR="0008479A">
        <w:rPr>
          <w:szCs w:val="24"/>
        </w:rPr>
        <w:t xml:space="preserve">information is used </w:t>
      </w:r>
      <w:r w:rsidRPr="000206E7" w:rsidR="00E304A5">
        <w:rPr>
          <w:szCs w:val="24"/>
        </w:rPr>
        <w:t xml:space="preserve">primarily by </w:t>
      </w:r>
      <w:r w:rsidRPr="000206E7" w:rsidR="0008479A">
        <w:rPr>
          <w:szCs w:val="24"/>
        </w:rPr>
        <w:t xml:space="preserve">Treasury </w:t>
      </w:r>
      <w:r w:rsidRPr="000206E7" w:rsidR="00E304A5">
        <w:rPr>
          <w:szCs w:val="24"/>
        </w:rPr>
        <w:t xml:space="preserve">and provided to other agencies </w:t>
      </w:r>
      <w:r w:rsidR="00CD7326">
        <w:rPr>
          <w:szCs w:val="24"/>
        </w:rPr>
        <w:t xml:space="preserve">under limited circumstances, such as </w:t>
      </w:r>
      <w:r w:rsidRPr="000206E7" w:rsidR="00E304A5">
        <w:rPr>
          <w:szCs w:val="24"/>
        </w:rPr>
        <w:t>when requested for pending litigation</w:t>
      </w:r>
      <w:r w:rsidR="0001170C">
        <w:rPr>
          <w:szCs w:val="24"/>
        </w:rPr>
        <w:t>,</w:t>
      </w:r>
      <w:r w:rsidRPr="000206E7" w:rsidR="00E304A5">
        <w:rPr>
          <w:szCs w:val="24"/>
        </w:rPr>
        <w:t xml:space="preserve"> investigative purposes</w:t>
      </w:r>
      <w:r w:rsidR="0001170C">
        <w:rPr>
          <w:szCs w:val="24"/>
        </w:rPr>
        <w:t>, or foreign policy guidance</w:t>
      </w:r>
      <w:r w:rsidRPr="000206E7" w:rsidR="00E304A5">
        <w:rPr>
          <w:szCs w:val="24"/>
        </w:rPr>
        <w:t>.  Additionally, the aggregated data collected is used to inform reports that are provided to Congress on a periodic basis</w:t>
      </w:r>
      <w:r w:rsidRPr="000206E7" w:rsidR="0008479A">
        <w:rPr>
          <w:szCs w:val="24"/>
        </w:rPr>
        <w:t>.</w:t>
      </w:r>
    </w:p>
    <w:p w:rsidR="009444C1" w:rsidRPr="00D3497A" w:rsidP="009444C1" w14:paraId="781CB3C0" w14:textId="77777777">
      <w:pPr>
        <w:rPr>
          <w:szCs w:val="24"/>
        </w:rPr>
      </w:pPr>
    </w:p>
    <w:p w:rsidR="009444C1" w:rsidRPr="002B0F98" w:rsidP="009444C1" w14:paraId="0028B99F" w14:textId="7206C2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2B0F98">
        <w:rPr>
          <w:szCs w:val="24"/>
        </w:rPr>
        <w:t xml:space="preserve">3. </w:t>
      </w:r>
      <w:r w:rsidRPr="002B0F98">
        <w:rPr>
          <w:szCs w:val="24"/>
          <w:u w:val="single"/>
        </w:rPr>
        <w:t>Consideration</w:t>
      </w:r>
      <w:r w:rsidRPr="00757DD3">
        <w:rPr>
          <w:szCs w:val="24"/>
          <w:u w:val="single"/>
        </w:rPr>
        <w:t xml:space="preserve"> Given to Information Technology</w:t>
      </w:r>
      <w:r w:rsidR="002B0F98">
        <w:rPr>
          <w:iCs/>
          <w:szCs w:val="24"/>
        </w:rPr>
        <w:t>.</w:t>
      </w:r>
    </w:p>
    <w:p w:rsidR="009444C1" w:rsidRPr="00CF4CF1" w:rsidP="009444C1" w14:paraId="3565A6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A15B66" w:rsidP="009444C1" w14:paraId="1724C961" w14:textId="77440353">
      <w:pPr>
        <w:rPr>
          <w:szCs w:val="24"/>
        </w:rPr>
      </w:pPr>
      <w:r w:rsidRPr="000206E7">
        <w:rPr>
          <w:szCs w:val="24"/>
        </w:rPr>
        <w:tab/>
        <w:t xml:space="preserve">Information collected related to blocked, rejected, and certain authorized transactions is increasingly </w:t>
      </w:r>
      <w:r w:rsidRPr="000206E7" w:rsidR="00096FE1">
        <w:rPr>
          <w:szCs w:val="24"/>
        </w:rPr>
        <w:t xml:space="preserve">collected </w:t>
      </w:r>
      <w:r w:rsidRPr="000206E7">
        <w:rPr>
          <w:szCs w:val="24"/>
        </w:rPr>
        <w:t>by automated, electronic, and</w:t>
      </w:r>
      <w:r w:rsidRPr="00C055DA" w:rsidR="006D5164">
        <w:rPr>
          <w:szCs w:val="24"/>
        </w:rPr>
        <w:t>/or</w:t>
      </w:r>
      <w:r w:rsidRPr="00C055DA">
        <w:rPr>
          <w:szCs w:val="24"/>
        </w:rPr>
        <w:t xml:space="preserve"> computerized means.  </w:t>
      </w:r>
      <w:r w:rsidRPr="00C055DA" w:rsidR="00C03542">
        <w:rPr>
          <w:szCs w:val="24"/>
        </w:rPr>
        <w:t xml:space="preserve">While OFAC had offered electronic reporting options for submission of blocking </w:t>
      </w:r>
      <w:r w:rsidRPr="00C055DA" w:rsidR="00DB264A">
        <w:rPr>
          <w:szCs w:val="24"/>
        </w:rPr>
        <w:t xml:space="preserve">and reject </w:t>
      </w:r>
      <w:r w:rsidRPr="00C055DA" w:rsidR="00C03542">
        <w:rPr>
          <w:szCs w:val="24"/>
        </w:rPr>
        <w:t>reports for many years</w:t>
      </w:r>
      <w:r w:rsidRPr="00C055DA">
        <w:rPr>
          <w:szCs w:val="24"/>
        </w:rPr>
        <w:t>,</w:t>
      </w:r>
      <w:r w:rsidRPr="00C055DA" w:rsidR="00C03542">
        <w:rPr>
          <w:szCs w:val="24"/>
        </w:rPr>
        <w:t xml:space="preserve"> </w:t>
      </w:r>
      <w:r w:rsidRPr="00C055DA" w:rsidR="00DB264A">
        <w:rPr>
          <w:szCs w:val="24"/>
        </w:rPr>
        <w:t xml:space="preserve">OFAC issued </w:t>
      </w:r>
      <w:r w:rsidR="006635B5">
        <w:rPr>
          <w:szCs w:val="24"/>
        </w:rPr>
        <w:t xml:space="preserve">ORS, which is </w:t>
      </w:r>
      <w:r w:rsidRPr="00C055DA" w:rsidR="00DB264A">
        <w:rPr>
          <w:szCs w:val="24"/>
        </w:rPr>
        <w:t xml:space="preserve">a </w:t>
      </w:r>
      <w:r w:rsidRPr="00C055DA">
        <w:rPr>
          <w:szCs w:val="24"/>
        </w:rPr>
        <w:t>more robust electronic filing system</w:t>
      </w:r>
      <w:r w:rsidR="006635B5">
        <w:rPr>
          <w:szCs w:val="24"/>
        </w:rPr>
        <w:t xml:space="preserve">, </w:t>
      </w:r>
      <w:r w:rsidRPr="00C055DA" w:rsidR="00DB264A">
        <w:rPr>
          <w:szCs w:val="24"/>
        </w:rPr>
        <w:t>in</w:t>
      </w:r>
      <w:r w:rsidRPr="00C055DA" w:rsidR="00050521">
        <w:rPr>
          <w:szCs w:val="24"/>
        </w:rPr>
        <w:t xml:space="preserve"> </w:t>
      </w:r>
      <w:r w:rsidRPr="00C055DA" w:rsidR="00DB264A">
        <w:rPr>
          <w:szCs w:val="24"/>
        </w:rPr>
        <w:t>early 2018</w:t>
      </w:r>
      <w:r>
        <w:rPr>
          <w:szCs w:val="24"/>
        </w:rPr>
        <w:t xml:space="preserve">.  ORS currently </w:t>
      </w:r>
      <w:r w:rsidRPr="00C055DA">
        <w:rPr>
          <w:szCs w:val="24"/>
        </w:rPr>
        <w:t>collect</w:t>
      </w:r>
      <w:r>
        <w:rPr>
          <w:szCs w:val="24"/>
        </w:rPr>
        <w:t>s</w:t>
      </w:r>
      <w:r w:rsidRPr="00C055DA">
        <w:rPr>
          <w:szCs w:val="24"/>
        </w:rPr>
        <w:t xml:space="preserve"> reports on </w:t>
      </w:r>
      <w:r w:rsidRPr="00710F3F" w:rsidR="00064E32">
        <w:t>initial</w:t>
      </w:r>
      <w:r w:rsidR="00064E32">
        <w:t xml:space="preserve"> </w:t>
      </w:r>
      <w:r w:rsidR="00D402F7">
        <w:t xml:space="preserve">reports of </w:t>
      </w:r>
      <w:r w:rsidR="00064E32">
        <w:t>blocked property</w:t>
      </w:r>
      <w:r w:rsidR="00E87B97">
        <w:t>, ARBPs,</w:t>
      </w:r>
      <w:r w:rsidR="00064E32">
        <w:t xml:space="preserve"> and rejected transaction</w:t>
      </w:r>
      <w:r w:rsidR="00D402F7">
        <w:t>s</w:t>
      </w:r>
      <w:r w:rsidR="00064E32">
        <w:t xml:space="preserve"> </w:t>
      </w:r>
      <w:r w:rsidRPr="00C055DA">
        <w:rPr>
          <w:szCs w:val="24"/>
        </w:rPr>
        <w:t>submitted pursuant to §§</w:t>
      </w:r>
      <w:r w:rsidR="000D6EF3">
        <w:rPr>
          <w:szCs w:val="24"/>
        </w:rPr>
        <w:t> </w:t>
      </w:r>
      <w:r w:rsidRPr="00C055DA">
        <w:rPr>
          <w:szCs w:val="24"/>
        </w:rPr>
        <w:t xml:space="preserve">501.603 and 501.604.  </w:t>
      </w:r>
      <w:r w:rsidR="00E87B97">
        <w:rPr>
          <w:szCs w:val="24"/>
        </w:rPr>
        <w:t>ORS</w:t>
      </w:r>
      <w:r w:rsidRPr="00C055DA">
        <w:rPr>
          <w:szCs w:val="24"/>
        </w:rPr>
        <w:t xml:space="preserve"> incorporates user management, audit, and reporting features to improve the quality of report data</w:t>
      </w:r>
      <w:r w:rsidR="00064E32">
        <w:rPr>
          <w:szCs w:val="24"/>
        </w:rPr>
        <w:t xml:space="preserve">, </w:t>
      </w:r>
      <w:r w:rsidRPr="00C055DA">
        <w:rPr>
          <w:szCs w:val="24"/>
        </w:rPr>
        <w:t>facilitate</w:t>
      </w:r>
      <w:r w:rsidR="00AC324C">
        <w:rPr>
          <w:szCs w:val="24"/>
        </w:rPr>
        <w:t>s</w:t>
      </w:r>
      <w:r w:rsidRPr="00C055DA">
        <w:rPr>
          <w:szCs w:val="24"/>
        </w:rPr>
        <w:t xml:space="preserve"> regulatory compliance</w:t>
      </w:r>
      <w:r w:rsidR="00064E32">
        <w:rPr>
          <w:szCs w:val="24"/>
        </w:rPr>
        <w:t xml:space="preserve">, and </w:t>
      </w:r>
      <w:r w:rsidR="00064E32">
        <w:rPr>
          <w:szCs w:val="24"/>
        </w:rPr>
        <w:t>enhance</w:t>
      </w:r>
      <w:r w:rsidR="00AC324C">
        <w:rPr>
          <w:szCs w:val="24"/>
        </w:rPr>
        <w:t>s</w:t>
      </w:r>
      <w:r w:rsidR="00064E32">
        <w:rPr>
          <w:szCs w:val="24"/>
        </w:rPr>
        <w:t xml:space="preserve"> efficiencies for both filers and OFAC</w:t>
      </w:r>
      <w:r w:rsidRPr="00C055DA">
        <w:rPr>
          <w:szCs w:val="24"/>
        </w:rPr>
        <w:t xml:space="preserve">.  </w:t>
      </w:r>
      <w:r w:rsidRPr="00C055DA" w:rsidR="00C96FF1">
        <w:rPr>
          <w:szCs w:val="24"/>
        </w:rPr>
        <w:t xml:space="preserve">ORS was developed through feedback from private sector users to help streamline reporting to OFAC and to reduce the burden for both the private sector and the </w:t>
      </w:r>
      <w:r w:rsidRPr="00C055DA" w:rsidR="00C03542">
        <w:rPr>
          <w:szCs w:val="24"/>
        </w:rPr>
        <w:t xml:space="preserve">U.S. </w:t>
      </w:r>
      <w:r w:rsidRPr="00C055DA" w:rsidR="00C96FF1">
        <w:rPr>
          <w:szCs w:val="24"/>
        </w:rPr>
        <w:t xml:space="preserve">government. </w:t>
      </w:r>
      <w:r w:rsidR="004F6F92">
        <w:rPr>
          <w:szCs w:val="24"/>
        </w:rPr>
        <w:t xml:space="preserve"> </w:t>
      </w:r>
      <w:r w:rsidR="00E87B97">
        <w:rPr>
          <w:szCs w:val="24"/>
        </w:rPr>
        <w:t>ORS</w:t>
      </w:r>
      <w:r w:rsidRPr="00C055DA">
        <w:rPr>
          <w:szCs w:val="24"/>
        </w:rPr>
        <w:t xml:space="preserve"> reduce</w:t>
      </w:r>
      <w:r w:rsidRPr="00C055DA" w:rsidR="00F01B1E">
        <w:rPr>
          <w:szCs w:val="24"/>
        </w:rPr>
        <w:t>s</w:t>
      </w:r>
      <w:r w:rsidRPr="00C055DA">
        <w:rPr>
          <w:szCs w:val="24"/>
        </w:rPr>
        <w:t xml:space="preserve"> the time it takes for </w:t>
      </w:r>
      <w:r w:rsidRPr="00C055DA" w:rsidR="00187711">
        <w:rPr>
          <w:szCs w:val="24"/>
        </w:rPr>
        <w:t xml:space="preserve">many </w:t>
      </w:r>
      <w:r w:rsidRPr="00C055DA">
        <w:rPr>
          <w:szCs w:val="24"/>
        </w:rPr>
        <w:t>submitters to provide the required information to OFAC, and the system provide</w:t>
      </w:r>
      <w:r w:rsidRPr="00C055DA" w:rsidR="00F01B1E">
        <w:rPr>
          <w:szCs w:val="24"/>
        </w:rPr>
        <w:t>s</w:t>
      </w:r>
      <w:r w:rsidRPr="00C055DA">
        <w:rPr>
          <w:szCs w:val="24"/>
        </w:rPr>
        <w:t xml:space="preserve"> submitters with a confirmation that the report has been received and accepted by OFAC.</w:t>
      </w:r>
    </w:p>
    <w:p w:rsidR="00A15B66" w:rsidP="009444C1" w14:paraId="7CC84B1C" w14:textId="77777777">
      <w:pPr>
        <w:rPr>
          <w:szCs w:val="24"/>
        </w:rPr>
      </w:pPr>
    </w:p>
    <w:p w:rsidR="009444C1" w:rsidRPr="004265F5" w:rsidP="005B38FA" w14:paraId="17A627DC" w14:textId="79732161">
      <w:pPr>
        <w:ind w:firstLine="720"/>
      </w:pPr>
      <w:r>
        <w:t xml:space="preserve">OFAC </w:t>
      </w:r>
      <w:r w:rsidR="00ED2EBE">
        <w:t>plans to mandate</w:t>
      </w:r>
      <w:r>
        <w:t xml:space="preserve"> electronic reporting via ORS </w:t>
      </w:r>
      <w:r>
        <w:rPr>
          <w:szCs w:val="24"/>
        </w:rPr>
        <w:t xml:space="preserve">for </w:t>
      </w:r>
      <w:r w:rsidRPr="00710F3F">
        <w:t>initial</w:t>
      </w:r>
      <w:r>
        <w:t xml:space="preserve"> </w:t>
      </w:r>
      <w:r w:rsidR="00D402F7">
        <w:t xml:space="preserve">reports of </w:t>
      </w:r>
      <w:r>
        <w:t>blocked property</w:t>
      </w:r>
      <w:r w:rsidR="00D402F7">
        <w:t>,</w:t>
      </w:r>
      <w:r w:rsidRPr="00E87B97" w:rsidR="00E87B97">
        <w:t xml:space="preserve"> </w:t>
      </w:r>
      <w:r w:rsidR="00E87B97">
        <w:t>ARBPs, and</w:t>
      </w:r>
      <w:r>
        <w:t xml:space="preserve"> rejected transaction reports</w:t>
      </w:r>
      <w:r w:rsidR="00E87B97">
        <w:t xml:space="preserve"> </w:t>
      </w:r>
      <w:r w:rsidR="00C1543F">
        <w:t xml:space="preserve">effective </w:t>
      </w:r>
      <w:r w:rsidR="008D42C0">
        <w:t>August 8, 2024</w:t>
      </w:r>
      <w:r w:rsidR="00D410C9">
        <w:rPr>
          <w:szCs w:val="24"/>
        </w:rPr>
        <w:t xml:space="preserve">.  </w:t>
      </w:r>
      <w:r w:rsidRPr="00BB7E38" w:rsidR="00A15B66">
        <w:t xml:space="preserve">OFAC expects the use of electronic reporting via ORS </w:t>
      </w:r>
      <w:r w:rsidR="00A15B66">
        <w:t>to</w:t>
      </w:r>
      <w:r w:rsidRPr="00BB7E38" w:rsidR="00A15B66">
        <w:t xml:space="preserve"> </w:t>
      </w:r>
      <w:r w:rsidR="00747701">
        <w:t xml:space="preserve">produce a small </w:t>
      </w:r>
      <w:r w:rsidRPr="00BB7E38" w:rsidR="00A15B66">
        <w:t>reduc</w:t>
      </w:r>
      <w:r w:rsidR="00747701">
        <w:t>tion in</w:t>
      </w:r>
      <w:r w:rsidRPr="00BB7E38" w:rsidR="00A15B66">
        <w:t xml:space="preserve"> the overall burden of reporting for respondents over time</w:t>
      </w:r>
      <w:r w:rsidR="00A15B66">
        <w:t>, even th</w:t>
      </w:r>
      <w:r w:rsidR="004265F5">
        <w:t>ough the mandate for electronic reporting via ORS</w:t>
      </w:r>
      <w:r w:rsidRPr="00BB7E38" w:rsidR="00A15B66">
        <w:t xml:space="preserve"> </w:t>
      </w:r>
      <w:r w:rsidR="004265F5">
        <w:t xml:space="preserve">may </w:t>
      </w:r>
      <w:r w:rsidRPr="00BB7E38" w:rsidR="00A15B66">
        <w:t xml:space="preserve">impose </w:t>
      </w:r>
      <w:r w:rsidR="004265F5">
        <w:t xml:space="preserve">some initial </w:t>
      </w:r>
      <w:r w:rsidRPr="00BB7E38" w:rsidR="00A15B66">
        <w:t xml:space="preserve">costs </w:t>
      </w:r>
      <w:r w:rsidR="004265F5">
        <w:t>for a few</w:t>
      </w:r>
      <w:r w:rsidRPr="00BB7E38" w:rsidR="00A15B66">
        <w:t xml:space="preserve"> businesses that do not already file reports </w:t>
      </w:r>
      <w:r>
        <w:t>electronically</w:t>
      </w:r>
      <w:r w:rsidR="00D14E46">
        <w:t xml:space="preserve">. </w:t>
      </w:r>
      <w:r w:rsidR="00BD1735">
        <w:t xml:space="preserve"> </w:t>
      </w:r>
      <w:r w:rsidR="00BC7499">
        <w:t xml:space="preserve">OFAC </w:t>
      </w:r>
      <w:r w:rsidR="00D14E46">
        <w:t>is taking into account this initial increase in burden</w:t>
      </w:r>
      <w:r w:rsidR="00BC7499">
        <w:t xml:space="preserve"> in its </w:t>
      </w:r>
      <w:r w:rsidR="009D3F1E">
        <w:t xml:space="preserve">calculation of the </w:t>
      </w:r>
      <w:r w:rsidR="00BC7499">
        <w:t>time and cost burden estimates</w:t>
      </w:r>
      <w:r w:rsidR="00D14E46">
        <w:t xml:space="preserve"> for this rule</w:t>
      </w:r>
      <w:r>
        <w:t>.</w:t>
      </w:r>
      <w:r w:rsidRPr="00BB7E38" w:rsidR="00A15B66">
        <w:t xml:space="preserve">  </w:t>
      </w:r>
      <w:r>
        <w:t xml:space="preserve">However, </w:t>
      </w:r>
      <w:r w:rsidRPr="00BB7E38" w:rsidR="00A15B66">
        <w:t>OFAC estimates that</w:t>
      </w:r>
      <w:r>
        <w:t xml:space="preserve">, as of </w:t>
      </w:r>
      <w:r w:rsidR="00D410C9">
        <w:t>spring 2023</w:t>
      </w:r>
      <w:r w:rsidRPr="00BB7E38" w:rsidR="00A15B66">
        <w:t>, less than 1% (estimated 0.03%) of reports are submitted to OFAC using non-electronic methods, while approximately 9</w:t>
      </w:r>
      <w:r w:rsidR="00A15B66">
        <w:t>6</w:t>
      </w:r>
      <w:r w:rsidRPr="00BB7E38" w:rsidR="00A15B66">
        <w:t xml:space="preserve">% of reports are submitted electronically via </w:t>
      </w:r>
      <w:r w:rsidR="004F1216">
        <w:t>ORS</w:t>
      </w:r>
      <w:r w:rsidRPr="00BB7E38" w:rsidR="00A15B66">
        <w:t xml:space="preserve">, and approximately </w:t>
      </w:r>
      <w:r w:rsidR="00A15B66">
        <w:t>3</w:t>
      </w:r>
      <w:r w:rsidRPr="00BB7E38" w:rsidR="00A15B66">
        <w:t xml:space="preserve">% of reports are submitted electronically to OFAC via email.  OFAC is taking into account a potential small initial increase in burden and cost for an extremely small number of respondents (estimated 0.03%) who would need to transition from filing paper reports </w:t>
      </w:r>
      <w:r w:rsidR="00D402F7">
        <w:t xml:space="preserve">via mail </w:t>
      </w:r>
      <w:r w:rsidRPr="00BB7E38" w:rsidR="00A15B66">
        <w:t>to the new ORS electronic system.</w:t>
      </w:r>
      <w:r w:rsidRPr="00BB7E38" w:rsidR="00A15B66">
        <w:rPr>
          <w:szCs w:val="24"/>
        </w:rPr>
        <w:t xml:space="preserve">  Overall,</w:t>
      </w:r>
      <w:r w:rsidRPr="00BB7E38" w:rsidR="00A15B66">
        <w:t xml:space="preserve"> OFAC estimates that there should be a minimal burden in mandating electronic submission via ORS because almost all filers currently send reports to OFAC electronically in some way, and the majority of those filers already send reports to OFAC via ORS.</w:t>
      </w:r>
    </w:p>
    <w:p w:rsidR="009444C1" w:rsidRPr="00C055DA" w:rsidP="009444C1" w14:paraId="5C53D4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2B0F98" w:rsidP="009444C1" w14:paraId="17045C5A" w14:textId="36804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C055DA">
        <w:rPr>
          <w:szCs w:val="24"/>
        </w:rPr>
        <w:t>4</w:t>
      </w:r>
      <w:r w:rsidRPr="002B0F98">
        <w:rPr>
          <w:szCs w:val="24"/>
        </w:rPr>
        <w:t xml:space="preserve">. </w:t>
      </w:r>
      <w:r w:rsidRPr="002B0F98">
        <w:rPr>
          <w:szCs w:val="24"/>
          <w:u w:val="single"/>
        </w:rPr>
        <w:t>Duplication</w:t>
      </w:r>
      <w:r w:rsidRPr="00C055DA">
        <w:rPr>
          <w:szCs w:val="24"/>
          <w:u w:val="single"/>
        </w:rPr>
        <w:t xml:space="preserve"> of Information</w:t>
      </w:r>
      <w:r w:rsidR="002B0F98">
        <w:rPr>
          <w:iCs/>
          <w:szCs w:val="24"/>
        </w:rPr>
        <w:t>.</w:t>
      </w:r>
    </w:p>
    <w:p w:rsidR="009444C1" w:rsidRPr="00C055DA" w:rsidP="009444C1" w14:paraId="1D579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450955EA" w14:textId="648B89E5">
      <w:pPr>
        <w:rPr>
          <w:szCs w:val="24"/>
        </w:rPr>
      </w:pPr>
      <w:r w:rsidRPr="00C055DA">
        <w:rPr>
          <w:szCs w:val="24"/>
        </w:rPr>
        <w:tab/>
        <w:t>Generally, the information that OFAC requires pertains to individual property and transactions and is not available to OFAC other than through a specific report.  Each individual report of information provided is of a limited nature, separate, and unique</w:t>
      </w:r>
      <w:r w:rsidR="007231EA">
        <w:rPr>
          <w:szCs w:val="24"/>
        </w:rPr>
        <w:t xml:space="preserve">.  </w:t>
      </w:r>
      <w:r w:rsidR="00254744">
        <w:rPr>
          <w:szCs w:val="24"/>
        </w:rPr>
        <w:t xml:space="preserve">There is generally no duplication of records. </w:t>
      </w:r>
      <w:r w:rsidR="00F40FEE">
        <w:rPr>
          <w:szCs w:val="24"/>
        </w:rPr>
        <w:t xml:space="preserve"> </w:t>
      </w:r>
      <w:r w:rsidRPr="00C055DA">
        <w:rPr>
          <w:szCs w:val="24"/>
        </w:rPr>
        <w:t xml:space="preserve">Each item is based upon a new occurrence pertaining to a designated or otherwise blocked person or activities or transactions that are otherwise prohibited.  </w:t>
      </w:r>
      <w:r w:rsidR="00254744">
        <w:rPr>
          <w:szCs w:val="24"/>
        </w:rPr>
        <w:t>To the extent persons have actual knowledge that a report has been filed with respect to a transaction</w:t>
      </w:r>
      <w:r w:rsidR="00431940">
        <w:rPr>
          <w:szCs w:val="24"/>
        </w:rPr>
        <w:t xml:space="preserve"> pursuant to </w:t>
      </w:r>
      <w:r w:rsidRPr="00C055DA" w:rsidR="00431940">
        <w:rPr>
          <w:szCs w:val="24"/>
        </w:rPr>
        <w:t>§</w:t>
      </w:r>
      <w:r w:rsidR="00453F59">
        <w:rPr>
          <w:szCs w:val="24"/>
        </w:rPr>
        <w:t> </w:t>
      </w:r>
      <w:r w:rsidRPr="00C055DA" w:rsidR="00431940">
        <w:rPr>
          <w:szCs w:val="24"/>
        </w:rPr>
        <w:t>501.603</w:t>
      </w:r>
      <w:r w:rsidR="00254744">
        <w:rPr>
          <w:szCs w:val="24"/>
        </w:rPr>
        <w:t>, they are excused from filing a duplicate report with respect to the same transaction.</w:t>
      </w:r>
      <w:r w:rsidR="0080009C">
        <w:rPr>
          <w:szCs w:val="24"/>
        </w:rPr>
        <w:t xml:space="preserve">  In addition, the </w:t>
      </w:r>
      <w:r w:rsidR="00520482">
        <w:rPr>
          <w:szCs w:val="24"/>
        </w:rPr>
        <w:t xml:space="preserve">new </w:t>
      </w:r>
      <w:r w:rsidR="0080009C">
        <w:rPr>
          <w:szCs w:val="24"/>
        </w:rPr>
        <w:t xml:space="preserve">REPO for Ukrainians Act </w:t>
      </w:r>
      <w:r w:rsidR="00520482">
        <w:rPr>
          <w:szCs w:val="24"/>
        </w:rPr>
        <w:t xml:space="preserve">reporting requirement </w:t>
      </w:r>
      <w:r w:rsidR="0080009C">
        <w:rPr>
          <w:szCs w:val="24"/>
        </w:rPr>
        <w:t>provides that duplicative reporting of Russian sovereign assets is not required</w:t>
      </w:r>
      <w:r w:rsidR="00520482">
        <w:rPr>
          <w:szCs w:val="24"/>
        </w:rPr>
        <w:t xml:space="preserve"> if such assets have already been reported as blocked or immobilized property</w:t>
      </w:r>
      <w:r w:rsidR="0080009C">
        <w:rPr>
          <w:szCs w:val="24"/>
        </w:rPr>
        <w:t>.</w:t>
      </w:r>
    </w:p>
    <w:p w:rsidR="009444C1" w:rsidRPr="00C055DA" w:rsidP="009444C1" w14:paraId="1231D3A4" w14:textId="77777777">
      <w:pPr>
        <w:rPr>
          <w:szCs w:val="24"/>
        </w:rPr>
      </w:pPr>
    </w:p>
    <w:p w:rsidR="009444C1" w:rsidRPr="00C055DA" w:rsidP="009444C1" w14:paraId="1C91080E" w14:textId="4E2DC8C8">
      <w:pPr>
        <w:rPr>
          <w:szCs w:val="24"/>
        </w:rPr>
      </w:pPr>
      <w:r w:rsidRPr="00C055DA">
        <w:rPr>
          <w:szCs w:val="24"/>
        </w:rPr>
        <w:tab/>
        <w:t xml:space="preserve">All U.S. persons </w:t>
      </w:r>
      <w:r w:rsidR="00FA1B05">
        <w:rPr>
          <w:szCs w:val="24"/>
        </w:rPr>
        <w:t>(</w:t>
      </w:r>
      <w:r w:rsidR="00A26EFB">
        <w:rPr>
          <w:szCs w:val="24"/>
        </w:rPr>
        <w:t xml:space="preserve">and </w:t>
      </w:r>
      <w:r w:rsidR="00FA1B05">
        <w:rPr>
          <w:szCs w:val="24"/>
        </w:rPr>
        <w:t xml:space="preserve">persons subject to U.S. jurisdiction in the case of the Cuban Assets Control Regulations, 31 CFR part 515) </w:t>
      </w:r>
      <w:r w:rsidRPr="00C055DA">
        <w:rPr>
          <w:szCs w:val="24"/>
        </w:rPr>
        <w:t>are required to make individual reports on property that they have blocked or transactions they have rejected within 10 days from the blocking or rejection</w:t>
      </w:r>
      <w:r w:rsidR="00726AA9">
        <w:rPr>
          <w:szCs w:val="24"/>
        </w:rPr>
        <w:t xml:space="preserve"> </w:t>
      </w:r>
      <w:r w:rsidRPr="00C055DA">
        <w:rPr>
          <w:szCs w:val="24"/>
        </w:rPr>
        <w:t xml:space="preserve">and are also required to report on an annual basis all blocked property under their </w:t>
      </w:r>
      <w:r w:rsidR="00C1543F">
        <w:rPr>
          <w:szCs w:val="24"/>
        </w:rPr>
        <w:t xml:space="preserve">possession or </w:t>
      </w:r>
      <w:r w:rsidRPr="00C055DA">
        <w:rPr>
          <w:szCs w:val="24"/>
        </w:rPr>
        <w:t xml:space="preserve">control.  The </w:t>
      </w:r>
      <w:r w:rsidR="00E87B97">
        <w:rPr>
          <w:szCs w:val="24"/>
        </w:rPr>
        <w:t>ARBP</w:t>
      </w:r>
      <w:r w:rsidRPr="00C055DA">
        <w:rPr>
          <w:szCs w:val="24"/>
        </w:rPr>
        <w:t xml:space="preserve"> is not a duplicate of the information previously reported</w:t>
      </w:r>
      <w:r w:rsidR="00C1543F">
        <w:rPr>
          <w:szCs w:val="24"/>
        </w:rPr>
        <w:t xml:space="preserve">, even though it does have some overlap with information previously reported through blocking reports and the new reports of unblocked or transferred </w:t>
      </w:r>
      <w:r w:rsidR="00E87B97">
        <w:rPr>
          <w:szCs w:val="24"/>
        </w:rPr>
        <w:t xml:space="preserve">blocked </w:t>
      </w:r>
      <w:r w:rsidR="00C1543F">
        <w:rPr>
          <w:szCs w:val="24"/>
        </w:rPr>
        <w:t>property</w:t>
      </w:r>
      <w:r w:rsidRPr="00C055DA">
        <w:rPr>
          <w:szCs w:val="24"/>
        </w:rPr>
        <w:t xml:space="preserve">.  </w:t>
      </w:r>
      <w:r w:rsidR="00C1543F">
        <w:rPr>
          <w:szCs w:val="24"/>
        </w:rPr>
        <w:t>However, b</w:t>
      </w:r>
      <w:r w:rsidRPr="00C055DA">
        <w:rPr>
          <w:szCs w:val="24"/>
        </w:rPr>
        <w:t>ecause various authorized or otherwise legal transactions can occur throughout the year affecting the amount of particular blocked assets</w:t>
      </w:r>
      <w:r w:rsidRPr="00E87B97" w:rsidR="00E87B97">
        <w:rPr>
          <w:szCs w:val="24"/>
        </w:rPr>
        <w:t xml:space="preserve"> </w:t>
      </w:r>
      <w:r w:rsidR="00E87B97">
        <w:rPr>
          <w:szCs w:val="24"/>
        </w:rPr>
        <w:t>which are not reported to OFAC</w:t>
      </w:r>
      <w:r w:rsidRPr="00C055DA">
        <w:rPr>
          <w:szCs w:val="24"/>
        </w:rPr>
        <w:t>, such as generally authorized debits for administrative fees</w:t>
      </w:r>
      <w:r w:rsidR="007F3F6C">
        <w:rPr>
          <w:szCs w:val="24"/>
        </w:rPr>
        <w:t xml:space="preserve"> or</w:t>
      </w:r>
      <w:r w:rsidRPr="00C055DA">
        <w:rPr>
          <w:szCs w:val="24"/>
        </w:rPr>
        <w:t xml:space="preserve"> generally authorized crediting of interest earned,</w:t>
      </w:r>
      <w:r w:rsidR="007F3F6C">
        <w:rPr>
          <w:szCs w:val="24"/>
        </w:rPr>
        <w:t xml:space="preserve"> it is </w:t>
      </w:r>
      <w:r w:rsidRPr="00C055DA">
        <w:rPr>
          <w:szCs w:val="24"/>
        </w:rPr>
        <w:t xml:space="preserve">only through the </w:t>
      </w:r>
      <w:r w:rsidRPr="00C055DA">
        <w:rPr>
          <w:szCs w:val="24"/>
        </w:rPr>
        <w:t xml:space="preserve">annual reporting requirement </w:t>
      </w:r>
      <w:r w:rsidR="00943B9D">
        <w:rPr>
          <w:szCs w:val="24"/>
        </w:rPr>
        <w:t xml:space="preserve">that </w:t>
      </w:r>
      <w:r w:rsidRPr="00C055DA">
        <w:rPr>
          <w:szCs w:val="24"/>
        </w:rPr>
        <w:t xml:space="preserve">OFAC </w:t>
      </w:r>
      <w:r w:rsidR="00943B9D">
        <w:rPr>
          <w:szCs w:val="24"/>
        </w:rPr>
        <w:t>can</w:t>
      </w:r>
      <w:r w:rsidRPr="00C055DA">
        <w:rPr>
          <w:szCs w:val="24"/>
        </w:rPr>
        <w:t xml:space="preserve"> be apprised of the </w:t>
      </w:r>
      <w:r w:rsidR="00C1543F">
        <w:rPr>
          <w:szCs w:val="24"/>
        </w:rPr>
        <w:t>complete, accurate</w:t>
      </w:r>
      <w:r w:rsidRPr="00C055DA" w:rsidR="00C1543F">
        <w:rPr>
          <w:szCs w:val="24"/>
        </w:rPr>
        <w:t xml:space="preserve"> </w:t>
      </w:r>
      <w:r w:rsidRPr="00C055DA">
        <w:rPr>
          <w:szCs w:val="24"/>
        </w:rPr>
        <w:t xml:space="preserve">status of all blocked property.  Current information is required for the purpose of Treasury’s congressionally mandated </w:t>
      </w:r>
      <w:r w:rsidR="00520482">
        <w:rPr>
          <w:szCs w:val="24"/>
        </w:rPr>
        <w:t xml:space="preserve">reports, including the </w:t>
      </w:r>
      <w:r w:rsidRPr="00C055DA">
        <w:rPr>
          <w:szCs w:val="24"/>
        </w:rPr>
        <w:t>annual report on terrorist assets</w:t>
      </w:r>
      <w:r w:rsidR="00520482">
        <w:rPr>
          <w:szCs w:val="24"/>
        </w:rPr>
        <w:t>,</w:t>
      </w:r>
      <w:r w:rsidRPr="00C055DA">
        <w:rPr>
          <w:szCs w:val="24"/>
        </w:rPr>
        <w:t xml:space="preserve"> as well as for U.S. national security and foreign policy purposes concerning negotiations with impacted countries</w:t>
      </w:r>
      <w:r w:rsidR="00E87B97">
        <w:rPr>
          <w:szCs w:val="24"/>
        </w:rPr>
        <w:t xml:space="preserve"> or targeted persons</w:t>
      </w:r>
      <w:r w:rsidRPr="00C055DA">
        <w:rPr>
          <w:szCs w:val="24"/>
        </w:rPr>
        <w:t>.</w:t>
      </w:r>
    </w:p>
    <w:p w:rsidR="009444C1" w:rsidRPr="00C055DA" w:rsidP="009444C1" w14:paraId="02EED3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4D2F51" w:rsidP="00FA1B05" w14:paraId="1F4353EE" w14:textId="46F8166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2B0F98">
        <w:rPr>
          <w:szCs w:val="24"/>
        </w:rPr>
        <w:t xml:space="preserve">5. </w:t>
      </w:r>
      <w:r w:rsidRPr="002B0F98">
        <w:rPr>
          <w:szCs w:val="24"/>
          <w:u w:val="single"/>
        </w:rPr>
        <w:t>Reducing</w:t>
      </w:r>
      <w:r w:rsidRPr="00C055DA">
        <w:rPr>
          <w:szCs w:val="24"/>
          <w:u w:val="single"/>
        </w:rPr>
        <w:t xml:space="preserve"> the Burden on Small Entitie</w:t>
      </w:r>
      <w:r w:rsidRPr="002B0F98">
        <w:rPr>
          <w:szCs w:val="24"/>
          <w:u w:val="single"/>
        </w:rPr>
        <w:t>s</w:t>
      </w:r>
      <w:r w:rsidRPr="002B0F98">
        <w:rPr>
          <w:szCs w:val="24"/>
        </w:rPr>
        <w:t>.</w:t>
      </w:r>
    </w:p>
    <w:p w:rsidR="009444C1" w:rsidRPr="00C055DA" w:rsidP="00FA1B05" w14:paraId="74F7883C" w14:textId="77777777">
      <w:pPr>
        <w:keepNext/>
        <w:rPr>
          <w:szCs w:val="24"/>
        </w:rPr>
      </w:pPr>
    </w:p>
    <w:p w:rsidR="009444C1" w:rsidRPr="00C055DA" w:rsidP="00FA1B05" w14:paraId="57324E2C" w14:textId="3D8679D0">
      <w:pPr>
        <w:keepNext/>
        <w:rPr>
          <w:szCs w:val="24"/>
        </w:rPr>
      </w:pPr>
      <w:r w:rsidRPr="00C055DA">
        <w:rPr>
          <w:szCs w:val="24"/>
        </w:rPr>
        <w:tab/>
        <w:t>The information collections under this OMB control number may affect a limited number of small businesses or other small entities that hold blocked property, reject transactions, or engage in transactions prohibited, unless otherwise authorized, by the individual parts in 31 CFR chapter V.  With regard to blocked property or rejected transactions, OFAC has published guidance on its website to help smaller entities with more constrained compliance resources to understand their obligations to block and reject certain transactions and to report these transactions to OFAC.</w:t>
      </w:r>
      <w:r w:rsidR="008B4303">
        <w:rPr>
          <w:szCs w:val="24"/>
        </w:rPr>
        <w:t xml:space="preserve"> </w:t>
      </w:r>
      <w:r w:rsidRPr="00C055DA">
        <w:rPr>
          <w:szCs w:val="24"/>
        </w:rPr>
        <w:t xml:space="preserve"> In addition, OFAC has provided detailed forms </w:t>
      </w:r>
      <w:r w:rsidR="00773DD5">
        <w:rPr>
          <w:szCs w:val="24"/>
        </w:rPr>
        <w:t>and guidance on its website</w:t>
      </w:r>
      <w:r w:rsidRPr="00C055DA" w:rsidR="00187711">
        <w:rPr>
          <w:szCs w:val="24"/>
        </w:rPr>
        <w:t xml:space="preserve"> </w:t>
      </w:r>
      <w:r w:rsidRPr="00C055DA">
        <w:rPr>
          <w:szCs w:val="24"/>
        </w:rPr>
        <w:t>to assist persons with submitting reports.</w:t>
      </w:r>
    </w:p>
    <w:p w:rsidR="009444C1" w:rsidRPr="00C055DA" w:rsidP="009444C1" w14:paraId="3FEDC8DF" w14:textId="77777777">
      <w:pPr>
        <w:rPr>
          <w:szCs w:val="24"/>
        </w:rPr>
      </w:pPr>
    </w:p>
    <w:p w:rsidR="009444C1" w:rsidRPr="00757DD3" w:rsidP="009444C1" w14:paraId="203FF984" w14:textId="063AF651">
      <w:pPr>
        <w:ind w:firstLine="720"/>
        <w:rPr>
          <w:szCs w:val="24"/>
        </w:rPr>
      </w:pPr>
      <w:r w:rsidRPr="00C055DA">
        <w:rPr>
          <w:szCs w:val="24"/>
        </w:rPr>
        <w:t xml:space="preserve">In the licensing area in particular, </w:t>
      </w:r>
      <w:r w:rsidR="007F3F6C">
        <w:rPr>
          <w:szCs w:val="24"/>
        </w:rPr>
        <w:t xml:space="preserve">OFAC maintains an electronic </w:t>
      </w:r>
      <w:r w:rsidR="00773DD5">
        <w:rPr>
          <w:szCs w:val="24"/>
        </w:rPr>
        <w:t xml:space="preserve">Licensing Portal on </w:t>
      </w:r>
      <w:r w:rsidR="007F3F6C">
        <w:rPr>
          <w:szCs w:val="24"/>
        </w:rPr>
        <w:t xml:space="preserve">its </w:t>
      </w:r>
      <w:r w:rsidR="00773DD5">
        <w:rPr>
          <w:szCs w:val="24"/>
        </w:rPr>
        <w:t xml:space="preserve">website to </w:t>
      </w:r>
      <w:r w:rsidR="007F3F6C">
        <w:rPr>
          <w:szCs w:val="24"/>
        </w:rPr>
        <w:t xml:space="preserve">receive license applications and </w:t>
      </w:r>
      <w:r w:rsidR="00773DD5">
        <w:rPr>
          <w:szCs w:val="24"/>
        </w:rPr>
        <w:t xml:space="preserve">process licensing </w:t>
      </w:r>
      <w:r w:rsidR="007F3F6C">
        <w:rPr>
          <w:szCs w:val="24"/>
        </w:rPr>
        <w:t xml:space="preserve">files </w:t>
      </w:r>
      <w:r w:rsidR="00773DD5">
        <w:rPr>
          <w:szCs w:val="24"/>
        </w:rPr>
        <w:t xml:space="preserve">more efficiently.  </w:t>
      </w:r>
      <w:r w:rsidR="009D1CF4">
        <w:rPr>
          <w:szCs w:val="24"/>
        </w:rPr>
        <w:t>T</w:t>
      </w:r>
      <w:r w:rsidR="00773DD5">
        <w:rPr>
          <w:szCs w:val="24"/>
        </w:rPr>
        <w:t>he licensing</w:t>
      </w:r>
      <w:r w:rsidRPr="00C055DA">
        <w:rPr>
          <w:szCs w:val="24"/>
        </w:rPr>
        <w:t xml:space="preserve"> application procedures are </w:t>
      </w:r>
      <w:r w:rsidR="001C1EA5">
        <w:rPr>
          <w:szCs w:val="24"/>
        </w:rPr>
        <w:t>straightforward</w:t>
      </w:r>
      <w:r w:rsidRPr="00C055DA">
        <w:rPr>
          <w:szCs w:val="24"/>
        </w:rPr>
        <w:t xml:space="preserve">, and the average time required to complete a license application </w:t>
      </w:r>
      <w:r w:rsidRPr="00C055DA" w:rsidR="00320182">
        <w:rPr>
          <w:szCs w:val="24"/>
        </w:rPr>
        <w:t xml:space="preserve">cover sheet </w:t>
      </w:r>
      <w:r w:rsidRPr="00C055DA">
        <w:rPr>
          <w:szCs w:val="24"/>
        </w:rPr>
        <w:t xml:space="preserve">is </w:t>
      </w:r>
      <w:r w:rsidRPr="00C055DA" w:rsidR="00CA5AE2">
        <w:rPr>
          <w:szCs w:val="24"/>
        </w:rPr>
        <w:t>fifteen minutes</w:t>
      </w:r>
      <w:r w:rsidRPr="00D3497A">
        <w:rPr>
          <w:szCs w:val="24"/>
        </w:rPr>
        <w:t>.  The recordkeeping requirement imposed by § 501.601 is minimal, because the records required to be maintained should already be maintained under standard business practices.</w:t>
      </w:r>
    </w:p>
    <w:p w:rsidR="009444C1" w:rsidRPr="005C779E" w:rsidP="009444C1" w14:paraId="51540303" w14:textId="77777777">
      <w:pPr>
        <w:rPr>
          <w:szCs w:val="24"/>
        </w:rPr>
      </w:pPr>
    </w:p>
    <w:p w:rsidR="009444C1" w:rsidRPr="000206E7" w:rsidP="009444C1" w14:paraId="1F045D90" w14:textId="05E1E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A2BA3">
        <w:rPr>
          <w:szCs w:val="24"/>
        </w:rPr>
        <w:t xml:space="preserve">6. </w:t>
      </w:r>
      <w:r w:rsidRPr="00CA2BA3">
        <w:rPr>
          <w:szCs w:val="24"/>
          <w:u w:val="single"/>
        </w:rPr>
        <w:t>Consequences</w:t>
      </w:r>
      <w:r w:rsidRPr="000206E7">
        <w:rPr>
          <w:szCs w:val="24"/>
          <w:u w:val="single"/>
        </w:rPr>
        <w:t xml:space="preserve"> of Not Conducting Collectio</w:t>
      </w:r>
      <w:r w:rsidRPr="00CA2BA3">
        <w:rPr>
          <w:szCs w:val="24"/>
          <w:u w:val="single"/>
        </w:rPr>
        <w:t>n</w:t>
      </w:r>
      <w:r w:rsidRPr="00CA2BA3">
        <w:rPr>
          <w:szCs w:val="24"/>
        </w:rPr>
        <w:t>.</w:t>
      </w:r>
    </w:p>
    <w:p w:rsidR="009444C1" w:rsidRPr="000206E7" w:rsidP="009444C1" w14:paraId="05861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053E900A" w14:textId="6D307097">
      <w:pPr>
        <w:rPr>
          <w:szCs w:val="24"/>
        </w:rPr>
      </w:pPr>
      <w:r w:rsidRPr="00C055DA">
        <w:rPr>
          <w:szCs w:val="24"/>
        </w:rPr>
        <w:tab/>
        <w:t xml:space="preserve">The information collected is used primarily by OFAC for licensing, compliance, </w:t>
      </w:r>
      <w:r w:rsidRPr="00C055DA" w:rsidR="0042240B">
        <w:rPr>
          <w:szCs w:val="24"/>
        </w:rPr>
        <w:t xml:space="preserve">civil penalty, </w:t>
      </w:r>
      <w:r w:rsidRPr="00C055DA">
        <w:rPr>
          <w:szCs w:val="24"/>
        </w:rPr>
        <w:t>and enforcement purposes.  This information is used to authorize transactions consistent with policy, and to prevent the unauthorized transfer through U.S</w:t>
      </w:r>
      <w:r w:rsidR="00C1543F">
        <w:rPr>
          <w:szCs w:val="24"/>
        </w:rPr>
        <w:t>. persons</w:t>
      </w:r>
      <w:r w:rsidRPr="00C055DA">
        <w:rPr>
          <w:szCs w:val="24"/>
        </w:rPr>
        <w:t xml:space="preserve"> of property in support of targeted governments and persons.  </w:t>
      </w:r>
      <w:r w:rsidR="006238D6">
        <w:rPr>
          <w:szCs w:val="24"/>
        </w:rPr>
        <w:t xml:space="preserve">In addition, the reporting requirement under the REPO for Ukrainians Act is required by recent legislation.  </w:t>
      </w:r>
      <w:r w:rsidRPr="00C055DA">
        <w:rPr>
          <w:szCs w:val="24"/>
        </w:rPr>
        <w:t>Without these collections of information, certain sanctions statutes and Presidential Executive orders, including provisions for authorizing certain otherwise prohibited transactions, cannot be fully implemented and enforced.</w:t>
      </w:r>
      <w:r w:rsidR="006238D6">
        <w:rPr>
          <w:szCs w:val="24"/>
        </w:rPr>
        <w:t xml:space="preserve"> </w:t>
      </w:r>
    </w:p>
    <w:p w:rsidR="009444C1" w:rsidRPr="00C055DA" w:rsidP="009444C1" w14:paraId="4C287E03" w14:textId="77777777">
      <w:pPr>
        <w:rPr>
          <w:szCs w:val="24"/>
        </w:rPr>
      </w:pPr>
    </w:p>
    <w:p w:rsidR="009444C1" w:rsidRPr="00C055DA" w:rsidP="009444C1" w14:paraId="487723A3" w14:textId="44DCC0E3">
      <w:pPr>
        <w:rPr>
          <w:szCs w:val="24"/>
        </w:rPr>
      </w:pPr>
      <w:r w:rsidRPr="00C055DA">
        <w:rPr>
          <w:szCs w:val="24"/>
        </w:rPr>
        <w:tab/>
        <w:t xml:space="preserve">Generally, the information could not be collected less frequently.  For example, the need for information required to </w:t>
      </w:r>
      <w:r w:rsidR="000B1726">
        <w:rPr>
          <w:szCs w:val="24"/>
        </w:rPr>
        <w:t xml:space="preserve">file a blocked property report </w:t>
      </w:r>
      <w:r w:rsidRPr="00C055DA">
        <w:rPr>
          <w:szCs w:val="24"/>
        </w:rPr>
        <w:t xml:space="preserve">arises only at the time </w:t>
      </w:r>
      <w:r w:rsidR="000B1726">
        <w:rPr>
          <w:szCs w:val="24"/>
        </w:rPr>
        <w:t>the filer comes into the possession o</w:t>
      </w:r>
      <w:r w:rsidR="005D2F0F">
        <w:rPr>
          <w:szCs w:val="24"/>
        </w:rPr>
        <w:t>r</w:t>
      </w:r>
      <w:r w:rsidR="000B1726">
        <w:rPr>
          <w:szCs w:val="24"/>
        </w:rPr>
        <w:t xml:space="preserve"> control of such property</w:t>
      </w:r>
      <w:r w:rsidRPr="00C055DA">
        <w:rPr>
          <w:szCs w:val="24"/>
        </w:rPr>
        <w:t>.  Persons availing themselves of certain general licenses may be required to file reports and statements in accordance with the instructions specified in those licenses.  With regard to initial and annual reports of blocked property, reports</w:t>
      </w:r>
      <w:r w:rsidR="00C1543F">
        <w:rPr>
          <w:szCs w:val="24"/>
        </w:rPr>
        <w:t xml:space="preserve"> of unblocked or transferred </w:t>
      </w:r>
      <w:r w:rsidR="00E87B97">
        <w:rPr>
          <w:szCs w:val="24"/>
        </w:rPr>
        <w:t xml:space="preserve">blocked </w:t>
      </w:r>
      <w:r w:rsidR="00C1543F">
        <w:rPr>
          <w:szCs w:val="24"/>
        </w:rPr>
        <w:t>property</w:t>
      </w:r>
      <w:r w:rsidRPr="00C055DA">
        <w:rPr>
          <w:szCs w:val="24"/>
        </w:rPr>
        <w:t>, and reports of rejected transactions</w:t>
      </w:r>
      <w:r w:rsidR="00C1543F">
        <w:rPr>
          <w:szCs w:val="24"/>
        </w:rPr>
        <w:t>,</w:t>
      </w:r>
      <w:r w:rsidR="00235091">
        <w:rPr>
          <w:szCs w:val="24"/>
        </w:rPr>
        <w:t xml:space="preserve"> </w:t>
      </w:r>
      <w:r w:rsidRPr="00C055DA">
        <w:rPr>
          <w:szCs w:val="24"/>
        </w:rPr>
        <w:t xml:space="preserve">if the information were not collected or were collected less frequently, OFAC would have </w:t>
      </w:r>
      <w:r w:rsidR="00C1543F">
        <w:rPr>
          <w:szCs w:val="24"/>
        </w:rPr>
        <w:t xml:space="preserve">more </w:t>
      </w:r>
      <w:r w:rsidRPr="00C055DA">
        <w:rPr>
          <w:szCs w:val="24"/>
        </w:rPr>
        <w:t>limited means of tracking the compliance of U.S. persons with U.S. economic sanctions or the amounts of property currently blocked, some of which is required for OFAC to report to Congress each year.</w:t>
      </w:r>
    </w:p>
    <w:p w:rsidR="009444C1" w:rsidRPr="00C055DA" w:rsidP="009444C1" w14:paraId="1D9F0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79345D5B" w14:textId="32912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A2BA3">
        <w:rPr>
          <w:szCs w:val="24"/>
        </w:rPr>
        <w:t xml:space="preserve">7. </w:t>
      </w:r>
      <w:r w:rsidRPr="00CA2BA3">
        <w:rPr>
          <w:szCs w:val="24"/>
          <w:u w:val="single"/>
        </w:rPr>
        <w:t>Special</w:t>
      </w:r>
      <w:r w:rsidRPr="00C055DA">
        <w:rPr>
          <w:szCs w:val="24"/>
          <w:u w:val="single"/>
        </w:rPr>
        <w:t xml:space="preserve"> Circumstances</w:t>
      </w:r>
      <w:r w:rsidRPr="00090093">
        <w:rPr>
          <w:szCs w:val="24"/>
        </w:rPr>
        <w:t>.</w:t>
      </w:r>
    </w:p>
    <w:p w:rsidR="009444C1" w:rsidRPr="00C055DA" w:rsidP="009444C1" w14:paraId="68EE67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RPr="00C055DA" w:rsidP="00FA1B05" w14:paraId="1D04205E"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Requiring respondents to report information to the bureau more often than quarterly;</w:t>
      </w:r>
    </w:p>
    <w:p w:rsidR="009444C1" w:rsidRPr="00C055DA" w:rsidP="00FA1B05" w14:paraId="425A6B5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9444C1" w:rsidRPr="00C055DA" w:rsidP="00FA1B05" w14:paraId="21D50DD3" w14:textId="02E25D0A">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szCs w:val="24"/>
        </w:rPr>
        <w:t>Respondents are required to submit initial reports of blocked property</w:t>
      </w:r>
      <w:r w:rsidR="007F3F6C">
        <w:rPr>
          <w:szCs w:val="24"/>
        </w:rPr>
        <w:t>, reports of unblocked or transferred blocked property</w:t>
      </w:r>
      <w:r w:rsidRPr="00C055DA">
        <w:rPr>
          <w:szCs w:val="24"/>
        </w:rPr>
        <w:t>,</w:t>
      </w:r>
      <w:r w:rsidRPr="00C055DA" w:rsidR="0020474A">
        <w:rPr>
          <w:szCs w:val="24"/>
        </w:rPr>
        <w:t xml:space="preserve"> </w:t>
      </w:r>
      <w:r w:rsidRPr="00C055DA">
        <w:rPr>
          <w:szCs w:val="24"/>
        </w:rPr>
        <w:t>reports o</w:t>
      </w:r>
      <w:r w:rsidR="00B84143">
        <w:rPr>
          <w:szCs w:val="24"/>
        </w:rPr>
        <w:t>f</w:t>
      </w:r>
      <w:r w:rsidRPr="00C055DA">
        <w:rPr>
          <w:szCs w:val="24"/>
        </w:rPr>
        <w:t xml:space="preserve"> rejected transactions</w:t>
      </w:r>
      <w:r w:rsidR="006238D6">
        <w:rPr>
          <w:szCs w:val="24"/>
        </w:rPr>
        <w:t>, and reports of Russian sovereign assets,</w:t>
      </w:r>
      <w:r w:rsidRPr="00C055DA" w:rsidR="0020474A">
        <w:rPr>
          <w:szCs w:val="24"/>
        </w:rPr>
        <w:t xml:space="preserve"> on a transaction-by-transaction basis</w:t>
      </w:r>
      <w:r w:rsidRPr="00C055DA">
        <w:rPr>
          <w:szCs w:val="24"/>
        </w:rPr>
        <w:t>, annual reports of blocked property on an annual basis</w:t>
      </w:r>
      <w:r w:rsidRPr="00C055DA" w:rsidR="0020474A">
        <w:rPr>
          <w:szCs w:val="24"/>
        </w:rPr>
        <w:t xml:space="preserve">, and reports of certain activities authorized by general license as specified in the </w:t>
      </w:r>
      <w:r w:rsidRPr="00C055DA" w:rsidR="00BF194A">
        <w:rPr>
          <w:szCs w:val="24"/>
        </w:rPr>
        <w:t xml:space="preserve">relevant </w:t>
      </w:r>
      <w:r w:rsidRPr="00C055DA" w:rsidR="0020474A">
        <w:rPr>
          <w:szCs w:val="24"/>
        </w:rPr>
        <w:t>license</w:t>
      </w:r>
      <w:r w:rsidRPr="00C055DA">
        <w:rPr>
          <w:szCs w:val="24"/>
        </w:rPr>
        <w:t>.  Prompt reporting of individual blockings, unblockings</w:t>
      </w:r>
      <w:r w:rsidR="00E87B97">
        <w:rPr>
          <w:szCs w:val="24"/>
        </w:rPr>
        <w:t xml:space="preserve"> or transfers</w:t>
      </w:r>
      <w:r w:rsidRPr="00C055DA">
        <w:rPr>
          <w:szCs w:val="24"/>
        </w:rPr>
        <w:t>, rejected transactions, and certain authorized activities is necessary for OFAC to maintain effective compliance and enforcement.</w:t>
      </w:r>
    </w:p>
    <w:p w:rsidR="009444C1" w:rsidRPr="00C055DA" w:rsidP="00FA1B05" w14:paraId="05801EFD"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1F318064"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Requiring respondents to prepare a written response to a collection of information in fewer than 30 days after receipt of it;</w:t>
      </w:r>
    </w:p>
    <w:p w:rsidR="009444C1" w:rsidRPr="00C055DA" w:rsidP="00FA1B05" w14:paraId="491743C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1C9140FB" w14:textId="1761BFB7">
      <w:pPr>
        <w:tabs>
          <w:tab w:val="left" w:pos="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szCs w:val="24"/>
        </w:rPr>
        <w:t>OFAC requires that reports o</w:t>
      </w:r>
      <w:r w:rsidR="00B84143">
        <w:rPr>
          <w:szCs w:val="24"/>
        </w:rPr>
        <w:t>f</w:t>
      </w:r>
      <w:r w:rsidRPr="00C055DA">
        <w:rPr>
          <w:szCs w:val="24"/>
        </w:rPr>
        <w:t xml:space="preserve"> blocked property</w:t>
      </w:r>
      <w:r w:rsidR="007F3F6C">
        <w:rPr>
          <w:szCs w:val="24"/>
        </w:rPr>
        <w:t>, reports of unblocked or transferred blocked property</w:t>
      </w:r>
      <w:r w:rsidRPr="00C055DA">
        <w:rPr>
          <w:szCs w:val="24"/>
        </w:rPr>
        <w:t>,</w:t>
      </w:r>
      <w:r w:rsidRPr="00C055DA" w:rsidR="008B62EF">
        <w:rPr>
          <w:szCs w:val="24"/>
        </w:rPr>
        <w:t xml:space="preserve"> </w:t>
      </w:r>
      <w:r w:rsidR="00183305">
        <w:rPr>
          <w:szCs w:val="24"/>
        </w:rPr>
        <w:t xml:space="preserve">reports of </w:t>
      </w:r>
      <w:r w:rsidRPr="00C055DA">
        <w:rPr>
          <w:szCs w:val="24"/>
        </w:rPr>
        <w:t>rejected transactions</w:t>
      </w:r>
      <w:r w:rsidR="006238D6">
        <w:rPr>
          <w:szCs w:val="24"/>
        </w:rPr>
        <w:t>, and reports of Russian sovereign assets</w:t>
      </w:r>
      <w:r w:rsidRPr="00C055DA">
        <w:rPr>
          <w:szCs w:val="24"/>
        </w:rPr>
        <w:t xml:space="preserve"> be submitted within 10 days of the blocking,</w:t>
      </w:r>
      <w:r w:rsidRPr="00C055DA" w:rsidR="008B62EF">
        <w:rPr>
          <w:szCs w:val="24"/>
        </w:rPr>
        <w:t xml:space="preserve"> unblocking</w:t>
      </w:r>
      <w:r w:rsidR="00244C6C">
        <w:rPr>
          <w:szCs w:val="24"/>
        </w:rPr>
        <w:t xml:space="preserve"> </w:t>
      </w:r>
      <w:r w:rsidR="007F3F6C">
        <w:rPr>
          <w:szCs w:val="24"/>
        </w:rPr>
        <w:t>transfer</w:t>
      </w:r>
      <w:r w:rsidRPr="00C055DA" w:rsidR="008B62EF">
        <w:rPr>
          <w:szCs w:val="24"/>
        </w:rPr>
        <w:t xml:space="preserve">, </w:t>
      </w:r>
      <w:r w:rsidRPr="00C055DA">
        <w:rPr>
          <w:szCs w:val="24"/>
        </w:rPr>
        <w:t>rejection,</w:t>
      </w:r>
      <w:r w:rsidR="0063024A">
        <w:rPr>
          <w:szCs w:val="24"/>
        </w:rPr>
        <w:t xml:space="preserve"> or detection of assets, as relevant,</w:t>
      </w:r>
      <w:r w:rsidRPr="00C055DA">
        <w:rPr>
          <w:szCs w:val="24"/>
        </w:rPr>
        <w:t xml:space="preserve"> unless otherwise officially directed by OFAC.  </w:t>
      </w:r>
      <w:r w:rsidRPr="00C055DA" w:rsidR="008B62EF">
        <w:rPr>
          <w:szCs w:val="24"/>
        </w:rPr>
        <w:t xml:space="preserve">Some </w:t>
      </w:r>
      <w:r w:rsidRPr="00C055DA" w:rsidR="0020474A">
        <w:rPr>
          <w:szCs w:val="24"/>
        </w:rPr>
        <w:t xml:space="preserve">other </w:t>
      </w:r>
      <w:r w:rsidRPr="00C055DA" w:rsidR="008B62EF">
        <w:rPr>
          <w:szCs w:val="24"/>
        </w:rPr>
        <w:t xml:space="preserve">reports are also required to be submitted in fewer than 30 days, such as </w:t>
      </w:r>
      <w:r w:rsidRPr="00C055DA" w:rsidR="006D66D8">
        <w:rPr>
          <w:szCs w:val="24"/>
        </w:rPr>
        <w:t>reports that are immediately due when a litigation hearing is scheduled</w:t>
      </w:r>
      <w:r w:rsidRPr="00C055DA" w:rsidR="008B62EF">
        <w:rPr>
          <w:szCs w:val="24"/>
        </w:rPr>
        <w:t xml:space="preserve"> or within 30 or fewer days after the completion of an authorized transaction</w:t>
      </w:r>
      <w:r w:rsidRPr="00C055DA" w:rsidR="0020474A">
        <w:rPr>
          <w:szCs w:val="24"/>
        </w:rPr>
        <w:t xml:space="preserve"> under a general license</w:t>
      </w:r>
      <w:r w:rsidRPr="00C055DA" w:rsidR="008B62EF">
        <w:rPr>
          <w:szCs w:val="24"/>
        </w:rPr>
        <w:t xml:space="preserve"> or the expiry of the general license.  </w:t>
      </w:r>
      <w:r w:rsidRPr="00C055DA">
        <w:rPr>
          <w:szCs w:val="24"/>
        </w:rPr>
        <w:t>A 30-day requirement would be insufficient for the foreign policy purposes underlying the economic sanctions</w:t>
      </w:r>
      <w:r w:rsidR="0063024A">
        <w:rPr>
          <w:szCs w:val="24"/>
        </w:rPr>
        <w:t xml:space="preserve"> and would be inconsistent with the requirements of the REPO for Ukrainians Act</w:t>
      </w:r>
      <w:r w:rsidRPr="00C055DA">
        <w:rPr>
          <w:szCs w:val="24"/>
        </w:rPr>
        <w:t>.  In addition, because OFAC frequently receives requests to unblock property shortly after it has been blocked, it is essential for the blockings to be reported to OFAC as soon as possible.  OFAC requests for information in the enforcement context may require a response in less than 30 days when the information requested is needed immediately for OFAC to adequately enforce U.S. economic sanctions.</w:t>
      </w:r>
    </w:p>
    <w:p w:rsidR="009444C1" w:rsidRPr="00C055DA" w:rsidP="00FA1B05" w14:paraId="0B769C6D" w14:textId="77777777">
      <w:pPr>
        <w:tabs>
          <w:tab w:val="left" w:pos="0"/>
          <w:tab w:val="left" w:pos="2880"/>
          <w:tab w:val="left" w:pos="3600"/>
          <w:tab w:val="left" w:pos="4320"/>
          <w:tab w:val="left" w:pos="5040"/>
          <w:tab w:val="left" w:pos="5760"/>
          <w:tab w:val="left" w:pos="6480"/>
          <w:tab w:val="left" w:pos="7200"/>
          <w:tab w:val="left" w:pos="7920"/>
          <w:tab w:val="left" w:pos="8640"/>
        </w:tabs>
        <w:ind w:left="630"/>
        <w:rPr>
          <w:szCs w:val="24"/>
        </w:rPr>
      </w:pPr>
    </w:p>
    <w:p w:rsidR="009444C1" w:rsidRPr="00C055DA" w:rsidP="00FA1B05" w14:paraId="605BC0C3"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Requiring respondents to submit more than an original and two copies of any document;</w:t>
      </w:r>
    </w:p>
    <w:p w:rsidR="009444C1" w:rsidRPr="00C055DA" w:rsidP="00FA1B05" w14:paraId="3AFED76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5D9A46BC"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szCs w:val="24"/>
        </w:rPr>
        <w:t>No such requirement exists.</w:t>
      </w:r>
    </w:p>
    <w:p w:rsidR="009444C1" w:rsidRPr="00C055DA" w:rsidP="00FA1B05" w14:paraId="02987C9B"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2EF105C6"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Requiring respondents to retain records, other than health, medical, government contract, grant-in-aid, or tax records for more than three years;</w:t>
      </w:r>
    </w:p>
    <w:p w:rsidR="009444C1" w:rsidRPr="00C055DA" w:rsidP="00FA1B05" w14:paraId="6F7751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4F6B5633" w14:textId="35339C26">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szCs w:val="24"/>
        </w:rPr>
        <w:t>The Regulations require</w:t>
      </w:r>
      <w:r w:rsidRPr="00C055DA">
        <w:rPr>
          <w:szCs w:val="24"/>
        </w:rPr>
        <w:t xml:space="preserve"> respondents to retain records for five years from the date of a regulated transaction or from the date that blocked property is unblocked.  Under § 501.601, the requirement for five years of record retention beyond a transaction corresponds to the statute of limitations set forth in 28 U.S.C. 2462.</w:t>
      </w:r>
    </w:p>
    <w:p w:rsidR="009444C1" w:rsidRPr="00C055DA" w:rsidP="00FA1B05" w14:paraId="63D6BD43"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4027B245"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In connection with a statistical survey, that is not designed to produce valid and reliable results that can be generalized to the universe of study;</w:t>
      </w:r>
    </w:p>
    <w:p w:rsidR="009444C1" w:rsidRPr="00C055DA" w:rsidP="00FA1B05" w14:paraId="4DEECF5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5D961BDE"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szCs w:val="24"/>
        </w:rPr>
        <w:t>The information collections are not part of a statistical survey.</w:t>
      </w:r>
    </w:p>
    <w:p w:rsidR="009444C1" w:rsidRPr="00C055DA" w:rsidP="00FA1B05" w14:paraId="62B801DE"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9444C1" w:rsidRPr="00C055DA" w:rsidP="00FA1B05" w14:paraId="482C82E8"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Requiring the use of a statistical data classification that has not been reviewed and approved by OMB;</w:t>
      </w:r>
    </w:p>
    <w:p w:rsidR="009444C1" w:rsidRPr="00C055DA" w:rsidP="00FA1B05" w14:paraId="6EA6CF4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106ABE32"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szCs w:val="24"/>
        </w:rPr>
        <w:t>Not applicable.</w:t>
      </w:r>
    </w:p>
    <w:p w:rsidR="009444C1" w:rsidRPr="00C055DA" w:rsidP="00FA1B05" w14:paraId="6A0F511D"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68A7B447" w14:textId="6127BDDA">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i/>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9444C1" w:rsidRPr="00C055DA" w:rsidP="00FA1B05" w14:paraId="04BBF37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9444C1" w:rsidRPr="00C055DA" w:rsidP="00FA1B05" w14:paraId="7447EBC6" w14:textId="63E08C05">
      <w:pPr>
        <w:autoSpaceDE w:val="0"/>
        <w:autoSpaceDN w:val="0"/>
        <w:ind w:left="720"/>
        <w:rPr>
          <w:szCs w:val="24"/>
        </w:rPr>
      </w:pPr>
      <w:r w:rsidRPr="00C055DA">
        <w:rPr>
          <w:szCs w:val="24"/>
        </w:rPr>
        <w:t xml:space="preserve">OFAC will ensure that </w:t>
      </w:r>
      <w:r w:rsidRPr="00C055DA" w:rsidR="00AE21D6">
        <w:rPr>
          <w:szCs w:val="24"/>
        </w:rPr>
        <w:t xml:space="preserve">the </w:t>
      </w:r>
      <w:r w:rsidRPr="00C055DA">
        <w:rPr>
          <w:szCs w:val="24"/>
        </w:rPr>
        <w:t xml:space="preserve">information </w:t>
      </w:r>
      <w:r w:rsidRPr="00C055DA" w:rsidR="00AE21D6">
        <w:rPr>
          <w:szCs w:val="24"/>
        </w:rPr>
        <w:t xml:space="preserve">collected </w:t>
      </w:r>
      <w:r w:rsidRPr="00C055DA">
        <w:rPr>
          <w:szCs w:val="24"/>
        </w:rPr>
        <w:t>will only be released in accordance with the criteria for disclosure set forth in the Privacy Act, the Freedom of Information Act</w:t>
      </w:r>
      <w:r w:rsidRPr="00C055DA" w:rsidR="00AE21D6">
        <w:rPr>
          <w:szCs w:val="24"/>
        </w:rPr>
        <w:t xml:space="preserve"> (FOIA)</w:t>
      </w:r>
      <w:r w:rsidRPr="00C055DA">
        <w:rPr>
          <w:szCs w:val="24"/>
        </w:rPr>
        <w:t xml:space="preserve">, and, as applicable, the Trade Secrets Act.  Information about OFAC’s privacy practices has been issued under OFAC’s Privacy Act system of records notice: </w:t>
      </w:r>
      <w:r w:rsidR="004F6F92">
        <w:rPr>
          <w:szCs w:val="24"/>
        </w:rPr>
        <w:t xml:space="preserve"> </w:t>
      </w:r>
      <w:r w:rsidRPr="00C055DA">
        <w:rPr>
          <w:szCs w:val="24"/>
        </w:rPr>
        <w:t>Treasury/DO .120 – Records Related to Office of Foreign Assets Control Economic Sanctions (</w:t>
      </w:r>
      <w:r w:rsidR="00FB5EB4">
        <w:rPr>
          <w:szCs w:val="24"/>
        </w:rPr>
        <w:t>81 FR 78298</w:t>
      </w:r>
      <w:r w:rsidR="00973ECC">
        <w:rPr>
          <w:szCs w:val="24"/>
        </w:rPr>
        <w:t>)</w:t>
      </w:r>
      <w:r w:rsidRPr="00C055DA">
        <w:rPr>
          <w:szCs w:val="24"/>
        </w:rPr>
        <w:t>.</w:t>
      </w:r>
    </w:p>
    <w:p w:rsidR="00C232EB" w:rsidRPr="00C055DA" w:rsidP="00FA1B05" w14:paraId="3D4AC8C3" w14:textId="77777777">
      <w:pPr>
        <w:autoSpaceDE w:val="0"/>
        <w:autoSpaceDN w:val="0"/>
        <w:ind w:left="720"/>
        <w:rPr>
          <w:szCs w:val="24"/>
        </w:rPr>
      </w:pPr>
    </w:p>
    <w:p w:rsidR="009444C1" w:rsidRPr="00C055DA" w:rsidP="00FA1B05" w14:paraId="062D03B8" w14:textId="1D08440F">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i/>
          <w:szCs w:val="24"/>
        </w:rPr>
        <w:t>Requiring respondents to submit proprietary trade secret, or other confidential information unless the agency can demonstrate that it has instituted procedures to protect the information’s confidentiality to the extent permitted by law</w:t>
      </w:r>
      <w:r w:rsidR="007A572B">
        <w:rPr>
          <w:i/>
          <w:szCs w:val="24"/>
        </w:rPr>
        <w:t>.</w:t>
      </w:r>
    </w:p>
    <w:p w:rsidR="009444C1" w:rsidRPr="00C055DA" w:rsidP="00FA1B05" w14:paraId="07F455D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9444C1" w:rsidRPr="00C055DA" w:rsidP="00FA1B05" w14:paraId="5FA1C9EC" w14:textId="386887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szCs w:val="24"/>
        </w:rPr>
        <w:t xml:space="preserve">OFAC will ensure that this information will only be released in accordance with the criteria for disclosure set forth in the Privacy Act, </w:t>
      </w:r>
      <w:r w:rsidRPr="00C055DA" w:rsidR="007C1B2A">
        <w:rPr>
          <w:szCs w:val="24"/>
        </w:rPr>
        <w:t>FOIA</w:t>
      </w:r>
      <w:r w:rsidRPr="00C055DA">
        <w:rPr>
          <w:szCs w:val="24"/>
        </w:rPr>
        <w:t xml:space="preserve">, and, as applicable, the Trade Secrets Act.  Information about OFAC’s privacy practices has been issued under OFAC’s Privacy Act system of records notice: </w:t>
      </w:r>
      <w:r w:rsidR="004F6F92">
        <w:rPr>
          <w:szCs w:val="24"/>
        </w:rPr>
        <w:t xml:space="preserve"> </w:t>
      </w:r>
      <w:r w:rsidRPr="00C055DA">
        <w:rPr>
          <w:szCs w:val="24"/>
        </w:rPr>
        <w:t>Treasury/DO .120 – Records Related to Office of Foreign Assets Control Economic Sanctions (</w:t>
      </w:r>
      <w:r w:rsidR="00FB5EB4">
        <w:rPr>
          <w:szCs w:val="24"/>
        </w:rPr>
        <w:t>81 FR 78298</w:t>
      </w:r>
      <w:r w:rsidRPr="00C055DA">
        <w:rPr>
          <w:szCs w:val="24"/>
        </w:rPr>
        <w:t>).</w:t>
      </w:r>
    </w:p>
    <w:p w:rsidR="009444C1" w:rsidRPr="00C055DA" w:rsidP="009444C1" w14:paraId="5CCC5B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26E86F47" w14:textId="7C250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055DA">
        <w:rPr>
          <w:szCs w:val="24"/>
        </w:rPr>
        <w:t>8</w:t>
      </w:r>
      <w:r w:rsidRPr="00CA2BA3">
        <w:rPr>
          <w:szCs w:val="24"/>
        </w:rPr>
        <w:t xml:space="preserve">. </w:t>
      </w:r>
      <w:r w:rsidRPr="00CA2BA3">
        <w:rPr>
          <w:szCs w:val="24"/>
          <w:u w:val="single"/>
        </w:rPr>
        <w:t>Consultations</w:t>
      </w:r>
      <w:r w:rsidRPr="00C055DA">
        <w:rPr>
          <w:szCs w:val="24"/>
          <w:u w:val="single"/>
        </w:rPr>
        <w:t xml:space="preserve"> with Persons Outside the Agency</w:t>
      </w:r>
      <w:r w:rsidRPr="00CA2BA3">
        <w:rPr>
          <w:szCs w:val="24"/>
        </w:rPr>
        <w:t>.</w:t>
      </w:r>
    </w:p>
    <w:p w:rsidR="009444C1" w:rsidRPr="00C055DA" w:rsidP="009444C1" w14:paraId="3E01B5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055DA">
        <w:rPr>
          <w:szCs w:val="24"/>
        </w:rPr>
        <w:tab/>
      </w:r>
    </w:p>
    <w:p w:rsidR="00FC25AE" w:rsidP="009444C1" w14:paraId="21AD2377" w14:textId="64464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055DA">
        <w:rPr>
          <w:szCs w:val="24"/>
        </w:rPr>
        <w:tab/>
      </w:r>
      <w:r w:rsidRPr="000206E7">
        <w:rPr>
          <w:szCs w:val="24"/>
        </w:rPr>
        <w:t xml:space="preserve">OFAC received and reviewed comments on the interim final rule issued </w:t>
      </w:r>
      <w:r w:rsidRPr="000206E7" w:rsidR="007C1B2A">
        <w:rPr>
          <w:szCs w:val="24"/>
        </w:rPr>
        <w:t xml:space="preserve">on </w:t>
      </w:r>
      <w:r w:rsidRPr="000206E7" w:rsidR="008B4303">
        <w:rPr>
          <w:szCs w:val="24"/>
        </w:rPr>
        <w:t>June</w:t>
      </w:r>
      <w:r w:rsidR="008B4303">
        <w:rPr>
          <w:szCs w:val="24"/>
        </w:rPr>
        <w:t> </w:t>
      </w:r>
      <w:r w:rsidRPr="000206E7">
        <w:rPr>
          <w:szCs w:val="24"/>
        </w:rPr>
        <w:t>21</w:t>
      </w:r>
      <w:r w:rsidRPr="000206E7" w:rsidR="008B4303">
        <w:rPr>
          <w:szCs w:val="24"/>
        </w:rPr>
        <w:t>,</w:t>
      </w:r>
      <w:r w:rsidR="008B4303">
        <w:rPr>
          <w:szCs w:val="24"/>
        </w:rPr>
        <w:t> </w:t>
      </w:r>
      <w:r w:rsidRPr="000206E7">
        <w:rPr>
          <w:szCs w:val="24"/>
        </w:rPr>
        <w:t>2019</w:t>
      </w:r>
      <w:r w:rsidR="00CD7326">
        <w:rPr>
          <w:szCs w:val="24"/>
        </w:rPr>
        <w:t xml:space="preserve"> (</w:t>
      </w:r>
      <w:r w:rsidRPr="00CD7326" w:rsidR="00CD7326">
        <w:rPr>
          <w:szCs w:val="24"/>
        </w:rPr>
        <w:t>84</w:t>
      </w:r>
      <w:r w:rsidR="00CD7326">
        <w:rPr>
          <w:szCs w:val="24"/>
        </w:rPr>
        <w:t xml:space="preserve"> FR 29055)</w:t>
      </w:r>
      <w:r w:rsidRPr="00C055DA" w:rsidR="00CA5AE2">
        <w:rPr>
          <w:szCs w:val="24"/>
        </w:rPr>
        <w:t>,</w:t>
      </w:r>
      <w:r w:rsidR="007F3F6C">
        <w:rPr>
          <w:szCs w:val="24"/>
        </w:rPr>
        <w:t xml:space="preserve"> which</w:t>
      </w:r>
      <w:r w:rsidRPr="007F3F6C" w:rsidR="007F3F6C">
        <w:rPr>
          <w:szCs w:val="24"/>
        </w:rPr>
        <w:t xml:space="preserve"> </w:t>
      </w:r>
      <w:r w:rsidR="007F3F6C">
        <w:rPr>
          <w:szCs w:val="24"/>
        </w:rPr>
        <w:t>amended the Regulations to adjust certain reporting requirements and</w:t>
      </w:r>
      <w:r w:rsidRPr="00C055DA" w:rsidR="00CA5AE2">
        <w:rPr>
          <w:szCs w:val="24"/>
        </w:rPr>
        <w:t xml:space="preserve"> was accompanied by a rule-related information collection renewal request for this authority</w:t>
      </w:r>
      <w:r w:rsidRPr="00C055DA">
        <w:rPr>
          <w:szCs w:val="24"/>
        </w:rPr>
        <w:t xml:space="preserve">. </w:t>
      </w:r>
    </w:p>
    <w:p w:rsidR="009444C1" w:rsidRPr="00D3497A" w:rsidP="009444C1" w14:paraId="62A896D2" w14:textId="53E03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055DA">
        <w:rPr>
          <w:szCs w:val="24"/>
        </w:rPr>
        <w:t xml:space="preserve">OFAC </w:t>
      </w:r>
      <w:r>
        <w:rPr>
          <w:szCs w:val="24"/>
        </w:rPr>
        <w:t>also continued to</w:t>
      </w:r>
      <w:r w:rsidRPr="00C055DA">
        <w:rPr>
          <w:szCs w:val="24"/>
        </w:rPr>
        <w:t xml:space="preserve"> engage the private sector</w:t>
      </w:r>
      <w:r w:rsidR="00126005">
        <w:rPr>
          <w:szCs w:val="24"/>
        </w:rPr>
        <w:t xml:space="preserve"> </w:t>
      </w:r>
      <w:r>
        <w:rPr>
          <w:szCs w:val="24"/>
        </w:rPr>
        <w:t>—</w:t>
      </w:r>
      <w:r w:rsidR="00126005">
        <w:rPr>
          <w:szCs w:val="24"/>
        </w:rPr>
        <w:t xml:space="preserve"> </w:t>
      </w:r>
      <w:r w:rsidRPr="00C055DA">
        <w:rPr>
          <w:szCs w:val="24"/>
        </w:rPr>
        <w:t>both the financial sector and many non-financial sectors</w:t>
      </w:r>
      <w:r w:rsidR="00126005">
        <w:rPr>
          <w:szCs w:val="24"/>
        </w:rPr>
        <w:t xml:space="preserve"> </w:t>
      </w:r>
      <w:r>
        <w:rPr>
          <w:szCs w:val="24"/>
        </w:rPr>
        <w:t>—</w:t>
      </w:r>
      <w:r w:rsidR="00126005">
        <w:rPr>
          <w:szCs w:val="24"/>
        </w:rPr>
        <w:t xml:space="preserve"> </w:t>
      </w:r>
      <w:r w:rsidRPr="00C055DA">
        <w:rPr>
          <w:szCs w:val="24"/>
        </w:rPr>
        <w:t>to analyze the impact of th</w:t>
      </w:r>
      <w:r>
        <w:rPr>
          <w:szCs w:val="24"/>
        </w:rPr>
        <w:t>e June 2019</w:t>
      </w:r>
      <w:r w:rsidRPr="00C055DA">
        <w:rPr>
          <w:szCs w:val="24"/>
        </w:rPr>
        <w:t xml:space="preserve"> </w:t>
      </w:r>
      <w:r>
        <w:rPr>
          <w:szCs w:val="24"/>
        </w:rPr>
        <w:t xml:space="preserve">interim </w:t>
      </w:r>
      <w:r w:rsidRPr="00C055DA">
        <w:rPr>
          <w:szCs w:val="24"/>
        </w:rPr>
        <w:t>final rule</w:t>
      </w:r>
      <w:r>
        <w:rPr>
          <w:szCs w:val="24"/>
        </w:rPr>
        <w:t xml:space="preserve">.  </w:t>
      </w:r>
      <w:r w:rsidR="00CE311B">
        <w:rPr>
          <w:szCs w:val="24"/>
        </w:rPr>
        <w:t>OFAC’s review of comments and engagement informed its</w:t>
      </w:r>
      <w:r w:rsidR="005D5BC7">
        <w:rPr>
          <w:szCs w:val="24"/>
        </w:rPr>
        <w:t xml:space="preserve"> current</w:t>
      </w:r>
      <w:r w:rsidR="00CE311B">
        <w:rPr>
          <w:szCs w:val="24"/>
        </w:rPr>
        <w:t xml:space="preserve"> determination to </w:t>
      </w:r>
      <w:r w:rsidR="001E1047">
        <w:rPr>
          <w:szCs w:val="24"/>
        </w:rPr>
        <w:t>issu</w:t>
      </w:r>
      <w:r w:rsidR="00CE311B">
        <w:rPr>
          <w:szCs w:val="24"/>
        </w:rPr>
        <w:t>e</w:t>
      </w:r>
      <w:r w:rsidR="001E1047">
        <w:rPr>
          <w:szCs w:val="24"/>
        </w:rPr>
        <w:t xml:space="preserve"> </w:t>
      </w:r>
      <w:r w:rsidR="00CE311B">
        <w:rPr>
          <w:szCs w:val="24"/>
        </w:rPr>
        <w:t>the above-referenced</w:t>
      </w:r>
      <w:r w:rsidR="001E1047">
        <w:rPr>
          <w:szCs w:val="24"/>
        </w:rPr>
        <w:t xml:space="preserve"> amendments to the RPPR</w:t>
      </w:r>
      <w:r w:rsidR="00CE311B">
        <w:rPr>
          <w:szCs w:val="24"/>
        </w:rPr>
        <w:t xml:space="preserve"> (“</w:t>
      </w:r>
      <w:r w:rsidR="004979FB">
        <w:rPr>
          <w:szCs w:val="24"/>
        </w:rPr>
        <w:t xml:space="preserve">2024 </w:t>
      </w:r>
      <w:r w:rsidR="00CE311B">
        <w:rPr>
          <w:szCs w:val="24"/>
        </w:rPr>
        <w:t>RPPR interim final rule”)</w:t>
      </w:r>
      <w:r w:rsidR="001E1047">
        <w:rPr>
          <w:szCs w:val="24"/>
        </w:rPr>
        <w:t xml:space="preserve">, accompanied by </w:t>
      </w:r>
      <w:r w:rsidR="0027777B">
        <w:rPr>
          <w:szCs w:val="24"/>
        </w:rPr>
        <w:t>this</w:t>
      </w:r>
      <w:r w:rsidR="001E1047">
        <w:rPr>
          <w:szCs w:val="24"/>
        </w:rPr>
        <w:t xml:space="preserve"> rule-related information collection renewal request for this authority.  </w:t>
      </w:r>
      <w:r w:rsidR="00CE311B">
        <w:rPr>
          <w:szCs w:val="24"/>
        </w:rPr>
        <w:t xml:space="preserve">OFAC’s </w:t>
      </w:r>
      <w:r w:rsidR="007F3F6C">
        <w:rPr>
          <w:szCs w:val="24"/>
        </w:rPr>
        <w:t xml:space="preserve">engagement </w:t>
      </w:r>
      <w:r w:rsidR="00E31FAB">
        <w:rPr>
          <w:szCs w:val="24"/>
        </w:rPr>
        <w:t xml:space="preserve">in particular informed the regulatory </w:t>
      </w:r>
      <w:r w:rsidR="005D2109">
        <w:rPr>
          <w:szCs w:val="24"/>
        </w:rPr>
        <w:t>clarification</w:t>
      </w:r>
      <w:r w:rsidR="00E31FAB">
        <w:rPr>
          <w:szCs w:val="24"/>
        </w:rPr>
        <w:t>s</w:t>
      </w:r>
      <w:r w:rsidR="005D2109">
        <w:rPr>
          <w:szCs w:val="24"/>
        </w:rPr>
        <w:t xml:space="preserve"> </w:t>
      </w:r>
      <w:r w:rsidR="00E31FAB">
        <w:rPr>
          <w:szCs w:val="24"/>
        </w:rPr>
        <w:t>to</w:t>
      </w:r>
      <w:r w:rsidR="005D2109">
        <w:rPr>
          <w:szCs w:val="24"/>
        </w:rPr>
        <w:t xml:space="preserve"> the rejected transactions reporting requirement in </w:t>
      </w:r>
      <w:r w:rsidRPr="00C055DA" w:rsidR="005D2109">
        <w:rPr>
          <w:szCs w:val="24"/>
        </w:rPr>
        <w:t>§</w:t>
      </w:r>
      <w:r w:rsidR="005D2109">
        <w:rPr>
          <w:szCs w:val="24"/>
        </w:rPr>
        <w:t> </w:t>
      </w:r>
      <w:r w:rsidRPr="00C055DA" w:rsidR="005D2109">
        <w:rPr>
          <w:szCs w:val="24"/>
        </w:rPr>
        <w:t>501.60</w:t>
      </w:r>
      <w:r w:rsidR="005D2109">
        <w:rPr>
          <w:szCs w:val="24"/>
        </w:rPr>
        <w:t>4</w:t>
      </w:r>
      <w:r w:rsidR="00307D78">
        <w:rPr>
          <w:szCs w:val="24"/>
        </w:rPr>
        <w:t xml:space="preserve"> and,</w:t>
      </w:r>
      <w:r w:rsidR="000033E3">
        <w:rPr>
          <w:szCs w:val="24"/>
        </w:rPr>
        <w:t xml:space="preserve"> </w:t>
      </w:r>
      <w:r w:rsidR="00307D78">
        <w:rPr>
          <w:szCs w:val="24"/>
        </w:rPr>
        <w:t xml:space="preserve">in response to public comments received, </w:t>
      </w:r>
      <w:r w:rsidR="000033E3">
        <w:rPr>
          <w:szCs w:val="24"/>
        </w:rPr>
        <w:t xml:space="preserve">OFAC </w:t>
      </w:r>
      <w:r w:rsidR="009C15EF">
        <w:rPr>
          <w:szCs w:val="24"/>
        </w:rPr>
        <w:t xml:space="preserve">issued clarifying revisions </w:t>
      </w:r>
      <w:r w:rsidR="003A5922">
        <w:rPr>
          <w:szCs w:val="24"/>
        </w:rPr>
        <w:t xml:space="preserve">to </w:t>
      </w:r>
      <w:r w:rsidR="009C15EF">
        <w:rPr>
          <w:szCs w:val="24"/>
        </w:rPr>
        <w:t xml:space="preserve">the </w:t>
      </w:r>
      <w:r w:rsidR="000033E3">
        <w:rPr>
          <w:szCs w:val="24"/>
        </w:rPr>
        <w:t xml:space="preserve">reporting </w:t>
      </w:r>
      <w:r w:rsidR="009C15EF">
        <w:rPr>
          <w:szCs w:val="24"/>
        </w:rPr>
        <w:t xml:space="preserve">requirement for </w:t>
      </w:r>
      <w:r w:rsidR="000033E3">
        <w:rPr>
          <w:szCs w:val="24"/>
        </w:rPr>
        <w:t>rejected transactions.</w:t>
      </w:r>
      <w:r w:rsidR="0001628F">
        <w:rPr>
          <w:szCs w:val="24"/>
        </w:rPr>
        <w:t xml:space="preserve">  </w:t>
      </w:r>
      <w:r w:rsidR="008C4A72">
        <w:rPr>
          <w:szCs w:val="24"/>
        </w:rPr>
        <w:t xml:space="preserve">OFAC </w:t>
      </w:r>
      <w:r w:rsidR="00B51039">
        <w:rPr>
          <w:szCs w:val="24"/>
        </w:rPr>
        <w:t xml:space="preserve">also </w:t>
      </w:r>
      <w:r w:rsidR="006238D6">
        <w:rPr>
          <w:szCs w:val="24"/>
        </w:rPr>
        <w:t>solicited</w:t>
      </w:r>
      <w:r w:rsidR="008C4A72">
        <w:rPr>
          <w:szCs w:val="24"/>
        </w:rPr>
        <w:t xml:space="preserve"> further public comments </w:t>
      </w:r>
      <w:r w:rsidR="00B51039">
        <w:rPr>
          <w:szCs w:val="24"/>
        </w:rPr>
        <w:t xml:space="preserve">with </w:t>
      </w:r>
      <w:r w:rsidR="008C4A72">
        <w:rPr>
          <w:szCs w:val="24"/>
        </w:rPr>
        <w:t xml:space="preserve">the issuance of the </w:t>
      </w:r>
      <w:r w:rsidR="005D5BC7">
        <w:rPr>
          <w:szCs w:val="24"/>
        </w:rPr>
        <w:t>2024</w:t>
      </w:r>
      <w:r w:rsidR="008C4A72">
        <w:rPr>
          <w:szCs w:val="24"/>
        </w:rPr>
        <w:t xml:space="preserve"> RPPR</w:t>
      </w:r>
      <w:r w:rsidR="00D402F7">
        <w:rPr>
          <w:szCs w:val="24"/>
        </w:rPr>
        <w:t xml:space="preserve"> </w:t>
      </w:r>
      <w:r w:rsidR="008C4A72">
        <w:rPr>
          <w:szCs w:val="24"/>
        </w:rPr>
        <w:t>interim final rule.</w:t>
      </w:r>
    </w:p>
    <w:p w:rsidR="009444C1" w:rsidRPr="00757DD3" w:rsidP="009444C1" w14:paraId="78AEE1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6802B62C" w14:textId="74F548BE">
      <w:pPr>
        <w:ind w:firstLine="720"/>
        <w:rPr>
          <w:szCs w:val="24"/>
        </w:rPr>
      </w:pPr>
      <w:r w:rsidRPr="005C779E">
        <w:rPr>
          <w:szCs w:val="24"/>
        </w:rPr>
        <w:t xml:space="preserve">In addition, OFAC has substantial regular contact with various </w:t>
      </w:r>
      <w:r w:rsidRPr="00CF4CF1">
        <w:rPr>
          <w:szCs w:val="24"/>
        </w:rPr>
        <w:t>individuals and entities seeking to comply with OFAC’s regulations.  Through these contacts, OFAC develop</w:t>
      </w:r>
      <w:r w:rsidR="007A667C">
        <w:rPr>
          <w:szCs w:val="24"/>
        </w:rPr>
        <w:t>s</w:t>
      </w:r>
      <w:r w:rsidRPr="00CF4CF1">
        <w:rPr>
          <w:szCs w:val="24"/>
        </w:rPr>
        <w:t xml:space="preserve"> an appreciation of the impact of the information collections necessitated by economic sanctions.  </w:t>
      </w:r>
      <w:r w:rsidRPr="00CF4CF1" w:rsidR="00BF194A">
        <w:rPr>
          <w:szCs w:val="24"/>
        </w:rPr>
        <w:t>OFAC</w:t>
      </w:r>
      <w:r w:rsidRPr="000206E7">
        <w:rPr>
          <w:szCs w:val="24"/>
        </w:rPr>
        <w:t xml:space="preserve"> maintains </w:t>
      </w:r>
      <w:r w:rsidRPr="000206E7" w:rsidR="003F0ED4">
        <w:rPr>
          <w:szCs w:val="24"/>
        </w:rPr>
        <w:t>strong relationships with the private sector</w:t>
      </w:r>
      <w:r w:rsidRPr="000206E7">
        <w:rPr>
          <w:szCs w:val="24"/>
        </w:rPr>
        <w:t xml:space="preserve"> and </w:t>
      </w:r>
      <w:r w:rsidRPr="000206E7" w:rsidR="003F0ED4">
        <w:rPr>
          <w:szCs w:val="24"/>
        </w:rPr>
        <w:t xml:space="preserve">has </w:t>
      </w:r>
      <w:r w:rsidRPr="000206E7">
        <w:rPr>
          <w:szCs w:val="24"/>
        </w:rPr>
        <w:t xml:space="preserve">daily engagement with </w:t>
      </w:r>
      <w:r w:rsidRPr="000206E7" w:rsidR="003F0ED4">
        <w:rPr>
          <w:szCs w:val="24"/>
        </w:rPr>
        <w:t>numerous entities seeking to comply with OFAC’s sanctions across all sectors, as well as individuals</w:t>
      </w:r>
      <w:r w:rsidRPr="00C055DA">
        <w:rPr>
          <w:szCs w:val="24"/>
        </w:rPr>
        <w:t xml:space="preserve">.  </w:t>
      </w:r>
      <w:r w:rsidR="00D23321">
        <w:rPr>
          <w:szCs w:val="24"/>
        </w:rPr>
        <w:t>OFAC</w:t>
      </w:r>
      <w:r w:rsidRPr="00C055DA" w:rsidR="00D23321">
        <w:rPr>
          <w:szCs w:val="24"/>
        </w:rPr>
        <w:t xml:space="preserve"> </w:t>
      </w:r>
      <w:r w:rsidRPr="00C055DA">
        <w:rPr>
          <w:szCs w:val="24"/>
        </w:rPr>
        <w:t>maintains an email and telephone hotline for answering questions from the private sector regarding the application of OFAC’s economic sanctions and engages in substantial outreach at events held throughout the country and around the globe</w:t>
      </w:r>
      <w:r w:rsidRPr="00C055DA" w:rsidR="003F0ED4">
        <w:rPr>
          <w:szCs w:val="24"/>
        </w:rPr>
        <w:t xml:space="preserve"> regarding OFAC’s sanctions</w:t>
      </w:r>
      <w:r w:rsidRPr="00C055DA">
        <w:rPr>
          <w:szCs w:val="24"/>
        </w:rPr>
        <w:t xml:space="preserve">.  </w:t>
      </w:r>
      <w:r w:rsidRPr="00C055DA" w:rsidR="00893937">
        <w:rPr>
          <w:szCs w:val="24"/>
        </w:rPr>
        <w:t>Many decades of</w:t>
      </w:r>
      <w:r w:rsidRPr="00C055DA">
        <w:rPr>
          <w:szCs w:val="24"/>
        </w:rPr>
        <w:t xml:space="preserve"> such daily contacts have streamlined procedures and assisted OFAC in obtaining a detailed understanding of the burdens its </w:t>
      </w:r>
      <w:r w:rsidRPr="00C055DA" w:rsidR="003F0ED4">
        <w:rPr>
          <w:szCs w:val="24"/>
        </w:rPr>
        <w:t xml:space="preserve">collections and </w:t>
      </w:r>
      <w:r w:rsidRPr="00C055DA">
        <w:rPr>
          <w:szCs w:val="24"/>
        </w:rPr>
        <w:t>procedures impose on persons seeking to comply with OFAC requirements.</w:t>
      </w:r>
    </w:p>
    <w:p w:rsidR="009444C1" w:rsidRPr="00757DD3" w:rsidP="005B38FA" w14:paraId="6D36248D" w14:textId="106B6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0206E7" w:rsidP="00B749D6" w14:paraId="512516A1" w14:textId="7AABFB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A2BA3">
        <w:rPr>
          <w:szCs w:val="24"/>
        </w:rPr>
        <w:t xml:space="preserve">9. </w:t>
      </w:r>
      <w:r w:rsidRPr="00CA2BA3">
        <w:rPr>
          <w:szCs w:val="24"/>
          <w:u w:val="single"/>
        </w:rPr>
        <w:t>Payment</w:t>
      </w:r>
      <w:r w:rsidRPr="00CF4CF1">
        <w:rPr>
          <w:szCs w:val="24"/>
          <w:u w:val="single"/>
        </w:rPr>
        <w:t xml:space="preserve"> or Gift</w:t>
      </w:r>
      <w:r w:rsidRPr="00CA2BA3">
        <w:rPr>
          <w:szCs w:val="24"/>
        </w:rPr>
        <w:t>.</w:t>
      </w:r>
    </w:p>
    <w:p w:rsidR="009444C1" w:rsidRPr="000206E7" w:rsidP="00B749D6" w14:paraId="16E1FD6D"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RPr="000206E7" w:rsidP="009444C1" w14:paraId="76C3F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t>No payment or gift will be provided to respondents.</w:t>
      </w:r>
    </w:p>
    <w:p w:rsidR="009444C1" w:rsidRPr="000206E7" w:rsidP="009444C1" w14:paraId="56F6AB64" w14:textId="77777777">
      <w:pPr>
        <w:rPr>
          <w:szCs w:val="24"/>
        </w:rPr>
      </w:pPr>
    </w:p>
    <w:p w:rsidR="009444C1" w:rsidRPr="000206E7" w:rsidP="009444C1" w14:paraId="501A031A" w14:textId="764C2A4E">
      <w:pPr>
        <w:rPr>
          <w:szCs w:val="24"/>
        </w:rPr>
      </w:pPr>
      <w:r w:rsidRPr="000206E7">
        <w:rPr>
          <w:szCs w:val="24"/>
        </w:rPr>
        <w:t xml:space="preserve">10. </w:t>
      </w:r>
      <w:r w:rsidRPr="000206E7">
        <w:rPr>
          <w:szCs w:val="24"/>
          <w:u w:val="single"/>
        </w:rPr>
        <w:t>Confidentiality</w:t>
      </w:r>
      <w:r w:rsidRPr="000206E7">
        <w:rPr>
          <w:szCs w:val="24"/>
        </w:rPr>
        <w:t>.</w:t>
      </w:r>
    </w:p>
    <w:p w:rsidR="009444C1" w:rsidRPr="00C055DA" w:rsidP="009444C1" w14:paraId="10F5EC3E" w14:textId="77777777">
      <w:pPr>
        <w:rPr>
          <w:szCs w:val="24"/>
        </w:rPr>
      </w:pPr>
    </w:p>
    <w:p w:rsidR="009444C1" w:rsidRPr="005C779E" w:rsidP="009444C1" w14:paraId="4574BA4D" w14:textId="7A62EE5D">
      <w:pPr>
        <w:autoSpaceDE w:val="0"/>
        <w:autoSpaceDN w:val="0"/>
        <w:adjustRightInd w:val="0"/>
        <w:ind w:right="134" w:firstLine="720"/>
        <w:rPr>
          <w:color w:val="000000"/>
          <w:szCs w:val="24"/>
        </w:rPr>
      </w:pPr>
      <w:r w:rsidRPr="00757DD3">
        <w:rPr>
          <w:color w:val="000000"/>
          <w:szCs w:val="24"/>
        </w:rPr>
        <w:t xml:space="preserve">OFAC will ensure that </w:t>
      </w:r>
      <w:r w:rsidRPr="00757DD3" w:rsidR="003F0ED4">
        <w:rPr>
          <w:color w:val="000000"/>
          <w:szCs w:val="24"/>
        </w:rPr>
        <w:t xml:space="preserve">the required </w:t>
      </w:r>
      <w:r w:rsidRPr="00757DD3">
        <w:rPr>
          <w:color w:val="000000"/>
          <w:szCs w:val="24"/>
        </w:rPr>
        <w:t xml:space="preserve">information </w:t>
      </w:r>
      <w:r w:rsidRPr="005C779E" w:rsidR="003F0ED4">
        <w:rPr>
          <w:color w:val="000000"/>
          <w:szCs w:val="24"/>
        </w:rPr>
        <w:t xml:space="preserve">submitted in response to these collections </w:t>
      </w:r>
      <w:r w:rsidRPr="00CF4CF1">
        <w:rPr>
          <w:color w:val="000000"/>
          <w:szCs w:val="24"/>
        </w:rPr>
        <w:t xml:space="preserve">will only be released in accordance with the criteria for disclosure set forth in the Privacy Act, </w:t>
      </w:r>
      <w:r w:rsidRPr="000206E7" w:rsidR="003F0ED4">
        <w:rPr>
          <w:color w:val="000000"/>
          <w:szCs w:val="24"/>
        </w:rPr>
        <w:t>FOIA</w:t>
      </w:r>
      <w:r w:rsidRPr="000206E7">
        <w:rPr>
          <w:color w:val="000000"/>
          <w:szCs w:val="24"/>
        </w:rPr>
        <w:t xml:space="preserve">, and, as applicable, the Trade Secrets Act. </w:t>
      </w:r>
      <w:r w:rsidRPr="00D3497A">
        <w:rPr>
          <w:rFonts w:eastAsiaTheme="minorEastAsia"/>
          <w:color w:val="000000"/>
          <w:szCs w:val="24"/>
        </w:rPr>
        <w:t xml:space="preserve"> </w:t>
      </w:r>
      <w:r w:rsidRPr="00757DD3">
        <w:rPr>
          <w:color w:val="000000"/>
          <w:szCs w:val="24"/>
        </w:rPr>
        <w:t xml:space="preserve">Information about OFAC’s privacy practices </w:t>
      </w:r>
      <w:r w:rsidRPr="00D3497A">
        <w:rPr>
          <w:rFonts w:eastAsiaTheme="minorEastAsia"/>
          <w:color w:val="000000"/>
          <w:szCs w:val="24"/>
        </w:rPr>
        <w:t>has</w:t>
      </w:r>
      <w:r w:rsidRPr="00757DD3">
        <w:rPr>
          <w:color w:val="000000"/>
          <w:szCs w:val="24"/>
        </w:rPr>
        <w:t xml:space="preserve"> been issued under OFAC’s Privacy Act system of records notice: </w:t>
      </w:r>
      <w:r w:rsidR="00862CD4">
        <w:rPr>
          <w:color w:val="000000"/>
          <w:szCs w:val="24"/>
        </w:rPr>
        <w:t xml:space="preserve"> </w:t>
      </w:r>
      <w:r w:rsidRPr="00757DD3">
        <w:rPr>
          <w:color w:val="000000"/>
          <w:szCs w:val="24"/>
        </w:rPr>
        <w:t>Treasury/DO .120 – Records Related to Office of Foreign Assets Control Economic Sanctions (</w:t>
      </w:r>
      <w:r w:rsidR="005D5BC7">
        <w:rPr>
          <w:color w:val="000000"/>
          <w:szCs w:val="24"/>
        </w:rPr>
        <w:t>81</w:t>
      </w:r>
      <w:r w:rsidRPr="00757DD3">
        <w:rPr>
          <w:color w:val="000000"/>
          <w:szCs w:val="24"/>
        </w:rPr>
        <w:t xml:space="preserve"> FR </w:t>
      </w:r>
      <w:r w:rsidR="005D5BC7">
        <w:rPr>
          <w:color w:val="000000"/>
          <w:szCs w:val="24"/>
        </w:rPr>
        <w:t>78298</w:t>
      </w:r>
      <w:r w:rsidRPr="00757DD3">
        <w:rPr>
          <w:color w:val="000000"/>
          <w:szCs w:val="24"/>
        </w:rPr>
        <w:t>).</w:t>
      </w:r>
    </w:p>
    <w:p w:rsidR="009444C1" w:rsidRPr="00605AFC" w:rsidP="009444C1" w14:paraId="2A1BE328" w14:textId="77777777">
      <w:pPr>
        <w:rPr>
          <w:iCs/>
          <w:szCs w:val="24"/>
        </w:rPr>
      </w:pPr>
    </w:p>
    <w:p w:rsidR="009444C1" w:rsidRPr="000206E7" w:rsidP="009444C1" w14:paraId="0AE63E71" w14:textId="32ED0CEA">
      <w:pPr>
        <w:rPr>
          <w:szCs w:val="24"/>
        </w:rPr>
      </w:pPr>
      <w:r w:rsidRPr="000206E7">
        <w:rPr>
          <w:szCs w:val="24"/>
        </w:rPr>
        <w:t xml:space="preserve">11. </w:t>
      </w:r>
      <w:r w:rsidRPr="000206E7">
        <w:rPr>
          <w:szCs w:val="24"/>
          <w:u w:val="single"/>
        </w:rPr>
        <w:t>Questions of a Sensitive Nature</w:t>
      </w:r>
      <w:r w:rsidRPr="000206E7">
        <w:rPr>
          <w:szCs w:val="24"/>
        </w:rPr>
        <w:t>.</w:t>
      </w:r>
    </w:p>
    <w:p w:rsidR="009444C1" w:rsidRPr="000206E7" w:rsidP="009444C1" w14:paraId="3DF61E69" w14:textId="77777777">
      <w:pPr>
        <w:rPr>
          <w:szCs w:val="24"/>
        </w:rPr>
      </w:pPr>
    </w:p>
    <w:p w:rsidR="009444C1" w:rsidRPr="00C055DA" w:rsidP="009444C1" w14:paraId="25F9862D" w14:textId="264E7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t xml:space="preserve">The collection makes no request for sensitive information of this type.  In addition, a privacy impact assessment has been conducted for information collected under this request and a Privacy Act System of Records notice has been issued for this system under Treasury/DO .120 – Records Related to Office of Foreign Assets Control Economic Sanctions </w:t>
      </w:r>
      <w:r w:rsidRPr="00C055DA">
        <w:rPr>
          <w:color w:val="000000"/>
          <w:szCs w:val="24"/>
        </w:rPr>
        <w:t>(</w:t>
      </w:r>
      <w:r w:rsidR="005D5BC7">
        <w:rPr>
          <w:color w:val="000000"/>
          <w:szCs w:val="24"/>
        </w:rPr>
        <w:t>81</w:t>
      </w:r>
      <w:r w:rsidRPr="00C055DA">
        <w:rPr>
          <w:color w:val="000000"/>
          <w:szCs w:val="24"/>
        </w:rPr>
        <w:t xml:space="preserve"> FR </w:t>
      </w:r>
      <w:r w:rsidR="005D5BC7">
        <w:rPr>
          <w:color w:val="000000"/>
          <w:szCs w:val="24"/>
        </w:rPr>
        <w:t>78298</w:t>
      </w:r>
      <w:r w:rsidRPr="00C055DA">
        <w:rPr>
          <w:color w:val="000000"/>
          <w:szCs w:val="24"/>
        </w:rPr>
        <w:t>)</w:t>
      </w:r>
      <w:r w:rsidRPr="00C055DA">
        <w:rPr>
          <w:szCs w:val="24"/>
        </w:rPr>
        <w:t>.</w:t>
      </w:r>
    </w:p>
    <w:p w:rsidR="009444C1" w:rsidRPr="00C055DA" w:rsidP="009444C1" w14:paraId="709D32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59AC32DD" w14:textId="0A79C27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A2BA3">
        <w:rPr>
          <w:szCs w:val="24"/>
        </w:rPr>
        <w:t xml:space="preserve">12. </w:t>
      </w:r>
      <w:r w:rsidRPr="00CA2BA3">
        <w:rPr>
          <w:szCs w:val="24"/>
          <w:u w:val="single"/>
        </w:rPr>
        <w:t>Burden</w:t>
      </w:r>
      <w:r w:rsidRPr="00C055DA">
        <w:rPr>
          <w:szCs w:val="24"/>
          <w:u w:val="single"/>
        </w:rPr>
        <w:t xml:space="preserve"> of Information Collection</w:t>
      </w:r>
      <w:r w:rsidRPr="00090093">
        <w:rPr>
          <w:szCs w:val="24"/>
        </w:rPr>
        <w:t>.</w:t>
      </w:r>
    </w:p>
    <w:p w:rsidR="009444C1" w:rsidRPr="00605AFC" w:rsidP="009444C1" w14:paraId="3E28232C"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p>
    <w:p w:rsidR="009444C1" w:rsidRPr="00C055DA" w:rsidP="009444C1" w14:paraId="24DA357D" w14:textId="249D6FC8">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055DA">
        <w:rPr>
          <w:szCs w:val="24"/>
        </w:rPr>
        <w:t xml:space="preserve">A. </w:t>
      </w:r>
      <w:r w:rsidRPr="00C055DA">
        <w:rPr>
          <w:i/>
          <w:szCs w:val="24"/>
        </w:rPr>
        <w:t>Indicate the number of respondents, frequency of response, annual hour burden, and an explanation of how the burden was estimated.  If this request for approval covers more than one form, provide separate hour burden estimates for each form.</w:t>
      </w:r>
    </w:p>
    <w:p w:rsidR="009444C1" w:rsidRPr="00C055DA" w:rsidP="00645FF6" w14:paraId="6242C277" w14:textId="74175662">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p>
    <w:p w:rsidR="00645FF6" w:rsidRPr="00C055DA" w:rsidP="00645FF6" w14:paraId="3E59EE54" w14:textId="52190327">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u w:val="single"/>
        </w:rPr>
      </w:pPr>
      <w:r w:rsidRPr="00C055DA">
        <w:rPr>
          <w:iCs/>
          <w:szCs w:val="24"/>
          <w:u w:val="single"/>
        </w:rPr>
        <w:t>Summary</w:t>
      </w:r>
    </w:p>
    <w:p w:rsidR="00645FF6" w:rsidRPr="00C055DA" w:rsidP="00D00761" w14:paraId="249AC21E" w14:textId="77777777">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p>
    <w:p w:rsidR="009444C1" w:rsidRPr="00D3497A" w:rsidP="00645FF6" w14:paraId="362B4911" w14:textId="37F23112">
      <w:pPr>
        <w:keepNext/>
        <w:widowControl/>
        <w:autoSpaceDE w:val="0"/>
        <w:autoSpaceDN w:val="0"/>
        <w:adjustRightInd w:val="0"/>
        <w:ind w:firstLine="720"/>
        <w:rPr>
          <w:color w:val="000000"/>
          <w:szCs w:val="24"/>
        </w:rPr>
      </w:pPr>
      <w:r w:rsidRPr="00D3497A">
        <w:rPr>
          <w:color w:val="000000"/>
          <w:szCs w:val="24"/>
        </w:rPr>
        <w:t xml:space="preserve">The likely respondents and recordkeepers affected by the information collections </w:t>
      </w:r>
      <w:r w:rsidRPr="00D3497A" w:rsidR="001F7437">
        <w:rPr>
          <w:color w:val="000000"/>
          <w:szCs w:val="24"/>
        </w:rPr>
        <w:t>covered by this authority</w:t>
      </w:r>
      <w:r w:rsidRPr="00D3497A">
        <w:rPr>
          <w:color w:val="000000"/>
          <w:szCs w:val="24"/>
        </w:rPr>
        <w:t xml:space="preserve"> are financial institutions, business organizations</w:t>
      </w:r>
      <w:r w:rsidRPr="00D3497A" w:rsidR="00CD6CAF">
        <w:rPr>
          <w:color w:val="000000"/>
          <w:szCs w:val="24"/>
        </w:rPr>
        <w:t xml:space="preserve">, </w:t>
      </w:r>
      <w:r w:rsidRPr="00D3497A">
        <w:rPr>
          <w:color w:val="000000"/>
          <w:szCs w:val="24"/>
        </w:rPr>
        <w:t xml:space="preserve">individuals, and legal representatives.  </w:t>
      </w:r>
      <w:r w:rsidRPr="00D3497A" w:rsidR="00B15A0C">
        <w:rPr>
          <w:color w:val="000000"/>
          <w:szCs w:val="24"/>
        </w:rPr>
        <w:t xml:space="preserve">OFAC’s </w:t>
      </w:r>
      <w:r w:rsidRPr="00D3497A">
        <w:rPr>
          <w:color w:val="000000"/>
          <w:szCs w:val="24"/>
        </w:rPr>
        <w:t>current assessment of burden</w:t>
      </w:r>
      <w:r w:rsidRPr="00D3497A" w:rsidR="00B15A0C">
        <w:rPr>
          <w:color w:val="000000"/>
          <w:szCs w:val="24"/>
        </w:rPr>
        <w:t>, as described below,</w:t>
      </w:r>
      <w:r w:rsidRPr="00D3497A">
        <w:rPr>
          <w:color w:val="000000"/>
          <w:szCs w:val="24"/>
        </w:rPr>
        <w:t xml:space="preserve"> takes into account the number and type of reports received by OFAC </w:t>
      </w:r>
      <w:r w:rsidRPr="00D3497A" w:rsidR="00CD6CAF">
        <w:rPr>
          <w:color w:val="000000"/>
          <w:szCs w:val="24"/>
        </w:rPr>
        <w:t xml:space="preserve">over a </w:t>
      </w:r>
      <w:r w:rsidRPr="00D3497A" w:rsidR="005762BA">
        <w:rPr>
          <w:color w:val="000000"/>
          <w:szCs w:val="24"/>
        </w:rPr>
        <w:t xml:space="preserve">recent </w:t>
      </w:r>
      <w:r w:rsidR="007A667C">
        <w:rPr>
          <w:color w:val="000000"/>
          <w:szCs w:val="24"/>
        </w:rPr>
        <w:t>12</w:t>
      </w:r>
      <w:r w:rsidR="001954EB">
        <w:rPr>
          <w:color w:val="000000"/>
          <w:szCs w:val="24"/>
        </w:rPr>
        <w:t>-</w:t>
      </w:r>
      <w:r w:rsidRPr="00D3497A" w:rsidR="00CD6CAF">
        <w:rPr>
          <w:color w:val="000000"/>
          <w:szCs w:val="24"/>
        </w:rPr>
        <w:t>month period</w:t>
      </w:r>
      <w:r w:rsidRPr="00D3497A">
        <w:rPr>
          <w:color w:val="000000"/>
          <w:szCs w:val="24"/>
        </w:rPr>
        <w:t xml:space="preserve"> as well as OFAC’s estimate of reporting trends over the next three years.</w:t>
      </w:r>
    </w:p>
    <w:p w:rsidR="009444C1" w:rsidRPr="00D3497A" w14:paraId="7447CBB7" w14:textId="77777777">
      <w:pPr>
        <w:widowControl/>
        <w:autoSpaceDE w:val="0"/>
        <w:autoSpaceDN w:val="0"/>
        <w:adjustRightInd w:val="0"/>
        <w:ind w:firstLine="720"/>
        <w:rPr>
          <w:color w:val="000000"/>
          <w:szCs w:val="24"/>
        </w:rPr>
      </w:pPr>
    </w:p>
    <w:p w:rsidR="00FE629E" w:rsidRPr="00D3497A" w:rsidP="004918A0" w14:paraId="2CFBECF7" w14:textId="3D49D770">
      <w:pPr>
        <w:widowControl/>
        <w:autoSpaceDE w:val="0"/>
        <w:autoSpaceDN w:val="0"/>
        <w:adjustRightInd w:val="0"/>
        <w:ind w:firstLine="720"/>
        <w:rPr>
          <w:color w:val="000000"/>
          <w:szCs w:val="24"/>
        </w:rPr>
      </w:pPr>
      <w:bookmarkStart w:id="2" w:name="_Hlk141175507"/>
      <w:r w:rsidRPr="00EA2A3F">
        <w:rPr>
          <w:color w:val="000000"/>
          <w:szCs w:val="24"/>
        </w:rPr>
        <w:t xml:space="preserve">The estimated total annual reporting burden associated with the information collections covered by this authority is approximately </w:t>
      </w:r>
      <w:r w:rsidR="00F72756">
        <w:rPr>
          <w:color w:val="000000"/>
          <w:szCs w:val="24"/>
        </w:rPr>
        <w:t>44,</w:t>
      </w:r>
      <w:r w:rsidR="007619E6">
        <w:rPr>
          <w:color w:val="000000"/>
          <w:szCs w:val="24"/>
        </w:rPr>
        <w:t>37</w:t>
      </w:r>
      <w:r w:rsidR="00FD6975">
        <w:rPr>
          <w:color w:val="000000"/>
          <w:szCs w:val="24"/>
        </w:rPr>
        <w:t>2</w:t>
      </w:r>
      <w:r w:rsidR="007619E6">
        <w:rPr>
          <w:color w:val="000000"/>
          <w:szCs w:val="24"/>
        </w:rPr>
        <w:t xml:space="preserve"> </w:t>
      </w:r>
      <w:r w:rsidRPr="00EA2A3F">
        <w:rPr>
          <w:color w:val="000000"/>
          <w:szCs w:val="24"/>
        </w:rPr>
        <w:t xml:space="preserve">hours.  The estimated annual frequency of responses is between 1 and </w:t>
      </w:r>
      <w:r w:rsidRPr="00EA2A3F" w:rsidR="00853DFA">
        <w:rPr>
          <w:color w:val="000000"/>
          <w:szCs w:val="24"/>
        </w:rPr>
        <w:t>17,800</w:t>
      </w:r>
      <w:r w:rsidRPr="00974B58">
        <w:rPr>
          <w:color w:val="000000"/>
          <w:szCs w:val="24"/>
        </w:rPr>
        <w:t>,</w:t>
      </w:r>
      <w:r w:rsidRPr="00EA2A3F">
        <w:rPr>
          <w:color w:val="000000"/>
          <w:szCs w:val="24"/>
        </w:rPr>
        <w:t xml:space="preserve"> varying greatly by entity depending on the size, nature, and </w:t>
      </w:r>
      <w:r w:rsidRPr="00EA2A3F">
        <w:rPr>
          <w:color w:val="000000"/>
          <w:szCs w:val="24"/>
        </w:rPr>
        <w:t>scope of business activities of each respondent, with the majority of filers providing a small number of responses and a small number of filers submitting a higher number of responses.</w:t>
      </w:r>
      <w:r w:rsidRPr="00EA2A3F" w:rsidR="00932BF6">
        <w:rPr>
          <w:color w:val="000000"/>
          <w:szCs w:val="24"/>
        </w:rPr>
        <w:t xml:space="preserve">  The estimated total number of responses per year is approximately </w:t>
      </w:r>
      <w:r w:rsidR="00AB0F72">
        <w:rPr>
          <w:color w:val="000000"/>
          <w:szCs w:val="24"/>
        </w:rPr>
        <w:t>137,084</w:t>
      </w:r>
      <w:r w:rsidRPr="00EA2A3F" w:rsidR="00932BF6">
        <w:rPr>
          <w:color w:val="000000"/>
          <w:szCs w:val="24"/>
        </w:rPr>
        <w:t xml:space="preserve"> responses.  OFAC assesses that there is an average time estimate for reports associated with forms ranging from 15 minutes to 2 hours and for reports associated with general licenses and other reports </w:t>
      </w:r>
      <w:r w:rsidRPr="00EA2A3F" w:rsidR="00F43A32">
        <w:rPr>
          <w:color w:val="000000"/>
          <w:szCs w:val="24"/>
        </w:rPr>
        <w:t xml:space="preserve">not associated with forms </w:t>
      </w:r>
      <w:r w:rsidRPr="00EA2A3F" w:rsidR="00932BF6">
        <w:rPr>
          <w:color w:val="000000"/>
          <w:szCs w:val="24"/>
        </w:rPr>
        <w:t xml:space="preserve">ranging from </w:t>
      </w:r>
      <w:r w:rsidRPr="00EA2A3F" w:rsidR="003B4D87">
        <w:rPr>
          <w:color w:val="000000"/>
          <w:szCs w:val="24"/>
        </w:rPr>
        <w:t>30</w:t>
      </w:r>
      <w:r w:rsidRPr="00EA2A3F" w:rsidR="00932BF6">
        <w:rPr>
          <w:color w:val="000000"/>
          <w:szCs w:val="24"/>
        </w:rPr>
        <w:t xml:space="preserve"> minutes to 5 hours, as noted below in the more detailed background section.</w:t>
      </w:r>
      <w:r w:rsidR="004918A0">
        <w:rPr>
          <w:color w:val="000000"/>
          <w:szCs w:val="24"/>
        </w:rPr>
        <w:t xml:space="preserve">  </w:t>
      </w:r>
      <w:r w:rsidRPr="005D5BC7" w:rsidR="005D5BC7">
        <w:rPr>
          <w:color w:val="000000"/>
          <w:szCs w:val="24"/>
        </w:rPr>
        <w:t xml:space="preserve">Since OFAC’s last renewal request for this authority, in response to unpredictable foreign policy developments and considerations, and given the ongoing conflict in Ukraine, OFAC has added a number of new programs and prohibitions, </w:t>
      </w:r>
      <w:r w:rsidR="00D91405">
        <w:rPr>
          <w:color w:val="000000"/>
          <w:szCs w:val="24"/>
        </w:rPr>
        <w:t xml:space="preserve">as well as several thousand new designations, </w:t>
      </w:r>
      <w:r w:rsidRPr="005D5BC7" w:rsidR="005D5BC7">
        <w:rPr>
          <w:color w:val="000000"/>
          <w:szCs w:val="24"/>
        </w:rPr>
        <w:t xml:space="preserve">particularly </w:t>
      </w:r>
      <w:r w:rsidR="005D5BC7">
        <w:rPr>
          <w:color w:val="000000"/>
          <w:szCs w:val="24"/>
        </w:rPr>
        <w:t>those related to Russia and Ukraine</w:t>
      </w:r>
      <w:r w:rsidRPr="005D5BC7" w:rsidR="005D5BC7">
        <w:rPr>
          <w:color w:val="000000"/>
          <w:szCs w:val="24"/>
        </w:rPr>
        <w:t>, and received a corresponding increase in related reports.</w:t>
      </w:r>
      <w:r w:rsidR="005D5BC7">
        <w:rPr>
          <w:color w:val="000000"/>
          <w:szCs w:val="24"/>
        </w:rPr>
        <w:t xml:space="preserve">  </w:t>
      </w:r>
      <w:r w:rsidRPr="00EA2A3F" w:rsidR="009444C1">
        <w:rPr>
          <w:color w:val="000000"/>
          <w:szCs w:val="24"/>
        </w:rPr>
        <w:t xml:space="preserve">OFAC’s estimate for the number of unique reporting respondents </w:t>
      </w:r>
      <w:r w:rsidRPr="00EA2A3F" w:rsidR="00B15A0C">
        <w:rPr>
          <w:color w:val="000000"/>
          <w:szCs w:val="24"/>
        </w:rPr>
        <w:t>in a one</w:t>
      </w:r>
      <w:r w:rsidRPr="00EA2A3F" w:rsidR="00670E63">
        <w:rPr>
          <w:color w:val="000000"/>
          <w:szCs w:val="24"/>
        </w:rPr>
        <w:t>-</w:t>
      </w:r>
      <w:r w:rsidRPr="00EA2A3F" w:rsidR="00B15A0C">
        <w:rPr>
          <w:color w:val="000000"/>
          <w:szCs w:val="24"/>
        </w:rPr>
        <w:t xml:space="preserve">year period </w:t>
      </w:r>
      <w:r w:rsidRPr="00EA2A3F" w:rsidR="009444C1">
        <w:rPr>
          <w:color w:val="000000"/>
          <w:szCs w:val="24"/>
        </w:rPr>
        <w:t xml:space="preserve">is </w:t>
      </w:r>
      <w:r w:rsidRPr="003410FA" w:rsidR="009444C1">
        <w:rPr>
          <w:color w:val="000000"/>
          <w:szCs w:val="24"/>
        </w:rPr>
        <w:t xml:space="preserve">approximately </w:t>
      </w:r>
      <w:r w:rsidR="009B1D9C">
        <w:rPr>
          <w:color w:val="000000"/>
          <w:szCs w:val="24"/>
        </w:rPr>
        <w:t>10,</w:t>
      </w:r>
      <w:r w:rsidR="009D3F1E">
        <w:rPr>
          <w:color w:val="000000"/>
          <w:szCs w:val="24"/>
        </w:rPr>
        <w:t>9</w:t>
      </w:r>
      <w:r w:rsidRPr="00EA2A3F" w:rsidR="001015EF">
        <w:rPr>
          <w:color w:val="000000"/>
          <w:szCs w:val="24"/>
        </w:rPr>
        <w:t>0</w:t>
      </w:r>
      <w:r w:rsidR="009B1D9C">
        <w:rPr>
          <w:color w:val="000000"/>
          <w:szCs w:val="24"/>
        </w:rPr>
        <w:t>0.</w:t>
      </w:r>
      <w:r w:rsidRPr="00757DD3" w:rsidR="00CD6CAF">
        <w:rPr>
          <w:color w:val="000000"/>
          <w:szCs w:val="24"/>
        </w:rPr>
        <w:t xml:space="preserve">  </w:t>
      </w:r>
      <w:bookmarkEnd w:id="2"/>
    </w:p>
    <w:p w:rsidR="00A04FA5" w:rsidRPr="00D3497A" w:rsidP="005E7926" w14:paraId="307EE286" w14:textId="77777777">
      <w:pPr>
        <w:widowControl/>
        <w:autoSpaceDE w:val="0"/>
        <w:autoSpaceDN w:val="0"/>
        <w:adjustRightInd w:val="0"/>
        <w:ind w:firstLine="720"/>
        <w:rPr>
          <w:color w:val="000000"/>
          <w:szCs w:val="24"/>
        </w:rPr>
      </w:pPr>
    </w:p>
    <w:p w:rsidR="00FE629E" w:rsidRPr="00D3497A" w:rsidP="00D00761" w14:paraId="5A2F971B" w14:textId="1F4F385D">
      <w:pPr>
        <w:widowControl/>
        <w:autoSpaceDE w:val="0"/>
        <w:autoSpaceDN w:val="0"/>
        <w:adjustRightInd w:val="0"/>
        <w:ind w:firstLine="720"/>
        <w:rPr>
          <w:color w:val="000000"/>
          <w:szCs w:val="24"/>
        </w:rPr>
      </w:pPr>
      <w:r w:rsidRPr="00D3497A">
        <w:rPr>
          <w:color w:val="000000"/>
          <w:szCs w:val="24"/>
        </w:rPr>
        <w:t>The burden of the recordkeeping requirement imposed by the Regulations is minimal because the records required to be maintained should already be maintained under standard business practice.</w:t>
      </w:r>
    </w:p>
    <w:p w:rsidR="00120343" w:rsidRPr="00D3497A" w:rsidP="00D00761" w14:paraId="240929CD" w14:textId="0E95518D">
      <w:pPr>
        <w:widowControl/>
        <w:autoSpaceDE w:val="0"/>
        <w:autoSpaceDN w:val="0"/>
        <w:adjustRightInd w:val="0"/>
        <w:ind w:firstLine="720"/>
        <w:rPr>
          <w:color w:val="000000"/>
          <w:szCs w:val="24"/>
        </w:rPr>
      </w:pPr>
    </w:p>
    <w:tbl>
      <w:tblPr>
        <w:tblStyle w:val="TableGrid"/>
        <w:tblW w:w="8730" w:type="dxa"/>
        <w:tblInd w:w="355" w:type="dxa"/>
        <w:tblLook w:val="04A0"/>
      </w:tblPr>
      <w:tblGrid>
        <w:gridCol w:w="4770"/>
        <w:gridCol w:w="1980"/>
        <w:gridCol w:w="1980"/>
      </w:tblGrid>
      <w:tr w14:paraId="31B6D0AA" w14:textId="77777777" w:rsidTr="00120343">
        <w:tblPrEx>
          <w:tblW w:w="8730" w:type="dxa"/>
          <w:tblInd w:w="355" w:type="dxa"/>
          <w:tblLook w:val="04A0"/>
        </w:tblPrEx>
        <w:tc>
          <w:tcPr>
            <w:tcW w:w="47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0343" w:rsidRPr="007A580A" w:rsidP="007A580A" w14:paraId="1EB98C8B" w14:textId="59D286FA">
            <w:pPr>
              <w:pStyle w:val="Default"/>
              <w:keepNext/>
            </w:pPr>
            <w:bookmarkStart w:id="3" w:name="_Hlk147937459"/>
            <w:r w:rsidRPr="007A580A">
              <w:t>CATEGORY</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0343" w:rsidRPr="007A580A" w:rsidP="005B38FA" w14:paraId="4F517F05" w14:textId="77777777">
            <w:pPr>
              <w:pStyle w:val="Default"/>
              <w:keepNext/>
            </w:pPr>
            <w:r w:rsidRPr="007A580A">
              <w:t>RESPONSES</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0343" w:rsidRPr="007A580A" w:rsidP="005B38FA" w14:paraId="0482CA72" w14:textId="77777777">
            <w:pPr>
              <w:pStyle w:val="Default"/>
              <w:keepNext/>
            </w:pPr>
            <w:r w:rsidRPr="007A580A">
              <w:t>ESTIMATED TIME</w:t>
            </w:r>
          </w:p>
          <w:p w:rsidR="00120343" w:rsidRPr="007A580A" w:rsidP="005B38FA" w14:paraId="289D32E9" w14:textId="77777777">
            <w:pPr>
              <w:pStyle w:val="Default"/>
              <w:keepNext/>
            </w:pPr>
            <w:r w:rsidRPr="007A580A">
              <w:t>(hours)</w:t>
            </w:r>
          </w:p>
        </w:tc>
      </w:tr>
      <w:tr w14:paraId="30121113" w14:textId="77777777" w:rsidTr="00120343">
        <w:tblPrEx>
          <w:tblW w:w="8730" w:type="dxa"/>
          <w:tblInd w:w="355" w:type="dxa"/>
          <w:tblLook w:val="04A0"/>
        </w:tblPrEx>
        <w:tc>
          <w:tcPr>
            <w:tcW w:w="4770" w:type="dxa"/>
            <w:tcBorders>
              <w:top w:val="single" w:sz="4" w:space="0" w:color="auto"/>
              <w:left w:val="single" w:sz="4" w:space="0" w:color="auto"/>
              <w:bottom w:val="single" w:sz="4" w:space="0" w:color="auto"/>
              <w:right w:val="single" w:sz="4" w:space="0" w:color="auto"/>
            </w:tcBorders>
            <w:hideMark/>
          </w:tcPr>
          <w:p w:rsidR="00120343" w:rsidRPr="007A580A" w:rsidP="007A580A" w14:paraId="4D6FD031" w14:textId="77777777">
            <w:pPr>
              <w:pStyle w:val="Default"/>
              <w:keepNext/>
            </w:pPr>
            <w:r w:rsidRPr="007A580A">
              <w:t>Reports associated with forms</w:t>
            </w:r>
          </w:p>
        </w:tc>
        <w:tc>
          <w:tcPr>
            <w:tcW w:w="1980" w:type="dxa"/>
            <w:tcBorders>
              <w:top w:val="single" w:sz="4" w:space="0" w:color="auto"/>
              <w:left w:val="single" w:sz="4" w:space="0" w:color="auto"/>
              <w:bottom w:val="single" w:sz="4" w:space="0" w:color="auto"/>
              <w:right w:val="single" w:sz="4" w:space="0" w:color="auto"/>
            </w:tcBorders>
            <w:vAlign w:val="center"/>
            <w:hideMark/>
          </w:tcPr>
          <w:p w:rsidR="00253444" w:rsidRPr="007A580A" w:rsidP="00B749D6" w14:paraId="49AE6F99" w14:textId="5BE1CF42">
            <w:pPr>
              <w:pStyle w:val="Default"/>
              <w:keepNext/>
              <w:jc w:val="right"/>
            </w:pPr>
            <w:r w:rsidRPr="007A580A">
              <w:t>135,</w:t>
            </w:r>
            <w:r w:rsidR="007619E6">
              <w:t>9</w:t>
            </w:r>
            <w:r w:rsidRPr="007A580A">
              <w:t>82</w:t>
            </w:r>
          </w:p>
          <w:p w:rsidR="00120343" w:rsidRPr="007A580A" w:rsidP="00B749D6" w14:paraId="5592B7C0" w14:textId="33D76B68">
            <w:pPr>
              <w:pStyle w:val="Default"/>
              <w:keepNext/>
              <w:jc w:val="right"/>
            </w:pPr>
          </w:p>
        </w:tc>
        <w:tc>
          <w:tcPr>
            <w:tcW w:w="1980" w:type="dxa"/>
            <w:tcBorders>
              <w:top w:val="single" w:sz="4" w:space="0" w:color="auto"/>
              <w:left w:val="single" w:sz="4" w:space="0" w:color="auto"/>
              <w:bottom w:val="single" w:sz="4" w:space="0" w:color="auto"/>
              <w:right w:val="single" w:sz="4" w:space="0" w:color="auto"/>
            </w:tcBorders>
            <w:vAlign w:val="center"/>
            <w:hideMark/>
          </w:tcPr>
          <w:p w:rsidR="00253444" w:rsidRPr="007A580A" w:rsidP="00B749D6" w14:paraId="7EC887BE" w14:textId="0C0F1A35">
            <w:pPr>
              <w:pStyle w:val="Default"/>
              <w:keepNext/>
              <w:jc w:val="right"/>
            </w:pPr>
            <w:r w:rsidRPr="007A580A">
              <w:t>43,</w:t>
            </w:r>
            <w:r w:rsidR="007619E6">
              <w:t>5</w:t>
            </w:r>
            <w:r w:rsidR="00FD6975">
              <w:t>40</w:t>
            </w:r>
          </w:p>
          <w:p w:rsidR="00120343" w:rsidRPr="007A580A" w:rsidP="00B749D6" w14:paraId="78A01351" w14:textId="6A40312C">
            <w:pPr>
              <w:pStyle w:val="Default"/>
              <w:keepNext/>
              <w:jc w:val="right"/>
            </w:pPr>
          </w:p>
        </w:tc>
      </w:tr>
      <w:tr w14:paraId="1B4A6D14" w14:textId="77777777" w:rsidTr="00120343">
        <w:tblPrEx>
          <w:tblW w:w="8730" w:type="dxa"/>
          <w:tblInd w:w="355" w:type="dxa"/>
          <w:tblLook w:val="04A0"/>
        </w:tblPrEx>
        <w:tc>
          <w:tcPr>
            <w:tcW w:w="4770" w:type="dxa"/>
            <w:tcBorders>
              <w:top w:val="single" w:sz="4" w:space="0" w:color="auto"/>
              <w:left w:val="single" w:sz="4" w:space="0" w:color="auto"/>
              <w:bottom w:val="single" w:sz="4" w:space="0" w:color="auto"/>
              <w:right w:val="single" w:sz="4" w:space="0" w:color="auto"/>
            </w:tcBorders>
            <w:hideMark/>
          </w:tcPr>
          <w:p w:rsidR="00120343" w:rsidRPr="007A580A" w:rsidP="007A580A" w14:paraId="4025C91D" w14:textId="728E19CD">
            <w:pPr>
              <w:keepNext/>
              <w:widowControl/>
              <w:autoSpaceDE w:val="0"/>
              <w:autoSpaceDN w:val="0"/>
              <w:adjustRightInd w:val="0"/>
              <w:rPr>
                <w:iCs/>
                <w:color w:val="000000"/>
                <w:szCs w:val="24"/>
              </w:rPr>
            </w:pPr>
            <w:r w:rsidRPr="007A580A">
              <w:rPr>
                <w:iCs/>
                <w:color w:val="000000"/>
                <w:szCs w:val="24"/>
              </w:rPr>
              <w:t xml:space="preserve">Reports and other information collections not associated with forms  </w:t>
            </w:r>
          </w:p>
        </w:tc>
        <w:tc>
          <w:tcPr>
            <w:tcW w:w="1980" w:type="dxa"/>
            <w:tcBorders>
              <w:top w:val="single" w:sz="4" w:space="0" w:color="auto"/>
              <w:left w:val="single" w:sz="4" w:space="0" w:color="auto"/>
              <w:bottom w:val="single" w:sz="4" w:space="0" w:color="auto"/>
              <w:right w:val="single" w:sz="4" w:space="0" w:color="auto"/>
            </w:tcBorders>
            <w:vAlign w:val="center"/>
            <w:hideMark/>
          </w:tcPr>
          <w:p w:rsidR="0078496C" w:rsidRPr="007A580A" w:rsidP="00B749D6" w14:paraId="6548C976" w14:textId="6EBB0CF2">
            <w:pPr>
              <w:pStyle w:val="Default"/>
              <w:keepNext/>
              <w:jc w:val="right"/>
            </w:pPr>
            <w:r w:rsidRPr="007A580A">
              <w:t>1,102</w:t>
            </w:r>
          </w:p>
          <w:p w:rsidR="00253444" w:rsidRPr="007A580A" w:rsidP="00B749D6" w14:paraId="36335493" w14:textId="4854FF73">
            <w:pPr>
              <w:pStyle w:val="Default"/>
              <w:keepNext/>
              <w:jc w:val="right"/>
            </w:pPr>
          </w:p>
          <w:p w:rsidR="00120343" w:rsidRPr="007A580A" w:rsidP="00B749D6" w14:paraId="04A134C1" w14:textId="3BAB4E42">
            <w:pPr>
              <w:pStyle w:val="Default"/>
              <w:keepNext/>
              <w:jc w:val="right"/>
            </w:pPr>
          </w:p>
        </w:tc>
        <w:tc>
          <w:tcPr>
            <w:tcW w:w="1980" w:type="dxa"/>
            <w:tcBorders>
              <w:top w:val="single" w:sz="4" w:space="0" w:color="auto"/>
              <w:left w:val="single" w:sz="4" w:space="0" w:color="auto"/>
              <w:bottom w:val="single" w:sz="4" w:space="0" w:color="auto"/>
              <w:right w:val="single" w:sz="4" w:space="0" w:color="auto"/>
            </w:tcBorders>
            <w:vAlign w:val="center"/>
            <w:hideMark/>
          </w:tcPr>
          <w:p w:rsidR="00F65F3C" w:rsidRPr="007A580A" w:rsidP="00B749D6" w14:paraId="4A3A19E3" w14:textId="18EC9F25">
            <w:pPr>
              <w:pStyle w:val="Default"/>
              <w:keepNext/>
              <w:jc w:val="right"/>
            </w:pPr>
            <w:r w:rsidRPr="007A580A">
              <w:t>8</w:t>
            </w:r>
            <w:r w:rsidRPr="007A580A" w:rsidR="002B168D">
              <w:t>32</w:t>
            </w:r>
          </w:p>
          <w:p w:rsidR="00132375" w:rsidRPr="007A580A" w:rsidP="00B749D6" w14:paraId="123325D3" w14:textId="2F9F28F7">
            <w:pPr>
              <w:pStyle w:val="Default"/>
              <w:keepNext/>
              <w:jc w:val="right"/>
            </w:pPr>
          </w:p>
          <w:p w:rsidR="00120343" w:rsidRPr="007A580A" w:rsidP="00B749D6" w14:paraId="37719413" w14:textId="35E61BAF">
            <w:pPr>
              <w:pStyle w:val="Default"/>
              <w:keepNext/>
              <w:jc w:val="right"/>
            </w:pPr>
          </w:p>
        </w:tc>
      </w:tr>
      <w:tr w14:paraId="0D992B4B" w14:textId="77777777" w:rsidTr="00120343">
        <w:tblPrEx>
          <w:tblW w:w="8730" w:type="dxa"/>
          <w:tblInd w:w="355" w:type="dxa"/>
          <w:tblLook w:val="04A0"/>
        </w:tblPrEx>
        <w:tc>
          <w:tcPr>
            <w:tcW w:w="47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20343" w:rsidRPr="007A580A" w:rsidP="007A580A" w14:paraId="11475962" w14:textId="77777777">
            <w:pPr>
              <w:pStyle w:val="Default"/>
              <w:keepNext/>
              <w:rPr>
                <w:b/>
                <w:bCs/>
              </w:rPr>
            </w:pPr>
            <w:r w:rsidRPr="007A580A">
              <w:rPr>
                <w:b/>
                <w:bCs/>
              </w:rPr>
              <w:t>OVERALL TOTALS</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B168D" w:rsidRPr="007A580A" w:rsidP="00B749D6" w14:paraId="142FC012" w14:textId="012705C1">
            <w:pPr>
              <w:pStyle w:val="Default"/>
              <w:keepNext/>
              <w:jc w:val="right"/>
              <w:rPr>
                <w:b/>
                <w:bCs/>
              </w:rPr>
            </w:pPr>
            <w:r>
              <w:rPr>
                <w:b/>
                <w:bCs/>
              </w:rPr>
              <w:t>137,084</w:t>
            </w:r>
          </w:p>
          <w:p w:rsidR="00132375" w:rsidRPr="007A580A" w:rsidP="00B749D6" w14:paraId="64801C57" w14:textId="20680F94">
            <w:pPr>
              <w:pStyle w:val="Default"/>
              <w:keepNext/>
              <w:jc w:val="right"/>
              <w:rPr>
                <w:b/>
                <w:bCs/>
              </w:rPr>
            </w:pPr>
          </w:p>
          <w:p w:rsidR="00120343" w:rsidRPr="007A580A" w:rsidP="00B749D6" w14:paraId="793CB228" w14:textId="57C0DD04">
            <w:pPr>
              <w:pStyle w:val="Default"/>
              <w:keepNext/>
              <w:jc w:val="right"/>
              <w:rPr>
                <w:b/>
                <w:bCs/>
              </w:rPr>
            </w:pP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B40C9" w:rsidRPr="007A580A" w:rsidP="00B749D6" w14:paraId="5ABC9BF4" w14:textId="26A686DE">
            <w:pPr>
              <w:pStyle w:val="Default"/>
              <w:keepNext/>
              <w:jc w:val="right"/>
              <w:rPr>
                <w:b/>
                <w:bCs/>
              </w:rPr>
            </w:pPr>
            <w:r w:rsidRPr="007A580A">
              <w:rPr>
                <w:b/>
                <w:bCs/>
              </w:rPr>
              <w:t>44,</w:t>
            </w:r>
            <w:r w:rsidR="00AB0F72">
              <w:rPr>
                <w:b/>
                <w:bCs/>
              </w:rPr>
              <w:t>370</w:t>
            </w:r>
          </w:p>
          <w:p w:rsidR="00F65F3C" w:rsidRPr="007A580A" w:rsidP="00B749D6" w14:paraId="753404CC" w14:textId="1B8A06D8">
            <w:pPr>
              <w:pStyle w:val="Default"/>
              <w:keepNext/>
              <w:jc w:val="right"/>
              <w:rPr>
                <w:b/>
                <w:bCs/>
              </w:rPr>
            </w:pPr>
          </w:p>
          <w:p w:rsidR="00120343" w:rsidRPr="007A580A" w:rsidP="00B749D6" w14:paraId="288B9328" w14:textId="1CEBD77E">
            <w:pPr>
              <w:pStyle w:val="Default"/>
              <w:keepNext/>
              <w:jc w:val="right"/>
              <w:rPr>
                <w:b/>
                <w:bCs/>
              </w:rPr>
            </w:pPr>
          </w:p>
        </w:tc>
      </w:tr>
      <w:bookmarkEnd w:id="3"/>
    </w:tbl>
    <w:p w:rsidR="00120343" w:rsidRPr="00D3497A" w:rsidP="00120343" w14:paraId="11664AEB" w14:textId="77777777">
      <w:pPr>
        <w:widowControl/>
        <w:autoSpaceDE w:val="0"/>
        <w:autoSpaceDN w:val="0"/>
        <w:adjustRightInd w:val="0"/>
        <w:rPr>
          <w:color w:val="000000"/>
          <w:szCs w:val="24"/>
        </w:rPr>
      </w:pPr>
    </w:p>
    <w:p w:rsidR="00FE629E" w:rsidRPr="00D3497A" w:rsidP="009444C1" w14:paraId="0D087304" w14:textId="77777777">
      <w:pPr>
        <w:widowControl/>
        <w:autoSpaceDE w:val="0"/>
        <w:autoSpaceDN w:val="0"/>
        <w:adjustRightInd w:val="0"/>
        <w:rPr>
          <w:color w:val="000000"/>
          <w:szCs w:val="24"/>
        </w:rPr>
      </w:pPr>
    </w:p>
    <w:p w:rsidR="009444C1" w:rsidRPr="00D3497A" w:rsidP="001114FC" w14:paraId="20247785" w14:textId="42448238">
      <w:pPr>
        <w:autoSpaceDE w:val="0"/>
        <w:autoSpaceDN w:val="0"/>
        <w:adjustRightInd w:val="0"/>
        <w:rPr>
          <w:i/>
          <w:color w:val="000000"/>
          <w:szCs w:val="24"/>
        </w:rPr>
      </w:pPr>
      <w:r w:rsidRPr="00D3497A">
        <w:rPr>
          <w:color w:val="000000"/>
          <w:szCs w:val="24"/>
          <w:u w:val="single"/>
        </w:rPr>
        <w:t>More detailed background</w:t>
      </w:r>
    </w:p>
    <w:p w:rsidR="009444C1" w:rsidRPr="00D3497A" w:rsidP="00774BF2" w14:paraId="3209FE36" w14:textId="4EFC30B3">
      <w:pPr>
        <w:autoSpaceDE w:val="0"/>
        <w:autoSpaceDN w:val="0"/>
        <w:adjustRightInd w:val="0"/>
        <w:rPr>
          <w:i/>
          <w:color w:val="000000"/>
          <w:szCs w:val="24"/>
        </w:rPr>
      </w:pPr>
    </w:p>
    <w:p w:rsidR="00774BF2" w:rsidRPr="00D3497A" w:rsidP="00774BF2" w14:paraId="3BE524F6" w14:textId="0E6593BC">
      <w:pPr>
        <w:autoSpaceDE w:val="0"/>
        <w:autoSpaceDN w:val="0"/>
        <w:adjustRightInd w:val="0"/>
        <w:rPr>
          <w:iCs/>
          <w:color w:val="000000"/>
          <w:szCs w:val="24"/>
        </w:rPr>
      </w:pPr>
      <w:r w:rsidRPr="00D3497A">
        <w:rPr>
          <w:iCs/>
          <w:color w:val="000000"/>
          <w:szCs w:val="24"/>
        </w:rPr>
        <w:tab/>
        <w:t>OFAC has included below a more granular breakdown of the various types of reports and other information collections covered by this authority, as well as an estimated number of annual responses, the estimated time per report or information collection, and an estimated total annual burden for each report or information collection.</w:t>
      </w:r>
    </w:p>
    <w:p w:rsidR="00774BF2" w:rsidRPr="00D3497A" w:rsidP="00DD72CC" w14:paraId="685EC95E" w14:textId="77777777">
      <w:pPr>
        <w:autoSpaceDE w:val="0"/>
        <w:autoSpaceDN w:val="0"/>
        <w:adjustRightInd w:val="0"/>
        <w:rPr>
          <w:i/>
          <w:color w:val="000000"/>
          <w:szCs w:val="24"/>
        </w:rPr>
      </w:pPr>
    </w:p>
    <w:p w:rsidR="009444C1" w:rsidRPr="00D3497A" w:rsidP="009B0D38" w14:paraId="446A2FBD" w14:textId="382774E1">
      <w:pPr>
        <w:keepNext/>
        <w:autoSpaceDE w:val="0"/>
        <w:autoSpaceDN w:val="0"/>
        <w:adjustRightInd w:val="0"/>
        <w:rPr>
          <w:i/>
          <w:color w:val="000000"/>
          <w:szCs w:val="24"/>
        </w:rPr>
      </w:pPr>
      <w:r w:rsidRPr="00D3497A">
        <w:rPr>
          <w:i/>
          <w:color w:val="000000"/>
          <w:szCs w:val="24"/>
        </w:rPr>
        <w:t>Reports</w:t>
      </w:r>
      <w:r w:rsidRPr="00D3497A" w:rsidR="00774BF2">
        <w:rPr>
          <w:i/>
          <w:color w:val="000000"/>
          <w:szCs w:val="24"/>
        </w:rPr>
        <w:t xml:space="preserve"> and other information collections</w:t>
      </w:r>
      <w:r w:rsidRPr="00D3497A">
        <w:rPr>
          <w:i/>
          <w:color w:val="000000"/>
          <w:szCs w:val="24"/>
        </w:rPr>
        <w:t xml:space="preserve"> associated with </w:t>
      </w:r>
      <w:r w:rsidRPr="00D3497A" w:rsidR="0043615C">
        <w:rPr>
          <w:i/>
          <w:color w:val="000000"/>
          <w:szCs w:val="24"/>
        </w:rPr>
        <w:t xml:space="preserve">mandatory or voluntary </w:t>
      </w:r>
      <w:r w:rsidRPr="00D3497A">
        <w:rPr>
          <w:i/>
          <w:color w:val="000000"/>
          <w:szCs w:val="24"/>
        </w:rPr>
        <w:t>forms</w:t>
      </w:r>
    </w:p>
    <w:p w:rsidR="009444C1" w:rsidP="009B0D38" w14:paraId="38B6427F" w14:textId="250AA35E">
      <w:pPr>
        <w:keepNext/>
        <w:autoSpaceDE w:val="0"/>
        <w:autoSpaceDN w:val="0"/>
        <w:adjustRightInd w:val="0"/>
        <w:rPr>
          <w:color w:val="000000"/>
          <w:szCs w:val="24"/>
          <w:u w:val="single"/>
        </w:rPr>
      </w:pPr>
    </w:p>
    <w:p w:rsidR="001F717D" w:rsidP="009B0D38" w14:paraId="242A203F" w14:textId="2A32533D">
      <w:pPr>
        <w:keepNext/>
        <w:autoSpaceDE w:val="0"/>
        <w:autoSpaceDN w:val="0"/>
        <w:adjustRightInd w:val="0"/>
        <w:rPr>
          <w:color w:val="000000"/>
          <w:szCs w:val="24"/>
          <w:u w:val="single"/>
        </w:rPr>
      </w:pPr>
    </w:p>
    <w:tbl>
      <w:tblPr>
        <w:tblStyle w:val="TableGrid"/>
        <w:tblW w:w="9715" w:type="dxa"/>
        <w:tblLayout w:type="fixed"/>
        <w:tblLook w:val="04A0"/>
      </w:tblPr>
      <w:tblGrid>
        <w:gridCol w:w="2515"/>
        <w:gridCol w:w="1890"/>
        <w:gridCol w:w="1620"/>
        <w:gridCol w:w="2070"/>
        <w:gridCol w:w="1620"/>
      </w:tblGrid>
      <w:tr w14:paraId="65B73721" w14:textId="77777777" w:rsidTr="00EB28EC">
        <w:tblPrEx>
          <w:tblW w:w="9715" w:type="dxa"/>
          <w:tblLayout w:type="fixed"/>
          <w:tblLook w:val="04A0"/>
        </w:tblPrEx>
        <w:tc>
          <w:tcPr>
            <w:tcW w:w="2515" w:type="dxa"/>
            <w:shd w:val="clear" w:color="auto" w:fill="BFBFBF" w:themeFill="background1" w:themeFillShade="BF"/>
          </w:tcPr>
          <w:p w:rsidR="001F717D" w:rsidRPr="00E80F47" w:rsidP="005B38FA" w14:paraId="34EDF1BB" w14:textId="77777777">
            <w:pPr>
              <w:keepNext/>
              <w:autoSpaceDE w:val="0"/>
              <w:autoSpaceDN w:val="0"/>
              <w:adjustRightInd w:val="0"/>
              <w:rPr>
                <w:color w:val="000000"/>
                <w:szCs w:val="24"/>
              </w:rPr>
            </w:pPr>
            <w:bookmarkStart w:id="4" w:name="_Hlk146207654"/>
            <w:r w:rsidRPr="00E80F47">
              <w:rPr>
                <w:color w:val="000000"/>
                <w:szCs w:val="24"/>
              </w:rPr>
              <w:t>REPORT OR INFORMATION COLLECTION</w:t>
            </w:r>
          </w:p>
        </w:tc>
        <w:tc>
          <w:tcPr>
            <w:tcW w:w="1890" w:type="dxa"/>
            <w:shd w:val="clear" w:color="auto" w:fill="BFBFBF" w:themeFill="background1" w:themeFillShade="BF"/>
          </w:tcPr>
          <w:p w:rsidR="001F717D" w:rsidRPr="00E80F47" w:rsidP="005B38FA" w14:paraId="275F64C2" w14:textId="77777777">
            <w:pPr>
              <w:keepNext/>
              <w:autoSpaceDE w:val="0"/>
              <w:autoSpaceDN w:val="0"/>
              <w:adjustRightInd w:val="0"/>
              <w:rPr>
                <w:color w:val="000000"/>
                <w:szCs w:val="24"/>
              </w:rPr>
            </w:pPr>
            <w:r w:rsidRPr="00E80F47">
              <w:rPr>
                <w:color w:val="000000"/>
                <w:szCs w:val="24"/>
              </w:rPr>
              <w:t>ASSOCIATED FORM NUMBER</w:t>
            </w:r>
          </w:p>
        </w:tc>
        <w:tc>
          <w:tcPr>
            <w:tcW w:w="1620" w:type="dxa"/>
            <w:shd w:val="clear" w:color="auto" w:fill="BFBFBF" w:themeFill="background1" w:themeFillShade="BF"/>
          </w:tcPr>
          <w:p w:rsidR="001F717D" w:rsidRPr="00E80F47" w:rsidP="005B38FA" w14:paraId="11A92771" w14:textId="77777777">
            <w:pPr>
              <w:keepNext/>
              <w:autoSpaceDE w:val="0"/>
              <w:autoSpaceDN w:val="0"/>
              <w:adjustRightInd w:val="0"/>
              <w:rPr>
                <w:color w:val="000000"/>
                <w:szCs w:val="24"/>
              </w:rPr>
            </w:pPr>
            <w:r w:rsidRPr="00E80F47">
              <w:rPr>
                <w:color w:val="000000"/>
                <w:szCs w:val="24"/>
              </w:rPr>
              <w:t>ESTIMATED NUMBER OF ANNUAL RESPONSES</w:t>
            </w:r>
          </w:p>
        </w:tc>
        <w:tc>
          <w:tcPr>
            <w:tcW w:w="2070" w:type="dxa"/>
            <w:shd w:val="clear" w:color="auto" w:fill="BFBFBF" w:themeFill="background1" w:themeFillShade="BF"/>
          </w:tcPr>
          <w:p w:rsidR="001F717D" w:rsidRPr="00E80F47" w:rsidP="005B38FA" w14:paraId="215AE009" w14:textId="77777777">
            <w:pPr>
              <w:keepNext/>
              <w:autoSpaceDE w:val="0"/>
              <w:autoSpaceDN w:val="0"/>
              <w:adjustRightInd w:val="0"/>
              <w:rPr>
                <w:color w:val="000000"/>
                <w:szCs w:val="24"/>
              </w:rPr>
            </w:pPr>
            <w:r w:rsidRPr="00E80F47">
              <w:rPr>
                <w:color w:val="000000"/>
                <w:szCs w:val="24"/>
              </w:rPr>
              <w:t>ESTIMATED TIME PER FORM</w:t>
            </w:r>
          </w:p>
          <w:p w:rsidR="001F717D" w:rsidRPr="00E80F47" w:rsidP="005B38FA" w14:paraId="365185C6" w14:textId="77777777">
            <w:pPr>
              <w:keepNext/>
              <w:autoSpaceDE w:val="0"/>
              <w:autoSpaceDN w:val="0"/>
              <w:adjustRightInd w:val="0"/>
              <w:rPr>
                <w:color w:val="000000"/>
                <w:szCs w:val="24"/>
              </w:rPr>
            </w:pPr>
            <w:r w:rsidRPr="00E80F47">
              <w:rPr>
                <w:color w:val="000000"/>
                <w:szCs w:val="24"/>
              </w:rPr>
              <w:t>(hours per form)</w:t>
            </w:r>
          </w:p>
        </w:tc>
        <w:tc>
          <w:tcPr>
            <w:tcW w:w="1620" w:type="dxa"/>
            <w:shd w:val="clear" w:color="auto" w:fill="BFBFBF" w:themeFill="background1" w:themeFillShade="BF"/>
          </w:tcPr>
          <w:p w:rsidR="001F717D" w:rsidRPr="00E80F47" w:rsidP="005B38FA" w14:paraId="7085C1DC" w14:textId="77777777">
            <w:pPr>
              <w:keepNext/>
              <w:autoSpaceDE w:val="0"/>
              <w:autoSpaceDN w:val="0"/>
              <w:adjustRightInd w:val="0"/>
              <w:rPr>
                <w:color w:val="000000"/>
                <w:szCs w:val="24"/>
              </w:rPr>
            </w:pPr>
            <w:r w:rsidRPr="00E80F47">
              <w:rPr>
                <w:color w:val="000000"/>
                <w:szCs w:val="24"/>
              </w:rPr>
              <w:t>ESTIMATED  TOTAL BURDEN</w:t>
            </w:r>
          </w:p>
          <w:p w:rsidR="001F717D" w:rsidRPr="00E80F47" w:rsidP="005B38FA" w14:paraId="566B1952" w14:textId="77777777">
            <w:pPr>
              <w:keepNext/>
              <w:autoSpaceDE w:val="0"/>
              <w:autoSpaceDN w:val="0"/>
              <w:adjustRightInd w:val="0"/>
              <w:rPr>
                <w:color w:val="000000"/>
                <w:szCs w:val="24"/>
              </w:rPr>
            </w:pPr>
            <w:r w:rsidRPr="00E80F47">
              <w:rPr>
                <w:color w:val="000000"/>
                <w:szCs w:val="24"/>
              </w:rPr>
              <w:t>(hours)</w:t>
            </w:r>
          </w:p>
        </w:tc>
      </w:tr>
      <w:tr w14:paraId="1C547127" w14:textId="77777777" w:rsidTr="00EB28EC">
        <w:tblPrEx>
          <w:tblW w:w="9715" w:type="dxa"/>
          <w:tblLayout w:type="fixed"/>
          <w:tblLook w:val="04A0"/>
        </w:tblPrEx>
        <w:tc>
          <w:tcPr>
            <w:tcW w:w="2515" w:type="dxa"/>
          </w:tcPr>
          <w:p w:rsidR="001F717D" w:rsidRPr="00E80F47" w:rsidP="00E80F47" w14:paraId="40CACCBF" w14:textId="77777777">
            <w:pPr>
              <w:autoSpaceDE w:val="0"/>
              <w:autoSpaceDN w:val="0"/>
              <w:adjustRightInd w:val="0"/>
              <w:rPr>
                <w:color w:val="000000"/>
                <w:szCs w:val="24"/>
              </w:rPr>
            </w:pPr>
            <w:r w:rsidRPr="00E80F47">
              <w:rPr>
                <w:color w:val="000000"/>
                <w:szCs w:val="24"/>
              </w:rPr>
              <w:t xml:space="preserve">Annual Report of Blocked Property </w:t>
            </w:r>
            <w:r w:rsidRPr="00E80F47">
              <w:rPr>
                <w:color w:val="000000"/>
                <w:szCs w:val="24"/>
              </w:rPr>
              <w:t>(ARBP)</w:t>
            </w:r>
          </w:p>
        </w:tc>
        <w:tc>
          <w:tcPr>
            <w:tcW w:w="1890" w:type="dxa"/>
          </w:tcPr>
          <w:p w:rsidR="001F717D" w:rsidRPr="00E80F47" w:rsidP="005B38FA" w14:paraId="3F1D9A79" w14:textId="77777777">
            <w:pPr>
              <w:autoSpaceDE w:val="0"/>
              <w:autoSpaceDN w:val="0"/>
              <w:adjustRightInd w:val="0"/>
              <w:rPr>
                <w:color w:val="000000"/>
                <w:szCs w:val="24"/>
              </w:rPr>
            </w:pPr>
            <w:r w:rsidRPr="00E80F47">
              <w:rPr>
                <w:color w:val="000000"/>
                <w:szCs w:val="24"/>
              </w:rPr>
              <w:t>TD-F 90-22.50</w:t>
            </w:r>
          </w:p>
        </w:tc>
        <w:tc>
          <w:tcPr>
            <w:tcW w:w="1620" w:type="dxa"/>
          </w:tcPr>
          <w:p w:rsidR="001F717D" w:rsidRPr="00E80F47" w:rsidP="00B749D6" w14:paraId="6DBBDAB0" w14:textId="77777777">
            <w:pPr>
              <w:autoSpaceDE w:val="0"/>
              <w:autoSpaceDN w:val="0"/>
              <w:adjustRightInd w:val="0"/>
              <w:jc w:val="right"/>
              <w:rPr>
                <w:color w:val="000000"/>
                <w:szCs w:val="24"/>
              </w:rPr>
            </w:pPr>
            <w:r w:rsidRPr="00E80F47">
              <w:rPr>
                <w:color w:val="000000"/>
                <w:szCs w:val="24"/>
              </w:rPr>
              <w:t>730</w:t>
            </w:r>
          </w:p>
          <w:p w:rsidR="001F717D" w:rsidRPr="00E80F47" w:rsidP="00B749D6" w14:paraId="5AC17DC2" w14:textId="278B9B57">
            <w:pPr>
              <w:autoSpaceDE w:val="0"/>
              <w:autoSpaceDN w:val="0"/>
              <w:adjustRightInd w:val="0"/>
              <w:jc w:val="right"/>
              <w:rPr>
                <w:color w:val="000000"/>
                <w:szCs w:val="24"/>
              </w:rPr>
            </w:pPr>
          </w:p>
          <w:p w:rsidR="001F717D" w:rsidRPr="00E80F47" w:rsidP="00B749D6" w14:paraId="4C026400" w14:textId="77777777">
            <w:pPr>
              <w:autoSpaceDE w:val="0"/>
              <w:autoSpaceDN w:val="0"/>
              <w:adjustRightInd w:val="0"/>
              <w:jc w:val="right"/>
              <w:rPr>
                <w:color w:val="000000"/>
                <w:szCs w:val="24"/>
              </w:rPr>
            </w:pPr>
          </w:p>
        </w:tc>
        <w:tc>
          <w:tcPr>
            <w:tcW w:w="2070" w:type="dxa"/>
          </w:tcPr>
          <w:p w:rsidR="001F717D" w:rsidRPr="00E80F47" w:rsidP="00B749D6" w14:paraId="12C33CC1" w14:textId="77777777">
            <w:pPr>
              <w:autoSpaceDE w:val="0"/>
              <w:autoSpaceDN w:val="0"/>
              <w:adjustRightInd w:val="0"/>
              <w:jc w:val="right"/>
              <w:rPr>
                <w:color w:val="000000"/>
                <w:szCs w:val="24"/>
              </w:rPr>
            </w:pPr>
            <w:r w:rsidRPr="00E80F47">
              <w:rPr>
                <w:color w:val="000000"/>
                <w:szCs w:val="24"/>
              </w:rPr>
              <w:t>2.00</w:t>
            </w:r>
          </w:p>
        </w:tc>
        <w:tc>
          <w:tcPr>
            <w:tcW w:w="1620" w:type="dxa"/>
          </w:tcPr>
          <w:p w:rsidR="001F717D" w:rsidRPr="00E80F47" w:rsidP="00B749D6" w14:paraId="66FE690A" w14:textId="091B9EA2">
            <w:pPr>
              <w:autoSpaceDE w:val="0"/>
              <w:autoSpaceDN w:val="0"/>
              <w:adjustRightInd w:val="0"/>
              <w:jc w:val="right"/>
              <w:rPr>
                <w:szCs w:val="24"/>
              </w:rPr>
            </w:pPr>
            <w:r w:rsidRPr="00E80F47">
              <w:rPr>
                <w:szCs w:val="24"/>
              </w:rPr>
              <w:t xml:space="preserve"> 1,460</w:t>
            </w:r>
          </w:p>
          <w:p w:rsidR="001F717D" w:rsidRPr="00E80F47" w:rsidP="00B749D6" w14:paraId="491095ED" w14:textId="31D3136D">
            <w:pPr>
              <w:autoSpaceDE w:val="0"/>
              <w:autoSpaceDN w:val="0"/>
              <w:adjustRightInd w:val="0"/>
              <w:jc w:val="right"/>
              <w:rPr>
                <w:color w:val="000000"/>
                <w:szCs w:val="24"/>
              </w:rPr>
            </w:pPr>
          </w:p>
        </w:tc>
      </w:tr>
      <w:tr w14:paraId="3C70DF12" w14:textId="77777777" w:rsidTr="00EB28EC">
        <w:tblPrEx>
          <w:tblW w:w="9715" w:type="dxa"/>
          <w:tblLayout w:type="fixed"/>
          <w:tblLook w:val="04A0"/>
        </w:tblPrEx>
        <w:tc>
          <w:tcPr>
            <w:tcW w:w="2515" w:type="dxa"/>
          </w:tcPr>
          <w:p w:rsidR="001F717D" w:rsidRPr="00E80F47" w:rsidP="00E80F47" w14:paraId="6E85A6A7" w14:textId="0DE7F53E">
            <w:pPr>
              <w:autoSpaceDE w:val="0"/>
              <w:autoSpaceDN w:val="0"/>
              <w:adjustRightInd w:val="0"/>
              <w:rPr>
                <w:color w:val="000000"/>
                <w:szCs w:val="24"/>
              </w:rPr>
            </w:pPr>
            <w:r w:rsidRPr="00E80F47">
              <w:rPr>
                <w:color w:val="000000"/>
                <w:szCs w:val="24"/>
              </w:rPr>
              <w:t>Report on Blocked Property – Financial</w:t>
            </w:r>
            <w:r w:rsidRPr="00E80F47" w:rsidR="00970C96">
              <w:rPr>
                <w:color w:val="000000"/>
                <w:szCs w:val="24"/>
              </w:rPr>
              <w:t xml:space="preserve"> (when provided as individual reports and not a bulk submission)</w:t>
            </w:r>
          </w:p>
        </w:tc>
        <w:tc>
          <w:tcPr>
            <w:tcW w:w="1890" w:type="dxa"/>
          </w:tcPr>
          <w:p w:rsidR="001F717D" w:rsidRPr="00E80F47" w:rsidP="005B38FA" w14:paraId="18574B6F" w14:textId="77777777">
            <w:pPr>
              <w:autoSpaceDE w:val="0"/>
              <w:autoSpaceDN w:val="0"/>
              <w:adjustRightInd w:val="0"/>
              <w:rPr>
                <w:color w:val="000000"/>
                <w:szCs w:val="24"/>
              </w:rPr>
            </w:pPr>
            <w:r w:rsidRPr="00E80F47">
              <w:rPr>
                <w:color w:val="000000"/>
                <w:szCs w:val="24"/>
              </w:rPr>
              <w:t>TD-F 93.02</w:t>
            </w:r>
          </w:p>
        </w:tc>
        <w:tc>
          <w:tcPr>
            <w:tcW w:w="1620" w:type="dxa"/>
          </w:tcPr>
          <w:p w:rsidR="001F717D" w:rsidRPr="00E80F47" w:rsidP="00B749D6" w14:paraId="67F5910D" w14:textId="03A15F0F">
            <w:pPr>
              <w:autoSpaceDE w:val="0"/>
              <w:autoSpaceDN w:val="0"/>
              <w:adjustRightInd w:val="0"/>
              <w:jc w:val="right"/>
              <w:rPr>
                <w:color w:val="000000"/>
                <w:szCs w:val="24"/>
              </w:rPr>
            </w:pPr>
            <w:r w:rsidRPr="00E80F47">
              <w:rPr>
                <w:color w:val="000000"/>
                <w:szCs w:val="24"/>
              </w:rPr>
              <w:t>20,393</w:t>
            </w:r>
          </w:p>
          <w:p w:rsidR="001F717D" w:rsidRPr="00E80F47" w:rsidP="00B749D6" w14:paraId="52CA949C" w14:textId="099D06A1">
            <w:pPr>
              <w:autoSpaceDE w:val="0"/>
              <w:autoSpaceDN w:val="0"/>
              <w:adjustRightInd w:val="0"/>
              <w:jc w:val="right"/>
              <w:rPr>
                <w:color w:val="000000"/>
                <w:szCs w:val="24"/>
              </w:rPr>
            </w:pPr>
          </w:p>
          <w:p w:rsidR="001F717D" w:rsidRPr="00E80F47" w:rsidP="00B749D6" w14:paraId="40B40C4C" w14:textId="77777777">
            <w:pPr>
              <w:autoSpaceDE w:val="0"/>
              <w:autoSpaceDN w:val="0"/>
              <w:adjustRightInd w:val="0"/>
              <w:jc w:val="right"/>
              <w:rPr>
                <w:color w:val="000000"/>
                <w:szCs w:val="24"/>
              </w:rPr>
            </w:pPr>
          </w:p>
          <w:p w:rsidR="001F717D" w:rsidRPr="00E80F47" w:rsidP="00B749D6" w14:paraId="5648A177" w14:textId="77777777">
            <w:pPr>
              <w:autoSpaceDE w:val="0"/>
              <w:autoSpaceDN w:val="0"/>
              <w:adjustRightInd w:val="0"/>
              <w:jc w:val="right"/>
              <w:rPr>
                <w:color w:val="000000"/>
                <w:szCs w:val="24"/>
              </w:rPr>
            </w:pPr>
          </w:p>
        </w:tc>
        <w:tc>
          <w:tcPr>
            <w:tcW w:w="2070" w:type="dxa"/>
          </w:tcPr>
          <w:p w:rsidR="001F717D" w:rsidRPr="00E80F47" w:rsidP="00B749D6" w14:paraId="3B67349D" w14:textId="77777777">
            <w:pPr>
              <w:autoSpaceDE w:val="0"/>
              <w:autoSpaceDN w:val="0"/>
              <w:adjustRightInd w:val="0"/>
              <w:jc w:val="right"/>
              <w:rPr>
                <w:color w:val="000000"/>
                <w:szCs w:val="24"/>
              </w:rPr>
            </w:pPr>
            <w:r w:rsidRPr="00E80F47">
              <w:rPr>
                <w:color w:val="000000"/>
                <w:szCs w:val="24"/>
              </w:rPr>
              <w:t>0.50</w:t>
            </w:r>
          </w:p>
        </w:tc>
        <w:tc>
          <w:tcPr>
            <w:tcW w:w="1620" w:type="dxa"/>
          </w:tcPr>
          <w:p w:rsidR="001F717D" w:rsidRPr="00E80F47" w:rsidP="00B749D6" w14:paraId="015A3179" w14:textId="37656943">
            <w:pPr>
              <w:autoSpaceDE w:val="0"/>
              <w:autoSpaceDN w:val="0"/>
              <w:adjustRightInd w:val="0"/>
              <w:jc w:val="right"/>
              <w:rPr>
                <w:szCs w:val="24"/>
              </w:rPr>
            </w:pPr>
            <w:r w:rsidRPr="00E80F47">
              <w:rPr>
                <w:szCs w:val="24"/>
              </w:rPr>
              <w:t>10,197</w:t>
            </w:r>
          </w:p>
          <w:p w:rsidR="001F717D" w:rsidRPr="00E80F47" w:rsidP="00B749D6" w14:paraId="7C28988A" w14:textId="681413A5">
            <w:pPr>
              <w:autoSpaceDE w:val="0"/>
              <w:autoSpaceDN w:val="0"/>
              <w:adjustRightInd w:val="0"/>
              <w:jc w:val="right"/>
              <w:rPr>
                <w:color w:val="000000"/>
                <w:szCs w:val="24"/>
              </w:rPr>
            </w:pPr>
            <w:r w:rsidRPr="00E80F47">
              <w:rPr>
                <w:szCs w:val="24"/>
              </w:rPr>
              <w:t xml:space="preserve"> </w:t>
            </w:r>
          </w:p>
        </w:tc>
      </w:tr>
    </w:tbl>
    <w:p w:rsidR="00475F5D" w14:paraId="01531313" w14:textId="77777777">
      <w:r>
        <w:br w:type="page"/>
      </w:r>
    </w:p>
    <w:tbl>
      <w:tblPr>
        <w:tblStyle w:val="TableGrid"/>
        <w:tblW w:w="9715" w:type="dxa"/>
        <w:tblLayout w:type="fixed"/>
        <w:tblLook w:val="04A0"/>
      </w:tblPr>
      <w:tblGrid>
        <w:gridCol w:w="2515"/>
        <w:gridCol w:w="1890"/>
        <w:gridCol w:w="1620"/>
        <w:gridCol w:w="2070"/>
        <w:gridCol w:w="1620"/>
      </w:tblGrid>
      <w:tr w14:paraId="5B79E7E5" w14:textId="77777777" w:rsidTr="00B749D6">
        <w:tblPrEx>
          <w:tblW w:w="9715" w:type="dxa"/>
          <w:tblLayout w:type="fixed"/>
          <w:tblLook w:val="04A0"/>
        </w:tblPrEx>
        <w:tc>
          <w:tcPr>
            <w:tcW w:w="2515" w:type="dxa"/>
            <w:shd w:val="clear" w:color="auto" w:fill="BFBFBF" w:themeFill="background1" w:themeFillShade="BF"/>
          </w:tcPr>
          <w:p w:rsidR="00475F5D" w:rsidRPr="00E80F47" w:rsidP="00475F5D" w14:paraId="005D6C90" w14:textId="3B7ED10C">
            <w:pPr>
              <w:autoSpaceDE w:val="0"/>
              <w:autoSpaceDN w:val="0"/>
              <w:adjustRightInd w:val="0"/>
              <w:rPr>
                <w:color w:val="000000"/>
                <w:szCs w:val="24"/>
              </w:rPr>
            </w:pPr>
            <w:r w:rsidRPr="00E80F47">
              <w:rPr>
                <w:color w:val="000000"/>
                <w:szCs w:val="24"/>
              </w:rPr>
              <w:t>REPORT OR INFORMATION COLLECTION</w:t>
            </w:r>
          </w:p>
        </w:tc>
        <w:tc>
          <w:tcPr>
            <w:tcW w:w="1890" w:type="dxa"/>
            <w:shd w:val="clear" w:color="auto" w:fill="BFBFBF" w:themeFill="background1" w:themeFillShade="BF"/>
          </w:tcPr>
          <w:p w:rsidR="00475F5D" w:rsidRPr="00E80F47" w:rsidP="00475F5D" w14:paraId="1B1A70C2" w14:textId="0B269FCA">
            <w:pPr>
              <w:autoSpaceDE w:val="0"/>
              <w:autoSpaceDN w:val="0"/>
              <w:adjustRightInd w:val="0"/>
              <w:rPr>
                <w:color w:val="000000"/>
                <w:szCs w:val="24"/>
              </w:rPr>
            </w:pPr>
            <w:r w:rsidRPr="00E80F47">
              <w:rPr>
                <w:color w:val="000000"/>
                <w:szCs w:val="24"/>
              </w:rPr>
              <w:t>ASSOCIATED FORM NUMBER</w:t>
            </w:r>
          </w:p>
        </w:tc>
        <w:tc>
          <w:tcPr>
            <w:tcW w:w="1620" w:type="dxa"/>
            <w:shd w:val="clear" w:color="auto" w:fill="BFBFBF" w:themeFill="background1" w:themeFillShade="BF"/>
          </w:tcPr>
          <w:p w:rsidR="00475F5D" w:rsidRPr="00E80F47" w:rsidP="00475F5D" w14:paraId="60648EE7" w14:textId="63CCC778">
            <w:pPr>
              <w:autoSpaceDE w:val="0"/>
              <w:autoSpaceDN w:val="0"/>
              <w:adjustRightInd w:val="0"/>
              <w:rPr>
                <w:color w:val="000000"/>
                <w:szCs w:val="24"/>
              </w:rPr>
            </w:pPr>
            <w:r w:rsidRPr="00E80F47">
              <w:rPr>
                <w:color w:val="000000"/>
                <w:szCs w:val="24"/>
              </w:rPr>
              <w:t>ESTIMATED NUMBER OF ANNUAL RESPONSES</w:t>
            </w:r>
          </w:p>
        </w:tc>
        <w:tc>
          <w:tcPr>
            <w:tcW w:w="2070" w:type="dxa"/>
            <w:shd w:val="clear" w:color="auto" w:fill="BFBFBF" w:themeFill="background1" w:themeFillShade="BF"/>
          </w:tcPr>
          <w:p w:rsidR="00475F5D" w:rsidRPr="00E80F47" w:rsidP="00475F5D" w14:paraId="420D448C" w14:textId="77777777">
            <w:pPr>
              <w:keepNext/>
              <w:autoSpaceDE w:val="0"/>
              <w:autoSpaceDN w:val="0"/>
              <w:adjustRightInd w:val="0"/>
              <w:rPr>
                <w:color w:val="000000"/>
                <w:szCs w:val="24"/>
              </w:rPr>
            </w:pPr>
            <w:r w:rsidRPr="00E80F47">
              <w:rPr>
                <w:color w:val="000000"/>
                <w:szCs w:val="24"/>
              </w:rPr>
              <w:t>ESTIMATED TIME PER FORM</w:t>
            </w:r>
          </w:p>
          <w:p w:rsidR="00475F5D" w:rsidRPr="00E80F47" w:rsidP="00475F5D" w14:paraId="0CCB26A3" w14:textId="120B95AA">
            <w:pPr>
              <w:autoSpaceDE w:val="0"/>
              <w:autoSpaceDN w:val="0"/>
              <w:adjustRightInd w:val="0"/>
              <w:rPr>
                <w:color w:val="000000"/>
                <w:szCs w:val="24"/>
              </w:rPr>
            </w:pPr>
            <w:r w:rsidRPr="00E80F47">
              <w:rPr>
                <w:color w:val="000000"/>
                <w:szCs w:val="24"/>
              </w:rPr>
              <w:t>(hours per form)</w:t>
            </w:r>
          </w:p>
        </w:tc>
        <w:tc>
          <w:tcPr>
            <w:tcW w:w="1620" w:type="dxa"/>
            <w:shd w:val="clear" w:color="auto" w:fill="BFBFBF" w:themeFill="background1" w:themeFillShade="BF"/>
          </w:tcPr>
          <w:p w:rsidR="00475F5D" w:rsidRPr="00E80F47" w:rsidP="00475F5D" w14:paraId="61795653" w14:textId="77777777">
            <w:pPr>
              <w:keepNext/>
              <w:autoSpaceDE w:val="0"/>
              <w:autoSpaceDN w:val="0"/>
              <w:adjustRightInd w:val="0"/>
              <w:rPr>
                <w:color w:val="000000"/>
                <w:szCs w:val="24"/>
              </w:rPr>
            </w:pPr>
            <w:r w:rsidRPr="00E80F47">
              <w:rPr>
                <w:color w:val="000000"/>
                <w:szCs w:val="24"/>
              </w:rPr>
              <w:t>ESTIMATED  TOTAL BURDEN</w:t>
            </w:r>
          </w:p>
          <w:p w:rsidR="00475F5D" w:rsidP="00475F5D" w14:paraId="6895F236" w14:textId="06F19781">
            <w:pPr>
              <w:autoSpaceDE w:val="0"/>
              <w:autoSpaceDN w:val="0"/>
              <w:adjustRightInd w:val="0"/>
              <w:rPr>
                <w:szCs w:val="24"/>
              </w:rPr>
            </w:pPr>
            <w:r w:rsidRPr="00E80F47">
              <w:rPr>
                <w:color w:val="000000"/>
                <w:szCs w:val="24"/>
              </w:rPr>
              <w:t>(hours)</w:t>
            </w:r>
          </w:p>
        </w:tc>
      </w:tr>
      <w:tr w14:paraId="0B08B937" w14:textId="77777777" w:rsidTr="00EB28EC">
        <w:tblPrEx>
          <w:tblW w:w="9715" w:type="dxa"/>
          <w:tblLayout w:type="fixed"/>
          <w:tblLook w:val="04A0"/>
        </w:tblPrEx>
        <w:tc>
          <w:tcPr>
            <w:tcW w:w="2515" w:type="dxa"/>
          </w:tcPr>
          <w:p w:rsidR="00970C96" w:rsidRPr="00E80F47" w:rsidP="00E80F47" w14:paraId="27B613BD" w14:textId="4CA8C324">
            <w:pPr>
              <w:autoSpaceDE w:val="0"/>
              <w:autoSpaceDN w:val="0"/>
              <w:adjustRightInd w:val="0"/>
              <w:rPr>
                <w:color w:val="000000"/>
                <w:szCs w:val="24"/>
              </w:rPr>
            </w:pPr>
            <w:r w:rsidRPr="00E80F47">
              <w:rPr>
                <w:color w:val="000000"/>
                <w:szCs w:val="24"/>
              </w:rPr>
              <w:t>Report on Blocked Property – Financial (when provided as part of a bulk submission)</w:t>
            </w:r>
            <w:r>
              <w:rPr>
                <w:rStyle w:val="FootnoteReference"/>
                <w:color w:val="000000"/>
                <w:szCs w:val="24"/>
              </w:rPr>
              <w:footnoteReference w:id="3"/>
            </w:r>
          </w:p>
        </w:tc>
        <w:tc>
          <w:tcPr>
            <w:tcW w:w="1890" w:type="dxa"/>
          </w:tcPr>
          <w:p w:rsidR="00970C96" w:rsidRPr="00E80F47" w:rsidP="00E80F47" w14:paraId="0F20009F" w14:textId="3C20DC17">
            <w:pPr>
              <w:autoSpaceDE w:val="0"/>
              <w:autoSpaceDN w:val="0"/>
              <w:adjustRightInd w:val="0"/>
              <w:rPr>
                <w:color w:val="000000"/>
                <w:szCs w:val="24"/>
              </w:rPr>
            </w:pPr>
            <w:r w:rsidRPr="00E80F47">
              <w:rPr>
                <w:color w:val="000000"/>
                <w:szCs w:val="24"/>
              </w:rPr>
              <w:t>TD-F 93.02</w:t>
            </w:r>
          </w:p>
        </w:tc>
        <w:tc>
          <w:tcPr>
            <w:tcW w:w="1620" w:type="dxa"/>
          </w:tcPr>
          <w:p w:rsidR="00970C96" w:rsidRPr="00E80F47" w:rsidP="00B749D6" w14:paraId="59C487C3" w14:textId="402E4065">
            <w:pPr>
              <w:autoSpaceDE w:val="0"/>
              <w:autoSpaceDN w:val="0"/>
              <w:adjustRightInd w:val="0"/>
              <w:jc w:val="right"/>
              <w:rPr>
                <w:color w:val="000000"/>
                <w:szCs w:val="24"/>
              </w:rPr>
            </w:pPr>
            <w:r w:rsidRPr="00E80F47">
              <w:rPr>
                <w:color w:val="000000"/>
                <w:szCs w:val="24"/>
              </w:rPr>
              <w:t>37,462</w:t>
            </w:r>
          </w:p>
        </w:tc>
        <w:tc>
          <w:tcPr>
            <w:tcW w:w="2070" w:type="dxa"/>
          </w:tcPr>
          <w:p w:rsidR="00970C96" w:rsidRPr="00E80F47" w:rsidP="00B749D6" w14:paraId="63991FED" w14:textId="34297EF9">
            <w:pPr>
              <w:autoSpaceDE w:val="0"/>
              <w:autoSpaceDN w:val="0"/>
              <w:adjustRightInd w:val="0"/>
              <w:jc w:val="right"/>
              <w:rPr>
                <w:color w:val="000000"/>
                <w:szCs w:val="24"/>
              </w:rPr>
            </w:pPr>
            <w:r w:rsidRPr="00E80F47">
              <w:rPr>
                <w:color w:val="000000"/>
                <w:szCs w:val="24"/>
              </w:rPr>
              <w:t>0.25</w:t>
            </w:r>
          </w:p>
        </w:tc>
        <w:tc>
          <w:tcPr>
            <w:tcW w:w="1620" w:type="dxa"/>
          </w:tcPr>
          <w:p w:rsidR="00970C96" w:rsidRPr="00E80F47" w:rsidP="00B749D6" w14:paraId="046AAA02" w14:textId="4E09729F">
            <w:pPr>
              <w:autoSpaceDE w:val="0"/>
              <w:autoSpaceDN w:val="0"/>
              <w:adjustRightInd w:val="0"/>
              <w:jc w:val="right"/>
              <w:rPr>
                <w:szCs w:val="24"/>
              </w:rPr>
            </w:pPr>
            <w:r>
              <w:rPr>
                <w:szCs w:val="24"/>
              </w:rPr>
              <w:t xml:space="preserve"> </w:t>
            </w:r>
            <w:r w:rsidRPr="00E80F47">
              <w:rPr>
                <w:szCs w:val="24"/>
              </w:rPr>
              <w:t>9,366</w:t>
            </w:r>
          </w:p>
        </w:tc>
      </w:tr>
      <w:tr w14:paraId="17D07F4B" w14:textId="77777777" w:rsidTr="00EB28EC">
        <w:tblPrEx>
          <w:tblW w:w="9715" w:type="dxa"/>
          <w:tblLayout w:type="fixed"/>
          <w:tblLook w:val="04A0"/>
        </w:tblPrEx>
        <w:tc>
          <w:tcPr>
            <w:tcW w:w="2515" w:type="dxa"/>
          </w:tcPr>
          <w:p w:rsidR="001F717D" w:rsidRPr="00E80F47" w:rsidP="00E80F47" w14:paraId="512A7AFF" w14:textId="48CEECCA">
            <w:pPr>
              <w:autoSpaceDE w:val="0"/>
              <w:autoSpaceDN w:val="0"/>
              <w:adjustRightInd w:val="0"/>
              <w:rPr>
                <w:color w:val="000000"/>
                <w:szCs w:val="24"/>
              </w:rPr>
            </w:pPr>
            <w:r w:rsidRPr="00E80F47">
              <w:rPr>
                <w:color w:val="000000"/>
                <w:szCs w:val="24"/>
              </w:rPr>
              <w:t>Report on Blocked Property – Tangible / Real / Other Non-Financial Property</w:t>
            </w:r>
          </w:p>
        </w:tc>
        <w:tc>
          <w:tcPr>
            <w:tcW w:w="1890" w:type="dxa"/>
          </w:tcPr>
          <w:p w:rsidR="001F717D" w:rsidRPr="00E80F47" w:rsidP="005B38FA" w14:paraId="65BD7116" w14:textId="77777777">
            <w:pPr>
              <w:autoSpaceDE w:val="0"/>
              <w:autoSpaceDN w:val="0"/>
              <w:adjustRightInd w:val="0"/>
              <w:rPr>
                <w:color w:val="000000"/>
                <w:szCs w:val="24"/>
              </w:rPr>
            </w:pPr>
            <w:r w:rsidRPr="00E80F47">
              <w:rPr>
                <w:color w:val="000000"/>
                <w:szCs w:val="24"/>
              </w:rPr>
              <w:t>TD-F 93.08</w:t>
            </w:r>
          </w:p>
        </w:tc>
        <w:tc>
          <w:tcPr>
            <w:tcW w:w="1620" w:type="dxa"/>
          </w:tcPr>
          <w:p w:rsidR="001F717D" w:rsidRPr="00E80F47" w:rsidP="00B749D6" w14:paraId="2FA83AC6" w14:textId="56736936">
            <w:pPr>
              <w:autoSpaceDE w:val="0"/>
              <w:autoSpaceDN w:val="0"/>
              <w:adjustRightInd w:val="0"/>
              <w:jc w:val="right"/>
              <w:rPr>
                <w:color w:val="000000"/>
                <w:szCs w:val="24"/>
              </w:rPr>
            </w:pPr>
            <w:r w:rsidRPr="00E80F47">
              <w:rPr>
                <w:color w:val="000000"/>
                <w:szCs w:val="24"/>
              </w:rPr>
              <w:t>914</w:t>
            </w:r>
          </w:p>
          <w:p w:rsidR="001F717D" w:rsidRPr="00E80F47" w:rsidP="00B749D6" w14:paraId="63E39957" w14:textId="46301101">
            <w:pPr>
              <w:autoSpaceDE w:val="0"/>
              <w:autoSpaceDN w:val="0"/>
              <w:adjustRightInd w:val="0"/>
              <w:jc w:val="right"/>
              <w:rPr>
                <w:color w:val="000000"/>
                <w:szCs w:val="24"/>
              </w:rPr>
            </w:pPr>
          </w:p>
          <w:p w:rsidR="001F717D" w:rsidRPr="00E80F47" w:rsidP="00B749D6" w14:paraId="2D7E8F86" w14:textId="77777777">
            <w:pPr>
              <w:autoSpaceDE w:val="0"/>
              <w:autoSpaceDN w:val="0"/>
              <w:adjustRightInd w:val="0"/>
              <w:jc w:val="right"/>
              <w:rPr>
                <w:color w:val="000000"/>
                <w:szCs w:val="24"/>
              </w:rPr>
            </w:pPr>
          </w:p>
        </w:tc>
        <w:tc>
          <w:tcPr>
            <w:tcW w:w="2070" w:type="dxa"/>
          </w:tcPr>
          <w:p w:rsidR="001F717D" w:rsidRPr="00E80F47" w:rsidP="00B749D6" w14:paraId="6B54D740" w14:textId="77777777">
            <w:pPr>
              <w:autoSpaceDE w:val="0"/>
              <w:autoSpaceDN w:val="0"/>
              <w:adjustRightInd w:val="0"/>
              <w:jc w:val="right"/>
              <w:rPr>
                <w:color w:val="000000"/>
                <w:szCs w:val="24"/>
              </w:rPr>
            </w:pPr>
            <w:r w:rsidRPr="00E80F47">
              <w:rPr>
                <w:color w:val="000000"/>
                <w:szCs w:val="24"/>
              </w:rPr>
              <w:t>0.50</w:t>
            </w:r>
          </w:p>
        </w:tc>
        <w:tc>
          <w:tcPr>
            <w:tcW w:w="1620" w:type="dxa"/>
          </w:tcPr>
          <w:p w:rsidR="001F717D" w:rsidRPr="00E80F47" w:rsidP="00B749D6" w14:paraId="30D2AEB5" w14:textId="24C7C9D5">
            <w:pPr>
              <w:jc w:val="right"/>
              <w:rPr>
                <w:szCs w:val="24"/>
              </w:rPr>
            </w:pPr>
            <w:r w:rsidRPr="00E80F47">
              <w:rPr>
                <w:szCs w:val="24"/>
              </w:rPr>
              <w:t xml:space="preserve"> </w:t>
            </w:r>
            <w:r w:rsidR="006C0A09">
              <w:rPr>
                <w:szCs w:val="24"/>
              </w:rPr>
              <w:t xml:space="preserve">  </w:t>
            </w:r>
            <w:r w:rsidRPr="00E80F47" w:rsidR="00970C96">
              <w:rPr>
                <w:szCs w:val="24"/>
              </w:rPr>
              <w:t>457</w:t>
            </w:r>
          </w:p>
          <w:p w:rsidR="001F717D" w:rsidRPr="00E80F47" w:rsidP="00B749D6" w14:paraId="1D85245B" w14:textId="3D092D47">
            <w:pPr>
              <w:jc w:val="right"/>
              <w:rPr>
                <w:szCs w:val="24"/>
              </w:rPr>
            </w:pPr>
          </w:p>
        </w:tc>
      </w:tr>
      <w:tr w14:paraId="58C27C72" w14:textId="77777777" w:rsidTr="00EB28EC">
        <w:tblPrEx>
          <w:tblW w:w="9715" w:type="dxa"/>
          <w:tblLayout w:type="fixed"/>
          <w:tblLook w:val="04A0"/>
        </w:tblPrEx>
        <w:tc>
          <w:tcPr>
            <w:tcW w:w="2515" w:type="dxa"/>
          </w:tcPr>
          <w:p w:rsidR="001F717D" w:rsidRPr="00E80F47" w:rsidP="00E80F47" w14:paraId="34B0179E" w14:textId="2D40BA04">
            <w:pPr>
              <w:autoSpaceDE w:val="0"/>
              <w:autoSpaceDN w:val="0"/>
              <w:adjustRightInd w:val="0"/>
              <w:rPr>
                <w:color w:val="000000"/>
                <w:szCs w:val="24"/>
              </w:rPr>
            </w:pPr>
            <w:r w:rsidRPr="00E80F47">
              <w:rPr>
                <w:color w:val="000000"/>
                <w:szCs w:val="24"/>
              </w:rPr>
              <w:t>Report on Rejected Transaction (when provided as individual reports and not a bulk submission)</w:t>
            </w:r>
          </w:p>
        </w:tc>
        <w:tc>
          <w:tcPr>
            <w:tcW w:w="1890" w:type="dxa"/>
          </w:tcPr>
          <w:p w:rsidR="001F717D" w:rsidRPr="00E80F47" w:rsidP="005B38FA" w14:paraId="6286EB27" w14:textId="77777777">
            <w:pPr>
              <w:autoSpaceDE w:val="0"/>
              <w:autoSpaceDN w:val="0"/>
              <w:adjustRightInd w:val="0"/>
              <w:rPr>
                <w:color w:val="000000"/>
                <w:szCs w:val="24"/>
              </w:rPr>
            </w:pPr>
            <w:r w:rsidRPr="00E80F47">
              <w:rPr>
                <w:color w:val="000000"/>
                <w:szCs w:val="24"/>
              </w:rPr>
              <w:t>TD-F 93.07</w:t>
            </w:r>
          </w:p>
        </w:tc>
        <w:tc>
          <w:tcPr>
            <w:tcW w:w="1620" w:type="dxa"/>
          </w:tcPr>
          <w:p w:rsidR="001F717D" w:rsidRPr="00E80F47" w:rsidP="00B749D6" w14:paraId="6CF82071" w14:textId="7EEBBCCE">
            <w:pPr>
              <w:autoSpaceDE w:val="0"/>
              <w:autoSpaceDN w:val="0"/>
              <w:adjustRightInd w:val="0"/>
              <w:jc w:val="right"/>
              <w:rPr>
                <w:color w:val="000000"/>
                <w:szCs w:val="24"/>
              </w:rPr>
            </w:pPr>
            <w:r w:rsidRPr="00E80F47">
              <w:rPr>
                <w:color w:val="000000"/>
                <w:szCs w:val="24"/>
              </w:rPr>
              <w:t>11,186</w:t>
            </w:r>
          </w:p>
          <w:p w:rsidR="001F717D" w:rsidRPr="00E80F47" w:rsidP="00B749D6" w14:paraId="060170C3" w14:textId="4A467A7B">
            <w:pPr>
              <w:autoSpaceDE w:val="0"/>
              <w:autoSpaceDN w:val="0"/>
              <w:adjustRightInd w:val="0"/>
              <w:jc w:val="right"/>
              <w:rPr>
                <w:color w:val="000000"/>
                <w:szCs w:val="24"/>
              </w:rPr>
            </w:pPr>
          </w:p>
          <w:p w:rsidR="001F717D" w:rsidRPr="00E80F47" w:rsidP="00B749D6" w14:paraId="004F96ED" w14:textId="77777777">
            <w:pPr>
              <w:autoSpaceDE w:val="0"/>
              <w:autoSpaceDN w:val="0"/>
              <w:adjustRightInd w:val="0"/>
              <w:jc w:val="right"/>
              <w:rPr>
                <w:color w:val="000000"/>
                <w:szCs w:val="24"/>
              </w:rPr>
            </w:pPr>
            <w:r w:rsidRPr="00E80F47">
              <w:rPr>
                <w:color w:val="000000"/>
                <w:szCs w:val="24"/>
              </w:rPr>
              <w:t xml:space="preserve"> </w:t>
            </w:r>
          </w:p>
        </w:tc>
        <w:tc>
          <w:tcPr>
            <w:tcW w:w="2070" w:type="dxa"/>
          </w:tcPr>
          <w:p w:rsidR="001F717D" w:rsidRPr="00E80F47" w:rsidP="00B749D6" w14:paraId="085DAA6A" w14:textId="77777777">
            <w:pPr>
              <w:autoSpaceDE w:val="0"/>
              <w:autoSpaceDN w:val="0"/>
              <w:adjustRightInd w:val="0"/>
              <w:jc w:val="right"/>
              <w:rPr>
                <w:color w:val="000000"/>
                <w:szCs w:val="24"/>
              </w:rPr>
            </w:pPr>
            <w:r w:rsidRPr="00E80F47">
              <w:rPr>
                <w:color w:val="000000"/>
                <w:szCs w:val="24"/>
              </w:rPr>
              <w:t>0.50</w:t>
            </w:r>
          </w:p>
        </w:tc>
        <w:tc>
          <w:tcPr>
            <w:tcW w:w="1620" w:type="dxa"/>
          </w:tcPr>
          <w:p w:rsidR="001F717D" w:rsidRPr="00E80F47" w:rsidP="00B749D6" w14:paraId="0C5F4D59" w14:textId="3ACD615D">
            <w:pPr>
              <w:autoSpaceDE w:val="0"/>
              <w:autoSpaceDN w:val="0"/>
              <w:adjustRightInd w:val="0"/>
              <w:jc w:val="right"/>
              <w:rPr>
                <w:szCs w:val="24"/>
              </w:rPr>
            </w:pPr>
            <w:r w:rsidRPr="00E80F47">
              <w:rPr>
                <w:szCs w:val="24"/>
              </w:rPr>
              <w:t xml:space="preserve"> </w:t>
            </w:r>
            <w:r w:rsidRPr="00E80F47" w:rsidR="004C051C">
              <w:rPr>
                <w:szCs w:val="24"/>
              </w:rPr>
              <w:t>5,593</w:t>
            </w:r>
          </w:p>
          <w:p w:rsidR="001F717D" w:rsidRPr="00E80F47" w:rsidP="00B749D6" w14:paraId="3F2710F6" w14:textId="0CD59222">
            <w:pPr>
              <w:autoSpaceDE w:val="0"/>
              <w:autoSpaceDN w:val="0"/>
              <w:adjustRightInd w:val="0"/>
              <w:jc w:val="right"/>
              <w:rPr>
                <w:color w:val="000000"/>
                <w:szCs w:val="24"/>
              </w:rPr>
            </w:pPr>
          </w:p>
        </w:tc>
      </w:tr>
      <w:tr w14:paraId="7D270DA8" w14:textId="77777777" w:rsidTr="00EB28EC">
        <w:tblPrEx>
          <w:tblW w:w="9715" w:type="dxa"/>
          <w:tblLayout w:type="fixed"/>
          <w:tblLook w:val="04A0"/>
        </w:tblPrEx>
        <w:tc>
          <w:tcPr>
            <w:tcW w:w="2515" w:type="dxa"/>
          </w:tcPr>
          <w:p w:rsidR="001F717D" w:rsidRPr="00E80F47" w:rsidP="00E80F47" w14:paraId="382CF483" w14:textId="08D6410D">
            <w:pPr>
              <w:autoSpaceDE w:val="0"/>
              <w:autoSpaceDN w:val="0"/>
              <w:adjustRightInd w:val="0"/>
              <w:rPr>
                <w:color w:val="000000"/>
                <w:szCs w:val="24"/>
              </w:rPr>
            </w:pPr>
            <w:r w:rsidRPr="00E80F47">
              <w:rPr>
                <w:color w:val="000000"/>
                <w:szCs w:val="24"/>
              </w:rPr>
              <w:t>Report on Rejected Transaction (when provided as part of a bulk submission)</w:t>
            </w:r>
            <w:r>
              <w:rPr>
                <w:rStyle w:val="FootnoteReference"/>
                <w:color w:val="000000"/>
                <w:szCs w:val="24"/>
              </w:rPr>
              <w:footnoteReference w:id="4"/>
            </w:r>
          </w:p>
        </w:tc>
        <w:tc>
          <w:tcPr>
            <w:tcW w:w="1890" w:type="dxa"/>
          </w:tcPr>
          <w:p w:rsidR="001F717D" w:rsidRPr="00E80F47" w:rsidP="005B38FA" w14:paraId="2FAD09ED" w14:textId="77777777">
            <w:pPr>
              <w:autoSpaceDE w:val="0"/>
              <w:autoSpaceDN w:val="0"/>
              <w:adjustRightInd w:val="0"/>
              <w:rPr>
                <w:color w:val="000000"/>
                <w:szCs w:val="24"/>
              </w:rPr>
            </w:pPr>
            <w:r w:rsidRPr="00E80F47">
              <w:rPr>
                <w:color w:val="000000"/>
                <w:szCs w:val="24"/>
              </w:rPr>
              <w:t>TD-F 93.07</w:t>
            </w:r>
          </w:p>
        </w:tc>
        <w:tc>
          <w:tcPr>
            <w:tcW w:w="1620" w:type="dxa"/>
          </w:tcPr>
          <w:p w:rsidR="001F717D" w:rsidRPr="00E80F47" w:rsidP="00B749D6" w14:paraId="1C6295C0" w14:textId="741CEDD2">
            <w:pPr>
              <w:autoSpaceDE w:val="0"/>
              <w:autoSpaceDN w:val="0"/>
              <w:adjustRightInd w:val="0"/>
              <w:jc w:val="right"/>
              <w:rPr>
                <w:color w:val="000000"/>
                <w:szCs w:val="24"/>
              </w:rPr>
            </w:pPr>
            <w:r w:rsidRPr="00E80F47">
              <w:rPr>
                <w:color w:val="000000"/>
                <w:szCs w:val="24"/>
              </w:rPr>
              <w:t>48,942</w:t>
            </w:r>
          </w:p>
          <w:p w:rsidR="001F717D" w:rsidRPr="00E80F47" w:rsidP="00B749D6" w14:paraId="0D17B9A0" w14:textId="7853E6D5">
            <w:pPr>
              <w:autoSpaceDE w:val="0"/>
              <w:autoSpaceDN w:val="0"/>
              <w:adjustRightInd w:val="0"/>
              <w:jc w:val="right"/>
              <w:rPr>
                <w:color w:val="000000"/>
                <w:szCs w:val="24"/>
              </w:rPr>
            </w:pPr>
          </w:p>
        </w:tc>
        <w:tc>
          <w:tcPr>
            <w:tcW w:w="2070" w:type="dxa"/>
          </w:tcPr>
          <w:p w:rsidR="001F717D" w:rsidRPr="00E80F47" w:rsidP="00B749D6" w14:paraId="6238DE8E" w14:textId="77777777">
            <w:pPr>
              <w:autoSpaceDE w:val="0"/>
              <w:autoSpaceDN w:val="0"/>
              <w:adjustRightInd w:val="0"/>
              <w:jc w:val="right"/>
              <w:rPr>
                <w:color w:val="000000"/>
                <w:szCs w:val="24"/>
              </w:rPr>
            </w:pPr>
            <w:r w:rsidRPr="00E80F47">
              <w:rPr>
                <w:color w:val="000000"/>
                <w:szCs w:val="24"/>
              </w:rPr>
              <w:t>0.25</w:t>
            </w:r>
          </w:p>
        </w:tc>
        <w:tc>
          <w:tcPr>
            <w:tcW w:w="1620" w:type="dxa"/>
          </w:tcPr>
          <w:p w:rsidR="001F717D" w:rsidRPr="00E80F47" w:rsidP="00B749D6" w14:paraId="3ABEC69A" w14:textId="14DC849B">
            <w:pPr>
              <w:autoSpaceDE w:val="0"/>
              <w:autoSpaceDN w:val="0"/>
              <w:adjustRightInd w:val="0"/>
              <w:jc w:val="right"/>
              <w:rPr>
                <w:szCs w:val="24"/>
              </w:rPr>
            </w:pPr>
            <w:r w:rsidRPr="00E80F47">
              <w:rPr>
                <w:szCs w:val="24"/>
              </w:rPr>
              <w:t>12,236</w:t>
            </w:r>
          </w:p>
          <w:p w:rsidR="001F717D" w:rsidRPr="00E80F47" w:rsidP="00B749D6" w14:paraId="43D5D3B1" w14:textId="45CB7A55">
            <w:pPr>
              <w:autoSpaceDE w:val="0"/>
              <w:autoSpaceDN w:val="0"/>
              <w:adjustRightInd w:val="0"/>
              <w:jc w:val="right"/>
              <w:rPr>
                <w:szCs w:val="24"/>
              </w:rPr>
            </w:pPr>
          </w:p>
        </w:tc>
      </w:tr>
      <w:tr w14:paraId="1ED237DA" w14:textId="77777777" w:rsidTr="00EB28EC">
        <w:tblPrEx>
          <w:tblW w:w="9715" w:type="dxa"/>
          <w:tblLayout w:type="fixed"/>
          <w:tblLook w:val="04A0"/>
        </w:tblPrEx>
        <w:tc>
          <w:tcPr>
            <w:tcW w:w="2515" w:type="dxa"/>
          </w:tcPr>
          <w:p w:rsidR="001F717D" w:rsidRPr="00E80F47" w:rsidP="00E80F47" w14:paraId="5E43D67F" w14:textId="77777777">
            <w:pPr>
              <w:autoSpaceDE w:val="0"/>
              <w:autoSpaceDN w:val="0"/>
              <w:adjustRightInd w:val="0"/>
              <w:rPr>
                <w:color w:val="000000"/>
                <w:szCs w:val="24"/>
              </w:rPr>
            </w:pPr>
            <w:r w:rsidRPr="00E80F47">
              <w:rPr>
                <w:color w:val="000000"/>
                <w:szCs w:val="24"/>
              </w:rPr>
              <w:t>TSRA License Application</w:t>
            </w:r>
          </w:p>
        </w:tc>
        <w:tc>
          <w:tcPr>
            <w:tcW w:w="1890" w:type="dxa"/>
          </w:tcPr>
          <w:p w:rsidR="001F717D" w:rsidRPr="00E80F47" w:rsidP="005B38FA" w14:paraId="6B88B8B3" w14:textId="77777777">
            <w:pPr>
              <w:autoSpaceDE w:val="0"/>
              <w:autoSpaceDN w:val="0"/>
              <w:adjustRightInd w:val="0"/>
              <w:rPr>
                <w:color w:val="000000"/>
                <w:szCs w:val="24"/>
              </w:rPr>
            </w:pPr>
            <w:r w:rsidRPr="00E80F47">
              <w:rPr>
                <w:color w:val="000000"/>
                <w:szCs w:val="24"/>
              </w:rPr>
              <w:t>TD-F 93.04</w:t>
            </w:r>
          </w:p>
        </w:tc>
        <w:tc>
          <w:tcPr>
            <w:tcW w:w="1620" w:type="dxa"/>
          </w:tcPr>
          <w:p w:rsidR="001F717D" w:rsidRPr="00E80F47" w:rsidP="00B749D6" w14:paraId="7722A0D0" w14:textId="77777777">
            <w:pPr>
              <w:autoSpaceDE w:val="0"/>
              <w:autoSpaceDN w:val="0"/>
              <w:adjustRightInd w:val="0"/>
              <w:jc w:val="right"/>
              <w:rPr>
                <w:color w:val="000000"/>
                <w:szCs w:val="24"/>
              </w:rPr>
            </w:pPr>
            <w:r w:rsidRPr="00E80F47">
              <w:rPr>
                <w:color w:val="000000"/>
                <w:szCs w:val="24"/>
              </w:rPr>
              <w:t>89</w:t>
            </w:r>
          </w:p>
          <w:p w:rsidR="001F717D" w:rsidRPr="00E80F47" w:rsidP="00B749D6" w14:paraId="06803A16" w14:textId="2A20D996">
            <w:pPr>
              <w:autoSpaceDE w:val="0"/>
              <w:autoSpaceDN w:val="0"/>
              <w:adjustRightInd w:val="0"/>
              <w:jc w:val="right"/>
              <w:rPr>
                <w:color w:val="000000"/>
                <w:szCs w:val="24"/>
              </w:rPr>
            </w:pPr>
          </w:p>
          <w:p w:rsidR="001F717D" w:rsidRPr="00E80F47" w:rsidP="00B749D6" w14:paraId="00410E7A" w14:textId="77777777">
            <w:pPr>
              <w:autoSpaceDE w:val="0"/>
              <w:autoSpaceDN w:val="0"/>
              <w:adjustRightInd w:val="0"/>
              <w:jc w:val="right"/>
              <w:rPr>
                <w:color w:val="000000"/>
                <w:szCs w:val="24"/>
              </w:rPr>
            </w:pPr>
          </w:p>
        </w:tc>
        <w:tc>
          <w:tcPr>
            <w:tcW w:w="2070" w:type="dxa"/>
          </w:tcPr>
          <w:p w:rsidR="001F717D" w:rsidRPr="00E80F47" w:rsidP="00B749D6" w14:paraId="5AD4FF70" w14:textId="77777777">
            <w:pPr>
              <w:autoSpaceDE w:val="0"/>
              <w:autoSpaceDN w:val="0"/>
              <w:adjustRightInd w:val="0"/>
              <w:jc w:val="right"/>
              <w:rPr>
                <w:color w:val="000000"/>
                <w:szCs w:val="24"/>
              </w:rPr>
            </w:pPr>
            <w:r w:rsidRPr="00E80F47">
              <w:rPr>
                <w:color w:val="000000"/>
                <w:szCs w:val="24"/>
              </w:rPr>
              <w:t>1.00</w:t>
            </w:r>
          </w:p>
        </w:tc>
        <w:tc>
          <w:tcPr>
            <w:tcW w:w="1620" w:type="dxa"/>
          </w:tcPr>
          <w:p w:rsidR="001F717D" w:rsidRPr="00E80F47" w:rsidP="00B749D6" w14:paraId="38585078" w14:textId="358D818E">
            <w:pPr>
              <w:autoSpaceDE w:val="0"/>
              <w:autoSpaceDN w:val="0"/>
              <w:adjustRightInd w:val="0"/>
              <w:jc w:val="right"/>
              <w:rPr>
                <w:color w:val="000000"/>
                <w:szCs w:val="24"/>
              </w:rPr>
            </w:pPr>
            <w:r>
              <w:rPr>
                <w:color w:val="000000"/>
                <w:szCs w:val="24"/>
              </w:rPr>
              <w:t xml:space="preserve">    </w:t>
            </w:r>
            <w:r w:rsidRPr="00E80F47">
              <w:rPr>
                <w:color w:val="000000"/>
                <w:szCs w:val="24"/>
              </w:rPr>
              <w:t>89</w:t>
            </w:r>
          </w:p>
          <w:p w:rsidR="001F717D" w:rsidRPr="00E80F47" w:rsidP="00B749D6" w14:paraId="2F13D939" w14:textId="494806A4">
            <w:pPr>
              <w:autoSpaceDE w:val="0"/>
              <w:autoSpaceDN w:val="0"/>
              <w:adjustRightInd w:val="0"/>
              <w:jc w:val="right"/>
              <w:rPr>
                <w:color w:val="000000"/>
                <w:szCs w:val="24"/>
              </w:rPr>
            </w:pPr>
          </w:p>
          <w:p w:rsidR="001F717D" w:rsidRPr="00E80F47" w:rsidP="00B749D6" w14:paraId="27811A14" w14:textId="77777777">
            <w:pPr>
              <w:autoSpaceDE w:val="0"/>
              <w:autoSpaceDN w:val="0"/>
              <w:adjustRightInd w:val="0"/>
              <w:jc w:val="right"/>
              <w:rPr>
                <w:color w:val="000000"/>
                <w:szCs w:val="24"/>
              </w:rPr>
            </w:pPr>
          </w:p>
        </w:tc>
      </w:tr>
      <w:tr w14:paraId="1EAD5CA6" w14:textId="77777777" w:rsidTr="00EB28EC">
        <w:tblPrEx>
          <w:tblW w:w="9715" w:type="dxa"/>
          <w:tblLayout w:type="fixed"/>
          <w:tblLook w:val="04A0"/>
        </w:tblPrEx>
        <w:tc>
          <w:tcPr>
            <w:tcW w:w="2515" w:type="dxa"/>
          </w:tcPr>
          <w:p w:rsidR="001F717D" w:rsidRPr="00E80F47" w:rsidP="00E80F47" w14:paraId="01B55DB9" w14:textId="77777777">
            <w:pPr>
              <w:autoSpaceDE w:val="0"/>
              <w:autoSpaceDN w:val="0"/>
              <w:adjustRightInd w:val="0"/>
              <w:rPr>
                <w:color w:val="000000"/>
                <w:szCs w:val="24"/>
              </w:rPr>
            </w:pPr>
            <w:r w:rsidRPr="00E80F47">
              <w:rPr>
                <w:color w:val="000000"/>
                <w:szCs w:val="24"/>
              </w:rPr>
              <w:t>Licensing Cover Sheet</w:t>
            </w:r>
          </w:p>
        </w:tc>
        <w:tc>
          <w:tcPr>
            <w:tcW w:w="1890" w:type="dxa"/>
          </w:tcPr>
          <w:p w:rsidR="001F717D" w:rsidRPr="00E80F47" w:rsidP="005B38FA" w14:paraId="25D9262D" w14:textId="77777777">
            <w:pPr>
              <w:autoSpaceDE w:val="0"/>
              <w:autoSpaceDN w:val="0"/>
              <w:adjustRightInd w:val="0"/>
              <w:rPr>
                <w:szCs w:val="24"/>
              </w:rPr>
            </w:pPr>
            <w:r w:rsidRPr="00E80F47">
              <w:rPr>
                <w:szCs w:val="24"/>
              </w:rPr>
              <w:t>TD-F 98-22.61</w:t>
            </w:r>
          </w:p>
        </w:tc>
        <w:tc>
          <w:tcPr>
            <w:tcW w:w="1620" w:type="dxa"/>
          </w:tcPr>
          <w:p w:rsidR="001F717D" w:rsidRPr="00E80F47" w:rsidP="00B749D6" w14:paraId="169A4706" w14:textId="1A010A3A">
            <w:pPr>
              <w:autoSpaceDE w:val="0"/>
              <w:autoSpaceDN w:val="0"/>
              <w:adjustRightInd w:val="0"/>
              <w:jc w:val="right"/>
              <w:rPr>
                <w:szCs w:val="24"/>
              </w:rPr>
            </w:pPr>
            <w:r w:rsidRPr="00E80F47">
              <w:rPr>
                <w:szCs w:val="24"/>
              </w:rPr>
              <w:t>15,966</w:t>
            </w:r>
          </w:p>
          <w:p w:rsidR="001F717D" w:rsidRPr="00E80F47" w:rsidP="00B749D6" w14:paraId="37A35DEA" w14:textId="6B338F6D">
            <w:pPr>
              <w:autoSpaceDE w:val="0"/>
              <w:autoSpaceDN w:val="0"/>
              <w:adjustRightInd w:val="0"/>
              <w:jc w:val="right"/>
              <w:rPr>
                <w:szCs w:val="24"/>
              </w:rPr>
            </w:pPr>
          </w:p>
        </w:tc>
        <w:tc>
          <w:tcPr>
            <w:tcW w:w="2070" w:type="dxa"/>
          </w:tcPr>
          <w:p w:rsidR="001F717D" w:rsidRPr="00E80F47" w:rsidP="00B749D6" w14:paraId="11569E58" w14:textId="77777777">
            <w:pPr>
              <w:autoSpaceDE w:val="0"/>
              <w:autoSpaceDN w:val="0"/>
              <w:adjustRightInd w:val="0"/>
              <w:jc w:val="right"/>
              <w:rPr>
                <w:szCs w:val="24"/>
              </w:rPr>
            </w:pPr>
            <w:r w:rsidRPr="00E80F47">
              <w:rPr>
                <w:szCs w:val="24"/>
              </w:rPr>
              <w:t>0.25</w:t>
            </w:r>
          </w:p>
        </w:tc>
        <w:tc>
          <w:tcPr>
            <w:tcW w:w="1620" w:type="dxa"/>
          </w:tcPr>
          <w:p w:rsidR="001F717D" w:rsidRPr="00E80F47" w:rsidP="00B749D6" w14:paraId="4305629F" w14:textId="34F2251E">
            <w:pPr>
              <w:autoSpaceDE w:val="0"/>
              <w:autoSpaceDN w:val="0"/>
              <w:adjustRightInd w:val="0"/>
              <w:jc w:val="right"/>
              <w:rPr>
                <w:szCs w:val="24"/>
              </w:rPr>
            </w:pPr>
            <w:r w:rsidRPr="00E80F47">
              <w:rPr>
                <w:szCs w:val="24"/>
              </w:rPr>
              <w:t xml:space="preserve"> 3,992</w:t>
            </w:r>
          </w:p>
          <w:p w:rsidR="001F717D" w:rsidRPr="00E80F47" w:rsidP="00B749D6" w14:paraId="40A540A2" w14:textId="34123E3C">
            <w:pPr>
              <w:autoSpaceDE w:val="0"/>
              <w:autoSpaceDN w:val="0"/>
              <w:adjustRightInd w:val="0"/>
              <w:jc w:val="right"/>
              <w:rPr>
                <w:szCs w:val="24"/>
              </w:rPr>
            </w:pPr>
          </w:p>
        </w:tc>
      </w:tr>
      <w:tr w14:paraId="291FB09C" w14:textId="77777777" w:rsidTr="00EB28EC">
        <w:tblPrEx>
          <w:tblW w:w="9715" w:type="dxa"/>
          <w:tblLayout w:type="fixed"/>
          <w:tblLook w:val="04A0"/>
        </w:tblPrEx>
        <w:tc>
          <w:tcPr>
            <w:tcW w:w="2515" w:type="dxa"/>
          </w:tcPr>
          <w:p w:rsidR="007A6037" w:rsidP="00E80F47" w14:paraId="40B3D70B" w14:textId="43C6431D">
            <w:pPr>
              <w:autoSpaceDE w:val="0"/>
              <w:autoSpaceDN w:val="0"/>
              <w:adjustRightInd w:val="0"/>
              <w:rPr>
                <w:color w:val="000000"/>
                <w:szCs w:val="24"/>
              </w:rPr>
            </w:pPr>
            <w:r>
              <w:rPr>
                <w:color w:val="000000"/>
                <w:szCs w:val="24"/>
              </w:rPr>
              <w:t xml:space="preserve">REPO </w:t>
            </w:r>
            <w:r w:rsidR="004B7876">
              <w:rPr>
                <w:color w:val="000000"/>
                <w:szCs w:val="24"/>
              </w:rPr>
              <w:t>For Ukrainians Act Report Form</w:t>
            </w:r>
          </w:p>
          <w:p w:rsidR="007A6037" w:rsidRPr="00E80F47" w:rsidP="00E80F47" w14:paraId="056A1796" w14:textId="0EE43D5E">
            <w:pPr>
              <w:autoSpaceDE w:val="0"/>
              <w:autoSpaceDN w:val="0"/>
              <w:adjustRightInd w:val="0"/>
              <w:rPr>
                <w:color w:val="000000"/>
                <w:szCs w:val="24"/>
              </w:rPr>
            </w:pPr>
          </w:p>
        </w:tc>
        <w:tc>
          <w:tcPr>
            <w:tcW w:w="1890" w:type="dxa"/>
          </w:tcPr>
          <w:p w:rsidR="007A6037" w:rsidRPr="00E80F47" w:rsidP="005B38FA" w14:paraId="52178811" w14:textId="0B46A0E8">
            <w:pPr>
              <w:autoSpaceDE w:val="0"/>
              <w:autoSpaceDN w:val="0"/>
              <w:adjustRightInd w:val="0"/>
              <w:rPr>
                <w:szCs w:val="24"/>
              </w:rPr>
            </w:pPr>
            <w:r>
              <w:rPr>
                <w:szCs w:val="24"/>
              </w:rPr>
              <w:t xml:space="preserve">TD-F </w:t>
            </w:r>
            <w:r w:rsidR="00F00CBB">
              <w:rPr>
                <w:szCs w:val="24"/>
              </w:rPr>
              <w:t>93.09</w:t>
            </w:r>
          </w:p>
        </w:tc>
        <w:tc>
          <w:tcPr>
            <w:tcW w:w="1620" w:type="dxa"/>
          </w:tcPr>
          <w:p w:rsidR="007A6037" w:rsidRPr="00E80F47" w:rsidP="00B749D6" w14:paraId="6BCBE551" w14:textId="732F6622">
            <w:pPr>
              <w:autoSpaceDE w:val="0"/>
              <w:autoSpaceDN w:val="0"/>
              <w:adjustRightInd w:val="0"/>
              <w:jc w:val="right"/>
              <w:rPr>
                <w:szCs w:val="24"/>
              </w:rPr>
            </w:pPr>
            <w:r>
              <w:rPr>
                <w:szCs w:val="24"/>
              </w:rPr>
              <w:t>300</w:t>
            </w:r>
          </w:p>
        </w:tc>
        <w:tc>
          <w:tcPr>
            <w:tcW w:w="2070" w:type="dxa"/>
          </w:tcPr>
          <w:p w:rsidR="007A6037" w:rsidRPr="00E80F47" w:rsidP="00B749D6" w14:paraId="082938E9" w14:textId="4BA64DD1">
            <w:pPr>
              <w:autoSpaceDE w:val="0"/>
              <w:autoSpaceDN w:val="0"/>
              <w:adjustRightInd w:val="0"/>
              <w:jc w:val="right"/>
              <w:rPr>
                <w:szCs w:val="24"/>
              </w:rPr>
            </w:pPr>
            <w:r>
              <w:rPr>
                <w:szCs w:val="24"/>
              </w:rPr>
              <w:t>0.50</w:t>
            </w:r>
          </w:p>
        </w:tc>
        <w:tc>
          <w:tcPr>
            <w:tcW w:w="1620" w:type="dxa"/>
          </w:tcPr>
          <w:p w:rsidR="007A6037" w:rsidRPr="00E80F47" w:rsidP="00B749D6" w14:paraId="3078E616" w14:textId="157D8891">
            <w:pPr>
              <w:autoSpaceDE w:val="0"/>
              <w:autoSpaceDN w:val="0"/>
              <w:adjustRightInd w:val="0"/>
              <w:jc w:val="right"/>
              <w:rPr>
                <w:szCs w:val="24"/>
              </w:rPr>
            </w:pPr>
            <w:r>
              <w:rPr>
                <w:szCs w:val="24"/>
              </w:rPr>
              <w:t>150</w:t>
            </w:r>
          </w:p>
        </w:tc>
      </w:tr>
      <w:tr w14:paraId="395E1E99" w14:textId="77777777" w:rsidTr="00475F5D">
        <w:tblPrEx>
          <w:tblW w:w="9715" w:type="dxa"/>
          <w:tblLayout w:type="fixed"/>
          <w:tblLook w:val="04A0"/>
        </w:tblPrEx>
        <w:tc>
          <w:tcPr>
            <w:tcW w:w="2515" w:type="dxa"/>
            <w:shd w:val="clear" w:color="auto" w:fill="BFBFBF" w:themeFill="background1" w:themeFillShade="BF"/>
          </w:tcPr>
          <w:p w:rsidR="001F717D" w:rsidRPr="00E80F47" w:rsidP="00E80F47" w14:paraId="7BC7FEF4" w14:textId="77777777">
            <w:pPr>
              <w:autoSpaceDE w:val="0"/>
              <w:autoSpaceDN w:val="0"/>
              <w:adjustRightInd w:val="0"/>
              <w:rPr>
                <w:color w:val="000000"/>
                <w:szCs w:val="24"/>
              </w:rPr>
            </w:pPr>
            <w:r w:rsidRPr="00E80F47">
              <w:rPr>
                <w:color w:val="000000"/>
                <w:szCs w:val="24"/>
              </w:rPr>
              <w:t>TOTAL</w:t>
            </w:r>
          </w:p>
        </w:tc>
        <w:tc>
          <w:tcPr>
            <w:tcW w:w="1890" w:type="dxa"/>
            <w:shd w:val="clear" w:color="auto" w:fill="BFBFBF" w:themeFill="background1" w:themeFillShade="BF"/>
          </w:tcPr>
          <w:p w:rsidR="001F717D" w:rsidRPr="00E80F47" w:rsidP="005B38FA" w14:paraId="428CCEC0" w14:textId="77777777">
            <w:pPr>
              <w:autoSpaceDE w:val="0"/>
              <w:autoSpaceDN w:val="0"/>
              <w:adjustRightInd w:val="0"/>
              <w:rPr>
                <w:szCs w:val="24"/>
              </w:rPr>
            </w:pPr>
          </w:p>
        </w:tc>
        <w:tc>
          <w:tcPr>
            <w:tcW w:w="1620" w:type="dxa"/>
            <w:shd w:val="clear" w:color="auto" w:fill="BFBFBF" w:themeFill="background1" w:themeFillShade="BF"/>
          </w:tcPr>
          <w:p w:rsidR="001F717D" w:rsidRPr="00E80F47" w:rsidP="00B749D6" w14:paraId="2EE47C2F" w14:textId="46DE74A2">
            <w:pPr>
              <w:autoSpaceDE w:val="0"/>
              <w:autoSpaceDN w:val="0"/>
              <w:adjustRightInd w:val="0"/>
              <w:jc w:val="right"/>
              <w:rPr>
                <w:szCs w:val="24"/>
              </w:rPr>
            </w:pPr>
            <w:r w:rsidRPr="00E80F47">
              <w:rPr>
                <w:szCs w:val="24"/>
              </w:rPr>
              <w:t>135,</w:t>
            </w:r>
            <w:r w:rsidR="00762559">
              <w:rPr>
                <w:szCs w:val="24"/>
              </w:rPr>
              <w:t>9</w:t>
            </w:r>
            <w:r w:rsidRPr="00E80F47">
              <w:rPr>
                <w:szCs w:val="24"/>
              </w:rPr>
              <w:t>82</w:t>
            </w:r>
          </w:p>
          <w:p w:rsidR="001F717D" w:rsidRPr="00E80F47" w:rsidP="00B749D6" w14:paraId="0E7CE826" w14:textId="3AEA6488">
            <w:pPr>
              <w:autoSpaceDE w:val="0"/>
              <w:autoSpaceDN w:val="0"/>
              <w:adjustRightInd w:val="0"/>
              <w:jc w:val="right"/>
              <w:rPr>
                <w:szCs w:val="24"/>
              </w:rPr>
            </w:pPr>
          </w:p>
          <w:p w:rsidR="001F717D" w:rsidRPr="00E80F47" w:rsidP="00B749D6" w14:paraId="68E2C1CF" w14:textId="77777777">
            <w:pPr>
              <w:autoSpaceDE w:val="0"/>
              <w:autoSpaceDN w:val="0"/>
              <w:adjustRightInd w:val="0"/>
              <w:jc w:val="right"/>
              <w:rPr>
                <w:szCs w:val="24"/>
              </w:rPr>
            </w:pPr>
          </w:p>
        </w:tc>
        <w:tc>
          <w:tcPr>
            <w:tcW w:w="2070" w:type="dxa"/>
            <w:shd w:val="clear" w:color="auto" w:fill="BFBFBF" w:themeFill="background1" w:themeFillShade="BF"/>
          </w:tcPr>
          <w:p w:rsidR="001F717D" w:rsidRPr="00E80F47" w:rsidP="00B749D6" w14:paraId="5E321164" w14:textId="77777777">
            <w:pPr>
              <w:autoSpaceDE w:val="0"/>
              <w:autoSpaceDN w:val="0"/>
              <w:adjustRightInd w:val="0"/>
              <w:jc w:val="right"/>
              <w:rPr>
                <w:szCs w:val="24"/>
              </w:rPr>
            </w:pPr>
          </w:p>
        </w:tc>
        <w:tc>
          <w:tcPr>
            <w:tcW w:w="1620" w:type="dxa"/>
            <w:shd w:val="clear" w:color="auto" w:fill="BFBFBF" w:themeFill="background1" w:themeFillShade="BF"/>
          </w:tcPr>
          <w:p w:rsidR="001F717D" w:rsidRPr="00E80F47" w:rsidP="00B749D6" w14:paraId="41D21872" w14:textId="1BC0ED24">
            <w:pPr>
              <w:autoSpaceDE w:val="0"/>
              <w:autoSpaceDN w:val="0"/>
              <w:adjustRightInd w:val="0"/>
              <w:jc w:val="right"/>
              <w:rPr>
                <w:szCs w:val="24"/>
              </w:rPr>
            </w:pPr>
            <w:r w:rsidRPr="00E80F47">
              <w:rPr>
                <w:szCs w:val="24"/>
              </w:rPr>
              <w:t>43,</w:t>
            </w:r>
            <w:r w:rsidR="00762559">
              <w:rPr>
                <w:szCs w:val="24"/>
              </w:rPr>
              <w:t>5</w:t>
            </w:r>
            <w:r w:rsidR="00FD6975">
              <w:rPr>
                <w:szCs w:val="24"/>
              </w:rPr>
              <w:t>40</w:t>
            </w:r>
          </w:p>
          <w:p w:rsidR="001F717D" w:rsidRPr="00E80F47" w:rsidP="00B749D6" w14:paraId="1A424196" w14:textId="4BE476CB">
            <w:pPr>
              <w:autoSpaceDE w:val="0"/>
              <w:autoSpaceDN w:val="0"/>
              <w:adjustRightInd w:val="0"/>
              <w:jc w:val="right"/>
              <w:rPr>
                <w:szCs w:val="24"/>
              </w:rPr>
            </w:pPr>
          </w:p>
          <w:p w:rsidR="001F717D" w:rsidRPr="00E80F47" w:rsidP="00B749D6" w14:paraId="7ADADD06" w14:textId="77777777">
            <w:pPr>
              <w:autoSpaceDE w:val="0"/>
              <w:autoSpaceDN w:val="0"/>
              <w:adjustRightInd w:val="0"/>
              <w:jc w:val="right"/>
              <w:rPr>
                <w:szCs w:val="24"/>
              </w:rPr>
            </w:pPr>
            <w:r w:rsidRPr="00E80F47">
              <w:rPr>
                <w:szCs w:val="24"/>
              </w:rPr>
              <w:t xml:space="preserve"> </w:t>
            </w:r>
          </w:p>
        </w:tc>
      </w:tr>
      <w:bookmarkEnd w:id="4"/>
    </w:tbl>
    <w:p w:rsidR="001F717D" w:rsidP="009B0D38" w14:paraId="67B00A8C" w14:textId="67919052">
      <w:pPr>
        <w:keepNext/>
        <w:autoSpaceDE w:val="0"/>
        <w:autoSpaceDN w:val="0"/>
        <w:adjustRightInd w:val="0"/>
        <w:rPr>
          <w:color w:val="000000"/>
          <w:szCs w:val="24"/>
          <w:u w:val="single"/>
        </w:rPr>
      </w:pPr>
    </w:p>
    <w:p w:rsidR="00B57F3B" w14:paraId="50C948AC" w14:textId="77777777">
      <w:pPr>
        <w:widowControl/>
        <w:rPr>
          <w:i/>
          <w:color w:val="000000"/>
          <w:szCs w:val="24"/>
        </w:rPr>
      </w:pPr>
      <w:r>
        <w:rPr>
          <w:i/>
          <w:color w:val="000000"/>
          <w:szCs w:val="24"/>
        </w:rPr>
        <w:br w:type="page"/>
      </w:r>
    </w:p>
    <w:p w:rsidR="009444C1" w:rsidRPr="00D3497A" w:rsidP="009444C1" w14:paraId="10E837AD" w14:textId="682E3C39">
      <w:pPr>
        <w:keepNext/>
        <w:widowControl/>
        <w:autoSpaceDE w:val="0"/>
        <w:autoSpaceDN w:val="0"/>
        <w:adjustRightInd w:val="0"/>
        <w:rPr>
          <w:i/>
          <w:color w:val="000000"/>
          <w:szCs w:val="24"/>
        </w:rPr>
      </w:pPr>
      <w:r w:rsidRPr="00D3497A">
        <w:rPr>
          <w:i/>
          <w:color w:val="000000"/>
          <w:szCs w:val="24"/>
        </w:rPr>
        <w:t>Reports and other information collections not associated with forms</w:t>
      </w:r>
    </w:p>
    <w:p w:rsidR="009444C1" w:rsidRPr="00D3497A" w:rsidP="009444C1" w14:paraId="37AC96D4" w14:textId="77777777">
      <w:pPr>
        <w:keepNext/>
        <w:widowControl/>
        <w:autoSpaceDE w:val="0"/>
        <w:autoSpaceDN w:val="0"/>
        <w:adjustRightInd w:val="0"/>
        <w:rPr>
          <w:color w:val="000000"/>
          <w:szCs w:val="24"/>
        </w:rPr>
      </w:pPr>
    </w:p>
    <w:p w:rsidR="00256452" w:rsidP="00ED404E" w14:paraId="06C3F139" w14:textId="709955C6">
      <w:pPr>
        <w:keepNext/>
        <w:widowControl/>
        <w:autoSpaceDE w:val="0"/>
        <w:autoSpaceDN w:val="0"/>
        <w:adjustRightInd w:val="0"/>
        <w:ind w:firstLine="720"/>
        <w:rPr>
          <w:color w:val="000000"/>
          <w:szCs w:val="24"/>
        </w:rPr>
      </w:pPr>
      <w:r w:rsidRPr="00D3497A">
        <w:rPr>
          <w:color w:val="000000"/>
          <w:szCs w:val="24"/>
        </w:rPr>
        <w:t xml:space="preserve">While the information collections under </w:t>
      </w:r>
      <w:r w:rsidRPr="00D3497A" w:rsidR="007E513A">
        <w:rPr>
          <w:color w:val="000000"/>
          <w:szCs w:val="24"/>
        </w:rPr>
        <w:t>this authority</w:t>
      </w:r>
      <w:r w:rsidRPr="00D3497A">
        <w:rPr>
          <w:color w:val="000000"/>
          <w:szCs w:val="24"/>
        </w:rPr>
        <w:t xml:space="preserve"> occur largely under required and voluntary forms, </w:t>
      </w:r>
      <w:r w:rsidRPr="00D3497A" w:rsidR="007E513A">
        <w:rPr>
          <w:color w:val="000000"/>
          <w:szCs w:val="24"/>
        </w:rPr>
        <w:t>some reports and information collections under this authority are not associated with forms</w:t>
      </w:r>
      <w:r w:rsidRPr="00D3497A">
        <w:rPr>
          <w:color w:val="000000"/>
          <w:szCs w:val="24"/>
        </w:rPr>
        <w:t xml:space="preserve">.  </w:t>
      </w:r>
      <w:r>
        <w:rPr>
          <w:color w:val="000000"/>
          <w:szCs w:val="24"/>
        </w:rPr>
        <w:t>These reports may be broken down into four primary categories:  basic reports</w:t>
      </w:r>
      <w:r w:rsidR="009F6ED6">
        <w:rPr>
          <w:color w:val="000000"/>
          <w:szCs w:val="24"/>
        </w:rPr>
        <w:t xml:space="preserve"> and information collections</w:t>
      </w:r>
      <w:r>
        <w:rPr>
          <w:color w:val="000000"/>
          <w:szCs w:val="24"/>
        </w:rPr>
        <w:t xml:space="preserve"> not associated with forms, complex general license reports, reports o</w:t>
      </w:r>
      <w:r w:rsidR="00BC29DB">
        <w:rPr>
          <w:color w:val="000000"/>
          <w:szCs w:val="24"/>
        </w:rPr>
        <w:t>f</w:t>
      </w:r>
      <w:r>
        <w:rPr>
          <w:color w:val="000000"/>
          <w:szCs w:val="24"/>
        </w:rPr>
        <w:t xml:space="preserve"> unblock</w:t>
      </w:r>
      <w:r w:rsidR="00244C6C">
        <w:rPr>
          <w:color w:val="000000"/>
          <w:szCs w:val="24"/>
        </w:rPr>
        <w:t>ed</w:t>
      </w:r>
      <w:r>
        <w:rPr>
          <w:color w:val="000000"/>
          <w:szCs w:val="24"/>
        </w:rPr>
        <w:t xml:space="preserve"> </w:t>
      </w:r>
      <w:r w:rsidR="00C2768E">
        <w:rPr>
          <w:color w:val="000000"/>
          <w:szCs w:val="24"/>
        </w:rPr>
        <w:t xml:space="preserve">or transferred </w:t>
      </w:r>
      <w:r w:rsidR="005D5BC7">
        <w:rPr>
          <w:color w:val="000000"/>
          <w:szCs w:val="24"/>
        </w:rPr>
        <w:t xml:space="preserve">blocked </w:t>
      </w:r>
      <w:r>
        <w:rPr>
          <w:color w:val="000000"/>
          <w:szCs w:val="24"/>
        </w:rPr>
        <w:t xml:space="preserve">property, and </w:t>
      </w:r>
      <w:r w:rsidR="00DB1E5F">
        <w:rPr>
          <w:color w:val="000000"/>
          <w:szCs w:val="24"/>
        </w:rPr>
        <w:t xml:space="preserve">other </w:t>
      </w:r>
      <w:r>
        <w:rPr>
          <w:color w:val="000000"/>
          <w:szCs w:val="24"/>
        </w:rPr>
        <w:t>reports</w:t>
      </w:r>
      <w:r w:rsidR="00431940">
        <w:rPr>
          <w:color w:val="000000"/>
          <w:szCs w:val="24"/>
        </w:rPr>
        <w:t xml:space="preserve"> and information collections</w:t>
      </w:r>
      <w:r>
        <w:rPr>
          <w:color w:val="000000"/>
          <w:szCs w:val="24"/>
        </w:rPr>
        <w:t>, as discussed further below.</w:t>
      </w:r>
    </w:p>
    <w:p w:rsidR="00256452" w:rsidP="00ED404E" w14:paraId="746AFA25" w14:textId="77777777">
      <w:pPr>
        <w:keepNext/>
        <w:widowControl/>
        <w:autoSpaceDE w:val="0"/>
        <w:autoSpaceDN w:val="0"/>
        <w:adjustRightInd w:val="0"/>
        <w:ind w:firstLine="720"/>
        <w:rPr>
          <w:color w:val="000000"/>
          <w:szCs w:val="24"/>
        </w:rPr>
      </w:pPr>
    </w:p>
    <w:p w:rsidR="009444C1" w:rsidRPr="00D3497A" w:rsidP="009444C1" w14:paraId="73231895" w14:textId="28029219">
      <w:pPr>
        <w:keepNext/>
        <w:widowControl/>
        <w:autoSpaceDE w:val="0"/>
        <w:autoSpaceDN w:val="0"/>
        <w:adjustRightInd w:val="0"/>
        <w:ind w:firstLine="720"/>
        <w:rPr>
          <w:color w:val="000000"/>
          <w:szCs w:val="24"/>
        </w:rPr>
      </w:pPr>
      <w:r w:rsidRPr="00D3497A">
        <w:rPr>
          <w:color w:val="000000"/>
          <w:szCs w:val="24"/>
        </w:rPr>
        <w:t>Please see the chart below for a breakdown of the estimated responses and hour burdens.</w:t>
      </w:r>
    </w:p>
    <w:p w:rsidR="009444C1" w:rsidRPr="00D3497A" w:rsidP="00025408" w14:paraId="2472F69B" w14:textId="77777777">
      <w:pPr>
        <w:widowControl/>
        <w:autoSpaceDE w:val="0"/>
        <w:autoSpaceDN w:val="0"/>
        <w:adjustRightInd w:val="0"/>
        <w:rPr>
          <w:color w:val="000000"/>
          <w:szCs w:val="24"/>
        </w:rPr>
      </w:pPr>
    </w:p>
    <w:tbl>
      <w:tblPr>
        <w:tblStyle w:val="TableGrid"/>
        <w:tblW w:w="8370" w:type="dxa"/>
        <w:tblInd w:w="715" w:type="dxa"/>
        <w:tblLayout w:type="fixed"/>
        <w:tblLook w:val="04A0"/>
      </w:tblPr>
      <w:tblGrid>
        <w:gridCol w:w="3240"/>
        <w:gridCol w:w="1620"/>
        <w:gridCol w:w="1890"/>
        <w:gridCol w:w="1620"/>
      </w:tblGrid>
      <w:tr w14:paraId="130147D6" w14:textId="77777777" w:rsidTr="082063EE">
        <w:tblPrEx>
          <w:tblW w:w="8370" w:type="dxa"/>
          <w:tblInd w:w="715" w:type="dxa"/>
          <w:tblLayout w:type="fixed"/>
          <w:tblLook w:val="04A0"/>
        </w:tblPrEx>
        <w:tc>
          <w:tcPr>
            <w:tcW w:w="3240" w:type="dxa"/>
            <w:shd w:val="clear" w:color="auto" w:fill="BFBFBF" w:themeFill="background1" w:themeFillShade="BF"/>
          </w:tcPr>
          <w:p w:rsidR="009444C1" w:rsidRPr="00AC3BF5" w:rsidP="005B38FA" w14:paraId="696B5021" w14:textId="74B0D697">
            <w:pPr>
              <w:keepNext/>
              <w:keepLines/>
              <w:widowControl/>
              <w:autoSpaceDE w:val="0"/>
              <w:autoSpaceDN w:val="0"/>
              <w:adjustRightInd w:val="0"/>
              <w:rPr>
                <w:color w:val="000000"/>
                <w:szCs w:val="24"/>
              </w:rPr>
            </w:pPr>
            <w:r w:rsidRPr="00AC3BF5">
              <w:rPr>
                <w:color w:val="000000"/>
                <w:szCs w:val="24"/>
              </w:rPr>
              <w:t>REPORT</w:t>
            </w:r>
            <w:r w:rsidRPr="00AC3BF5" w:rsidR="007E513A">
              <w:rPr>
                <w:color w:val="000000"/>
                <w:szCs w:val="24"/>
              </w:rPr>
              <w:t xml:space="preserve"> OR INFORMATION COLLECTION</w:t>
            </w:r>
          </w:p>
        </w:tc>
        <w:tc>
          <w:tcPr>
            <w:tcW w:w="1620" w:type="dxa"/>
            <w:shd w:val="clear" w:color="auto" w:fill="BFBFBF" w:themeFill="background1" w:themeFillShade="BF"/>
          </w:tcPr>
          <w:p w:rsidR="009444C1" w:rsidRPr="00AC3BF5" w:rsidP="005B38FA" w14:paraId="54EDE831" w14:textId="7B3F3D2B">
            <w:pPr>
              <w:widowControl/>
              <w:autoSpaceDE w:val="0"/>
              <w:autoSpaceDN w:val="0"/>
              <w:adjustRightInd w:val="0"/>
              <w:rPr>
                <w:color w:val="000000"/>
                <w:szCs w:val="24"/>
              </w:rPr>
            </w:pPr>
            <w:r w:rsidRPr="00AC3BF5">
              <w:rPr>
                <w:color w:val="000000"/>
                <w:szCs w:val="24"/>
              </w:rPr>
              <w:t xml:space="preserve">ESTIMATED NUMBER OF ANNUAL </w:t>
            </w:r>
            <w:r w:rsidRPr="00AC3BF5">
              <w:rPr>
                <w:color w:val="000000"/>
                <w:szCs w:val="24"/>
              </w:rPr>
              <w:t>RESPONSES</w:t>
            </w:r>
          </w:p>
        </w:tc>
        <w:tc>
          <w:tcPr>
            <w:tcW w:w="1890" w:type="dxa"/>
            <w:shd w:val="clear" w:color="auto" w:fill="BFBFBF" w:themeFill="background1" w:themeFillShade="BF"/>
          </w:tcPr>
          <w:p w:rsidR="009444C1" w:rsidRPr="00AC3BF5" w:rsidP="005B38FA" w14:paraId="45F17059" w14:textId="77777777">
            <w:pPr>
              <w:widowControl/>
              <w:autoSpaceDE w:val="0"/>
              <w:autoSpaceDN w:val="0"/>
              <w:adjustRightInd w:val="0"/>
              <w:rPr>
                <w:color w:val="000000"/>
                <w:szCs w:val="24"/>
              </w:rPr>
            </w:pPr>
            <w:r w:rsidRPr="00AC3BF5">
              <w:rPr>
                <w:color w:val="000000"/>
                <w:szCs w:val="24"/>
              </w:rPr>
              <w:t>ESTIMATED TIME</w:t>
            </w:r>
          </w:p>
          <w:p w:rsidR="009444C1" w:rsidRPr="00AC3BF5" w:rsidP="005B38FA" w14:paraId="5A6FEA49" w14:textId="2853792A">
            <w:pPr>
              <w:widowControl/>
              <w:autoSpaceDE w:val="0"/>
              <w:autoSpaceDN w:val="0"/>
              <w:adjustRightInd w:val="0"/>
              <w:rPr>
                <w:color w:val="000000"/>
                <w:szCs w:val="24"/>
              </w:rPr>
            </w:pPr>
            <w:r w:rsidRPr="00AC3BF5">
              <w:rPr>
                <w:color w:val="000000"/>
                <w:szCs w:val="24"/>
              </w:rPr>
              <w:t xml:space="preserve">(hours per </w:t>
            </w:r>
            <w:r w:rsidRPr="00AC3BF5" w:rsidR="007E513A">
              <w:rPr>
                <w:color w:val="000000"/>
                <w:szCs w:val="24"/>
              </w:rPr>
              <w:t>submission</w:t>
            </w:r>
            <w:r w:rsidRPr="00AC3BF5">
              <w:rPr>
                <w:color w:val="000000"/>
                <w:szCs w:val="24"/>
              </w:rPr>
              <w:t>)</w:t>
            </w:r>
          </w:p>
        </w:tc>
        <w:tc>
          <w:tcPr>
            <w:tcW w:w="1620" w:type="dxa"/>
            <w:shd w:val="clear" w:color="auto" w:fill="BFBFBF" w:themeFill="background1" w:themeFillShade="BF"/>
          </w:tcPr>
          <w:p w:rsidR="009444C1" w:rsidRPr="00AC3BF5" w:rsidP="005B38FA" w14:paraId="127BD833" w14:textId="255BF828">
            <w:pPr>
              <w:widowControl/>
              <w:autoSpaceDE w:val="0"/>
              <w:autoSpaceDN w:val="0"/>
              <w:adjustRightInd w:val="0"/>
              <w:rPr>
                <w:color w:val="000000"/>
                <w:szCs w:val="24"/>
              </w:rPr>
            </w:pPr>
            <w:r w:rsidRPr="00AC3BF5">
              <w:rPr>
                <w:color w:val="000000"/>
                <w:szCs w:val="24"/>
              </w:rPr>
              <w:t>ESTIMATED TOTAL BURDEN</w:t>
            </w:r>
          </w:p>
          <w:p w:rsidR="009444C1" w:rsidRPr="00AC3BF5" w:rsidP="005B38FA" w14:paraId="3421E2A9" w14:textId="77777777">
            <w:pPr>
              <w:widowControl/>
              <w:autoSpaceDE w:val="0"/>
              <w:autoSpaceDN w:val="0"/>
              <w:adjustRightInd w:val="0"/>
              <w:rPr>
                <w:color w:val="000000"/>
                <w:szCs w:val="24"/>
              </w:rPr>
            </w:pPr>
            <w:r w:rsidRPr="00AC3BF5">
              <w:rPr>
                <w:color w:val="000000"/>
                <w:szCs w:val="24"/>
              </w:rPr>
              <w:t>(hours)</w:t>
            </w:r>
          </w:p>
        </w:tc>
      </w:tr>
      <w:tr w14:paraId="4FD50ECD" w14:textId="77777777" w:rsidTr="082063EE">
        <w:tblPrEx>
          <w:tblW w:w="8370" w:type="dxa"/>
          <w:tblInd w:w="715" w:type="dxa"/>
          <w:tblLayout w:type="fixed"/>
          <w:tblLook w:val="04A0"/>
        </w:tblPrEx>
        <w:tc>
          <w:tcPr>
            <w:tcW w:w="3240" w:type="dxa"/>
          </w:tcPr>
          <w:p w:rsidR="009444C1" w:rsidRPr="00AC3BF5" w:rsidP="005B38FA" w14:paraId="332D996F" w14:textId="27E63C1F">
            <w:pPr>
              <w:keepNext/>
              <w:keepLines/>
              <w:widowControl/>
              <w:autoSpaceDE w:val="0"/>
              <w:autoSpaceDN w:val="0"/>
              <w:adjustRightInd w:val="0"/>
              <w:rPr>
                <w:color w:val="000000"/>
                <w:szCs w:val="24"/>
              </w:rPr>
            </w:pPr>
            <w:r w:rsidRPr="00AC3BF5">
              <w:rPr>
                <w:color w:val="000000"/>
                <w:szCs w:val="24"/>
              </w:rPr>
              <w:t xml:space="preserve">Basic </w:t>
            </w:r>
            <w:r w:rsidRPr="00AC3BF5">
              <w:rPr>
                <w:color w:val="000000"/>
                <w:szCs w:val="24"/>
              </w:rPr>
              <w:t>reports</w:t>
            </w:r>
            <w:r w:rsidR="009F6ED6">
              <w:rPr>
                <w:color w:val="000000"/>
                <w:szCs w:val="24"/>
              </w:rPr>
              <w:t xml:space="preserve"> and information collections</w:t>
            </w:r>
            <w:r w:rsidRPr="00AC3BF5" w:rsidR="00916F0E">
              <w:rPr>
                <w:color w:val="000000"/>
                <w:szCs w:val="24"/>
              </w:rPr>
              <w:t xml:space="preserve"> not associated with forms</w:t>
            </w:r>
          </w:p>
        </w:tc>
        <w:tc>
          <w:tcPr>
            <w:tcW w:w="1620" w:type="dxa"/>
          </w:tcPr>
          <w:p w:rsidR="00C316A3" w:rsidRPr="00AC3BF5" w:rsidP="00B749D6" w14:paraId="1970109C" w14:textId="7006CBBC">
            <w:pPr>
              <w:widowControl/>
              <w:autoSpaceDE w:val="0"/>
              <w:autoSpaceDN w:val="0"/>
              <w:adjustRightInd w:val="0"/>
              <w:jc w:val="right"/>
              <w:rPr>
                <w:color w:val="000000"/>
                <w:szCs w:val="24"/>
              </w:rPr>
            </w:pPr>
            <w:r w:rsidRPr="00AC3BF5">
              <w:rPr>
                <w:color w:val="000000"/>
                <w:szCs w:val="24"/>
              </w:rPr>
              <w:t>382</w:t>
            </w:r>
          </w:p>
          <w:p w:rsidR="000B04AF" w:rsidRPr="00AC3BF5" w:rsidP="00B749D6" w14:paraId="45FBFFEE" w14:textId="5F08C12F">
            <w:pPr>
              <w:widowControl/>
              <w:autoSpaceDE w:val="0"/>
              <w:autoSpaceDN w:val="0"/>
              <w:adjustRightInd w:val="0"/>
              <w:jc w:val="right"/>
              <w:rPr>
                <w:color w:val="000000" w:themeColor="text1"/>
                <w:szCs w:val="24"/>
              </w:rPr>
            </w:pPr>
          </w:p>
          <w:p w:rsidR="009444C1" w:rsidRPr="005B38FA" w:rsidP="00B749D6" w14:paraId="7764161B" w14:textId="45273713">
            <w:pPr>
              <w:widowControl/>
              <w:autoSpaceDE w:val="0"/>
              <w:autoSpaceDN w:val="0"/>
              <w:adjustRightInd w:val="0"/>
              <w:jc w:val="right"/>
              <w:rPr>
                <w:color w:val="000000" w:themeColor="text1"/>
              </w:rPr>
            </w:pPr>
          </w:p>
        </w:tc>
        <w:tc>
          <w:tcPr>
            <w:tcW w:w="1890" w:type="dxa"/>
          </w:tcPr>
          <w:p w:rsidR="009444C1" w:rsidRPr="00AC3BF5" w:rsidP="00B749D6" w14:paraId="55B10165" w14:textId="2D9A8BCE">
            <w:pPr>
              <w:widowControl/>
              <w:autoSpaceDE w:val="0"/>
              <w:autoSpaceDN w:val="0"/>
              <w:adjustRightInd w:val="0"/>
              <w:jc w:val="right"/>
              <w:rPr>
                <w:color w:val="000000"/>
                <w:szCs w:val="24"/>
              </w:rPr>
            </w:pPr>
            <w:r w:rsidRPr="00AC3BF5">
              <w:rPr>
                <w:color w:val="000000"/>
                <w:szCs w:val="24"/>
              </w:rPr>
              <w:t>1</w:t>
            </w:r>
            <w:r w:rsidRPr="00AC3BF5" w:rsidR="00D23321">
              <w:rPr>
                <w:color w:val="000000"/>
                <w:szCs w:val="24"/>
              </w:rPr>
              <w:t>.0</w:t>
            </w:r>
          </w:p>
        </w:tc>
        <w:tc>
          <w:tcPr>
            <w:tcW w:w="1620" w:type="dxa"/>
          </w:tcPr>
          <w:p w:rsidR="00C316A3" w:rsidRPr="00AC3BF5" w:rsidP="00B749D6" w14:paraId="1B299CDD" w14:textId="77777777">
            <w:pPr>
              <w:widowControl/>
              <w:autoSpaceDE w:val="0"/>
              <w:autoSpaceDN w:val="0"/>
              <w:adjustRightInd w:val="0"/>
              <w:jc w:val="right"/>
              <w:rPr>
                <w:color w:val="000000"/>
                <w:szCs w:val="24"/>
              </w:rPr>
            </w:pPr>
            <w:r w:rsidRPr="00AC3BF5">
              <w:rPr>
                <w:color w:val="000000"/>
                <w:szCs w:val="24"/>
              </w:rPr>
              <w:t>382</w:t>
            </w:r>
          </w:p>
          <w:p w:rsidR="003B13F6" w:rsidRPr="00AC3BF5" w:rsidP="00B749D6" w14:paraId="3728021A" w14:textId="0DF14F55">
            <w:pPr>
              <w:widowControl/>
              <w:autoSpaceDE w:val="0"/>
              <w:autoSpaceDN w:val="0"/>
              <w:adjustRightInd w:val="0"/>
              <w:jc w:val="right"/>
              <w:rPr>
                <w:color w:val="000000"/>
                <w:szCs w:val="24"/>
              </w:rPr>
            </w:pPr>
          </w:p>
          <w:p w:rsidR="009443B1" w:rsidRPr="00AC3BF5" w:rsidP="00B749D6" w14:paraId="43055BD8" w14:textId="2319C5A0">
            <w:pPr>
              <w:widowControl/>
              <w:autoSpaceDE w:val="0"/>
              <w:autoSpaceDN w:val="0"/>
              <w:adjustRightInd w:val="0"/>
              <w:jc w:val="right"/>
              <w:rPr>
                <w:color w:val="000000"/>
                <w:szCs w:val="24"/>
              </w:rPr>
            </w:pPr>
          </w:p>
          <w:p w:rsidR="009444C1" w:rsidRPr="00AC3BF5" w:rsidP="00B749D6" w14:paraId="028F55A3" w14:textId="393B211C">
            <w:pPr>
              <w:widowControl/>
              <w:autoSpaceDE w:val="0"/>
              <w:autoSpaceDN w:val="0"/>
              <w:adjustRightInd w:val="0"/>
              <w:jc w:val="right"/>
              <w:rPr>
                <w:color w:val="000000"/>
                <w:szCs w:val="24"/>
              </w:rPr>
            </w:pPr>
          </w:p>
        </w:tc>
      </w:tr>
      <w:tr w14:paraId="3C866CBF" w14:textId="77777777" w:rsidTr="082063EE">
        <w:tblPrEx>
          <w:tblW w:w="8370" w:type="dxa"/>
          <w:tblInd w:w="715" w:type="dxa"/>
          <w:tblLayout w:type="fixed"/>
          <w:tblLook w:val="04A0"/>
        </w:tblPrEx>
        <w:tc>
          <w:tcPr>
            <w:tcW w:w="3240" w:type="dxa"/>
          </w:tcPr>
          <w:p w:rsidR="009444C1" w:rsidRPr="00AC3BF5" w:rsidP="005B38FA" w14:paraId="3BA5BE58" w14:textId="77777777">
            <w:pPr>
              <w:keepNext/>
              <w:keepLines/>
              <w:widowControl/>
              <w:autoSpaceDE w:val="0"/>
              <w:autoSpaceDN w:val="0"/>
              <w:adjustRightInd w:val="0"/>
              <w:rPr>
                <w:color w:val="000000"/>
                <w:szCs w:val="24"/>
              </w:rPr>
            </w:pPr>
            <w:r w:rsidRPr="00AC3BF5">
              <w:rPr>
                <w:color w:val="000000"/>
                <w:szCs w:val="24"/>
              </w:rPr>
              <w:t>Complex general license reports</w:t>
            </w:r>
          </w:p>
        </w:tc>
        <w:tc>
          <w:tcPr>
            <w:tcW w:w="1620" w:type="dxa"/>
          </w:tcPr>
          <w:p w:rsidR="009444C1" w:rsidRPr="00AC3BF5" w:rsidP="00B749D6" w14:paraId="608407B7" w14:textId="59D8AB7F">
            <w:pPr>
              <w:widowControl/>
              <w:autoSpaceDE w:val="0"/>
              <w:autoSpaceDN w:val="0"/>
              <w:adjustRightInd w:val="0"/>
              <w:jc w:val="right"/>
              <w:rPr>
                <w:color w:val="000000"/>
                <w:szCs w:val="24"/>
              </w:rPr>
            </w:pPr>
            <w:r w:rsidRPr="00AC3BF5">
              <w:rPr>
                <w:color w:val="000000"/>
                <w:szCs w:val="24"/>
              </w:rPr>
              <w:t>20</w:t>
            </w:r>
          </w:p>
        </w:tc>
        <w:tc>
          <w:tcPr>
            <w:tcW w:w="1890" w:type="dxa"/>
          </w:tcPr>
          <w:p w:rsidR="009444C1" w:rsidRPr="00AC3BF5" w:rsidP="00B749D6" w14:paraId="4428D7D7" w14:textId="0F9D0412">
            <w:pPr>
              <w:widowControl/>
              <w:autoSpaceDE w:val="0"/>
              <w:autoSpaceDN w:val="0"/>
              <w:adjustRightInd w:val="0"/>
              <w:jc w:val="right"/>
              <w:rPr>
                <w:color w:val="000000"/>
                <w:szCs w:val="24"/>
              </w:rPr>
            </w:pPr>
            <w:r w:rsidRPr="00AC3BF5">
              <w:rPr>
                <w:color w:val="000000"/>
                <w:szCs w:val="24"/>
              </w:rPr>
              <w:t>5</w:t>
            </w:r>
            <w:r w:rsidRPr="00AC3BF5" w:rsidR="00D23321">
              <w:rPr>
                <w:color w:val="000000"/>
                <w:szCs w:val="24"/>
              </w:rPr>
              <w:t>.0</w:t>
            </w:r>
          </w:p>
        </w:tc>
        <w:tc>
          <w:tcPr>
            <w:tcW w:w="1620" w:type="dxa"/>
          </w:tcPr>
          <w:p w:rsidR="009444C1" w:rsidRPr="00AC3BF5" w:rsidP="00B749D6" w14:paraId="6DED1D35" w14:textId="7B4CA6E8">
            <w:pPr>
              <w:widowControl/>
              <w:autoSpaceDE w:val="0"/>
              <w:autoSpaceDN w:val="0"/>
              <w:adjustRightInd w:val="0"/>
              <w:jc w:val="right"/>
              <w:rPr>
                <w:color w:val="000000"/>
                <w:szCs w:val="24"/>
              </w:rPr>
            </w:pPr>
            <w:r w:rsidRPr="00AC3BF5">
              <w:rPr>
                <w:color w:val="000000"/>
                <w:szCs w:val="24"/>
              </w:rPr>
              <w:t>100</w:t>
            </w:r>
          </w:p>
        </w:tc>
      </w:tr>
      <w:tr w14:paraId="23E0B3DB" w14:textId="77777777" w:rsidTr="082063EE">
        <w:tblPrEx>
          <w:tblW w:w="8370" w:type="dxa"/>
          <w:tblInd w:w="715" w:type="dxa"/>
          <w:tblLayout w:type="fixed"/>
          <w:tblLook w:val="04A0"/>
        </w:tblPrEx>
        <w:tc>
          <w:tcPr>
            <w:tcW w:w="3240" w:type="dxa"/>
            <w:shd w:val="clear" w:color="auto" w:fill="auto"/>
          </w:tcPr>
          <w:p w:rsidR="009444C1" w:rsidRPr="00AC3BF5" w:rsidP="005B38FA" w14:paraId="25AE1B4C" w14:textId="56AFFD81">
            <w:pPr>
              <w:keepNext/>
              <w:keepLines/>
              <w:widowControl/>
              <w:autoSpaceDE w:val="0"/>
              <w:autoSpaceDN w:val="0"/>
              <w:adjustRightInd w:val="0"/>
              <w:rPr>
                <w:color w:val="000000"/>
                <w:szCs w:val="24"/>
              </w:rPr>
            </w:pPr>
            <w:r w:rsidRPr="00AC3BF5">
              <w:rPr>
                <w:color w:val="000000"/>
                <w:szCs w:val="24"/>
              </w:rPr>
              <w:t>Reports o</w:t>
            </w:r>
            <w:r w:rsidR="00973ECC">
              <w:rPr>
                <w:color w:val="000000"/>
                <w:szCs w:val="24"/>
              </w:rPr>
              <w:t>f</w:t>
            </w:r>
            <w:r w:rsidRPr="00AC3BF5">
              <w:rPr>
                <w:color w:val="000000"/>
                <w:szCs w:val="24"/>
              </w:rPr>
              <w:t xml:space="preserve"> unblock</w:t>
            </w:r>
            <w:r w:rsidR="00244C6C">
              <w:rPr>
                <w:color w:val="000000"/>
                <w:szCs w:val="24"/>
              </w:rPr>
              <w:t>ed</w:t>
            </w:r>
            <w:r w:rsidR="00C008F4">
              <w:rPr>
                <w:color w:val="000000"/>
                <w:szCs w:val="24"/>
              </w:rPr>
              <w:t xml:space="preserve"> or transferred</w:t>
            </w:r>
            <w:r w:rsidR="005D5BC7">
              <w:rPr>
                <w:color w:val="000000"/>
                <w:szCs w:val="24"/>
              </w:rPr>
              <w:t xml:space="preserve"> blocked</w:t>
            </w:r>
            <w:r w:rsidRPr="00AC3BF5">
              <w:rPr>
                <w:color w:val="000000"/>
                <w:szCs w:val="24"/>
              </w:rPr>
              <w:t xml:space="preserve"> property</w:t>
            </w:r>
          </w:p>
        </w:tc>
        <w:tc>
          <w:tcPr>
            <w:tcW w:w="1620" w:type="dxa"/>
            <w:shd w:val="clear" w:color="auto" w:fill="auto"/>
          </w:tcPr>
          <w:p w:rsidR="000B04AF" w:rsidRPr="00AC3BF5" w:rsidP="00B749D6" w14:paraId="44825264" w14:textId="676F51FB">
            <w:pPr>
              <w:widowControl/>
              <w:autoSpaceDE w:val="0"/>
              <w:autoSpaceDN w:val="0"/>
              <w:adjustRightInd w:val="0"/>
              <w:jc w:val="right"/>
              <w:rPr>
                <w:color w:val="000000"/>
                <w:szCs w:val="24"/>
              </w:rPr>
            </w:pPr>
            <w:r w:rsidRPr="00AC3BF5">
              <w:rPr>
                <w:color w:val="000000"/>
                <w:szCs w:val="24"/>
              </w:rPr>
              <w:t>700</w:t>
            </w:r>
          </w:p>
          <w:p w:rsidR="009444C1" w:rsidRPr="00AC3BF5" w:rsidP="00B749D6" w14:paraId="235A0748" w14:textId="0C78A20E">
            <w:pPr>
              <w:widowControl/>
              <w:autoSpaceDE w:val="0"/>
              <w:autoSpaceDN w:val="0"/>
              <w:adjustRightInd w:val="0"/>
              <w:jc w:val="right"/>
              <w:rPr>
                <w:color w:val="000000"/>
                <w:szCs w:val="24"/>
              </w:rPr>
            </w:pPr>
          </w:p>
        </w:tc>
        <w:tc>
          <w:tcPr>
            <w:tcW w:w="1890" w:type="dxa"/>
            <w:shd w:val="clear" w:color="auto" w:fill="auto"/>
          </w:tcPr>
          <w:p w:rsidR="009444C1" w:rsidRPr="00AC3BF5" w:rsidP="00B749D6" w14:paraId="4FD6125F" w14:textId="3BC6D1DD">
            <w:pPr>
              <w:widowControl/>
              <w:autoSpaceDE w:val="0"/>
              <w:autoSpaceDN w:val="0"/>
              <w:adjustRightInd w:val="0"/>
              <w:jc w:val="right"/>
              <w:rPr>
                <w:color w:val="000000"/>
                <w:szCs w:val="24"/>
              </w:rPr>
            </w:pPr>
            <w:r w:rsidRPr="00AC3BF5">
              <w:rPr>
                <w:color w:val="000000"/>
                <w:szCs w:val="24"/>
              </w:rPr>
              <w:t>0</w:t>
            </w:r>
            <w:r w:rsidRPr="00AC3BF5" w:rsidR="00916F0E">
              <w:rPr>
                <w:color w:val="000000"/>
                <w:szCs w:val="24"/>
              </w:rPr>
              <w:t>.5</w:t>
            </w:r>
          </w:p>
        </w:tc>
        <w:tc>
          <w:tcPr>
            <w:tcW w:w="1620" w:type="dxa"/>
            <w:shd w:val="clear" w:color="auto" w:fill="auto"/>
          </w:tcPr>
          <w:p w:rsidR="002B168D" w:rsidRPr="00AC3BF5" w:rsidP="00B749D6" w14:paraId="166B6186" w14:textId="34A907D7">
            <w:pPr>
              <w:widowControl/>
              <w:autoSpaceDE w:val="0"/>
              <w:autoSpaceDN w:val="0"/>
              <w:adjustRightInd w:val="0"/>
              <w:jc w:val="right"/>
              <w:rPr>
                <w:color w:val="000000"/>
                <w:szCs w:val="24"/>
              </w:rPr>
            </w:pPr>
            <w:r w:rsidRPr="00AC3BF5">
              <w:rPr>
                <w:color w:val="000000"/>
                <w:szCs w:val="24"/>
              </w:rPr>
              <w:t>3</w:t>
            </w:r>
            <w:r w:rsidRPr="00AC3BF5">
              <w:rPr>
                <w:color w:val="000000"/>
                <w:szCs w:val="24"/>
              </w:rPr>
              <w:t>50</w:t>
            </w:r>
          </w:p>
          <w:p w:rsidR="003B13F6" w:rsidRPr="00AC3BF5" w:rsidP="00B749D6" w14:paraId="01EE4461" w14:textId="5CB3B61C">
            <w:pPr>
              <w:widowControl/>
              <w:autoSpaceDE w:val="0"/>
              <w:autoSpaceDN w:val="0"/>
              <w:adjustRightInd w:val="0"/>
              <w:jc w:val="right"/>
              <w:rPr>
                <w:color w:val="000000"/>
                <w:szCs w:val="24"/>
              </w:rPr>
            </w:pPr>
          </w:p>
          <w:p w:rsidR="009444C1" w:rsidRPr="00AC3BF5" w:rsidP="00B749D6" w14:paraId="628BAFB6" w14:textId="7D7D1DCE">
            <w:pPr>
              <w:widowControl/>
              <w:autoSpaceDE w:val="0"/>
              <w:autoSpaceDN w:val="0"/>
              <w:adjustRightInd w:val="0"/>
              <w:jc w:val="right"/>
              <w:rPr>
                <w:color w:val="000000"/>
                <w:szCs w:val="24"/>
              </w:rPr>
            </w:pPr>
          </w:p>
        </w:tc>
      </w:tr>
      <w:tr w14:paraId="42651A97" w14:textId="77777777" w:rsidTr="082063EE">
        <w:tblPrEx>
          <w:tblW w:w="8370" w:type="dxa"/>
          <w:tblInd w:w="715" w:type="dxa"/>
          <w:tblLayout w:type="fixed"/>
          <w:tblLook w:val="04A0"/>
        </w:tblPrEx>
        <w:tc>
          <w:tcPr>
            <w:tcW w:w="3240" w:type="dxa"/>
          </w:tcPr>
          <w:p w:rsidR="009444C1" w:rsidRPr="00AC3BF5" w:rsidP="00AC3BF5" w14:paraId="7E60B11F" w14:textId="018E3AC4">
            <w:pPr>
              <w:widowControl/>
              <w:autoSpaceDE w:val="0"/>
              <w:autoSpaceDN w:val="0"/>
              <w:adjustRightInd w:val="0"/>
              <w:rPr>
                <w:color w:val="000000"/>
                <w:szCs w:val="24"/>
              </w:rPr>
            </w:pPr>
            <w:r w:rsidRPr="00AC3BF5">
              <w:rPr>
                <w:color w:val="000000"/>
                <w:szCs w:val="24"/>
              </w:rPr>
              <w:t>Other reports</w:t>
            </w:r>
            <w:r w:rsidRPr="00AC3BF5" w:rsidR="00C27E0A">
              <w:rPr>
                <w:color w:val="000000"/>
                <w:szCs w:val="24"/>
              </w:rPr>
              <w:t xml:space="preserve"> </w:t>
            </w:r>
          </w:p>
        </w:tc>
        <w:tc>
          <w:tcPr>
            <w:tcW w:w="1620" w:type="dxa"/>
          </w:tcPr>
          <w:p w:rsidR="00EE6F51" w:rsidRPr="00AC3BF5" w:rsidP="00B749D6" w14:paraId="67AD39FA" w14:textId="539E997F">
            <w:pPr>
              <w:widowControl/>
              <w:autoSpaceDE w:val="0"/>
              <w:autoSpaceDN w:val="0"/>
              <w:adjustRightInd w:val="0"/>
              <w:jc w:val="right"/>
              <w:rPr>
                <w:color w:val="000000"/>
                <w:szCs w:val="24"/>
              </w:rPr>
            </w:pPr>
            <w:r w:rsidRPr="00AC3BF5">
              <w:rPr>
                <w:color w:val="000000"/>
                <w:szCs w:val="24"/>
              </w:rPr>
              <w:t>0</w:t>
            </w:r>
          </w:p>
          <w:p w:rsidR="009444C1" w:rsidRPr="00AC3BF5" w:rsidP="00B749D6" w14:paraId="5E77E6EC" w14:textId="755E30AD">
            <w:pPr>
              <w:widowControl/>
              <w:autoSpaceDE w:val="0"/>
              <w:autoSpaceDN w:val="0"/>
              <w:adjustRightInd w:val="0"/>
              <w:jc w:val="right"/>
              <w:rPr>
                <w:color w:val="000000"/>
                <w:szCs w:val="24"/>
              </w:rPr>
            </w:pPr>
          </w:p>
        </w:tc>
        <w:tc>
          <w:tcPr>
            <w:tcW w:w="1890" w:type="dxa"/>
          </w:tcPr>
          <w:p w:rsidR="009444C1" w:rsidRPr="00AC3BF5" w:rsidP="00B749D6" w14:paraId="38E2E4E5" w14:textId="192369EA">
            <w:pPr>
              <w:widowControl/>
              <w:autoSpaceDE w:val="0"/>
              <w:autoSpaceDN w:val="0"/>
              <w:adjustRightInd w:val="0"/>
              <w:jc w:val="right"/>
              <w:rPr>
                <w:color w:val="000000"/>
                <w:szCs w:val="24"/>
              </w:rPr>
            </w:pPr>
          </w:p>
        </w:tc>
        <w:tc>
          <w:tcPr>
            <w:tcW w:w="1620" w:type="dxa"/>
          </w:tcPr>
          <w:p w:rsidR="007E2A89" w:rsidRPr="00AC3BF5" w:rsidP="00B749D6" w14:paraId="4E681A2B" w14:textId="7EA2F2FF">
            <w:pPr>
              <w:widowControl/>
              <w:autoSpaceDE w:val="0"/>
              <w:autoSpaceDN w:val="0"/>
              <w:adjustRightInd w:val="0"/>
              <w:jc w:val="right"/>
              <w:rPr>
                <w:color w:val="000000"/>
                <w:szCs w:val="24"/>
              </w:rPr>
            </w:pPr>
            <w:r w:rsidRPr="00AC3BF5">
              <w:rPr>
                <w:color w:val="000000"/>
                <w:szCs w:val="24"/>
              </w:rPr>
              <w:t>0</w:t>
            </w:r>
          </w:p>
          <w:p w:rsidR="009444C1" w:rsidRPr="00AC3BF5" w:rsidP="00B749D6" w14:paraId="7373F403" w14:textId="1BDA2794">
            <w:pPr>
              <w:widowControl/>
              <w:autoSpaceDE w:val="0"/>
              <w:autoSpaceDN w:val="0"/>
              <w:adjustRightInd w:val="0"/>
              <w:jc w:val="right"/>
              <w:rPr>
                <w:color w:val="000000"/>
                <w:szCs w:val="24"/>
              </w:rPr>
            </w:pPr>
          </w:p>
        </w:tc>
      </w:tr>
      <w:tr w14:paraId="6A3BF0B0" w14:textId="77777777" w:rsidTr="082063EE">
        <w:tblPrEx>
          <w:tblW w:w="8370" w:type="dxa"/>
          <w:tblInd w:w="715" w:type="dxa"/>
          <w:tblLayout w:type="fixed"/>
          <w:tblLook w:val="04A0"/>
        </w:tblPrEx>
        <w:tc>
          <w:tcPr>
            <w:tcW w:w="3240" w:type="dxa"/>
            <w:shd w:val="clear" w:color="auto" w:fill="BFBFBF" w:themeFill="background1" w:themeFillShade="BF"/>
          </w:tcPr>
          <w:p w:rsidR="009444C1" w:rsidRPr="00AC3BF5" w:rsidP="00AC3BF5" w14:paraId="3BB9E44E" w14:textId="77777777">
            <w:pPr>
              <w:widowControl/>
              <w:autoSpaceDE w:val="0"/>
              <w:autoSpaceDN w:val="0"/>
              <w:adjustRightInd w:val="0"/>
              <w:rPr>
                <w:color w:val="000000"/>
                <w:szCs w:val="24"/>
              </w:rPr>
            </w:pPr>
            <w:r w:rsidRPr="00AC3BF5">
              <w:rPr>
                <w:color w:val="000000"/>
                <w:szCs w:val="24"/>
              </w:rPr>
              <w:t>TOTAL</w:t>
            </w:r>
          </w:p>
        </w:tc>
        <w:tc>
          <w:tcPr>
            <w:tcW w:w="1620" w:type="dxa"/>
            <w:shd w:val="clear" w:color="auto" w:fill="BFBFBF" w:themeFill="background1" w:themeFillShade="BF"/>
          </w:tcPr>
          <w:p w:rsidR="00C316A3" w:rsidRPr="00AC3BF5" w:rsidP="00B749D6" w14:paraId="4BB7AD1E" w14:textId="4C511B4B">
            <w:pPr>
              <w:widowControl/>
              <w:autoSpaceDE w:val="0"/>
              <w:autoSpaceDN w:val="0"/>
              <w:adjustRightInd w:val="0"/>
              <w:jc w:val="right"/>
              <w:rPr>
                <w:color w:val="000000"/>
                <w:szCs w:val="24"/>
              </w:rPr>
            </w:pPr>
            <w:r w:rsidRPr="00AC3BF5">
              <w:rPr>
                <w:color w:val="000000"/>
                <w:szCs w:val="24"/>
              </w:rPr>
              <w:t>1,102</w:t>
            </w:r>
          </w:p>
          <w:p w:rsidR="008F3151" w:rsidRPr="00AC3BF5" w:rsidP="00B749D6" w14:paraId="1D3EFDAB" w14:textId="510126DA">
            <w:pPr>
              <w:widowControl/>
              <w:autoSpaceDE w:val="0"/>
              <w:autoSpaceDN w:val="0"/>
              <w:adjustRightInd w:val="0"/>
              <w:jc w:val="right"/>
              <w:rPr>
                <w:color w:val="000000"/>
                <w:szCs w:val="24"/>
              </w:rPr>
            </w:pPr>
          </w:p>
          <w:p w:rsidR="00D04A5D" w:rsidRPr="00AC3BF5" w:rsidP="00B749D6" w14:paraId="13470EF2" w14:textId="07B9E26B">
            <w:pPr>
              <w:widowControl/>
              <w:autoSpaceDE w:val="0"/>
              <w:autoSpaceDN w:val="0"/>
              <w:adjustRightInd w:val="0"/>
              <w:jc w:val="right"/>
              <w:rPr>
                <w:color w:val="000000"/>
                <w:szCs w:val="24"/>
              </w:rPr>
            </w:pPr>
          </w:p>
          <w:p w:rsidR="009444C1" w:rsidRPr="00AC3BF5" w:rsidP="00B749D6" w14:paraId="657848D2" w14:textId="1B2D19E2">
            <w:pPr>
              <w:widowControl/>
              <w:autoSpaceDE w:val="0"/>
              <w:autoSpaceDN w:val="0"/>
              <w:adjustRightInd w:val="0"/>
              <w:jc w:val="right"/>
              <w:rPr>
                <w:color w:val="000000"/>
                <w:szCs w:val="24"/>
              </w:rPr>
            </w:pPr>
          </w:p>
        </w:tc>
        <w:tc>
          <w:tcPr>
            <w:tcW w:w="1890" w:type="dxa"/>
            <w:shd w:val="clear" w:color="auto" w:fill="BFBFBF" w:themeFill="background1" w:themeFillShade="BF"/>
          </w:tcPr>
          <w:p w:rsidR="009444C1" w:rsidRPr="00AC3BF5" w:rsidP="00B749D6" w14:paraId="528E7AE0" w14:textId="77777777">
            <w:pPr>
              <w:widowControl/>
              <w:autoSpaceDE w:val="0"/>
              <w:autoSpaceDN w:val="0"/>
              <w:adjustRightInd w:val="0"/>
              <w:jc w:val="right"/>
              <w:rPr>
                <w:color w:val="000000"/>
                <w:szCs w:val="24"/>
              </w:rPr>
            </w:pPr>
          </w:p>
        </w:tc>
        <w:tc>
          <w:tcPr>
            <w:tcW w:w="1620" w:type="dxa"/>
            <w:shd w:val="clear" w:color="auto" w:fill="BFBFBF" w:themeFill="background1" w:themeFillShade="BF"/>
          </w:tcPr>
          <w:p w:rsidR="008A0297" w:rsidRPr="00AC3BF5" w:rsidP="00B749D6" w14:paraId="2EE51A3D" w14:textId="5E90F36C">
            <w:pPr>
              <w:widowControl/>
              <w:autoSpaceDE w:val="0"/>
              <w:autoSpaceDN w:val="0"/>
              <w:adjustRightInd w:val="0"/>
              <w:jc w:val="right"/>
              <w:rPr>
                <w:color w:val="000000"/>
                <w:szCs w:val="24"/>
              </w:rPr>
            </w:pPr>
            <w:r w:rsidRPr="00AC3BF5">
              <w:rPr>
                <w:color w:val="000000"/>
                <w:szCs w:val="24"/>
              </w:rPr>
              <w:t>8</w:t>
            </w:r>
            <w:r w:rsidRPr="00AC3BF5" w:rsidR="002B168D">
              <w:rPr>
                <w:color w:val="000000"/>
                <w:szCs w:val="24"/>
              </w:rPr>
              <w:t>32</w:t>
            </w:r>
          </w:p>
          <w:p w:rsidR="00132375" w:rsidRPr="00AC3BF5" w:rsidP="00B749D6" w14:paraId="0B338CC1" w14:textId="6E75B54A">
            <w:pPr>
              <w:widowControl/>
              <w:autoSpaceDE w:val="0"/>
              <w:autoSpaceDN w:val="0"/>
              <w:adjustRightInd w:val="0"/>
              <w:jc w:val="right"/>
              <w:rPr>
                <w:color w:val="000000"/>
                <w:szCs w:val="24"/>
              </w:rPr>
            </w:pPr>
          </w:p>
          <w:p w:rsidR="00D04A5D" w:rsidRPr="00AC3BF5" w:rsidP="00B749D6" w14:paraId="70079015" w14:textId="012FD560">
            <w:pPr>
              <w:widowControl/>
              <w:autoSpaceDE w:val="0"/>
              <w:autoSpaceDN w:val="0"/>
              <w:adjustRightInd w:val="0"/>
              <w:jc w:val="right"/>
              <w:rPr>
                <w:color w:val="000000"/>
                <w:szCs w:val="24"/>
              </w:rPr>
            </w:pPr>
          </w:p>
          <w:p w:rsidR="009444C1" w:rsidRPr="00AC3BF5" w:rsidP="00B749D6" w14:paraId="3F0CD45E" w14:textId="2C46A0A9">
            <w:pPr>
              <w:widowControl/>
              <w:autoSpaceDE w:val="0"/>
              <w:autoSpaceDN w:val="0"/>
              <w:adjustRightInd w:val="0"/>
              <w:jc w:val="right"/>
              <w:rPr>
                <w:color w:val="000000"/>
                <w:szCs w:val="24"/>
              </w:rPr>
            </w:pPr>
          </w:p>
        </w:tc>
      </w:tr>
    </w:tbl>
    <w:p w:rsidR="009C3A3D" w:rsidRPr="00D3497A" w:rsidP="00747881" w14:paraId="76CD870B" w14:textId="77777777">
      <w:pPr>
        <w:contextualSpacing/>
        <w:rPr>
          <w:color w:val="000000"/>
          <w:szCs w:val="24"/>
        </w:rPr>
      </w:pPr>
      <w:r w:rsidRPr="00D3497A">
        <w:rPr>
          <w:color w:val="000000"/>
          <w:szCs w:val="24"/>
        </w:rPr>
        <w:tab/>
      </w:r>
    </w:p>
    <w:p w:rsidR="003B0EC4" w:rsidP="003B0EC4" w14:paraId="332D956F" w14:textId="09F2132F">
      <w:pPr>
        <w:pStyle w:val="Default"/>
      </w:pPr>
    </w:p>
    <w:p w:rsidR="009F6ED6" w:rsidRPr="009F6ED6" w:rsidP="009F6ED6" w14:paraId="7294BE89" w14:textId="26D6AA33">
      <w:pPr>
        <w:pStyle w:val="ListParagraph"/>
        <w:numPr>
          <w:ilvl w:val="0"/>
          <w:numId w:val="20"/>
        </w:numPr>
        <w:rPr>
          <w:color w:val="000000"/>
          <w:szCs w:val="24"/>
        </w:rPr>
      </w:pPr>
      <w:r w:rsidRPr="00973ECC">
        <w:rPr>
          <w:u w:val="single"/>
        </w:rPr>
        <w:t>Basic reports</w:t>
      </w:r>
      <w:r w:rsidRPr="009F6ED6" w:rsidR="00101E48">
        <w:rPr>
          <w:u w:val="single"/>
        </w:rPr>
        <w:t xml:space="preserve"> </w:t>
      </w:r>
      <w:r w:rsidRPr="009F6ED6">
        <w:rPr>
          <w:u w:val="single"/>
        </w:rPr>
        <w:t xml:space="preserve">and information collections </w:t>
      </w:r>
      <w:r w:rsidRPr="009F6ED6" w:rsidR="00101E48">
        <w:rPr>
          <w:u w:val="single"/>
        </w:rPr>
        <w:t>not associated with forms</w:t>
      </w:r>
      <w:r>
        <w:t xml:space="preserve">:  Persons availing themselves of certain general licenses may be required to file reports or statements </w:t>
      </w:r>
      <w:r>
        <w:t xml:space="preserve">or retain certain records </w:t>
      </w:r>
      <w:r>
        <w:t xml:space="preserve">in accordance with the instructions specified in those licenses.  Most of these “basic reports </w:t>
      </w:r>
      <w:r>
        <w:t xml:space="preserve">or information collections </w:t>
      </w:r>
      <w:r>
        <w:t xml:space="preserve">not associated with forms” are required in connection with an authorized activity (such as reports regarding activity conducted under certain general licenses).  </w:t>
      </w:r>
      <w:r w:rsidR="002717AD">
        <w:t xml:space="preserve">These basic reports </w:t>
      </w:r>
      <w:r>
        <w:t xml:space="preserve">and information collections </w:t>
      </w:r>
      <w:r w:rsidR="002717AD">
        <w:t>have minimal burden and may fluctuate given the dynamic nature of OFAC’s sanctions programs.  Submissions</w:t>
      </w:r>
      <w:r>
        <w:t xml:space="preserve"> of reports and maintenance of records</w:t>
      </w:r>
      <w:r w:rsidR="002717AD">
        <w:t xml:space="preserve"> are not required to be in any particular format.  Most of these reports</w:t>
      </w:r>
      <w:r>
        <w:t xml:space="preserve"> or information collections</w:t>
      </w:r>
      <w:r w:rsidR="002717AD">
        <w:t xml:space="preserve"> are required in connection with an authorized activity.  Basic reports</w:t>
      </w:r>
      <w:r>
        <w:t xml:space="preserve"> and information collections</w:t>
      </w:r>
      <w:r w:rsidR="002717AD">
        <w:t xml:space="preserve"> not associated with forms include approximately 219 routine general license reports (such as those in the Libya sanctions programs), which OFAC estimates takes one hour on average to complete; approximately 103 regulatory reports (such as </w:t>
      </w:r>
      <w:r>
        <w:t xml:space="preserve">mail and telecommunications-related transactions reporting under § 515.542 of the Cuban Assets Control Regulations, 31 CFR </w:t>
      </w:r>
      <w:r>
        <w:t xml:space="preserve">part 515, </w:t>
      </w:r>
      <w:r w:rsidR="002717AD">
        <w:t xml:space="preserve">and </w:t>
      </w:r>
      <w:r>
        <w:t>reporting on litigation, arbitration, and dispute resolution proceedings under § 501.605</w:t>
      </w:r>
      <w:r w:rsidR="002717AD">
        <w:t xml:space="preserve">); </w:t>
      </w:r>
      <w:r w:rsidR="00C2768E">
        <w:t xml:space="preserve">7 </w:t>
      </w:r>
      <w:r w:rsidR="002717AD">
        <w:t xml:space="preserve">reports required under OFAC Directives (such as from the amended Directive 4 reporting); and 34 </w:t>
      </w:r>
      <w:r w:rsidRPr="009F6ED6">
        <w:rPr>
          <w:color w:val="000000"/>
          <w:szCs w:val="24"/>
        </w:rPr>
        <w:t>other occasional basic compliance reports (such as the annual certification compliance commitment report as part of a settlement with OFAC).</w:t>
      </w:r>
    </w:p>
    <w:p w:rsidR="003B0EC4" w:rsidP="003B0EC4" w14:paraId="51B7D713" w14:textId="77777777">
      <w:pPr>
        <w:pStyle w:val="Default"/>
        <w:ind w:firstLine="720"/>
      </w:pPr>
    </w:p>
    <w:p w:rsidR="006238C8" w:rsidP="003B0EC4" w14:paraId="7348368D" w14:textId="75742790">
      <w:pPr>
        <w:pStyle w:val="Default"/>
        <w:numPr>
          <w:ilvl w:val="0"/>
          <w:numId w:val="20"/>
        </w:numPr>
      </w:pPr>
      <w:r w:rsidRPr="00973ECC">
        <w:rPr>
          <w:u w:val="single"/>
        </w:rPr>
        <w:t xml:space="preserve">Complex </w:t>
      </w:r>
      <w:r w:rsidR="00101E48">
        <w:rPr>
          <w:u w:val="single"/>
        </w:rPr>
        <w:t xml:space="preserve">general license </w:t>
      </w:r>
      <w:r w:rsidRPr="00973ECC">
        <w:rPr>
          <w:u w:val="single"/>
        </w:rPr>
        <w:t>reports</w:t>
      </w:r>
      <w:r>
        <w:t xml:space="preserve">:  </w:t>
      </w:r>
      <w:r w:rsidR="003B0EC4">
        <w:t>For certain more complex general license reports (such as in the Ukraine</w:t>
      </w:r>
      <w:r w:rsidR="005717FA">
        <w:t>-</w:t>
      </w:r>
      <w:r w:rsidR="003B0EC4">
        <w:t>/Russia</w:t>
      </w:r>
      <w:r w:rsidR="005717FA">
        <w:t>-related</w:t>
      </w:r>
      <w:r w:rsidR="003B0EC4">
        <w:t xml:space="preserve"> </w:t>
      </w:r>
      <w:r w:rsidR="005717FA">
        <w:t>S</w:t>
      </w:r>
      <w:r w:rsidR="003B0EC4">
        <w:t>anctions program</w:t>
      </w:r>
      <w:r w:rsidR="005717FA">
        <w:t>s</w:t>
      </w:r>
      <w:r w:rsidR="003B0EC4">
        <w:t xml:space="preserve">), OFAC estimates that the completion of these reports takes five hours on average </w:t>
      </w:r>
      <w:r w:rsidR="00E043CA">
        <w:t xml:space="preserve">as </w:t>
      </w:r>
      <w:r w:rsidR="003B0EC4">
        <w:t>these reports are narrative-based and often several pages long.  The total number of such reports is approximately 20.</w:t>
      </w:r>
    </w:p>
    <w:p w:rsidR="006238C8" w:rsidP="006238C8" w14:paraId="3461A8F3" w14:textId="77777777">
      <w:pPr>
        <w:pStyle w:val="ListParagraph"/>
      </w:pPr>
    </w:p>
    <w:p w:rsidR="00A0008F" w:rsidP="00EB28EC" w14:paraId="52495D9C" w14:textId="38810436">
      <w:pPr>
        <w:pStyle w:val="Default"/>
        <w:numPr>
          <w:ilvl w:val="0"/>
          <w:numId w:val="20"/>
        </w:numPr>
      </w:pPr>
      <w:r w:rsidRPr="00F056B7">
        <w:rPr>
          <w:u w:val="single"/>
        </w:rPr>
        <w:t>Reports o</w:t>
      </w:r>
      <w:r w:rsidR="00973ECC">
        <w:rPr>
          <w:u w:val="single"/>
        </w:rPr>
        <w:t>f</w:t>
      </w:r>
      <w:r w:rsidRPr="00F056B7">
        <w:rPr>
          <w:u w:val="single"/>
        </w:rPr>
        <w:t xml:space="preserve"> unbloc</w:t>
      </w:r>
      <w:r w:rsidR="00244C6C">
        <w:rPr>
          <w:u w:val="single"/>
        </w:rPr>
        <w:t>ked</w:t>
      </w:r>
      <w:r w:rsidRPr="00F056B7">
        <w:rPr>
          <w:u w:val="single"/>
        </w:rPr>
        <w:t xml:space="preserve"> </w:t>
      </w:r>
      <w:r w:rsidR="00C008F4">
        <w:rPr>
          <w:u w:val="single"/>
        </w:rPr>
        <w:t xml:space="preserve">or transferred </w:t>
      </w:r>
      <w:r w:rsidR="005D5BC7">
        <w:rPr>
          <w:u w:val="single"/>
        </w:rPr>
        <w:t xml:space="preserve">blocked </w:t>
      </w:r>
      <w:r w:rsidRPr="00F056B7">
        <w:rPr>
          <w:u w:val="single"/>
        </w:rPr>
        <w:t>property</w:t>
      </w:r>
      <w:r w:rsidR="00256452">
        <w:t xml:space="preserve">:  Such reports </w:t>
      </w:r>
      <w:r w:rsidR="00D24D51">
        <w:t>were</w:t>
      </w:r>
      <w:r>
        <w:t xml:space="preserve"> </w:t>
      </w:r>
      <w:r w:rsidR="00760521">
        <w:t xml:space="preserve">previously </w:t>
      </w:r>
      <w:r>
        <w:t>only due when specifically required by OFAC, such as when made a condition of a general or specific license</w:t>
      </w:r>
      <w:r w:rsidR="00760521">
        <w:t xml:space="preserve">; </w:t>
      </w:r>
      <w:r w:rsidR="00D24D51">
        <w:t>however</w:t>
      </w:r>
      <w:r w:rsidR="00760521">
        <w:t xml:space="preserve">, the </w:t>
      </w:r>
      <w:r w:rsidR="005D5BC7">
        <w:t xml:space="preserve">2024 </w:t>
      </w:r>
      <w:r w:rsidR="00760521">
        <w:t xml:space="preserve">RPPR </w:t>
      </w:r>
      <w:r w:rsidR="005D5BC7">
        <w:t>interim final rule</w:t>
      </w:r>
      <w:r w:rsidR="0068014E">
        <w:t xml:space="preserve"> </w:t>
      </w:r>
      <w:r w:rsidR="00760521">
        <w:t>associated with this information collection would require reports any</w:t>
      </w:r>
      <w:r w:rsidR="00E043CA">
        <w:t xml:space="preserve"> </w:t>
      </w:r>
      <w:r w:rsidR="00760521">
        <w:t>time blocked property is unblocked or transferred, with limited exceptions</w:t>
      </w:r>
      <w:r>
        <w:t xml:space="preserve">.  </w:t>
      </w:r>
      <w:r w:rsidRPr="00EA34EE">
        <w:t>The number of such reports</w:t>
      </w:r>
      <w:r w:rsidR="00D24D51">
        <w:t xml:space="preserve"> annually</w:t>
      </w:r>
      <w:r w:rsidRPr="00EA34EE">
        <w:t xml:space="preserve"> </w:t>
      </w:r>
      <w:r w:rsidR="00965913">
        <w:t>was</w:t>
      </w:r>
      <w:r w:rsidRPr="00EA34EE">
        <w:t xml:space="preserve"> approximately </w:t>
      </w:r>
      <w:r>
        <w:t>74</w:t>
      </w:r>
      <w:r w:rsidR="00D24D51">
        <w:t>, however</w:t>
      </w:r>
      <w:r w:rsidR="00E043CA">
        <w:t>,</w:t>
      </w:r>
      <w:r w:rsidR="00D24D51">
        <w:t xml:space="preserve"> OFAC anticipates there </w:t>
      </w:r>
      <w:r w:rsidR="00965913">
        <w:t xml:space="preserve">will likely </w:t>
      </w:r>
      <w:r w:rsidR="00D24D51">
        <w:t xml:space="preserve">be </w:t>
      </w:r>
      <w:r>
        <w:t xml:space="preserve">a significant increase of </w:t>
      </w:r>
      <w:r w:rsidR="00965913">
        <w:t>9</w:t>
      </w:r>
      <w:r>
        <w:t>00%</w:t>
      </w:r>
      <w:r w:rsidR="00D24D51">
        <w:t xml:space="preserve"> in the future</w:t>
      </w:r>
      <w:r>
        <w:t xml:space="preserve"> (or approximately </w:t>
      </w:r>
      <w:r w:rsidR="00965913">
        <w:t>7</w:t>
      </w:r>
      <w:r>
        <w:t>00 reports)</w:t>
      </w:r>
      <w:r w:rsidR="00D24D51">
        <w:t xml:space="preserve"> due to </w:t>
      </w:r>
      <w:r>
        <w:t>the</w:t>
      </w:r>
      <w:r w:rsidR="00D24D51">
        <w:t xml:space="preserve"> broader scope in the regulatory amendments.</w:t>
      </w:r>
    </w:p>
    <w:p w:rsidR="00A0008F" w:rsidP="00A0008F" w14:paraId="63990C33" w14:textId="77777777">
      <w:pPr>
        <w:pStyle w:val="ListParagraph"/>
      </w:pPr>
    </w:p>
    <w:p w:rsidR="003B0EC4" w:rsidP="00EB28EC" w14:paraId="1DF170FA" w14:textId="5443B11A">
      <w:pPr>
        <w:pStyle w:val="Default"/>
        <w:numPr>
          <w:ilvl w:val="0"/>
          <w:numId w:val="20"/>
        </w:numPr>
      </w:pPr>
      <w:r>
        <w:rPr>
          <w:u w:val="single"/>
        </w:rPr>
        <w:t>Other</w:t>
      </w:r>
      <w:r w:rsidRPr="00F056B7">
        <w:rPr>
          <w:u w:val="single"/>
        </w:rPr>
        <w:t xml:space="preserve"> </w:t>
      </w:r>
      <w:r w:rsidRPr="00F056B7" w:rsidR="00256452">
        <w:rPr>
          <w:u w:val="single"/>
        </w:rPr>
        <w:t>reports</w:t>
      </w:r>
      <w:r w:rsidR="00256452">
        <w:t xml:space="preserve">:  </w:t>
      </w:r>
      <w:r>
        <w:t>OFAC’s regulations require several other miscellaneous or one-off types of reports that may be required to be submitted at various times in connection with other actions taken pursuant to the regulations (including, for example, reports on operating accounts of the government of Cuba missions in the United States; report</w:t>
      </w:r>
      <w:r w:rsidR="009F6ED6">
        <w:t>s</w:t>
      </w:r>
      <w:r>
        <w:t xml:space="preserve"> on the effect of transfers violating the provision; report</w:t>
      </w:r>
      <w:r w:rsidR="009F6ED6">
        <w:t>s</w:t>
      </w:r>
      <w:r>
        <w:t xml:space="preserve"> on Foreign Terrorist Organizations; report</w:t>
      </w:r>
      <w:r w:rsidR="008913A8">
        <w:t>s</w:t>
      </w:r>
      <w:r>
        <w:t xml:space="preserve"> on investment and reinvestment of certain funds; and report</w:t>
      </w:r>
      <w:r w:rsidR="009F6ED6">
        <w:t>s</w:t>
      </w:r>
      <w:r>
        <w:t xml:space="preserve"> on transactions related to closing a correspondent or payable-through account).  In the past reporting period, OFAC has not received any reports submitted from these reporting requirements and therefore estimates the burden with respect to these reports to be minimal. </w:t>
      </w:r>
    </w:p>
    <w:p w:rsidR="003B0EC4" w:rsidRPr="00D3497A" w:rsidP="009C3A3D" w14:paraId="05161C0B" w14:textId="77777777">
      <w:pPr>
        <w:ind w:firstLine="720"/>
        <w:contextualSpacing/>
        <w:rPr>
          <w:color w:val="000000"/>
          <w:szCs w:val="24"/>
        </w:rPr>
      </w:pPr>
    </w:p>
    <w:p w:rsidR="009444C1" w:rsidRPr="000206E7" w:rsidP="009444C1" w14:paraId="2EC87A3E" w14:textId="42E914B6">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5C779E">
        <w:rPr>
          <w:szCs w:val="24"/>
        </w:rPr>
        <w:t>B.</w:t>
      </w:r>
      <w:r w:rsidRPr="005C779E">
        <w:rPr>
          <w:i/>
          <w:szCs w:val="24"/>
        </w:rPr>
        <w:t xml:space="preserve"> Provide estimates of annualized cost to respondents for the hour bur</w:t>
      </w:r>
      <w:r w:rsidRPr="00CF4CF1">
        <w:rPr>
          <w:i/>
          <w:szCs w:val="24"/>
        </w:rPr>
        <w:t>dens for collections of information, identifying and using appropriate wage rate categories.</w:t>
      </w:r>
    </w:p>
    <w:p w:rsidR="009444C1" w:rsidRPr="000206E7" w:rsidP="009444C1" w14:paraId="5C0667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Cs w:val="24"/>
        </w:rPr>
      </w:pPr>
    </w:p>
    <w:p w:rsidR="009444C1" w:rsidRPr="00D3497A" w:rsidP="009444C1" w14:paraId="7CAA59F7" w14:textId="6E8FAB16">
      <w:pPr>
        <w:widowControl/>
        <w:autoSpaceDE w:val="0"/>
        <w:autoSpaceDN w:val="0"/>
        <w:adjustRightInd w:val="0"/>
        <w:ind w:firstLine="720"/>
        <w:rPr>
          <w:color w:val="000000"/>
          <w:szCs w:val="24"/>
        </w:rPr>
      </w:pPr>
      <w:r w:rsidRPr="00D3497A">
        <w:rPr>
          <w:color w:val="000000"/>
          <w:szCs w:val="24"/>
        </w:rPr>
        <w:t xml:space="preserve">OFAC’s methodology for calculating the annualized cost burden uses one of two wage rates published by the Bureau of Labor and Statistics: </w:t>
      </w:r>
      <w:r w:rsidRPr="00D3497A" w:rsidR="006C7380">
        <w:rPr>
          <w:color w:val="000000"/>
          <w:szCs w:val="24"/>
        </w:rPr>
        <w:t xml:space="preserve"> </w:t>
      </w:r>
      <w:r w:rsidRPr="00D3497A">
        <w:rPr>
          <w:color w:val="000000"/>
          <w:szCs w:val="24"/>
        </w:rPr>
        <w:t>either $</w:t>
      </w:r>
      <w:r w:rsidR="00A0513C">
        <w:rPr>
          <w:color w:val="000000"/>
          <w:szCs w:val="24"/>
        </w:rPr>
        <w:t>17.40</w:t>
      </w:r>
      <w:r w:rsidRPr="00D3497A">
        <w:rPr>
          <w:color w:val="000000"/>
          <w:szCs w:val="24"/>
        </w:rPr>
        <w:t xml:space="preserve">/hour, which, as of </w:t>
      </w:r>
      <w:r w:rsidRPr="00D3497A" w:rsidR="00D0688A">
        <w:rPr>
          <w:color w:val="000000"/>
          <w:szCs w:val="24"/>
        </w:rPr>
        <w:t>May 202</w:t>
      </w:r>
      <w:r w:rsidR="00A0513C">
        <w:rPr>
          <w:color w:val="000000"/>
          <w:szCs w:val="24"/>
        </w:rPr>
        <w:t>3</w:t>
      </w:r>
      <w:r w:rsidRPr="00D3497A">
        <w:rPr>
          <w:color w:val="000000"/>
          <w:szCs w:val="24"/>
        </w:rPr>
        <w:t xml:space="preserve">, is the median wage for </w:t>
      </w:r>
      <w:r w:rsidRPr="00D3497A" w:rsidR="001B602C">
        <w:rPr>
          <w:color w:val="000000"/>
          <w:szCs w:val="24"/>
        </w:rPr>
        <w:t>Data Entry Keyers</w:t>
      </w:r>
      <w:r w:rsidRPr="00D3497A">
        <w:rPr>
          <w:color w:val="000000"/>
          <w:szCs w:val="24"/>
        </w:rPr>
        <w:t>, or $3</w:t>
      </w:r>
      <w:r w:rsidRPr="00D3497A" w:rsidR="00D0688A">
        <w:rPr>
          <w:color w:val="000000"/>
          <w:szCs w:val="24"/>
        </w:rPr>
        <w:t>4.</w:t>
      </w:r>
      <w:r w:rsidR="00A0513C">
        <w:rPr>
          <w:color w:val="000000"/>
          <w:szCs w:val="24"/>
        </w:rPr>
        <w:t>47</w:t>
      </w:r>
      <w:r w:rsidRPr="00D3497A">
        <w:rPr>
          <w:color w:val="000000"/>
          <w:szCs w:val="24"/>
        </w:rPr>
        <w:t xml:space="preserve">/hour, which, as of </w:t>
      </w:r>
      <w:r w:rsidRPr="00D3497A" w:rsidR="00D0688A">
        <w:rPr>
          <w:color w:val="000000"/>
          <w:szCs w:val="24"/>
        </w:rPr>
        <w:t>May 202</w:t>
      </w:r>
      <w:r w:rsidR="00A0513C">
        <w:rPr>
          <w:color w:val="000000"/>
          <w:szCs w:val="24"/>
        </w:rPr>
        <w:t>3</w:t>
      </w:r>
      <w:r w:rsidRPr="00D3497A">
        <w:rPr>
          <w:color w:val="000000"/>
          <w:szCs w:val="24"/>
        </w:rPr>
        <w:t xml:space="preserve">, is the median wage for </w:t>
      </w:r>
      <w:r w:rsidRPr="00D3497A" w:rsidR="001B602C">
        <w:rPr>
          <w:color w:val="000000"/>
          <w:szCs w:val="24"/>
        </w:rPr>
        <w:t>C</w:t>
      </w:r>
      <w:r w:rsidRPr="00D3497A">
        <w:rPr>
          <w:color w:val="000000"/>
          <w:szCs w:val="24"/>
        </w:rPr>
        <w:t xml:space="preserve">ompliance </w:t>
      </w:r>
      <w:r w:rsidRPr="00D3497A" w:rsidR="001B602C">
        <w:rPr>
          <w:color w:val="000000"/>
          <w:szCs w:val="24"/>
        </w:rPr>
        <w:t>O</w:t>
      </w:r>
      <w:r w:rsidRPr="00D3497A">
        <w:rPr>
          <w:color w:val="000000"/>
          <w:szCs w:val="24"/>
        </w:rPr>
        <w:t>fficers.  The wage used for calculating the cost burden varies depending on the type and complexity of the report</w:t>
      </w:r>
      <w:r w:rsidRPr="00D3497A" w:rsidR="000829EE">
        <w:rPr>
          <w:color w:val="000000"/>
          <w:szCs w:val="24"/>
        </w:rPr>
        <w:t>,</w:t>
      </w:r>
      <w:r w:rsidRPr="00D3497A">
        <w:rPr>
          <w:color w:val="000000"/>
          <w:szCs w:val="24"/>
        </w:rPr>
        <w:t xml:space="preserve"> as noted in the chart below.  OFAC estimates the total cost to be approximately </w:t>
      </w:r>
      <w:r w:rsidRPr="00C055DA">
        <w:rPr>
          <w:color w:val="000000"/>
          <w:szCs w:val="24"/>
        </w:rPr>
        <w:t>$</w:t>
      </w:r>
      <w:r w:rsidRPr="00FA65E6" w:rsidR="00BF233D">
        <w:rPr>
          <w:szCs w:val="24"/>
        </w:rPr>
        <w:t>8</w:t>
      </w:r>
      <w:r w:rsidR="00BF233D">
        <w:rPr>
          <w:szCs w:val="24"/>
        </w:rPr>
        <w:t>76,934.50</w:t>
      </w:r>
      <w:r w:rsidR="000123C4">
        <w:rPr>
          <w:szCs w:val="24"/>
        </w:rPr>
        <w:t>.</w:t>
      </w:r>
    </w:p>
    <w:p w:rsidR="009444C1" w:rsidRPr="00D3497A" w:rsidP="009444C1" w14:paraId="2E4A594F" w14:textId="77777777">
      <w:pPr>
        <w:widowControl/>
        <w:autoSpaceDE w:val="0"/>
        <w:autoSpaceDN w:val="0"/>
        <w:adjustRightInd w:val="0"/>
        <w:rPr>
          <w:color w:val="000000"/>
          <w:szCs w:val="24"/>
          <w:u w:val="single"/>
        </w:rPr>
      </w:pPr>
    </w:p>
    <w:tbl>
      <w:tblPr>
        <w:tblStyle w:val="TableGrid"/>
        <w:tblW w:w="9328" w:type="dxa"/>
        <w:tblLayout w:type="fixed"/>
        <w:tblLook w:val="04A0"/>
      </w:tblPr>
      <w:tblGrid>
        <w:gridCol w:w="2668"/>
        <w:gridCol w:w="1800"/>
        <w:gridCol w:w="1620"/>
        <w:gridCol w:w="1620"/>
        <w:gridCol w:w="1620"/>
      </w:tblGrid>
      <w:tr w14:paraId="5A8E293C" w14:textId="77777777" w:rsidTr="00B756A6">
        <w:tblPrEx>
          <w:tblW w:w="9328" w:type="dxa"/>
          <w:tblLayout w:type="fixed"/>
          <w:tblLook w:val="04A0"/>
        </w:tblPrEx>
        <w:tc>
          <w:tcPr>
            <w:tcW w:w="2668" w:type="dxa"/>
            <w:shd w:val="clear" w:color="auto" w:fill="BFBFBF" w:themeFill="background1" w:themeFillShade="BF"/>
          </w:tcPr>
          <w:p w:rsidR="009444C1" w:rsidRPr="00FA65E6" w:rsidP="005B38FA" w14:paraId="7550F9D9" w14:textId="6A0FF393">
            <w:pPr>
              <w:keepNext/>
              <w:widowControl/>
              <w:autoSpaceDE w:val="0"/>
              <w:autoSpaceDN w:val="0"/>
              <w:adjustRightInd w:val="0"/>
              <w:rPr>
                <w:color w:val="000000"/>
                <w:szCs w:val="24"/>
              </w:rPr>
            </w:pPr>
            <w:r w:rsidRPr="00FA65E6">
              <w:rPr>
                <w:color w:val="000000"/>
                <w:szCs w:val="24"/>
              </w:rPr>
              <w:t>REPORT</w:t>
            </w:r>
            <w:r w:rsidRPr="00FA65E6" w:rsidR="00E52DC2">
              <w:rPr>
                <w:color w:val="000000"/>
                <w:szCs w:val="24"/>
              </w:rPr>
              <w:t xml:space="preserve"> OR INFORMATION COLLECTION</w:t>
            </w:r>
          </w:p>
        </w:tc>
        <w:tc>
          <w:tcPr>
            <w:tcW w:w="1800" w:type="dxa"/>
            <w:shd w:val="clear" w:color="auto" w:fill="BFBFBF" w:themeFill="background1" w:themeFillShade="BF"/>
          </w:tcPr>
          <w:p w:rsidR="009444C1" w:rsidRPr="00FA65E6" w:rsidP="005B38FA" w14:paraId="3E8DE4FB" w14:textId="77777777">
            <w:pPr>
              <w:keepNext/>
              <w:widowControl/>
              <w:autoSpaceDE w:val="0"/>
              <w:autoSpaceDN w:val="0"/>
              <w:adjustRightInd w:val="0"/>
              <w:rPr>
                <w:color w:val="000000"/>
                <w:szCs w:val="24"/>
              </w:rPr>
            </w:pPr>
            <w:r w:rsidRPr="00FA65E6">
              <w:rPr>
                <w:color w:val="000000"/>
                <w:szCs w:val="24"/>
              </w:rPr>
              <w:t>ASSOCIATED FORM NUMBER</w:t>
            </w:r>
          </w:p>
        </w:tc>
        <w:tc>
          <w:tcPr>
            <w:tcW w:w="1620" w:type="dxa"/>
            <w:shd w:val="clear" w:color="auto" w:fill="BFBFBF" w:themeFill="background1" w:themeFillShade="BF"/>
          </w:tcPr>
          <w:p w:rsidR="009444C1" w:rsidRPr="00FA65E6" w:rsidP="005B38FA" w14:paraId="6496416E" w14:textId="4556A661">
            <w:pPr>
              <w:keepNext/>
              <w:widowControl/>
              <w:autoSpaceDE w:val="0"/>
              <w:autoSpaceDN w:val="0"/>
              <w:adjustRightInd w:val="0"/>
              <w:rPr>
                <w:color w:val="000000"/>
                <w:szCs w:val="24"/>
              </w:rPr>
            </w:pPr>
            <w:r w:rsidRPr="00FA65E6">
              <w:rPr>
                <w:color w:val="000000"/>
                <w:szCs w:val="24"/>
              </w:rPr>
              <w:t xml:space="preserve">ESTIMATED </w:t>
            </w:r>
            <w:r w:rsidRPr="00FA65E6">
              <w:rPr>
                <w:color w:val="000000"/>
                <w:szCs w:val="24"/>
              </w:rPr>
              <w:t>TIME</w:t>
            </w:r>
          </w:p>
          <w:p w:rsidR="009444C1" w:rsidRPr="00FA65E6" w:rsidP="005B38FA" w14:paraId="73590767" w14:textId="77777777">
            <w:pPr>
              <w:keepNext/>
              <w:widowControl/>
              <w:autoSpaceDE w:val="0"/>
              <w:autoSpaceDN w:val="0"/>
              <w:adjustRightInd w:val="0"/>
              <w:rPr>
                <w:color w:val="000000"/>
                <w:szCs w:val="24"/>
              </w:rPr>
            </w:pPr>
            <w:r w:rsidRPr="00FA65E6">
              <w:rPr>
                <w:color w:val="000000"/>
                <w:szCs w:val="24"/>
              </w:rPr>
              <w:t>(hours)</w:t>
            </w:r>
          </w:p>
        </w:tc>
        <w:tc>
          <w:tcPr>
            <w:tcW w:w="1620" w:type="dxa"/>
            <w:shd w:val="clear" w:color="auto" w:fill="BFBFBF" w:themeFill="background1" w:themeFillShade="BF"/>
          </w:tcPr>
          <w:p w:rsidR="009444C1" w:rsidRPr="00FA65E6" w:rsidP="005B38FA" w14:paraId="397DF095" w14:textId="77777777">
            <w:pPr>
              <w:keepNext/>
              <w:widowControl/>
              <w:autoSpaceDE w:val="0"/>
              <w:autoSpaceDN w:val="0"/>
              <w:adjustRightInd w:val="0"/>
              <w:rPr>
                <w:color w:val="000000"/>
                <w:szCs w:val="24"/>
              </w:rPr>
            </w:pPr>
            <w:r w:rsidRPr="00FA65E6">
              <w:rPr>
                <w:color w:val="000000"/>
                <w:szCs w:val="24"/>
              </w:rPr>
              <w:t>WAGE RATE (dollars/hour)</w:t>
            </w:r>
          </w:p>
        </w:tc>
        <w:tc>
          <w:tcPr>
            <w:tcW w:w="1620" w:type="dxa"/>
            <w:shd w:val="clear" w:color="auto" w:fill="BFBFBF" w:themeFill="background1" w:themeFillShade="BF"/>
          </w:tcPr>
          <w:p w:rsidR="009444C1" w:rsidRPr="00FA65E6" w:rsidP="005B38FA" w14:paraId="2F8348D7" w14:textId="5C56E334">
            <w:pPr>
              <w:keepNext/>
              <w:widowControl/>
              <w:autoSpaceDE w:val="0"/>
              <w:autoSpaceDN w:val="0"/>
              <w:adjustRightInd w:val="0"/>
              <w:rPr>
                <w:color w:val="000000"/>
                <w:szCs w:val="24"/>
              </w:rPr>
            </w:pPr>
            <w:r w:rsidRPr="00FA65E6">
              <w:rPr>
                <w:color w:val="000000"/>
                <w:szCs w:val="24"/>
              </w:rPr>
              <w:t>ESTIMATED COST</w:t>
            </w:r>
          </w:p>
        </w:tc>
      </w:tr>
      <w:tr w14:paraId="4E71EE6F" w14:textId="77777777" w:rsidTr="00B756A6">
        <w:tblPrEx>
          <w:tblW w:w="9328" w:type="dxa"/>
          <w:tblLayout w:type="fixed"/>
          <w:tblLook w:val="04A0"/>
        </w:tblPrEx>
        <w:tc>
          <w:tcPr>
            <w:tcW w:w="2668" w:type="dxa"/>
          </w:tcPr>
          <w:p w:rsidR="009444C1" w:rsidRPr="00FA65E6" w:rsidP="00FA65E6" w14:paraId="1AD0C76E" w14:textId="77777777">
            <w:pPr>
              <w:widowControl/>
              <w:autoSpaceDE w:val="0"/>
              <w:autoSpaceDN w:val="0"/>
              <w:adjustRightInd w:val="0"/>
              <w:rPr>
                <w:color w:val="000000"/>
                <w:szCs w:val="24"/>
              </w:rPr>
            </w:pPr>
            <w:r w:rsidRPr="00FA65E6">
              <w:rPr>
                <w:color w:val="000000"/>
                <w:szCs w:val="24"/>
              </w:rPr>
              <w:t>ARBP</w:t>
            </w:r>
          </w:p>
        </w:tc>
        <w:tc>
          <w:tcPr>
            <w:tcW w:w="1800" w:type="dxa"/>
          </w:tcPr>
          <w:p w:rsidR="009444C1" w:rsidRPr="00FA65E6" w:rsidP="005B38FA" w14:paraId="567F7843" w14:textId="77777777">
            <w:pPr>
              <w:widowControl/>
              <w:autoSpaceDE w:val="0"/>
              <w:autoSpaceDN w:val="0"/>
              <w:adjustRightInd w:val="0"/>
              <w:rPr>
                <w:color w:val="000000"/>
                <w:szCs w:val="24"/>
              </w:rPr>
            </w:pPr>
            <w:r w:rsidRPr="00FA65E6">
              <w:rPr>
                <w:color w:val="000000"/>
                <w:szCs w:val="24"/>
              </w:rPr>
              <w:t>TD-F 90-22.50</w:t>
            </w:r>
          </w:p>
        </w:tc>
        <w:tc>
          <w:tcPr>
            <w:tcW w:w="1620" w:type="dxa"/>
          </w:tcPr>
          <w:p w:rsidR="00D04A5D" w:rsidRPr="00FA65E6" w:rsidP="00B749D6" w14:paraId="1A7EF5DA" w14:textId="724367FF">
            <w:pPr>
              <w:widowControl/>
              <w:autoSpaceDE w:val="0"/>
              <w:autoSpaceDN w:val="0"/>
              <w:adjustRightInd w:val="0"/>
              <w:jc w:val="right"/>
              <w:rPr>
                <w:color w:val="000000"/>
                <w:szCs w:val="24"/>
              </w:rPr>
            </w:pPr>
            <w:r w:rsidRPr="00FA65E6">
              <w:rPr>
                <w:color w:val="000000"/>
                <w:szCs w:val="24"/>
              </w:rPr>
              <w:t>1,460</w:t>
            </w:r>
          </w:p>
          <w:p w:rsidR="009444C1" w:rsidRPr="00FA65E6" w:rsidP="00B749D6" w14:paraId="7335901B" w14:textId="5C2CCAAD">
            <w:pPr>
              <w:widowControl/>
              <w:autoSpaceDE w:val="0"/>
              <w:autoSpaceDN w:val="0"/>
              <w:adjustRightInd w:val="0"/>
              <w:jc w:val="right"/>
              <w:rPr>
                <w:color w:val="000000"/>
                <w:szCs w:val="24"/>
              </w:rPr>
            </w:pPr>
          </w:p>
        </w:tc>
        <w:tc>
          <w:tcPr>
            <w:tcW w:w="1620" w:type="dxa"/>
          </w:tcPr>
          <w:p w:rsidR="00D04A5D" w:rsidRPr="00FA65E6" w:rsidP="00B749D6" w14:paraId="5FC7138F" w14:textId="1EF9970D">
            <w:pPr>
              <w:widowControl/>
              <w:autoSpaceDE w:val="0"/>
              <w:autoSpaceDN w:val="0"/>
              <w:adjustRightInd w:val="0"/>
              <w:jc w:val="right"/>
              <w:rPr>
                <w:color w:val="000000"/>
                <w:szCs w:val="24"/>
              </w:rPr>
            </w:pPr>
            <w:r w:rsidRPr="00FA65E6">
              <w:rPr>
                <w:color w:val="000000"/>
                <w:szCs w:val="24"/>
              </w:rPr>
              <w:t>$</w:t>
            </w:r>
            <w:r w:rsidRPr="00FA65E6" w:rsidR="009444C1">
              <w:rPr>
                <w:color w:val="000000"/>
                <w:szCs w:val="24"/>
              </w:rPr>
              <w:t>3</w:t>
            </w:r>
            <w:r w:rsidRPr="00FA65E6" w:rsidR="00410660">
              <w:rPr>
                <w:color w:val="000000"/>
                <w:szCs w:val="24"/>
              </w:rPr>
              <w:t>4.</w:t>
            </w:r>
            <w:r w:rsidRPr="00FA65E6">
              <w:rPr>
                <w:color w:val="000000"/>
                <w:szCs w:val="24"/>
              </w:rPr>
              <w:t>47</w:t>
            </w:r>
          </w:p>
          <w:p w:rsidR="009444C1" w:rsidRPr="00FA65E6" w:rsidP="00B749D6" w14:paraId="68E65FFB" w14:textId="3A59E874">
            <w:pPr>
              <w:widowControl/>
              <w:autoSpaceDE w:val="0"/>
              <w:autoSpaceDN w:val="0"/>
              <w:adjustRightInd w:val="0"/>
              <w:jc w:val="right"/>
              <w:rPr>
                <w:color w:val="000000"/>
                <w:szCs w:val="24"/>
              </w:rPr>
            </w:pPr>
          </w:p>
        </w:tc>
        <w:tc>
          <w:tcPr>
            <w:tcW w:w="1620" w:type="dxa"/>
          </w:tcPr>
          <w:p w:rsidR="00D04A5D" w:rsidRPr="00FA65E6" w:rsidP="00B749D6" w14:paraId="4535DE81" w14:textId="5F20A94C">
            <w:pPr>
              <w:widowControl/>
              <w:autoSpaceDE w:val="0"/>
              <w:autoSpaceDN w:val="0"/>
              <w:adjustRightInd w:val="0"/>
              <w:jc w:val="right"/>
              <w:rPr>
                <w:color w:val="000000"/>
                <w:szCs w:val="24"/>
              </w:rPr>
            </w:pPr>
            <w:r w:rsidRPr="00FA65E6">
              <w:rPr>
                <w:color w:val="000000"/>
                <w:szCs w:val="24"/>
              </w:rPr>
              <w:t>$</w:t>
            </w:r>
            <w:r w:rsidRPr="00FA65E6">
              <w:rPr>
                <w:color w:val="000000"/>
                <w:szCs w:val="24"/>
              </w:rPr>
              <w:t>50,326</w:t>
            </w:r>
          </w:p>
          <w:p w:rsidR="00D45A85" w:rsidRPr="00FA65E6" w:rsidP="00B749D6" w14:paraId="2A784B95" w14:textId="61DF033C">
            <w:pPr>
              <w:widowControl/>
              <w:autoSpaceDE w:val="0"/>
              <w:autoSpaceDN w:val="0"/>
              <w:adjustRightInd w:val="0"/>
              <w:jc w:val="right"/>
              <w:rPr>
                <w:color w:val="000000"/>
                <w:szCs w:val="24"/>
              </w:rPr>
            </w:pPr>
          </w:p>
          <w:p w:rsidR="009444C1" w:rsidRPr="00FA65E6" w:rsidP="00B749D6" w14:paraId="68FD09E8" w14:textId="63F86074">
            <w:pPr>
              <w:widowControl/>
              <w:autoSpaceDE w:val="0"/>
              <w:autoSpaceDN w:val="0"/>
              <w:adjustRightInd w:val="0"/>
              <w:jc w:val="right"/>
              <w:rPr>
                <w:color w:val="000000"/>
                <w:szCs w:val="24"/>
              </w:rPr>
            </w:pPr>
          </w:p>
        </w:tc>
      </w:tr>
      <w:tr w14:paraId="14E6860F" w14:textId="77777777" w:rsidTr="00B756A6">
        <w:tblPrEx>
          <w:tblW w:w="9328" w:type="dxa"/>
          <w:tblLayout w:type="fixed"/>
          <w:tblLook w:val="04A0"/>
        </w:tblPrEx>
        <w:tc>
          <w:tcPr>
            <w:tcW w:w="2668" w:type="dxa"/>
          </w:tcPr>
          <w:p w:rsidR="009444C1" w:rsidRPr="00FA65E6" w:rsidP="00FA65E6" w14:paraId="17AA331F" w14:textId="4ECB3AA3">
            <w:pPr>
              <w:widowControl/>
              <w:autoSpaceDE w:val="0"/>
              <w:autoSpaceDN w:val="0"/>
              <w:adjustRightInd w:val="0"/>
              <w:rPr>
                <w:color w:val="000000"/>
                <w:szCs w:val="24"/>
              </w:rPr>
            </w:pPr>
            <w:r w:rsidRPr="00FA65E6">
              <w:rPr>
                <w:color w:val="000000"/>
                <w:szCs w:val="24"/>
              </w:rPr>
              <w:t>Report on Blocked Property – Financial</w:t>
            </w:r>
            <w:r w:rsidRPr="00FA65E6" w:rsidR="009E7552">
              <w:rPr>
                <w:color w:val="000000"/>
                <w:szCs w:val="24"/>
              </w:rPr>
              <w:t xml:space="preserve"> (individual reports)</w:t>
            </w:r>
          </w:p>
        </w:tc>
        <w:tc>
          <w:tcPr>
            <w:tcW w:w="1800" w:type="dxa"/>
          </w:tcPr>
          <w:p w:rsidR="009444C1" w:rsidRPr="00FA65E6" w:rsidP="005B38FA" w14:paraId="7777EECC" w14:textId="77777777">
            <w:pPr>
              <w:widowControl/>
              <w:autoSpaceDE w:val="0"/>
              <w:autoSpaceDN w:val="0"/>
              <w:adjustRightInd w:val="0"/>
              <w:rPr>
                <w:color w:val="000000"/>
                <w:szCs w:val="24"/>
              </w:rPr>
            </w:pPr>
            <w:r w:rsidRPr="00FA65E6">
              <w:rPr>
                <w:color w:val="000000"/>
                <w:szCs w:val="24"/>
              </w:rPr>
              <w:t>TD-F 93.02</w:t>
            </w:r>
          </w:p>
        </w:tc>
        <w:tc>
          <w:tcPr>
            <w:tcW w:w="1620" w:type="dxa"/>
          </w:tcPr>
          <w:p w:rsidR="0085124C" w:rsidRPr="00FA65E6" w:rsidP="00B749D6" w14:paraId="23ADCC2A" w14:textId="030BA97F">
            <w:pPr>
              <w:widowControl/>
              <w:autoSpaceDE w:val="0"/>
              <w:autoSpaceDN w:val="0"/>
              <w:adjustRightInd w:val="0"/>
              <w:jc w:val="right"/>
              <w:rPr>
                <w:color w:val="000000"/>
                <w:szCs w:val="24"/>
              </w:rPr>
            </w:pPr>
            <w:r w:rsidRPr="00FA65E6">
              <w:rPr>
                <w:color w:val="000000"/>
                <w:szCs w:val="24"/>
              </w:rPr>
              <w:t>10,197</w:t>
            </w:r>
          </w:p>
          <w:p w:rsidR="00331E20" w:rsidRPr="00FA65E6" w:rsidP="00B749D6" w14:paraId="4AB29A47" w14:textId="6456C4F1">
            <w:pPr>
              <w:widowControl/>
              <w:autoSpaceDE w:val="0"/>
              <w:autoSpaceDN w:val="0"/>
              <w:adjustRightInd w:val="0"/>
              <w:jc w:val="right"/>
              <w:rPr>
                <w:color w:val="000000"/>
                <w:szCs w:val="24"/>
              </w:rPr>
            </w:pPr>
          </w:p>
          <w:p w:rsidR="009444C1" w:rsidRPr="00FA65E6" w:rsidP="00B749D6" w14:paraId="4F10ED56" w14:textId="438BFE25">
            <w:pPr>
              <w:widowControl/>
              <w:autoSpaceDE w:val="0"/>
              <w:autoSpaceDN w:val="0"/>
              <w:adjustRightInd w:val="0"/>
              <w:jc w:val="right"/>
              <w:rPr>
                <w:color w:val="000000"/>
                <w:szCs w:val="24"/>
              </w:rPr>
            </w:pPr>
          </w:p>
        </w:tc>
        <w:tc>
          <w:tcPr>
            <w:tcW w:w="1620" w:type="dxa"/>
          </w:tcPr>
          <w:p w:rsidR="00331E20" w:rsidRPr="00FA65E6" w:rsidP="00B749D6" w14:paraId="3D4C9790" w14:textId="418DE1E4">
            <w:pPr>
              <w:widowControl/>
              <w:autoSpaceDE w:val="0"/>
              <w:autoSpaceDN w:val="0"/>
              <w:adjustRightInd w:val="0"/>
              <w:jc w:val="right"/>
              <w:rPr>
                <w:color w:val="000000"/>
                <w:szCs w:val="24"/>
              </w:rPr>
            </w:pPr>
            <w:r w:rsidRPr="00FA65E6">
              <w:rPr>
                <w:color w:val="000000"/>
                <w:szCs w:val="24"/>
              </w:rPr>
              <w:t>$</w:t>
            </w:r>
            <w:r w:rsidRPr="00FA65E6" w:rsidR="009444C1">
              <w:rPr>
                <w:color w:val="000000"/>
                <w:szCs w:val="24"/>
              </w:rPr>
              <w:t>1</w:t>
            </w:r>
            <w:r w:rsidRPr="00FA65E6">
              <w:rPr>
                <w:color w:val="000000"/>
                <w:szCs w:val="24"/>
              </w:rPr>
              <w:t>7.40</w:t>
            </w:r>
          </w:p>
          <w:p w:rsidR="009444C1" w:rsidRPr="00FA65E6" w:rsidP="00B749D6" w14:paraId="576DE55E" w14:textId="43F1335A">
            <w:pPr>
              <w:widowControl/>
              <w:autoSpaceDE w:val="0"/>
              <w:autoSpaceDN w:val="0"/>
              <w:adjustRightInd w:val="0"/>
              <w:jc w:val="right"/>
              <w:rPr>
                <w:color w:val="000000"/>
                <w:szCs w:val="24"/>
              </w:rPr>
            </w:pPr>
          </w:p>
        </w:tc>
        <w:tc>
          <w:tcPr>
            <w:tcW w:w="1620" w:type="dxa"/>
          </w:tcPr>
          <w:p w:rsidR="0085124C" w:rsidRPr="00FA65E6" w:rsidP="00B749D6" w14:paraId="345697EF" w14:textId="0D91C092">
            <w:pPr>
              <w:widowControl/>
              <w:autoSpaceDE w:val="0"/>
              <w:autoSpaceDN w:val="0"/>
              <w:adjustRightInd w:val="0"/>
              <w:jc w:val="right"/>
              <w:rPr>
                <w:color w:val="000000"/>
                <w:szCs w:val="24"/>
              </w:rPr>
            </w:pPr>
            <w:r w:rsidRPr="00FA65E6">
              <w:rPr>
                <w:color w:val="000000"/>
                <w:szCs w:val="24"/>
              </w:rPr>
              <w:t>$</w:t>
            </w:r>
            <w:r w:rsidRPr="00FA65E6">
              <w:rPr>
                <w:color w:val="000000"/>
                <w:szCs w:val="24"/>
              </w:rPr>
              <w:t>177,42</w:t>
            </w:r>
            <w:r w:rsidRPr="00FA65E6" w:rsidR="002473C2">
              <w:rPr>
                <w:color w:val="000000"/>
                <w:szCs w:val="24"/>
              </w:rPr>
              <w:t>8</w:t>
            </w:r>
          </w:p>
          <w:p w:rsidR="00331E20" w:rsidRPr="00FA65E6" w:rsidP="00B749D6" w14:paraId="26CE7259" w14:textId="6FCE45FD">
            <w:pPr>
              <w:widowControl/>
              <w:autoSpaceDE w:val="0"/>
              <w:autoSpaceDN w:val="0"/>
              <w:adjustRightInd w:val="0"/>
              <w:jc w:val="right"/>
              <w:rPr>
                <w:color w:val="000000"/>
                <w:szCs w:val="24"/>
              </w:rPr>
            </w:pPr>
          </w:p>
          <w:p w:rsidR="00965F52" w:rsidRPr="00FA65E6" w:rsidP="00B749D6" w14:paraId="1F418439" w14:textId="136DE13A">
            <w:pPr>
              <w:widowControl/>
              <w:autoSpaceDE w:val="0"/>
              <w:autoSpaceDN w:val="0"/>
              <w:adjustRightInd w:val="0"/>
              <w:jc w:val="right"/>
              <w:rPr>
                <w:color w:val="000000"/>
                <w:szCs w:val="24"/>
              </w:rPr>
            </w:pPr>
          </w:p>
          <w:p w:rsidR="009444C1" w:rsidRPr="00FA65E6" w:rsidP="00B749D6" w14:paraId="2E051AEB" w14:textId="5A61AF7D">
            <w:pPr>
              <w:widowControl/>
              <w:autoSpaceDE w:val="0"/>
              <w:autoSpaceDN w:val="0"/>
              <w:adjustRightInd w:val="0"/>
              <w:jc w:val="right"/>
              <w:rPr>
                <w:color w:val="000000"/>
                <w:szCs w:val="24"/>
              </w:rPr>
            </w:pPr>
          </w:p>
        </w:tc>
      </w:tr>
    </w:tbl>
    <w:p w:rsidR="00475F5D" w14:paraId="68C31002" w14:textId="77777777">
      <w:r>
        <w:br w:type="page"/>
      </w:r>
    </w:p>
    <w:tbl>
      <w:tblPr>
        <w:tblStyle w:val="TableGrid"/>
        <w:tblW w:w="9328" w:type="dxa"/>
        <w:tblLayout w:type="fixed"/>
        <w:tblLook w:val="04A0"/>
      </w:tblPr>
      <w:tblGrid>
        <w:gridCol w:w="2668"/>
        <w:gridCol w:w="1800"/>
        <w:gridCol w:w="1620"/>
        <w:gridCol w:w="1620"/>
        <w:gridCol w:w="1620"/>
      </w:tblGrid>
      <w:tr w14:paraId="615102C8" w14:textId="77777777" w:rsidTr="00B749D6">
        <w:tblPrEx>
          <w:tblW w:w="9328" w:type="dxa"/>
          <w:tblLayout w:type="fixed"/>
          <w:tblLook w:val="04A0"/>
        </w:tblPrEx>
        <w:tc>
          <w:tcPr>
            <w:tcW w:w="2668" w:type="dxa"/>
            <w:shd w:val="clear" w:color="auto" w:fill="BFBFBF" w:themeFill="background1" w:themeFillShade="BF"/>
          </w:tcPr>
          <w:p w:rsidR="00475F5D" w:rsidRPr="00FA65E6" w:rsidP="00475F5D" w14:paraId="055FE552" w14:textId="3CE999EE">
            <w:pPr>
              <w:widowControl/>
              <w:autoSpaceDE w:val="0"/>
              <w:autoSpaceDN w:val="0"/>
              <w:adjustRightInd w:val="0"/>
              <w:rPr>
                <w:color w:val="000000"/>
                <w:szCs w:val="24"/>
              </w:rPr>
            </w:pPr>
            <w:r w:rsidRPr="00FA65E6">
              <w:rPr>
                <w:color w:val="000000"/>
                <w:szCs w:val="24"/>
              </w:rPr>
              <w:t>REPORT OR INFORMATION COLLECTION</w:t>
            </w:r>
          </w:p>
        </w:tc>
        <w:tc>
          <w:tcPr>
            <w:tcW w:w="1800" w:type="dxa"/>
            <w:shd w:val="clear" w:color="auto" w:fill="BFBFBF" w:themeFill="background1" w:themeFillShade="BF"/>
          </w:tcPr>
          <w:p w:rsidR="00475F5D" w:rsidRPr="00FA65E6" w:rsidP="00475F5D" w14:paraId="4AED33A9" w14:textId="14355340">
            <w:pPr>
              <w:widowControl/>
              <w:autoSpaceDE w:val="0"/>
              <w:autoSpaceDN w:val="0"/>
              <w:adjustRightInd w:val="0"/>
              <w:rPr>
                <w:color w:val="000000"/>
                <w:szCs w:val="24"/>
              </w:rPr>
            </w:pPr>
            <w:r w:rsidRPr="00FA65E6">
              <w:rPr>
                <w:color w:val="000000"/>
                <w:szCs w:val="24"/>
              </w:rPr>
              <w:t>ASSOCIATED FORM NUMBER</w:t>
            </w:r>
          </w:p>
        </w:tc>
        <w:tc>
          <w:tcPr>
            <w:tcW w:w="1620" w:type="dxa"/>
            <w:shd w:val="clear" w:color="auto" w:fill="BFBFBF" w:themeFill="background1" w:themeFillShade="BF"/>
          </w:tcPr>
          <w:p w:rsidR="00475F5D" w:rsidRPr="00FA65E6" w:rsidP="00475F5D" w14:paraId="5CC77FF6" w14:textId="77777777">
            <w:pPr>
              <w:keepNext/>
              <w:widowControl/>
              <w:autoSpaceDE w:val="0"/>
              <w:autoSpaceDN w:val="0"/>
              <w:adjustRightInd w:val="0"/>
              <w:rPr>
                <w:color w:val="000000"/>
                <w:szCs w:val="24"/>
              </w:rPr>
            </w:pPr>
            <w:r w:rsidRPr="00FA65E6">
              <w:rPr>
                <w:color w:val="000000"/>
                <w:szCs w:val="24"/>
              </w:rPr>
              <w:t>ESTIMATED TIME</w:t>
            </w:r>
          </w:p>
          <w:p w:rsidR="00475F5D" w:rsidRPr="00FA65E6" w:rsidP="00475F5D" w14:paraId="08E3AF11" w14:textId="6C84E5AB">
            <w:pPr>
              <w:widowControl/>
              <w:autoSpaceDE w:val="0"/>
              <w:autoSpaceDN w:val="0"/>
              <w:adjustRightInd w:val="0"/>
              <w:rPr>
                <w:color w:val="000000"/>
                <w:szCs w:val="24"/>
              </w:rPr>
            </w:pPr>
            <w:r w:rsidRPr="00FA65E6">
              <w:rPr>
                <w:color w:val="000000"/>
                <w:szCs w:val="24"/>
              </w:rPr>
              <w:t>(hours)</w:t>
            </w:r>
          </w:p>
        </w:tc>
        <w:tc>
          <w:tcPr>
            <w:tcW w:w="1620" w:type="dxa"/>
            <w:shd w:val="clear" w:color="auto" w:fill="BFBFBF" w:themeFill="background1" w:themeFillShade="BF"/>
          </w:tcPr>
          <w:p w:rsidR="00475F5D" w:rsidRPr="00FA65E6" w:rsidP="00475F5D" w14:paraId="21BFDC65" w14:textId="416BC124">
            <w:pPr>
              <w:widowControl/>
              <w:autoSpaceDE w:val="0"/>
              <w:autoSpaceDN w:val="0"/>
              <w:adjustRightInd w:val="0"/>
              <w:rPr>
                <w:color w:val="000000"/>
                <w:szCs w:val="24"/>
              </w:rPr>
            </w:pPr>
            <w:r w:rsidRPr="00FA65E6">
              <w:rPr>
                <w:color w:val="000000"/>
                <w:szCs w:val="24"/>
              </w:rPr>
              <w:t>WAGE RATE (dollars/hour)</w:t>
            </w:r>
          </w:p>
        </w:tc>
        <w:tc>
          <w:tcPr>
            <w:tcW w:w="1620" w:type="dxa"/>
            <w:shd w:val="clear" w:color="auto" w:fill="BFBFBF" w:themeFill="background1" w:themeFillShade="BF"/>
          </w:tcPr>
          <w:p w:rsidR="00475F5D" w:rsidRPr="00FA65E6" w:rsidP="00475F5D" w14:paraId="5876D187" w14:textId="5DDD4AD5">
            <w:pPr>
              <w:widowControl/>
              <w:autoSpaceDE w:val="0"/>
              <w:autoSpaceDN w:val="0"/>
              <w:adjustRightInd w:val="0"/>
              <w:rPr>
                <w:color w:val="000000"/>
                <w:szCs w:val="24"/>
              </w:rPr>
            </w:pPr>
            <w:r w:rsidRPr="00FA65E6">
              <w:rPr>
                <w:color w:val="000000"/>
                <w:szCs w:val="24"/>
              </w:rPr>
              <w:t>ESTIMATED COST</w:t>
            </w:r>
          </w:p>
        </w:tc>
      </w:tr>
      <w:tr w14:paraId="13A673A7" w14:textId="77777777" w:rsidTr="00B756A6">
        <w:tblPrEx>
          <w:tblW w:w="9328" w:type="dxa"/>
          <w:tblLayout w:type="fixed"/>
          <w:tblLook w:val="04A0"/>
        </w:tblPrEx>
        <w:tc>
          <w:tcPr>
            <w:tcW w:w="2668" w:type="dxa"/>
          </w:tcPr>
          <w:p w:rsidR="0085124C" w:rsidRPr="00FA65E6" w:rsidP="00FA65E6" w14:paraId="552E6DF4" w14:textId="0D3D78F1">
            <w:pPr>
              <w:widowControl/>
              <w:autoSpaceDE w:val="0"/>
              <w:autoSpaceDN w:val="0"/>
              <w:adjustRightInd w:val="0"/>
              <w:rPr>
                <w:color w:val="000000"/>
                <w:szCs w:val="24"/>
              </w:rPr>
            </w:pPr>
            <w:r w:rsidRPr="00FA65E6">
              <w:rPr>
                <w:color w:val="000000"/>
                <w:szCs w:val="24"/>
              </w:rPr>
              <w:t>Report on Blocked Property – Financial (bulk submission)</w:t>
            </w:r>
          </w:p>
        </w:tc>
        <w:tc>
          <w:tcPr>
            <w:tcW w:w="1800" w:type="dxa"/>
          </w:tcPr>
          <w:p w:rsidR="0085124C" w:rsidRPr="00FA65E6" w:rsidP="00FA65E6" w14:paraId="713D1310" w14:textId="7F7EF681">
            <w:pPr>
              <w:widowControl/>
              <w:autoSpaceDE w:val="0"/>
              <w:autoSpaceDN w:val="0"/>
              <w:adjustRightInd w:val="0"/>
              <w:rPr>
                <w:color w:val="000000"/>
                <w:szCs w:val="24"/>
              </w:rPr>
            </w:pPr>
            <w:r w:rsidRPr="00FA65E6">
              <w:rPr>
                <w:color w:val="000000"/>
                <w:szCs w:val="24"/>
              </w:rPr>
              <w:t>TD-F 93.02</w:t>
            </w:r>
          </w:p>
        </w:tc>
        <w:tc>
          <w:tcPr>
            <w:tcW w:w="1620" w:type="dxa"/>
          </w:tcPr>
          <w:p w:rsidR="0085124C" w:rsidRPr="00FA65E6" w:rsidP="00B749D6" w14:paraId="4F113C74" w14:textId="06B89EFE">
            <w:pPr>
              <w:widowControl/>
              <w:autoSpaceDE w:val="0"/>
              <w:autoSpaceDN w:val="0"/>
              <w:adjustRightInd w:val="0"/>
              <w:jc w:val="right"/>
              <w:rPr>
                <w:color w:val="000000"/>
                <w:szCs w:val="24"/>
              </w:rPr>
            </w:pPr>
            <w:r w:rsidRPr="00FA65E6">
              <w:rPr>
                <w:color w:val="000000"/>
                <w:szCs w:val="24"/>
              </w:rPr>
              <w:t>9,366</w:t>
            </w:r>
          </w:p>
        </w:tc>
        <w:tc>
          <w:tcPr>
            <w:tcW w:w="1620" w:type="dxa"/>
          </w:tcPr>
          <w:p w:rsidR="0085124C" w:rsidRPr="00FA65E6" w:rsidP="00B749D6" w14:paraId="2501CCFB" w14:textId="77777777">
            <w:pPr>
              <w:widowControl/>
              <w:autoSpaceDE w:val="0"/>
              <w:autoSpaceDN w:val="0"/>
              <w:adjustRightInd w:val="0"/>
              <w:jc w:val="right"/>
              <w:rPr>
                <w:color w:val="000000"/>
                <w:szCs w:val="24"/>
              </w:rPr>
            </w:pPr>
            <w:r w:rsidRPr="00FA65E6">
              <w:rPr>
                <w:color w:val="000000"/>
                <w:szCs w:val="24"/>
              </w:rPr>
              <w:t>$17.40</w:t>
            </w:r>
          </w:p>
          <w:p w:rsidR="0085124C" w:rsidRPr="00FA65E6" w:rsidP="00B749D6" w14:paraId="634920DB" w14:textId="77777777">
            <w:pPr>
              <w:widowControl/>
              <w:autoSpaceDE w:val="0"/>
              <w:autoSpaceDN w:val="0"/>
              <w:adjustRightInd w:val="0"/>
              <w:jc w:val="right"/>
              <w:rPr>
                <w:color w:val="000000"/>
                <w:szCs w:val="24"/>
              </w:rPr>
            </w:pPr>
          </w:p>
        </w:tc>
        <w:tc>
          <w:tcPr>
            <w:tcW w:w="1620" w:type="dxa"/>
          </w:tcPr>
          <w:p w:rsidR="0085124C" w:rsidRPr="00FA65E6" w:rsidP="00B749D6" w14:paraId="077E4EEC" w14:textId="01295D79">
            <w:pPr>
              <w:widowControl/>
              <w:autoSpaceDE w:val="0"/>
              <w:autoSpaceDN w:val="0"/>
              <w:adjustRightInd w:val="0"/>
              <w:jc w:val="right"/>
              <w:rPr>
                <w:color w:val="000000"/>
                <w:szCs w:val="24"/>
              </w:rPr>
            </w:pPr>
            <w:r w:rsidRPr="00FA65E6">
              <w:rPr>
                <w:color w:val="000000"/>
                <w:szCs w:val="24"/>
              </w:rPr>
              <w:t>$162,968</w:t>
            </w:r>
          </w:p>
        </w:tc>
      </w:tr>
      <w:tr w14:paraId="79144C52" w14:textId="77777777" w:rsidTr="00B756A6">
        <w:tblPrEx>
          <w:tblW w:w="9328" w:type="dxa"/>
          <w:tblLayout w:type="fixed"/>
          <w:tblLook w:val="04A0"/>
        </w:tblPrEx>
        <w:tc>
          <w:tcPr>
            <w:tcW w:w="2668" w:type="dxa"/>
          </w:tcPr>
          <w:p w:rsidR="009444C1" w:rsidRPr="00FA65E6" w:rsidP="00FA65E6" w14:paraId="6AB1BB5F" w14:textId="3BF0C0F7">
            <w:pPr>
              <w:widowControl/>
              <w:autoSpaceDE w:val="0"/>
              <w:autoSpaceDN w:val="0"/>
              <w:adjustRightInd w:val="0"/>
              <w:rPr>
                <w:color w:val="000000"/>
                <w:szCs w:val="24"/>
              </w:rPr>
            </w:pPr>
            <w:r w:rsidRPr="00FA65E6">
              <w:rPr>
                <w:color w:val="000000"/>
                <w:szCs w:val="24"/>
              </w:rPr>
              <w:t>Report on Blocked Property – Tangible / Real / Other Non-Financial Property</w:t>
            </w:r>
          </w:p>
        </w:tc>
        <w:tc>
          <w:tcPr>
            <w:tcW w:w="1800" w:type="dxa"/>
          </w:tcPr>
          <w:p w:rsidR="009444C1" w:rsidRPr="00FA65E6" w:rsidP="005B38FA" w14:paraId="3F6E281E" w14:textId="77777777">
            <w:pPr>
              <w:widowControl/>
              <w:autoSpaceDE w:val="0"/>
              <w:autoSpaceDN w:val="0"/>
              <w:adjustRightInd w:val="0"/>
              <w:rPr>
                <w:color w:val="000000"/>
                <w:szCs w:val="24"/>
              </w:rPr>
            </w:pPr>
            <w:r w:rsidRPr="00FA65E6">
              <w:rPr>
                <w:color w:val="000000"/>
                <w:szCs w:val="24"/>
              </w:rPr>
              <w:t>TD-F 93.08</w:t>
            </w:r>
          </w:p>
        </w:tc>
        <w:tc>
          <w:tcPr>
            <w:tcW w:w="1620" w:type="dxa"/>
          </w:tcPr>
          <w:p w:rsidR="00040EF9" w:rsidRPr="00FA65E6" w:rsidP="00B749D6" w14:paraId="7B352A36" w14:textId="2B955B1C">
            <w:pPr>
              <w:widowControl/>
              <w:autoSpaceDE w:val="0"/>
              <w:autoSpaceDN w:val="0"/>
              <w:adjustRightInd w:val="0"/>
              <w:jc w:val="right"/>
              <w:rPr>
                <w:color w:val="000000"/>
                <w:szCs w:val="24"/>
              </w:rPr>
            </w:pPr>
            <w:r w:rsidRPr="00FA65E6">
              <w:rPr>
                <w:color w:val="000000"/>
                <w:szCs w:val="24"/>
              </w:rPr>
              <w:t>457</w:t>
            </w:r>
          </w:p>
          <w:p w:rsidR="009444C1" w:rsidRPr="00FA65E6" w:rsidP="00B749D6" w14:paraId="0005E35D" w14:textId="796616C1">
            <w:pPr>
              <w:widowControl/>
              <w:autoSpaceDE w:val="0"/>
              <w:autoSpaceDN w:val="0"/>
              <w:adjustRightInd w:val="0"/>
              <w:jc w:val="right"/>
              <w:rPr>
                <w:color w:val="000000"/>
                <w:szCs w:val="24"/>
              </w:rPr>
            </w:pPr>
          </w:p>
        </w:tc>
        <w:tc>
          <w:tcPr>
            <w:tcW w:w="1620" w:type="dxa"/>
          </w:tcPr>
          <w:p w:rsidR="00376999" w:rsidRPr="00FA65E6" w:rsidP="00B749D6" w14:paraId="384E088E" w14:textId="5829C2E4">
            <w:pPr>
              <w:widowControl/>
              <w:autoSpaceDE w:val="0"/>
              <w:autoSpaceDN w:val="0"/>
              <w:adjustRightInd w:val="0"/>
              <w:jc w:val="right"/>
              <w:rPr>
                <w:color w:val="000000"/>
                <w:szCs w:val="24"/>
              </w:rPr>
            </w:pPr>
            <w:r w:rsidRPr="00FA65E6">
              <w:rPr>
                <w:color w:val="000000"/>
                <w:szCs w:val="24"/>
              </w:rPr>
              <w:t>$</w:t>
            </w:r>
            <w:r w:rsidRPr="00FA65E6" w:rsidR="009444C1">
              <w:rPr>
                <w:color w:val="000000"/>
                <w:szCs w:val="24"/>
              </w:rPr>
              <w:t>1</w:t>
            </w:r>
            <w:r w:rsidRPr="00FA65E6">
              <w:rPr>
                <w:color w:val="000000"/>
                <w:szCs w:val="24"/>
              </w:rPr>
              <w:t>7.40</w:t>
            </w:r>
          </w:p>
          <w:p w:rsidR="009444C1" w:rsidRPr="00FA65E6" w:rsidP="00B749D6" w14:paraId="7CF01FCD" w14:textId="3C823DC6">
            <w:pPr>
              <w:widowControl/>
              <w:autoSpaceDE w:val="0"/>
              <w:autoSpaceDN w:val="0"/>
              <w:adjustRightInd w:val="0"/>
              <w:jc w:val="right"/>
              <w:rPr>
                <w:color w:val="000000"/>
                <w:szCs w:val="24"/>
              </w:rPr>
            </w:pPr>
          </w:p>
        </w:tc>
        <w:tc>
          <w:tcPr>
            <w:tcW w:w="1620" w:type="dxa"/>
          </w:tcPr>
          <w:p w:rsidR="00C3243F" w:rsidRPr="00FA65E6" w:rsidP="00B749D6" w14:paraId="17D515C1" w14:textId="55269405">
            <w:pPr>
              <w:widowControl/>
              <w:autoSpaceDE w:val="0"/>
              <w:autoSpaceDN w:val="0"/>
              <w:adjustRightInd w:val="0"/>
              <w:jc w:val="right"/>
              <w:rPr>
                <w:color w:val="000000"/>
                <w:szCs w:val="24"/>
              </w:rPr>
            </w:pPr>
            <w:r w:rsidRPr="00FA65E6">
              <w:rPr>
                <w:color w:val="000000"/>
                <w:szCs w:val="24"/>
              </w:rPr>
              <w:t>$</w:t>
            </w:r>
            <w:r w:rsidRPr="00FA65E6" w:rsidR="00132E7F">
              <w:rPr>
                <w:color w:val="000000"/>
                <w:szCs w:val="24"/>
              </w:rPr>
              <w:t>7,95</w:t>
            </w:r>
            <w:r w:rsidRPr="00FA65E6" w:rsidR="002473C2">
              <w:rPr>
                <w:color w:val="000000"/>
                <w:szCs w:val="24"/>
              </w:rPr>
              <w:t>2</w:t>
            </w:r>
          </w:p>
          <w:p w:rsidR="00981E9E" w:rsidRPr="00FA65E6" w:rsidP="00B749D6" w14:paraId="149CE46D" w14:textId="2C345718">
            <w:pPr>
              <w:widowControl/>
              <w:autoSpaceDE w:val="0"/>
              <w:autoSpaceDN w:val="0"/>
              <w:adjustRightInd w:val="0"/>
              <w:jc w:val="right"/>
              <w:rPr>
                <w:color w:val="000000"/>
                <w:szCs w:val="24"/>
              </w:rPr>
            </w:pPr>
          </w:p>
          <w:p w:rsidR="009444C1" w:rsidRPr="00FA65E6" w:rsidP="00B749D6" w14:paraId="23010472" w14:textId="6622A6B1">
            <w:pPr>
              <w:widowControl/>
              <w:autoSpaceDE w:val="0"/>
              <w:autoSpaceDN w:val="0"/>
              <w:adjustRightInd w:val="0"/>
              <w:jc w:val="right"/>
              <w:rPr>
                <w:color w:val="000000"/>
                <w:szCs w:val="24"/>
              </w:rPr>
            </w:pPr>
          </w:p>
        </w:tc>
      </w:tr>
      <w:tr w14:paraId="29F9AE1D" w14:textId="77777777" w:rsidTr="00B756A6">
        <w:tblPrEx>
          <w:tblW w:w="9328" w:type="dxa"/>
          <w:tblLayout w:type="fixed"/>
          <w:tblLook w:val="04A0"/>
        </w:tblPrEx>
        <w:tc>
          <w:tcPr>
            <w:tcW w:w="2668" w:type="dxa"/>
          </w:tcPr>
          <w:p w:rsidR="009444C1" w:rsidRPr="00FA65E6" w:rsidP="00FA65E6" w14:paraId="1AC0EDDD" w14:textId="398B22FA">
            <w:pPr>
              <w:widowControl/>
              <w:autoSpaceDE w:val="0"/>
              <w:autoSpaceDN w:val="0"/>
              <w:adjustRightInd w:val="0"/>
              <w:rPr>
                <w:color w:val="000000"/>
                <w:szCs w:val="24"/>
              </w:rPr>
            </w:pPr>
            <w:r w:rsidRPr="00FA65E6">
              <w:rPr>
                <w:color w:val="000000"/>
                <w:szCs w:val="24"/>
              </w:rPr>
              <w:t>Report on Rejected Transaction</w:t>
            </w:r>
            <w:r w:rsidRPr="00FA65E6" w:rsidR="006F4B9F">
              <w:rPr>
                <w:color w:val="000000"/>
                <w:szCs w:val="24"/>
              </w:rPr>
              <w:t xml:space="preserve"> </w:t>
            </w:r>
            <w:r w:rsidRPr="00FA65E6" w:rsidR="00A0008F">
              <w:rPr>
                <w:color w:val="000000"/>
                <w:szCs w:val="24"/>
              </w:rPr>
              <w:t>(individual reports)</w:t>
            </w:r>
          </w:p>
        </w:tc>
        <w:tc>
          <w:tcPr>
            <w:tcW w:w="1800" w:type="dxa"/>
          </w:tcPr>
          <w:p w:rsidR="009444C1" w:rsidRPr="00FA65E6" w:rsidP="005B38FA" w14:paraId="7671E55D" w14:textId="77777777">
            <w:pPr>
              <w:widowControl/>
              <w:autoSpaceDE w:val="0"/>
              <w:autoSpaceDN w:val="0"/>
              <w:adjustRightInd w:val="0"/>
              <w:rPr>
                <w:color w:val="000000"/>
                <w:szCs w:val="24"/>
              </w:rPr>
            </w:pPr>
            <w:r w:rsidRPr="00FA65E6">
              <w:rPr>
                <w:color w:val="000000"/>
                <w:szCs w:val="24"/>
              </w:rPr>
              <w:t>TD-F 93.07</w:t>
            </w:r>
          </w:p>
        </w:tc>
        <w:tc>
          <w:tcPr>
            <w:tcW w:w="1620" w:type="dxa"/>
          </w:tcPr>
          <w:p w:rsidR="00DA36CA" w:rsidRPr="00FA65E6" w:rsidP="00B749D6" w14:paraId="480B9F7D" w14:textId="29C996BB">
            <w:pPr>
              <w:widowControl/>
              <w:autoSpaceDE w:val="0"/>
              <w:autoSpaceDN w:val="0"/>
              <w:adjustRightInd w:val="0"/>
              <w:jc w:val="right"/>
              <w:rPr>
                <w:color w:val="000000"/>
                <w:szCs w:val="24"/>
              </w:rPr>
            </w:pPr>
            <w:r w:rsidRPr="00FA65E6">
              <w:rPr>
                <w:color w:val="000000"/>
                <w:szCs w:val="24"/>
              </w:rPr>
              <w:t>5,593</w:t>
            </w:r>
          </w:p>
          <w:p w:rsidR="00040EF9" w:rsidRPr="00FA65E6" w:rsidP="00B749D6" w14:paraId="5DFCBDE2" w14:textId="5C83DC27">
            <w:pPr>
              <w:widowControl/>
              <w:autoSpaceDE w:val="0"/>
              <w:autoSpaceDN w:val="0"/>
              <w:adjustRightInd w:val="0"/>
              <w:jc w:val="right"/>
              <w:rPr>
                <w:color w:val="000000"/>
                <w:szCs w:val="24"/>
              </w:rPr>
            </w:pPr>
          </w:p>
          <w:p w:rsidR="009444C1" w:rsidRPr="00FA65E6" w:rsidP="00B749D6" w14:paraId="0A7915D4" w14:textId="41F1C3C5">
            <w:pPr>
              <w:widowControl/>
              <w:autoSpaceDE w:val="0"/>
              <w:autoSpaceDN w:val="0"/>
              <w:adjustRightInd w:val="0"/>
              <w:jc w:val="right"/>
              <w:rPr>
                <w:color w:val="000000"/>
                <w:szCs w:val="24"/>
              </w:rPr>
            </w:pPr>
          </w:p>
        </w:tc>
        <w:tc>
          <w:tcPr>
            <w:tcW w:w="1620" w:type="dxa"/>
          </w:tcPr>
          <w:p w:rsidR="00376999" w:rsidRPr="00FA65E6" w:rsidP="00B749D6" w14:paraId="723FA6DD" w14:textId="141749A7">
            <w:pPr>
              <w:widowControl/>
              <w:autoSpaceDE w:val="0"/>
              <w:autoSpaceDN w:val="0"/>
              <w:adjustRightInd w:val="0"/>
              <w:jc w:val="right"/>
              <w:rPr>
                <w:color w:val="000000"/>
                <w:szCs w:val="24"/>
              </w:rPr>
            </w:pPr>
            <w:r w:rsidRPr="00FA65E6">
              <w:rPr>
                <w:color w:val="000000"/>
                <w:szCs w:val="24"/>
              </w:rPr>
              <w:t>$</w:t>
            </w:r>
            <w:r w:rsidRPr="00FA65E6" w:rsidR="009444C1">
              <w:rPr>
                <w:color w:val="000000"/>
                <w:szCs w:val="24"/>
              </w:rPr>
              <w:t>1</w:t>
            </w:r>
            <w:r w:rsidRPr="00FA65E6">
              <w:rPr>
                <w:color w:val="000000"/>
                <w:szCs w:val="24"/>
              </w:rPr>
              <w:t>7.40</w:t>
            </w:r>
          </w:p>
          <w:p w:rsidR="009444C1" w:rsidRPr="00FA65E6" w:rsidP="00B749D6" w14:paraId="62470F00" w14:textId="489B2A7A">
            <w:pPr>
              <w:widowControl/>
              <w:autoSpaceDE w:val="0"/>
              <w:autoSpaceDN w:val="0"/>
              <w:adjustRightInd w:val="0"/>
              <w:jc w:val="right"/>
              <w:rPr>
                <w:color w:val="000000"/>
                <w:szCs w:val="24"/>
              </w:rPr>
            </w:pPr>
          </w:p>
        </w:tc>
        <w:tc>
          <w:tcPr>
            <w:tcW w:w="1620" w:type="dxa"/>
          </w:tcPr>
          <w:p w:rsidR="00C3243F" w:rsidRPr="00FA65E6" w:rsidP="00B749D6" w14:paraId="5D7658A5" w14:textId="0022D986">
            <w:pPr>
              <w:widowControl/>
              <w:autoSpaceDE w:val="0"/>
              <w:autoSpaceDN w:val="0"/>
              <w:adjustRightInd w:val="0"/>
              <w:jc w:val="right"/>
              <w:rPr>
                <w:color w:val="000000"/>
                <w:szCs w:val="24"/>
              </w:rPr>
            </w:pPr>
            <w:r w:rsidRPr="00FA65E6">
              <w:rPr>
                <w:color w:val="000000"/>
                <w:szCs w:val="24"/>
              </w:rPr>
              <w:t>$</w:t>
            </w:r>
            <w:r w:rsidRPr="00FA65E6" w:rsidR="002A6C73">
              <w:rPr>
                <w:color w:val="000000"/>
                <w:szCs w:val="24"/>
              </w:rPr>
              <w:t>97,318</w:t>
            </w:r>
          </w:p>
          <w:p w:rsidR="00C9219D" w:rsidRPr="00FA65E6" w:rsidP="00B749D6" w14:paraId="4EAE561B" w14:textId="5ADDE5E0">
            <w:pPr>
              <w:widowControl/>
              <w:autoSpaceDE w:val="0"/>
              <w:autoSpaceDN w:val="0"/>
              <w:adjustRightInd w:val="0"/>
              <w:jc w:val="right"/>
              <w:rPr>
                <w:color w:val="000000"/>
                <w:szCs w:val="24"/>
              </w:rPr>
            </w:pPr>
          </w:p>
          <w:p w:rsidR="009444C1" w:rsidRPr="00FA65E6" w:rsidP="00B749D6" w14:paraId="5B175A8D" w14:textId="77F9D398">
            <w:pPr>
              <w:widowControl/>
              <w:autoSpaceDE w:val="0"/>
              <w:autoSpaceDN w:val="0"/>
              <w:adjustRightInd w:val="0"/>
              <w:jc w:val="right"/>
              <w:rPr>
                <w:color w:val="000000"/>
                <w:szCs w:val="24"/>
              </w:rPr>
            </w:pPr>
          </w:p>
        </w:tc>
      </w:tr>
      <w:tr w14:paraId="064470F9" w14:textId="77777777" w:rsidTr="00B756A6">
        <w:tblPrEx>
          <w:tblW w:w="9328" w:type="dxa"/>
          <w:tblLayout w:type="fixed"/>
          <w:tblLook w:val="04A0"/>
        </w:tblPrEx>
        <w:tc>
          <w:tcPr>
            <w:tcW w:w="2668" w:type="dxa"/>
          </w:tcPr>
          <w:p w:rsidR="009444C1" w:rsidRPr="00FA65E6" w:rsidP="00FA65E6" w14:paraId="6A994EAC" w14:textId="5B3FD1A8">
            <w:pPr>
              <w:widowControl/>
              <w:autoSpaceDE w:val="0"/>
              <w:autoSpaceDN w:val="0"/>
              <w:adjustRightInd w:val="0"/>
              <w:rPr>
                <w:color w:val="000000"/>
                <w:szCs w:val="24"/>
              </w:rPr>
            </w:pPr>
            <w:r w:rsidRPr="00FA65E6">
              <w:rPr>
                <w:color w:val="000000"/>
                <w:szCs w:val="24"/>
              </w:rPr>
              <w:t>Report on Rejected Transaction</w:t>
            </w:r>
            <w:r w:rsidRPr="00FA65E6" w:rsidR="00A0008F">
              <w:rPr>
                <w:color w:val="000000"/>
                <w:szCs w:val="24"/>
              </w:rPr>
              <w:t xml:space="preserve"> (bulk submissions)</w:t>
            </w:r>
          </w:p>
        </w:tc>
        <w:tc>
          <w:tcPr>
            <w:tcW w:w="1800" w:type="dxa"/>
          </w:tcPr>
          <w:p w:rsidR="009444C1" w:rsidRPr="00FA65E6" w:rsidP="005B38FA" w14:paraId="166C08E9" w14:textId="77777777">
            <w:pPr>
              <w:widowControl/>
              <w:autoSpaceDE w:val="0"/>
              <w:autoSpaceDN w:val="0"/>
              <w:adjustRightInd w:val="0"/>
              <w:rPr>
                <w:color w:val="000000"/>
                <w:szCs w:val="24"/>
              </w:rPr>
            </w:pPr>
            <w:r w:rsidRPr="00FA65E6">
              <w:rPr>
                <w:color w:val="000000"/>
                <w:szCs w:val="24"/>
              </w:rPr>
              <w:t>TD-F 93.07</w:t>
            </w:r>
          </w:p>
        </w:tc>
        <w:tc>
          <w:tcPr>
            <w:tcW w:w="1620" w:type="dxa"/>
          </w:tcPr>
          <w:p w:rsidR="00040EF9" w:rsidRPr="00FA65E6" w:rsidP="00B749D6" w14:paraId="75A6CA73" w14:textId="47AD2A76">
            <w:pPr>
              <w:widowControl/>
              <w:autoSpaceDE w:val="0"/>
              <w:autoSpaceDN w:val="0"/>
              <w:adjustRightInd w:val="0"/>
              <w:jc w:val="right"/>
              <w:rPr>
                <w:color w:val="000000"/>
                <w:szCs w:val="24"/>
              </w:rPr>
            </w:pPr>
            <w:r w:rsidRPr="00FA65E6">
              <w:rPr>
                <w:color w:val="000000"/>
                <w:szCs w:val="24"/>
              </w:rPr>
              <w:t>1</w:t>
            </w:r>
            <w:r w:rsidRPr="00FA65E6" w:rsidR="00DA36CA">
              <w:rPr>
                <w:color w:val="000000"/>
                <w:szCs w:val="24"/>
              </w:rPr>
              <w:t>2,236</w:t>
            </w:r>
          </w:p>
          <w:p w:rsidR="00D80CDE" w:rsidRPr="00FA65E6" w:rsidP="00B749D6" w14:paraId="2603EFE3" w14:textId="3A51912B">
            <w:pPr>
              <w:widowControl/>
              <w:autoSpaceDE w:val="0"/>
              <w:autoSpaceDN w:val="0"/>
              <w:adjustRightInd w:val="0"/>
              <w:jc w:val="right"/>
              <w:rPr>
                <w:color w:val="000000"/>
                <w:szCs w:val="24"/>
              </w:rPr>
            </w:pPr>
          </w:p>
          <w:p w:rsidR="009444C1" w:rsidRPr="00FA65E6" w:rsidP="00B749D6" w14:paraId="499E7FC0" w14:textId="380FDF76">
            <w:pPr>
              <w:widowControl/>
              <w:autoSpaceDE w:val="0"/>
              <w:autoSpaceDN w:val="0"/>
              <w:adjustRightInd w:val="0"/>
              <w:jc w:val="right"/>
              <w:rPr>
                <w:color w:val="000000"/>
                <w:szCs w:val="24"/>
              </w:rPr>
            </w:pPr>
          </w:p>
        </w:tc>
        <w:tc>
          <w:tcPr>
            <w:tcW w:w="1620" w:type="dxa"/>
          </w:tcPr>
          <w:p w:rsidR="00376999" w:rsidRPr="00FA65E6" w:rsidP="00B749D6" w14:paraId="5D78A59A" w14:textId="4E926073">
            <w:pPr>
              <w:widowControl/>
              <w:autoSpaceDE w:val="0"/>
              <w:autoSpaceDN w:val="0"/>
              <w:adjustRightInd w:val="0"/>
              <w:jc w:val="right"/>
              <w:rPr>
                <w:color w:val="000000"/>
                <w:szCs w:val="24"/>
              </w:rPr>
            </w:pPr>
            <w:r w:rsidRPr="00FA65E6">
              <w:rPr>
                <w:color w:val="000000"/>
                <w:szCs w:val="24"/>
              </w:rPr>
              <w:t>$</w:t>
            </w:r>
            <w:r w:rsidRPr="00FA65E6" w:rsidR="006F4B9F">
              <w:rPr>
                <w:color w:val="000000"/>
                <w:szCs w:val="24"/>
              </w:rPr>
              <w:t>1</w:t>
            </w:r>
            <w:r w:rsidRPr="00FA65E6">
              <w:rPr>
                <w:color w:val="000000"/>
                <w:szCs w:val="24"/>
              </w:rPr>
              <w:t>7.40</w:t>
            </w:r>
          </w:p>
          <w:p w:rsidR="009444C1" w:rsidRPr="00FA65E6" w:rsidP="00B749D6" w14:paraId="6097CFED" w14:textId="0CE7CEE2">
            <w:pPr>
              <w:widowControl/>
              <w:autoSpaceDE w:val="0"/>
              <w:autoSpaceDN w:val="0"/>
              <w:adjustRightInd w:val="0"/>
              <w:jc w:val="right"/>
              <w:rPr>
                <w:color w:val="000000"/>
                <w:szCs w:val="24"/>
              </w:rPr>
            </w:pPr>
          </w:p>
        </w:tc>
        <w:tc>
          <w:tcPr>
            <w:tcW w:w="1620" w:type="dxa"/>
          </w:tcPr>
          <w:p w:rsidR="00C3243F" w:rsidRPr="00FA65E6" w:rsidP="00B749D6" w14:paraId="64ABFA22" w14:textId="608B013B">
            <w:pPr>
              <w:widowControl/>
              <w:autoSpaceDE w:val="0"/>
              <w:autoSpaceDN w:val="0"/>
              <w:adjustRightInd w:val="0"/>
              <w:jc w:val="right"/>
              <w:rPr>
                <w:color w:val="000000"/>
                <w:szCs w:val="24"/>
              </w:rPr>
            </w:pPr>
            <w:r w:rsidRPr="00FA65E6">
              <w:rPr>
                <w:color w:val="000000"/>
                <w:szCs w:val="24"/>
              </w:rPr>
              <w:t>$</w:t>
            </w:r>
            <w:r w:rsidRPr="00FA65E6" w:rsidR="002473C2">
              <w:rPr>
                <w:color w:val="000000"/>
                <w:szCs w:val="24"/>
              </w:rPr>
              <w:t>212,907</w:t>
            </w:r>
          </w:p>
          <w:p w:rsidR="00DC3151" w:rsidRPr="00FA65E6" w:rsidP="00B749D6" w14:paraId="54E2D620" w14:textId="0DC8B4A5">
            <w:pPr>
              <w:widowControl/>
              <w:autoSpaceDE w:val="0"/>
              <w:autoSpaceDN w:val="0"/>
              <w:adjustRightInd w:val="0"/>
              <w:jc w:val="right"/>
              <w:rPr>
                <w:color w:val="000000"/>
                <w:szCs w:val="24"/>
              </w:rPr>
            </w:pPr>
          </w:p>
          <w:p w:rsidR="009444C1" w:rsidRPr="00FA65E6" w:rsidP="00B749D6" w14:paraId="3B109582" w14:textId="0CE500CB">
            <w:pPr>
              <w:widowControl/>
              <w:autoSpaceDE w:val="0"/>
              <w:autoSpaceDN w:val="0"/>
              <w:adjustRightInd w:val="0"/>
              <w:jc w:val="right"/>
              <w:rPr>
                <w:color w:val="000000"/>
                <w:szCs w:val="24"/>
              </w:rPr>
            </w:pPr>
          </w:p>
        </w:tc>
      </w:tr>
      <w:tr w14:paraId="520637A5" w14:textId="77777777" w:rsidTr="00B756A6">
        <w:tblPrEx>
          <w:tblW w:w="9328" w:type="dxa"/>
          <w:tblLayout w:type="fixed"/>
          <w:tblLook w:val="04A0"/>
        </w:tblPrEx>
        <w:tc>
          <w:tcPr>
            <w:tcW w:w="2668" w:type="dxa"/>
          </w:tcPr>
          <w:p w:rsidR="009444C1" w:rsidRPr="00FA65E6" w:rsidP="00FA65E6" w14:paraId="4F532D07" w14:textId="77777777">
            <w:pPr>
              <w:widowControl/>
              <w:autoSpaceDE w:val="0"/>
              <w:autoSpaceDN w:val="0"/>
              <w:adjustRightInd w:val="0"/>
              <w:rPr>
                <w:color w:val="000000"/>
                <w:szCs w:val="24"/>
              </w:rPr>
            </w:pPr>
            <w:r w:rsidRPr="00FA65E6">
              <w:rPr>
                <w:color w:val="000000"/>
                <w:szCs w:val="24"/>
              </w:rPr>
              <w:t>TSRA License Application</w:t>
            </w:r>
          </w:p>
        </w:tc>
        <w:tc>
          <w:tcPr>
            <w:tcW w:w="1800" w:type="dxa"/>
          </w:tcPr>
          <w:p w:rsidR="009444C1" w:rsidRPr="00FA65E6" w:rsidP="005B38FA" w14:paraId="44F352DD" w14:textId="77777777">
            <w:pPr>
              <w:widowControl/>
              <w:autoSpaceDE w:val="0"/>
              <w:autoSpaceDN w:val="0"/>
              <w:adjustRightInd w:val="0"/>
              <w:rPr>
                <w:color w:val="000000"/>
                <w:szCs w:val="24"/>
              </w:rPr>
            </w:pPr>
            <w:r w:rsidRPr="00FA65E6">
              <w:rPr>
                <w:color w:val="000000"/>
                <w:szCs w:val="24"/>
              </w:rPr>
              <w:t>TD-F 93.04</w:t>
            </w:r>
          </w:p>
        </w:tc>
        <w:tc>
          <w:tcPr>
            <w:tcW w:w="1620" w:type="dxa"/>
          </w:tcPr>
          <w:p w:rsidR="00040EF9" w:rsidRPr="00FA65E6" w:rsidP="00B749D6" w14:paraId="463066F6" w14:textId="77777777">
            <w:pPr>
              <w:widowControl/>
              <w:autoSpaceDE w:val="0"/>
              <w:autoSpaceDN w:val="0"/>
              <w:adjustRightInd w:val="0"/>
              <w:jc w:val="right"/>
              <w:rPr>
                <w:color w:val="000000"/>
                <w:szCs w:val="24"/>
              </w:rPr>
            </w:pPr>
            <w:r w:rsidRPr="00FA65E6">
              <w:rPr>
                <w:color w:val="000000"/>
                <w:szCs w:val="24"/>
              </w:rPr>
              <w:t>89</w:t>
            </w:r>
          </w:p>
          <w:p w:rsidR="00EC581F" w:rsidRPr="00FA65E6" w:rsidP="00B749D6" w14:paraId="500FBDC9" w14:textId="5B90B96E">
            <w:pPr>
              <w:widowControl/>
              <w:autoSpaceDE w:val="0"/>
              <w:autoSpaceDN w:val="0"/>
              <w:adjustRightInd w:val="0"/>
              <w:jc w:val="right"/>
              <w:rPr>
                <w:color w:val="000000"/>
                <w:szCs w:val="24"/>
              </w:rPr>
            </w:pPr>
          </w:p>
          <w:p w:rsidR="009444C1" w:rsidRPr="00FA65E6" w:rsidP="00B749D6" w14:paraId="45BEC2A6" w14:textId="463778B0">
            <w:pPr>
              <w:widowControl/>
              <w:autoSpaceDE w:val="0"/>
              <w:autoSpaceDN w:val="0"/>
              <w:adjustRightInd w:val="0"/>
              <w:jc w:val="right"/>
              <w:rPr>
                <w:color w:val="000000"/>
                <w:szCs w:val="24"/>
              </w:rPr>
            </w:pPr>
          </w:p>
        </w:tc>
        <w:tc>
          <w:tcPr>
            <w:tcW w:w="1620" w:type="dxa"/>
          </w:tcPr>
          <w:p w:rsidR="00376999" w:rsidRPr="00FA65E6" w:rsidP="00B749D6" w14:paraId="773AE492" w14:textId="55C928FB">
            <w:pPr>
              <w:widowControl/>
              <w:autoSpaceDE w:val="0"/>
              <w:autoSpaceDN w:val="0"/>
              <w:adjustRightInd w:val="0"/>
              <w:jc w:val="right"/>
              <w:rPr>
                <w:color w:val="000000"/>
                <w:szCs w:val="24"/>
              </w:rPr>
            </w:pPr>
            <w:r w:rsidRPr="00FA65E6">
              <w:rPr>
                <w:color w:val="000000"/>
                <w:szCs w:val="24"/>
              </w:rPr>
              <w:t>$</w:t>
            </w:r>
            <w:r w:rsidRPr="00FA65E6" w:rsidR="009444C1">
              <w:rPr>
                <w:color w:val="000000"/>
                <w:szCs w:val="24"/>
              </w:rPr>
              <w:t>3</w:t>
            </w:r>
            <w:r w:rsidRPr="00FA65E6" w:rsidR="00410660">
              <w:rPr>
                <w:color w:val="000000"/>
                <w:szCs w:val="24"/>
              </w:rPr>
              <w:t>4.</w:t>
            </w:r>
            <w:r w:rsidRPr="00FA65E6">
              <w:rPr>
                <w:color w:val="000000"/>
                <w:szCs w:val="24"/>
              </w:rPr>
              <w:t>47</w:t>
            </w:r>
          </w:p>
          <w:p w:rsidR="009444C1" w:rsidRPr="00FA65E6" w:rsidP="00B749D6" w14:paraId="423E3664" w14:textId="6F9E8DC2">
            <w:pPr>
              <w:widowControl/>
              <w:autoSpaceDE w:val="0"/>
              <w:autoSpaceDN w:val="0"/>
              <w:adjustRightInd w:val="0"/>
              <w:jc w:val="right"/>
              <w:rPr>
                <w:color w:val="000000"/>
                <w:szCs w:val="24"/>
              </w:rPr>
            </w:pPr>
          </w:p>
        </w:tc>
        <w:tc>
          <w:tcPr>
            <w:tcW w:w="1620" w:type="dxa"/>
          </w:tcPr>
          <w:p w:rsidR="00C3243F" w:rsidRPr="00FA65E6" w:rsidP="00B749D6" w14:paraId="560EA8EB" w14:textId="30BBCCE3">
            <w:pPr>
              <w:widowControl/>
              <w:autoSpaceDE w:val="0"/>
              <w:autoSpaceDN w:val="0"/>
              <w:adjustRightInd w:val="0"/>
              <w:jc w:val="right"/>
              <w:rPr>
                <w:color w:val="000000"/>
                <w:szCs w:val="24"/>
              </w:rPr>
            </w:pPr>
            <w:r w:rsidRPr="00FA65E6">
              <w:rPr>
                <w:color w:val="000000"/>
                <w:szCs w:val="24"/>
              </w:rPr>
              <w:t>$</w:t>
            </w:r>
            <w:r w:rsidRPr="00FA65E6">
              <w:rPr>
                <w:color w:val="000000"/>
                <w:szCs w:val="24"/>
              </w:rPr>
              <w:t>3,068</w:t>
            </w:r>
          </w:p>
          <w:p w:rsidR="00EC581F" w:rsidRPr="00FA65E6" w:rsidP="00B749D6" w14:paraId="59F9B585" w14:textId="515FA76A">
            <w:pPr>
              <w:widowControl/>
              <w:autoSpaceDE w:val="0"/>
              <w:autoSpaceDN w:val="0"/>
              <w:adjustRightInd w:val="0"/>
              <w:jc w:val="right"/>
              <w:rPr>
                <w:color w:val="000000"/>
                <w:szCs w:val="24"/>
              </w:rPr>
            </w:pPr>
          </w:p>
          <w:p w:rsidR="009444C1" w:rsidRPr="00FA65E6" w:rsidP="00B749D6" w14:paraId="67B97D3B" w14:textId="1071C1B1">
            <w:pPr>
              <w:widowControl/>
              <w:autoSpaceDE w:val="0"/>
              <w:autoSpaceDN w:val="0"/>
              <w:adjustRightInd w:val="0"/>
              <w:jc w:val="right"/>
              <w:rPr>
                <w:color w:val="000000"/>
                <w:szCs w:val="24"/>
              </w:rPr>
            </w:pPr>
          </w:p>
        </w:tc>
      </w:tr>
      <w:tr w14:paraId="09E8B5A2" w14:textId="77777777" w:rsidTr="00B756A6">
        <w:tblPrEx>
          <w:tblW w:w="9328" w:type="dxa"/>
          <w:tblLayout w:type="fixed"/>
          <w:tblLook w:val="04A0"/>
        </w:tblPrEx>
        <w:tc>
          <w:tcPr>
            <w:tcW w:w="2668" w:type="dxa"/>
          </w:tcPr>
          <w:p w:rsidR="009444C1" w:rsidRPr="00FA65E6" w:rsidP="00FA65E6" w14:paraId="53918E68" w14:textId="77777777">
            <w:pPr>
              <w:widowControl/>
              <w:autoSpaceDE w:val="0"/>
              <w:autoSpaceDN w:val="0"/>
              <w:adjustRightInd w:val="0"/>
              <w:rPr>
                <w:color w:val="000000"/>
                <w:szCs w:val="24"/>
              </w:rPr>
            </w:pPr>
            <w:r w:rsidRPr="00FA65E6">
              <w:rPr>
                <w:color w:val="000000"/>
                <w:szCs w:val="24"/>
              </w:rPr>
              <w:t>Licensing Cover Sheet</w:t>
            </w:r>
          </w:p>
        </w:tc>
        <w:tc>
          <w:tcPr>
            <w:tcW w:w="1800" w:type="dxa"/>
          </w:tcPr>
          <w:p w:rsidR="009444C1" w:rsidRPr="00FA65E6" w:rsidP="005B38FA" w14:paraId="121100FA" w14:textId="77777777">
            <w:pPr>
              <w:widowControl/>
              <w:autoSpaceDE w:val="0"/>
              <w:autoSpaceDN w:val="0"/>
              <w:adjustRightInd w:val="0"/>
              <w:rPr>
                <w:szCs w:val="24"/>
              </w:rPr>
            </w:pPr>
            <w:r w:rsidRPr="00FA65E6">
              <w:rPr>
                <w:szCs w:val="24"/>
              </w:rPr>
              <w:t>TD-F 98-22.61</w:t>
            </w:r>
          </w:p>
        </w:tc>
        <w:tc>
          <w:tcPr>
            <w:tcW w:w="1620" w:type="dxa"/>
          </w:tcPr>
          <w:p w:rsidR="00040EF9" w:rsidRPr="00FA65E6" w:rsidP="00B749D6" w14:paraId="18EF8E18" w14:textId="77777777">
            <w:pPr>
              <w:widowControl/>
              <w:autoSpaceDE w:val="0"/>
              <w:autoSpaceDN w:val="0"/>
              <w:adjustRightInd w:val="0"/>
              <w:jc w:val="right"/>
              <w:rPr>
                <w:szCs w:val="24"/>
              </w:rPr>
            </w:pPr>
            <w:r w:rsidRPr="00FA65E6">
              <w:rPr>
                <w:szCs w:val="24"/>
              </w:rPr>
              <w:t>3,992</w:t>
            </w:r>
          </w:p>
          <w:p w:rsidR="00EC581F" w:rsidRPr="00FA65E6" w:rsidP="00B749D6" w14:paraId="5D741F7B" w14:textId="10F0B2ED">
            <w:pPr>
              <w:widowControl/>
              <w:autoSpaceDE w:val="0"/>
              <w:autoSpaceDN w:val="0"/>
              <w:adjustRightInd w:val="0"/>
              <w:jc w:val="right"/>
              <w:rPr>
                <w:szCs w:val="24"/>
              </w:rPr>
            </w:pPr>
          </w:p>
          <w:p w:rsidR="009444C1" w:rsidRPr="00FA65E6" w:rsidP="00B749D6" w14:paraId="315F3E74" w14:textId="591DC530">
            <w:pPr>
              <w:widowControl/>
              <w:autoSpaceDE w:val="0"/>
              <w:autoSpaceDN w:val="0"/>
              <w:adjustRightInd w:val="0"/>
              <w:jc w:val="right"/>
              <w:rPr>
                <w:szCs w:val="24"/>
              </w:rPr>
            </w:pPr>
          </w:p>
        </w:tc>
        <w:tc>
          <w:tcPr>
            <w:tcW w:w="1620" w:type="dxa"/>
          </w:tcPr>
          <w:p w:rsidR="00376999" w:rsidRPr="00FA65E6" w:rsidP="00B749D6" w14:paraId="50640AF5" w14:textId="099BBC9F">
            <w:pPr>
              <w:widowControl/>
              <w:autoSpaceDE w:val="0"/>
              <w:autoSpaceDN w:val="0"/>
              <w:adjustRightInd w:val="0"/>
              <w:jc w:val="right"/>
              <w:rPr>
                <w:szCs w:val="24"/>
              </w:rPr>
            </w:pPr>
            <w:r w:rsidRPr="00FA65E6">
              <w:rPr>
                <w:szCs w:val="24"/>
              </w:rPr>
              <w:t>$</w:t>
            </w:r>
            <w:r w:rsidRPr="00FA65E6" w:rsidR="009444C1">
              <w:rPr>
                <w:szCs w:val="24"/>
              </w:rPr>
              <w:t>3</w:t>
            </w:r>
            <w:r w:rsidRPr="00FA65E6" w:rsidR="00410660">
              <w:rPr>
                <w:szCs w:val="24"/>
              </w:rPr>
              <w:t>4.</w:t>
            </w:r>
            <w:r w:rsidRPr="00FA65E6">
              <w:rPr>
                <w:szCs w:val="24"/>
              </w:rPr>
              <w:t>47</w:t>
            </w:r>
          </w:p>
          <w:p w:rsidR="00EC581F" w:rsidRPr="00FA65E6" w:rsidP="00B749D6" w14:paraId="3432961D" w14:textId="0E36AE12">
            <w:pPr>
              <w:widowControl/>
              <w:autoSpaceDE w:val="0"/>
              <w:autoSpaceDN w:val="0"/>
              <w:adjustRightInd w:val="0"/>
              <w:jc w:val="right"/>
              <w:rPr>
                <w:szCs w:val="24"/>
              </w:rPr>
            </w:pPr>
          </w:p>
          <w:p w:rsidR="009444C1" w:rsidRPr="00FA65E6" w:rsidP="00B749D6" w14:paraId="2DEBB47E" w14:textId="13B5AF7A">
            <w:pPr>
              <w:widowControl/>
              <w:autoSpaceDE w:val="0"/>
              <w:autoSpaceDN w:val="0"/>
              <w:adjustRightInd w:val="0"/>
              <w:jc w:val="right"/>
              <w:rPr>
                <w:szCs w:val="24"/>
              </w:rPr>
            </w:pPr>
          </w:p>
        </w:tc>
        <w:tc>
          <w:tcPr>
            <w:tcW w:w="1620" w:type="dxa"/>
          </w:tcPr>
          <w:p w:rsidR="00BA20DF" w:rsidRPr="00FA65E6" w:rsidP="00B749D6" w14:paraId="0F7884EC" w14:textId="2AD9AF75">
            <w:pPr>
              <w:widowControl/>
              <w:autoSpaceDE w:val="0"/>
              <w:autoSpaceDN w:val="0"/>
              <w:adjustRightInd w:val="0"/>
              <w:jc w:val="right"/>
              <w:rPr>
                <w:szCs w:val="24"/>
              </w:rPr>
            </w:pPr>
            <w:r w:rsidRPr="00FA65E6">
              <w:rPr>
                <w:szCs w:val="24"/>
              </w:rPr>
              <w:t>$</w:t>
            </w:r>
            <w:r w:rsidRPr="00FA65E6">
              <w:rPr>
                <w:szCs w:val="24"/>
              </w:rPr>
              <w:t>137,604</w:t>
            </w:r>
          </w:p>
          <w:p w:rsidR="00EC581F" w:rsidRPr="00FA65E6" w:rsidP="00B749D6" w14:paraId="3F05F190" w14:textId="53283AE4">
            <w:pPr>
              <w:widowControl/>
              <w:autoSpaceDE w:val="0"/>
              <w:autoSpaceDN w:val="0"/>
              <w:adjustRightInd w:val="0"/>
              <w:jc w:val="right"/>
              <w:rPr>
                <w:szCs w:val="24"/>
              </w:rPr>
            </w:pPr>
          </w:p>
          <w:p w:rsidR="009444C1" w:rsidRPr="00FA65E6" w:rsidP="00B749D6" w14:paraId="46782322" w14:textId="5028544E">
            <w:pPr>
              <w:widowControl/>
              <w:autoSpaceDE w:val="0"/>
              <w:autoSpaceDN w:val="0"/>
              <w:adjustRightInd w:val="0"/>
              <w:jc w:val="right"/>
              <w:rPr>
                <w:szCs w:val="24"/>
              </w:rPr>
            </w:pPr>
          </w:p>
        </w:tc>
      </w:tr>
      <w:tr w14:paraId="6EECF7AB" w14:textId="77777777" w:rsidTr="00B756A6">
        <w:tblPrEx>
          <w:tblW w:w="9328" w:type="dxa"/>
          <w:tblLayout w:type="fixed"/>
          <w:tblLook w:val="04A0"/>
        </w:tblPrEx>
        <w:tc>
          <w:tcPr>
            <w:tcW w:w="2668" w:type="dxa"/>
          </w:tcPr>
          <w:p w:rsidR="009444C1" w:rsidRPr="00FA65E6" w:rsidP="00FA65E6" w14:paraId="3F8CB901" w14:textId="56AF6284">
            <w:pPr>
              <w:widowControl/>
              <w:autoSpaceDE w:val="0"/>
              <w:autoSpaceDN w:val="0"/>
              <w:adjustRightInd w:val="0"/>
              <w:rPr>
                <w:color w:val="000000"/>
                <w:szCs w:val="24"/>
              </w:rPr>
            </w:pPr>
            <w:r w:rsidRPr="00FA65E6">
              <w:rPr>
                <w:color w:val="000000"/>
                <w:szCs w:val="24"/>
              </w:rPr>
              <w:t xml:space="preserve">Basic reports </w:t>
            </w:r>
            <w:r w:rsidR="009F6ED6">
              <w:rPr>
                <w:color w:val="000000"/>
                <w:szCs w:val="24"/>
              </w:rPr>
              <w:t xml:space="preserve">and information collections </w:t>
            </w:r>
            <w:r w:rsidRPr="00FA65E6">
              <w:rPr>
                <w:color w:val="000000"/>
                <w:szCs w:val="24"/>
              </w:rPr>
              <w:t>not associated with forms</w:t>
            </w:r>
          </w:p>
        </w:tc>
        <w:tc>
          <w:tcPr>
            <w:tcW w:w="1800" w:type="dxa"/>
          </w:tcPr>
          <w:p w:rsidR="009444C1" w:rsidRPr="00FA65E6" w:rsidP="005B38FA" w14:paraId="14A23B33" w14:textId="77777777">
            <w:pPr>
              <w:widowControl/>
              <w:autoSpaceDE w:val="0"/>
              <w:autoSpaceDN w:val="0"/>
              <w:adjustRightInd w:val="0"/>
              <w:rPr>
                <w:szCs w:val="24"/>
              </w:rPr>
            </w:pPr>
            <w:r w:rsidRPr="00FA65E6">
              <w:rPr>
                <w:szCs w:val="24"/>
              </w:rPr>
              <w:t>N/A</w:t>
            </w:r>
          </w:p>
        </w:tc>
        <w:tc>
          <w:tcPr>
            <w:tcW w:w="1620" w:type="dxa"/>
          </w:tcPr>
          <w:p w:rsidR="00DC21C0" w:rsidRPr="00FA65E6" w:rsidP="00B749D6" w14:paraId="6AD233A1" w14:textId="7367FF83">
            <w:pPr>
              <w:widowControl/>
              <w:autoSpaceDE w:val="0"/>
              <w:autoSpaceDN w:val="0"/>
              <w:adjustRightInd w:val="0"/>
              <w:jc w:val="right"/>
              <w:rPr>
                <w:color w:val="000000"/>
                <w:szCs w:val="24"/>
              </w:rPr>
            </w:pPr>
            <w:r w:rsidRPr="00FA65E6">
              <w:rPr>
                <w:color w:val="000000"/>
                <w:szCs w:val="24"/>
              </w:rPr>
              <w:t>3</w:t>
            </w:r>
            <w:r w:rsidRPr="00FA65E6" w:rsidR="00DA36CA">
              <w:rPr>
                <w:color w:val="000000"/>
                <w:szCs w:val="24"/>
              </w:rPr>
              <w:t>82</w:t>
            </w:r>
          </w:p>
          <w:p w:rsidR="00313B68" w:rsidRPr="00FA65E6" w:rsidP="00B749D6" w14:paraId="27612FC6" w14:textId="441629C9">
            <w:pPr>
              <w:widowControl/>
              <w:autoSpaceDE w:val="0"/>
              <w:autoSpaceDN w:val="0"/>
              <w:adjustRightInd w:val="0"/>
              <w:jc w:val="right"/>
              <w:rPr>
                <w:color w:val="000000"/>
                <w:szCs w:val="24"/>
              </w:rPr>
            </w:pPr>
          </w:p>
          <w:p w:rsidR="009444C1" w:rsidRPr="00FA65E6" w:rsidP="00B749D6" w14:paraId="2EC5D338" w14:textId="5043B29F">
            <w:pPr>
              <w:widowControl/>
              <w:autoSpaceDE w:val="0"/>
              <w:autoSpaceDN w:val="0"/>
              <w:adjustRightInd w:val="0"/>
              <w:jc w:val="right"/>
              <w:rPr>
                <w:szCs w:val="24"/>
              </w:rPr>
            </w:pPr>
          </w:p>
        </w:tc>
        <w:tc>
          <w:tcPr>
            <w:tcW w:w="1620" w:type="dxa"/>
          </w:tcPr>
          <w:p w:rsidR="005E5C09" w:rsidRPr="00FA65E6" w:rsidP="00B749D6" w14:paraId="6C541D03" w14:textId="0A74295E">
            <w:pPr>
              <w:widowControl/>
              <w:autoSpaceDE w:val="0"/>
              <w:autoSpaceDN w:val="0"/>
              <w:adjustRightInd w:val="0"/>
              <w:jc w:val="right"/>
              <w:rPr>
                <w:color w:val="000000"/>
                <w:szCs w:val="24"/>
              </w:rPr>
            </w:pPr>
            <w:r w:rsidRPr="00FA65E6">
              <w:rPr>
                <w:color w:val="000000"/>
                <w:szCs w:val="24"/>
              </w:rPr>
              <w:t>$</w:t>
            </w:r>
            <w:r w:rsidRPr="00FA65E6" w:rsidR="00313B68">
              <w:rPr>
                <w:color w:val="000000"/>
                <w:szCs w:val="24"/>
              </w:rPr>
              <w:t>1</w:t>
            </w:r>
            <w:r w:rsidRPr="00FA65E6">
              <w:rPr>
                <w:color w:val="000000"/>
                <w:szCs w:val="24"/>
              </w:rPr>
              <w:t>7.40</w:t>
            </w:r>
          </w:p>
          <w:p w:rsidR="00313B68" w:rsidRPr="00FA65E6" w:rsidP="00B749D6" w14:paraId="2F261EC2" w14:textId="375391B6">
            <w:pPr>
              <w:widowControl/>
              <w:autoSpaceDE w:val="0"/>
              <w:autoSpaceDN w:val="0"/>
              <w:adjustRightInd w:val="0"/>
              <w:jc w:val="right"/>
              <w:rPr>
                <w:color w:val="000000"/>
                <w:szCs w:val="24"/>
              </w:rPr>
            </w:pPr>
          </w:p>
          <w:p w:rsidR="009444C1" w:rsidRPr="00FA65E6" w:rsidP="00B749D6" w14:paraId="7644CDF4" w14:textId="6476B23F">
            <w:pPr>
              <w:widowControl/>
              <w:autoSpaceDE w:val="0"/>
              <w:autoSpaceDN w:val="0"/>
              <w:adjustRightInd w:val="0"/>
              <w:jc w:val="right"/>
              <w:rPr>
                <w:szCs w:val="24"/>
              </w:rPr>
            </w:pPr>
          </w:p>
        </w:tc>
        <w:tc>
          <w:tcPr>
            <w:tcW w:w="1620" w:type="dxa"/>
          </w:tcPr>
          <w:p w:rsidR="00BA20DF" w:rsidRPr="00FA65E6" w:rsidP="00B749D6" w14:paraId="05D1C14D" w14:textId="2563ADF4">
            <w:pPr>
              <w:widowControl/>
              <w:autoSpaceDE w:val="0"/>
              <w:autoSpaceDN w:val="0"/>
              <w:adjustRightInd w:val="0"/>
              <w:jc w:val="right"/>
              <w:rPr>
                <w:szCs w:val="24"/>
              </w:rPr>
            </w:pPr>
            <w:r w:rsidRPr="00FA65E6">
              <w:rPr>
                <w:szCs w:val="24"/>
              </w:rPr>
              <w:t>$</w:t>
            </w:r>
            <w:r w:rsidRPr="00FA65E6">
              <w:rPr>
                <w:szCs w:val="24"/>
              </w:rPr>
              <w:t>6,</w:t>
            </w:r>
            <w:r w:rsidRPr="00FA65E6" w:rsidR="002473C2">
              <w:rPr>
                <w:szCs w:val="24"/>
              </w:rPr>
              <w:t>647</w:t>
            </w:r>
          </w:p>
          <w:p w:rsidR="009444C1" w:rsidRPr="00FA65E6" w:rsidP="00B749D6" w14:paraId="489DF5D6" w14:textId="49682B6C">
            <w:pPr>
              <w:widowControl/>
              <w:autoSpaceDE w:val="0"/>
              <w:autoSpaceDN w:val="0"/>
              <w:adjustRightInd w:val="0"/>
              <w:jc w:val="right"/>
              <w:rPr>
                <w:szCs w:val="24"/>
              </w:rPr>
            </w:pPr>
          </w:p>
        </w:tc>
      </w:tr>
      <w:tr w14:paraId="5BDBD843" w14:textId="77777777" w:rsidTr="00B756A6">
        <w:tblPrEx>
          <w:tblW w:w="9328" w:type="dxa"/>
          <w:tblLayout w:type="fixed"/>
          <w:tblLook w:val="04A0"/>
        </w:tblPrEx>
        <w:tc>
          <w:tcPr>
            <w:tcW w:w="2668" w:type="dxa"/>
          </w:tcPr>
          <w:p w:rsidR="009444C1" w:rsidRPr="00FA65E6" w:rsidP="00FA65E6" w14:paraId="13E64EAA" w14:textId="77777777">
            <w:pPr>
              <w:widowControl/>
              <w:autoSpaceDE w:val="0"/>
              <w:autoSpaceDN w:val="0"/>
              <w:adjustRightInd w:val="0"/>
              <w:rPr>
                <w:color w:val="000000"/>
                <w:szCs w:val="24"/>
              </w:rPr>
            </w:pPr>
            <w:r w:rsidRPr="00FA65E6">
              <w:rPr>
                <w:color w:val="000000"/>
                <w:szCs w:val="24"/>
              </w:rPr>
              <w:t>Complex general license reports</w:t>
            </w:r>
          </w:p>
        </w:tc>
        <w:tc>
          <w:tcPr>
            <w:tcW w:w="1800" w:type="dxa"/>
          </w:tcPr>
          <w:p w:rsidR="009444C1" w:rsidRPr="00FA65E6" w:rsidP="005B38FA" w14:paraId="056486D6" w14:textId="77777777">
            <w:pPr>
              <w:widowControl/>
              <w:autoSpaceDE w:val="0"/>
              <w:autoSpaceDN w:val="0"/>
              <w:adjustRightInd w:val="0"/>
              <w:rPr>
                <w:szCs w:val="24"/>
              </w:rPr>
            </w:pPr>
            <w:r w:rsidRPr="00FA65E6">
              <w:rPr>
                <w:szCs w:val="24"/>
              </w:rPr>
              <w:t>N/A</w:t>
            </w:r>
          </w:p>
        </w:tc>
        <w:tc>
          <w:tcPr>
            <w:tcW w:w="1620" w:type="dxa"/>
          </w:tcPr>
          <w:p w:rsidR="00313B68" w:rsidRPr="00FA65E6" w:rsidP="00B749D6" w14:paraId="4D47FB75" w14:textId="77777777">
            <w:pPr>
              <w:widowControl/>
              <w:autoSpaceDE w:val="0"/>
              <w:autoSpaceDN w:val="0"/>
              <w:adjustRightInd w:val="0"/>
              <w:jc w:val="right"/>
              <w:rPr>
                <w:color w:val="000000"/>
                <w:szCs w:val="24"/>
              </w:rPr>
            </w:pPr>
            <w:r w:rsidRPr="00FA65E6">
              <w:rPr>
                <w:color w:val="000000"/>
                <w:szCs w:val="24"/>
              </w:rPr>
              <w:t>100</w:t>
            </w:r>
          </w:p>
          <w:p w:rsidR="009444C1" w:rsidRPr="00FA65E6" w:rsidP="00B749D6" w14:paraId="7C956042" w14:textId="70E65B26">
            <w:pPr>
              <w:widowControl/>
              <w:autoSpaceDE w:val="0"/>
              <w:autoSpaceDN w:val="0"/>
              <w:adjustRightInd w:val="0"/>
              <w:jc w:val="right"/>
              <w:rPr>
                <w:szCs w:val="24"/>
              </w:rPr>
            </w:pPr>
          </w:p>
        </w:tc>
        <w:tc>
          <w:tcPr>
            <w:tcW w:w="1620" w:type="dxa"/>
          </w:tcPr>
          <w:p w:rsidR="00376999" w:rsidRPr="00FA65E6" w:rsidP="00B749D6" w14:paraId="72FAC104" w14:textId="7C1522F5">
            <w:pPr>
              <w:widowControl/>
              <w:autoSpaceDE w:val="0"/>
              <w:autoSpaceDN w:val="0"/>
              <w:adjustRightInd w:val="0"/>
              <w:jc w:val="right"/>
              <w:rPr>
                <w:color w:val="000000"/>
                <w:szCs w:val="24"/>
              </w:rPr>
            </w:pPr>
            <w:r w:rsidRPr="00FA65E6">
              <w:rPr>
                <w:color w:val="000000"/>
                <w:szCs w:val="24"/>
              </w:rPr>
              <w:t>$</w:t>
            </w:r>
            <w:r w:rsidRPr="00FA65E6" w:rsidR="009444C1">
              <w:rPr>
                <w:color w:val="000000"/>
                <w:szCs w:val="24"/>
              </w:rPr>
              <w:t>3</w:t>
            </w:r>
            <w:r w:rsidRPr="00FA65E6" w:rsidR="00410660">
              <w:rPr>
                <w:color w:val="000000"/>
                <w:szCs w:val="24"/>
              </w:rPr>
              <w:t>4.</w:t>
            </w:r>
            <w:r w:rsidRPr="00FA65E6">
              <w:rPr>
                <w:color w:val="000000"/>
                <w:szCs w:val="24"/>
              </w:rPr>
              <w:t>47</w:t>
            </w:r>
          </w:p>
          <w:p w:rsidR="009444C1" w:rsidRPr="00FA65E6" w:rsidP="00B749D6" w14:paraId="099ABDBD" w14:textId="42FFAEFD">
            <w:pPr>
              <w:widowControl/>
              <w:autoSpaceDE w:val="0"/>
              <w:autoSpaceDN w:val="0"/>
              <w:adjustRightInd w:val="0"/>
              <w:jc w:val="right"/>
              <w:rPr>
                <w:szCs w:val="24"/>
              </w:rPr>
            </w:pPr>
          </w:p>
        </w:tc>
        <w:tc>
          <w:tcPr>
            <w:tcW w:w="1620" w:type="dxa"/>
          </w:tcPr>
          <w:p w:rsidR="00C75437" w:rsidRPr="00FA65E6" w:rsidP="00B749D6" w14:paraId="5AC32894" w14:textId="51EB0F7B">
            <w:pPr>
              <w:widowControl/>
              <w:autoSpaceDE w:val="0"/>
              <w:autoSpaceDN w:val="0"/>
              <w:adjustRightInd w:val="0"/>
              <w:jc w:val="right"/>
              <w:rPr>
                <w:szCs w:val="24"/>
              </w:rPr>
            </w:pPr>
            <w:r w:rsidRPr="00FA65E6">
              <w:rPr>
                <w:szCs w:val="24"/>
              </w:rPr>
              <w:t>$</w:t>
            </w:r>
            <w:r w:rsidRPr="00FA65E6" w:rsidR="00313B68">
              <w:rPr>
                <w:szCs w:val="24"/>
              </w:rPr>
              <w:t>3,</w:t>
            </w:r>
            <w:r w:rsidRPr="00FA65E6" w:rsidR="008766AA">
              <w:rPr>
                <w:szCs w:val="24"/>
              </w:rPr>
              <w:t>4</w:t>
            </w:r>
            <w:r w:rsidRPr="00FA65E6">
              <w:rPr>
                <w:szCs w:val="24"/>
              </w:rPr>
              <w:t>81</w:t>
            </w:r>
          </w:p>
          <w:p w:rsidR="009444C1" w:rsidRPr="00FA65E6" w:rsidP="00B749D6" w14:paraId="106DB595" w14:textId="5B8C937C">
            <w:pPr>
              <w:widowControl/>
              <w:autoSpaceDE w:val="0"/>
              <w:autoSpaceDN w:val="0"/>
              <w:adjustRightInd w:val="0"/>
              <w:jc w:val="right"/>
              <w:rPr>
                <w:szCs w:val="24"/>
              </w:rPr>
            </w:pPr>
          </w:p>
        </w:tc>
      </w:tr>
      <w:tr w14:paraId="69E38FA0" w14:textId="77777777" w:rsidTr="00B756A6">
        <w:tblPrEx>
          <w:tblW w:w="9328" w:type="dxa"/>
          <w:tblLayout w:type="fixed"/>
          <w:tblLook w:val="04A0"/>
        </w:tblPrEx>
        <w:tc>
          <w:tcPr>
            <w:tcW w:w="2668" w:type="dxa"/>
            <w:shd w:val="clear" w:color="auto" w:fill="auto"/>
          </w:tcPr>
          <w:p w:rsidR="009444C1" w:rsidRPr="00FA65E6" w:rsidP="00FA65E6" w14:paraId="2177F441" w14:textId="4D148D30">
            <w:pPr>
              <w:widowControl/>
              <w:autoSpaceDE w:val="0"/>
              <w:autoSpaceDN w:val="0"/>
              <w:adjustRightInd w:val="0"/>
              <w:rPr>
                <w:color w:val="000000"/>
                <w:szCs w:val="24"/>
                <w:highlight w:val="yellow"/>
              </w:rPr>
            </w:pPr>
            <w:r w:rsidRPr="00FA65E6">
              <w:rPr>
                <w:color w:val="000000"/>
                <w:szCs w:val="24"/>
              </w:rPr>
              <w:t xml:space="preserve">Reports on unblocking </w:t>
            </w:r>
            <w:r w:rsidRPr="00FA65E6" w:rsidR="00A0008F">
              <w:rPr>
                <w:color w:val="000000"/>
                <w:szCs w:val="24"/>
              </w:rPr>
              <w:t xml:space="preserve">or transferred </w:t>
            </w:r>
            <w:r w:rsidRPr="00FA65E6">
              <w:rPr>
                <w:color w:val="000000"/>
                <w:szCs w:val="24"/>
              </w:rPr>
              <w:t>property</w:t>
            </w:r>
          </w:p>
        </w:tc>
        <w:tc>
          <w:tcPr>
            <w:tcW w:w="1800" w:type="dxa"/>
            <w:shd w:val="clear" w:color="auto" w:fill="auto"/>
          </w:tcPr>
          <w:p w:rsidR="009444C1" w:rsidRPr="00FA65E6" w:rsidP="005B38FA" w14:paraId="11E22906" w14:textId="77777777">
            <w:pPr>
              <w:widowControl/>
              <w:autoSpaceDE w:val="0"/>
              <w:autoSpaceDN w:val="0"/>
              <w:adjustRightInd w:val="0"/>
              <w:rPr>
                <w:szCs w:val="24"/>
              </w:rPr>
            </w:pPr>
            <w:r w:rsidRPr="00FA65E6">
              <w:rPr>
                <w:szCs w:val="24"/>
              </w:rPr>
              <w:t>N/A</w:t>
            </w:r>
          </w:p>
        </w:tc>
        <w:tc>
          <w:tcPr>
            <w:tcW w:w="1620" w:type="dxa"/>
            <w:shd w:val="clear" w:color="auto" w:fill="auto"/>
          </w:tcPr>
          <w:p w:rsidR="00B16360" w:rsidRPr="00FA65E6" w:rsidP="00B749D6" w14:paraId="77EEB71D" w14:textId="77777777">
            <w:pPr>
              <w:widowControl/>
              <w:autoSpaceDE w:val="0"/>
              <w:autoSpaceDN w:val="0"/>
              <w:adjustRightInd w:val="0"/>
              <w:jc w:val="right"/>
              <w:rPr>
                <w:szCs w:val="24"/>
              </w:rPr>
            </w:pPr>
            <w:r w:rsidRPr="00FA65E6">
              <w:rPr>
                <w:szCs w:val="24"/>
              </w:rPr>
              <w:t>350</w:t>
            </w:r>
          </w:p>
          <w:p w:rsidR="00C3243F" w:rsidRPr="00FA65E6" w:rsidP="00B749D6" w14:paraId="17F1D048" w14:textId="21B319BB">
            <w:pPr>
              <w:widowControl/>
              <w:autoSpaceDE w:val="0"/>
              <w:autoSpaceDN w:val="0"/>
              <w:adjustRightInd w:val="0"/>
              <w:jc w:val="right"/>
              <w:rPr>
                <w:szCs w:val="24"/>
              </w:rPr>
            </w:pPr>
          </w:p>
          <w:p w:rsidR="00C97316" w:rsidRPr="00FA65E6" w:rsidP="00B749D6" w14:paraId="7B235DE7" w14:textId="318EC47E">
            <w:pPr>
              <w:widowControl/>
              <w:autoSpaceDE w:val="0"/>
              <w:autoSpaceDN w:val="0"/>
              <w:adjustRightInd w:val="0"/>
              <w:jc w:val="right"/>
              <w:rPr>
                <w:szCs w:val="24"/>
              </w:rPr>
            </w:pPr>
          </w:p>
          <w:p w:rsidR="009444C1" w:rsidRPr="00FA65E6" w:rsidP="00B749D6" w14:paraId="2C4C82A1" w14:textId="7B57C325">
            <w:pPr>
              <w:widowControl/>
              <w:autoSpaceDE w:val="0"/>
              <w:autoSpaceDN w:val="0"/>
              <w:adjustRightInd w:val="0"/>
              <w:jc w:val="right"/>
              <w:rPr>
                <w:szCs w:val="24"/>
              </w:rPr>
            </w:pPr>
          </w:p>
        </w:tc>
        <w:tc>
          <w:tcPr>
            <w:tcW w:w="1620" w:type="dxa"/>
            <w:shd w:val="clear" w:color="auto" w:fill="auto"/>
          </w:tcPr>
          <w:p w:rsidR="00376999" w:rsidRPr="00FA65E6" w:rsidP="00B749D6" w14:paraId="404B23F2" w14:textId="2A50AD01">
            <w:pPr>
              <w:widowControl/>
              <w:autoSpaceDE w:val="0"/>
              <w:autoSpaceDN w:val="0"/>
              <w:adjustRightInd w:val="0"/>
              <w:jc w:val="right"/>
              <w:rPr>
                <w:color w:val="000000"/>
                <w:szCs w:val="24"/>
              </w:rPr>
            </w:pPr>
            <w:r w:rsidRPr="00FA65E6">
              <w:rPr>
                <w:color w:val="000000"/>
                <w:szCs w:val="24"/>
              </w:rPr>
              <w:t>$</w:t>
            </w:r>
            <w:r w:rsidRPr="00FA65E6" w:rsidR="009444C1">
              <w:rPr>
                <w:color w:val="000000"/>
                <w:szCs w:val="24"/>
              </w:rPr>
              <w:t>3</w:t>
            </w:r>
            <w:r w:rsidRPr="00FA65E6" w:rsidR="00410660">
              <w:rPr>
                <w:color w:val="000000"/>
                <w:szCs w:val="24"/>
              </w:rPr>
              <w:t>4.</w:t>
            </w:r>
            <w:r w:rsidRPr="00FA65E6">
              <w:rPr>
                <w:color w:val="000000"/>
                <w:szCs w:val="24"/>
              </w:rPr>
              <w:t>47</w:t>
            </w:r>
          </w:p>
          <w:p w:rsidR="009444C1" w:rsidRPr="00FA65E6" w:rsidP="00B749D6" w14:paraId="0E3C1DDA" w14:textId="35E0E911">
            <w:pPr>
              <w:widowControl/>
              <w:autoSpaceDE w:val="0"/>
              <w:autoSpaceDN w:val="0"/>
              <w:adjustRightInd w:val="0"/>
              <w:jc w:val="right"/>
              <w:rPr>
                <w:szCs w:val="24"/>
              </w:rPr>
            </w:pPr>
          </w:p>
        </w:tc>
        <w:tc>
          <w:tcPr>
            <w:tcW w:w="1620" w:type="dxa"/>
            <w:shd w:val="clear" w:color="auto" w:fill="auto"/>
          </w:tcPr>
          <w:p w:rsidR="00B16360" w:rsidRPr="00FA65E6" w:rsidP="00B749D6" w14:paraId="0907530A" w14:textId="35D6547B">
            <w:pPr>
              <w:widowControl/>
              <w:autoSpaceDE w:val="0"/>
              <w:autoSpaceDN w:val="0"/>
              <w:adjustRightInd w:val="0"/>
              <w:jc w:val="right"/>
              <w:rPr>
                <w:szCs w:val="24"/>
              </w:rPr>
            </w:pPr>
            <w:r w:rsidRPr="00FA65E6">
              <w:rPr>
                <w:szCs w:val="24"/>
              </w:rPr>
              <w:t>$</w:t>
            </w:r>
            <w:r w:rsidRPr="00FA65E6">
              <w:rPr>
                <w:szCs w:val="24"/>
              </w:rPr>
              <w:t>12,065</w:t>
            </w:r>
          </w:p>
          <w:p w:rsidR="00D30613" w:rsidRPr="00FA65E6" w:rsidP="00B749D6" w14:paraId="3AB08E98" w14:textId="5E9EB3B5">
            <w:pPr>
              <w:widowControl/>
              <w:autoSpaceDE w:val="0"/>
              <w:autoSpaceDN w:val="0"/>
              <w:adjustRightInd w:val="0"/>
              <w:jc w:val="right"/>
              <w:rPr>
                <w:szCs w:val="24"/>
              </w:rPr>
            </w:pPr>
          </w:p>
          <w:p w:rsidR="00BA20DF" w:rsidRPr="00FA65E6" w:rsidP="00B749D6" w14:paraId="4A2B7271" w14:textId="79EFAE30">
            <w:pPr>
              <w:widowControl/>
              <w:autoSpaceDE w:val="0"/>
              <w:autoSpaceDN w:val="0"/>
              <w:adjustRightInd w:val="0"/>
              <w:jc w:val="right"/>
              <w:rPr>
                <w:szCs w:val="24"/>
              </w:rPr>
            </w:pPr>
          </w:p>
          <w:p w:rsidR="00BA20DF" w:rsidRPr="00FA65E6" w:rsidP="00B749D6" w14:paraId="4BCC157C" w14:textId="096101CC">
            <w:pPr>
              <w:widowControl/>
              <w:autoSpaceDE w:val="0"/>
              <w:autoSpaceDN w:val="0"/>
              <w:adjustRightInd w:val="0"/>
              <w:jc w:val="right"/>
              <w:rPr>
                <w:szCs w:val="24"/>
              </w:rPr>
            </w:pPr>
          </w:p>
          <w:p w:rsidR="00C97316" w:rsidRPr="00FA65E6" w:rsidP="00B749D6" w14:paraId="47910C41" w14:textId="1E3CDA78">
            <w:pPr>
              <w:widowControl/>
              <w:autoSpaceDE w:val="0"/>
              <w:autoSpaceDN w:val="0"/>
              <w:adjustRightInd w:val="0"/>
              <w:jc w:val="right"/>
              <w:rPr>
                <w:szCs w:val="24"/>
              </w:rPr>
            </w:pPr>
          </w:p>
          <w:p w:rsidR="009444C1" w:rsidRPr="00FA65E6" w:rsidP="00B749D6" w14:paraId="3351F2FC" w14:textId="3B02F402">
            <w:pPr>
              <w:widowControl/>
              <w:autoSpaceDE w:val="0"/>
              <w:autoSpaceDN w:val="0"/>
              <w:adjustRightInd w:val="0"/>
              <w:jc w:val="right"/>
              <w:rPr>
                <w:szCs w:val="24"/>
              </w:rPr>
            </w:pPr>
          </w:p>
        </w:tc>
      </w:tr>
      <w:tr w14:paraId="13ADDE8A" w14:textId="77777777" w:rsidTr="00A04BE0">
        <w:tblPrEx>
          <w:tblW w:w="9328" w:type="dxa"/>
          <w:tblLayout w:type="fixed"/>
          <w:tblLook w:val="04A0"/>
        </w:tblPrEx>
        <w:tc>
          <w:tcPr>
            <w:tcW w:w="2668" w:type="dxa"/>
          </w:tcPr>
          <w:p w:rsidR="00A04BE0" w:rsidP="00A04BE0" w14:paraId="04F4C5C1" w14:textId="77777777">
            <w:pPr>
              <w:autoSpaceDE w:val="0"/>
              <w:autoSpaceDN w:val="0"/>
              <w:adjustRightInd w:val="0"/>
              <w:rPr>
                <w:color w:val="000000"/>
                <w:szCs w:val="24"/>
              </w:rPr>
            </w:pPr>
            <w:r>
              <w:rPr>
                <w:color w:val="000000"/>
                <w:szCs w:val="24"/>
              </w:rPr>
              <w:t>REPO For Ukrainians Act Report Form</w:t>
            </w:r>
          </w:p>
          <w:p w:rsidR="00A04BE0" w:rsidRPr="00FA65E6" w:rsidP="00A04BE0" w14:paraId="6B37F1C3" w14:textId="120C8270">
            <w:pPr>
              <w:widowControl/>
              <w:autoSpaceDE w:val="0"/>
              <w:autoSpaceDN w:val="0"/>
              <w:adjustRightInd w:val="0"/>
              <w:rPr>
                <w:color w:val="000000"/>
                <w:szCs w:val="24"/>
              </w:rPr>
            </w:pPr>
          </w:p>
        </w:tc>
        <w:tc>
          <w:tcPr>
            <w:tcW w:w="1800" w:type="dxa"/>
          </w:tcPr>
          <w:p w:rsidR="00A04BE0" w:rsidRPr="00FA65E6" w:rsidP="00A04BE0" w14:paraId="5C42B482" w14:textId="40E4681D">
            <w:pPr>
              <w:widowControl/>
              <w:autoSpaceDE w:val="0"/>
              <w:autoSpaceDN w:val="0"/>
              <w:adjustRightInd w:val="0"/>
              <w:rPr>
                <w:szCs w:val="24"/>
              </w:rPr>
            </w:pPr>
            <w:r>
              <w:rPr>
                <w:szCs w:val="24"/>
              </w:rPr>
              <w:t xml:space="preserve">TD-F </w:t>
            </w:r>
            <w:r w:rsidR="00CD4931">
              <w:rPr>
                <w:szCs w:val="24"/>
              </w:rPr>
              <w:t>93.09</w:t>
            </w:r>
          </w:p>
        </w:tc>
        <w:tc>
          <w:tcPr>
            <w:tcW w:w="1620" w:type="dxa"/>
            <w:shd w:val="clear" w:color="auto" w:fill="auto"/>
          </w:tcPr>
          <w:p w:rsidR="00A04BE0" w:rsidRPr="00FA65E6" w:rsidP="00A04BE0" w14:paraId="0613C402" w14:textId="5985A5BC">
            <w:pPr>
              <w:widowControl/>
              <w:autoSpaceDE w:val="0"/>
              <w:autoSpaceDN w:val="0"/>
              <w:adjustRightInd w:val="0"/>
              <w:jc w:val="right"/>
              <w:rPr>
                <w:szCs w:val="24"/>
              </w:rPr>
            </w:pPr>
            <w:r>
              <w:rPr>
                <w:szCs w:val="24"/>
              </w:rPr>
              <w:t>150</w:t>
            </w:r>
          </w:p>
        </w:tc>
        <w:tc>
          <w:tcPr>
            <w:tcW w:w="1620" w:type="dxa"/>
            <w:shd w:val="clear" w:color="auto" w:fill="auto"/>
          </w:tcPr>
          <w:p w:rsidR="00A04BE0" w:rsidRPr="00FA65E6" w:rsidP="00A04BE0" w14:paraId="3F533FF7" w14:textId="37A6AE21">
            <w:pPr>
              <w:widowControl/>
              <w:autoSpaceDE w:val="0"/>
              <w:autoSpaceDN w:val="0"/>
              <w:adjustRightInd w:val="0"/>
              <w:jc w:val="right"/>
              <w:rPr>
                <w:color w:val="000000"/>
                <w:szCs w:val="24"/>
              </w:rPr>
            </w:pPr>
            <w:r>
              <w:rPr>
                <w:color w:val="000000"/>
                <w:szCs w:val="24"/>
              </w:rPr>
              <w:t>$34.47</w:t>
            </w:r>
          </w:p>
        </w:tc>
        <w:tc>
          <w:tcPr>
            <w:tcW w:w="1620" w:type="dxa"/>
            <w:shd w:val="clear" w:color="auto" w:fill="auto"/>
          </w:tcPr>
          <w:p w:rsidR="00A04BE0" w:rsidRPr="00FA65E6" w:rsidP="00A04BE0" w14:paraId="77C9CC41" w14:textId="6D53E81B">
            <w:pPr>
              <w:widowControl/>
              <w:autoSpaceDE w:val="0"/>
              <w:autoSpaceDN w:val="0"/>
              <w:adjustRightInd w:val="0"/>
              <w:jc w:val="right"/>
              <w:rPr>
                <w:szCs w:val="24"/>
              </w:rPr>
            </w:pPr>
            <w:r>
              <w:rPr>
                <w:szCs w:val="24"/>
              </w:rPr>
              <w:t>$5,17</w:t>
            </w:r>
            <w:r w:rsidR="00A17932">
              <w:rPr>
                <w:szCs w:val="24"/>
              </w:rPr>
              <w:t>1</w:t>
            </w:r>
          </w:p>
        </w:tc>
      </w:tr>
      <w:tr w14:paraId="7E6541E6" w14:textId="77777777" w:rsidTr="00B756A6">
        <w:tblPrEx>
          <w:tblW w:w="9328" w:type="dxa"/>
          <w:tblLayout w:type="fixed"/>
          <w:tblLook w:val="04A0"/>
        </w:tblPrEx>
        <w:tc>
          <w:tcPr>
            <w:tcW w:w="2668" w:type="dxa"/>
          </w:tcPr>
          <w:p w:rsidR="009444C1" w:rsidRPr="00FA65E6" w:rsidP="00FA65E6" w14:paraId="5A09E469" w14:textId="71B128BB">
            <w:pPr>
              <w:widowControl/>
              <w:autoSpaceDE w:val="0"/>
              <w:autoSpaceDN w:val="0"/>
              <w:adjustRightInd w:val="0"/>
              <w:rPr>
                <w:color w:val="000000"/>
                <w:szCs w:val="24"/>
              </w:rPr>
            </w:pPr>
            <w:r w:rsidRPr="00FA65E6">
              <w:rPr>
                <w:color w:val="000000"/>
                <w:szCs w:val="24"/>
              </w:rPr>
              <w:t>Other reports</w:t>
            </w:r>
          </w:p>
        </w:tc>
        <w:tc>
          <w:tcPr>
            <w:tcW w:w="1800" w:type="dxa"/>
          </w:tcPr>
          <w:p w:rsidR="009444C1" w:rsidRPr="00FA65E6" w:rsidP="005B38FA" w14:paraId="488C7094" w14:textId="77777777">
            <w:pPr>
              <w:widowControl/>
              <w:autoSpaceDE w:val="0"/>
              <w:autoSpaceDN w:val="0"/>
              <w:adjustRightInd w:val="0"/>
              <w:rPr>
                <w:szCs w:val="24"/>
              </w:rPr>
            </w:pPr>
            <w:r w:rsidRPr="00FA65E6">
              <w:rPr>
                <w:szCs w:val="24"/>
              </w:rPr>
              <w:t>N/A</w:t>
            </w:r>
          </w:p>
        </w:tc>
        <w:tc>
          <w:tcPr>
            <w:tcW w:w="1620" w:type="dxa"/>
          </w:tcPr>
          <w:p w:rsidR="009444C1" w:rsidRPr="00FA65E6" w:rsidP="00B749D6" w14:paraId="4EC7AED6" w14:textId="7A73CC38">
            <w:pPr>
              <w:widowControl/>
              <w:autoSpaceDE w:val="0"/>
              <w:autoSpaceDN w:val="0"/>
              <w:adjustRightInd w:val="0"/>
              <w:jc w:val="right"/>
              <w:rPr>
                <w:szCs w:val="24"/>
              </w:rPr>
            </w:pPr>
            <w:r w:rsidRPr="00FA65E6">
              <w:rPr>
                <w:color w:val="000000"/>
                <w:szCs w:val="24"/>
              </w:rPr>
              <w:t>0</w:t>
            </w:r>
          </w:p>
        </w:tc>
        <w:tc>
          <w:tcPr>
            <w:tcW w:w="1620" w:type="dxa"/>
          </w:tcPr>
          <w:p w:rsidR="00376999" w:rsidRPr="00FA65E6" w:rsidP="00B749D6" w14:paraId="79C4A6F3" w14:textId="7F7F6925">
            <w:pPr>
              <w:widowControl/>
              <w:autoSpaceDE w:val="0"/>
              <w:autoSpaceDN w:val="0"/>
              <w:adjustRightInd w:val="0"/>
              <w:jc w:val="right"/>
              <w:rPr>
                <w:szCs w:val="24"/>
              </w:rPr>
            </w:pPr>
          </w:p>
          <w:p w:rsidR="009444C1" w:rsidRPr="00FA65E6" w:rsidP="00B749D6" w14:paraId="5D8B361C" w14:textId="7D659B74">
            <w:pPr>
              <w:widowControl/>
              <w:autoSpaceDE w:val="0"/>
              <w:autoSpaceDN w:val="0"/>
              <w:adjustRightInd w:val="0"/>
              <w:jc w:val="right"/>
              <w:rPr>
                <w:szCs w:val="24"/>
              </w:rPr>
            </w:pPr>
          </w:p>
        </w:tc>
        <w:tc>
          <w:tcPr>
            <w:tcW w:w="1620" w:type="dxa"/>
          </w:tcPr>
          <w:p w:rsidR="00D7321F" w:rsidRPr="00FA65E6" w:rsidP="00B749D6" w14:paraId="5C797952" w14:textId="55F1A88D">
            <w:pPr>
              <w:widowControl/>
              <w:autoSpaceDE w:val="0"/>
              <w:autoSpaceDN w:val="0"/>
              <w:adjustRightInd w:val="0"/>
              <w:jc w:val="right"/>
              <w:rPr>
                <w:szCs w:val="24"/>
              </w:rPr>
            </w:pPr>
            <w:r w:rsidRPr="00FA65E6">
              <w:rPr>
                <w:szCs w:val="24"/>
              </w:rPr>
              <w:t>$</w:t>
            </w:r>
            <w:r w:rsidRPr="00FA65E6">
              <w:rPr>
                <w:szCs w:val="24"/>
              </w:rPr>
              <w:t>0</w:t>
            </w:r>
          </w:p>
          <w:p w:rsidR="00DF5916" w:rsidRPr="00FA65E6" w:rsidP="00B749D6" w14:paraId="20735D80" w14:textId="3B301A0D">
            <w:pPr>
              <w:widowControl/>
              <w:autoSpaceDE w:val="0"/>
              <w:autoSpaceDN w:val="0"/>
              <w:adjustRightInd w:val="0"/>
              <w:jc w:val="right"/>
              <w:rPr>
                <w:szCs w:val="24"/>
              </w:rPr>
            </w:pPr>
          </w:p>
          <w:p w:rsidR="009444C1" w:rsidRPr="00FA65E6" w:rsidP="00B749D6" w14:paraId="40A7BF5E" w14:textId="630EF0A4">
            <w:pPr>
              <w:widowControl/>
              <w:autoSpaceDE w:val="0"/>
              <w:autoSpaceDN w:val="0"/>
              <w:adjustRightInd w:val="0"/>
              <w:jc w:val="right"/>
              <w:rPr>
                <w:szCs w:val="24"/>
              </w:rPr>
            </w:pPr>
          </w:p>
        </w:tc>
      </w:tr>
      <w:tr w14:paraId="2A2E23E4" w14:textId="77777777" w:rsidTr="00B756A6">
        <w:tblPrEx>
          <w:tblW w:w="9328" w:type="dxa"/>
          <w:tblLayout w:type="fixed"/>
          <w:tblLook w:val="04A0"/>
        </w:tblPrEx>
        <w:tc>
          <w:tcPr>
            <w:tcW w:w="2668" w:type="dxa"/>
            <w:shd w:val="clear" w:color="auto" w:fill="BFBFBF" w:themeFill="background1" w:themeFillShade="BF"/>
          </w:tcPr>
          <w:p w:rsidR="009444C1" w:rsidRPr="00FA65E6" w:rsidP="00FA65E6" w14:paraId="0D9E2312" w14:textId="77777777">
            <w:pPr>
              <w:widowControl/>
              <w:autoSpaceDE w:val="0"/>
              <w:autoSpaceDN w:val="0"/>
              <w:adjustRightInd w:val="0"/>
              <w:rPr>
                <w:color w:val="000000"/>
                <w:szCs w:val="24"/>
              </w:rPr>
            </w:pPr>
            <w:r w:rsidRPr="00FA65E6">
              <w:rPr>
                <w:color w:val="000000"/>
                <w:szCs w:val="24"/>
              </w:rPr>
              <w:t>TOTAL</w:t>
            </w:r>
          </w:p>
        </w:tc>
        <w:tc>
          <w:tcPr>
            <w:tcW w:w="1800" w:type="dxa"/>
            <w:shd w:val="clear" w:color="auto" w:fill="BFBFBF" w:themeFill="background1" w:themeFillShade="BF"/>
          </w:tcPr>
          <w:p w:rsidR="009444C1" w:rsidRPr="00FA65E6" w:rsidP="005B38FA" w14:paraId="06B42F9A" w14:textId="77777777">
            <w:pPr>
              <w:widowControl/>
              <w:autoSpaceDE w:val="0"/>
              <w:autoSpaceDN w:val="0"/>
              <w:adjustRightInd w:val="0"/>
              <w:rPr>
                <w:szCs w:val="24"/>
              </w:rPr>
            </w:pPr>
          </w:p>
        </w:tc>
        <w:tc>
          <w:tcPr>
            <w:tcW w:w="1620" w:type="dxa"/>
            <w:shd w:val="clear" w:color="auto" w:fill="BFBFBF" w:themeFill="background1" w:themeFillShade="BF"/>
          </w:tcPr>
          <w:p w:rsidR="00EF4C46" w:rsidRPr="00FA65E6" w:rsidP="00B749D6" w14:paraId="3B8673E2" w14:textId="6DD35C68">
            <w:pPr>
              <w:widowControl/>
              <w:autoSpaceDE w:val="0"/>
              <w:autoSpaceDN w:val="0"/>
              <w:adjustRightInd w:val="0"/>
              <w:jc w:val="right"/>
              <w:rPr>
                <w:color w:val="000000"/>
                <w:szCs w:val="24"/>
              </w:rPr>
            </w:pPr>
            <w:r w:rsidRPr="00FA65E6">
              <w:rPr>
                <w:color w:val="000000"/>
                <w:szCs w:val="24"/>
              </w:rPr>
              <w:t>4</w:t>
            </w:r>
            <w:r w:rsidRPr="00FA65E6" w:rsidR="00EB52A7">
              <w:rPr>
                <w:color w:val="000000"/>
                <w:szCs w:val="24"/>
              </w:rPr>
              <w:t>4,</w:t>
            </w:r>
            <w:r w:rsidR="00417501">
              <w:rPr>
                <w:color w:val="000000"/>
                <w:szCs w:val="24"/>
              </w:rPr>
              <w:t>372</w:t>
            </w:r>
          </w:p>
          <w:p w:rsidR="009444C1" w:rsidRPr="00FA65E6" w:rsidP="00B749D6" w14:paraId="20DDDDE7" w14:textId="3E726147">
            <w:pPr>
              <w:widowControl/>
              <w:autoSpaceDE w:val="0"/>
              <w:autoSpaceDN w:val="0"/>
              <w:adjustRightInd w:val="0"/>
              <w:jc w:val="right"/>
              <w:rPr>
                <w:color w:val="000000"/>
                <w:szCs w:val="24"/>
              </w:rPr>
            </w:pPr>
          </w:p>
        </w:tc>
        <w:tc>
          <w:tcPr>
            <w:tcW w:w="1620" w:type="dxa"/>
            <w:shd w:val="clear" w:color="auto" w:fill="BFBFBF" w:themeFill="background1" w:themeFillShade="BF"/>
          </w:tcPr>
          <w:p w:rsidR="009444C1" w:rsidRPr="00FA65E6" w:rsidP="00B749D6" w14:paraId="7A969EF6" w14:textId="77777777">
            <w:pPr>
              <w:widowControl/>
              <w:autoSpaceDE w:val="0"/>
              <w:autoSpaceDN w:val="0"/>
              <w:adjustRightInd w:val="0"/>
              <w:jc w:val="right"/>
              <w:rPr>
                <w:szCs w:val="24"/>
              </w:rPr>
            </w:pPr>
          </w:p>
        </w:tc>
        <w:tc>
          <w:tcPr>
            <w:tcW w:w="1620" w:type="dxa"/>
            <w:shd w:val="clear" w:color="auto" w:fill="BFBFBF" w:themeFill="background1" w:themeFillShade="BF"/>
          </w:tcPr>
          <w:p w:rsidR="00070407" w:rsidRPr="00FA65E6" w:rsidP="00B749D6" w14:paraId="43EB90DB" w14:textId="6E76D70B">
            <w:pPr>
              <w:widowControl/>
              <w:autoSpaceDE w:val="0"/>
              <w:autoSpaceDN w:val="0"/>
              <w:adjustRightInd w:val="0"/>
              <w:jc w:val="right"/>
              <w:rPr>
                <w:szCs w:val="24"/>
              </w:rPr>
            </w:pPr>
            <w:r w:rsidRPr="00FA65E6">
              <w:rPr>
                <w:szCs w:val="24"/>
              </w:rPr>
              <w:t>$8</w:t>
            </w:r>
            <w:r w:rsidR="00417501">
              <w:rPr>
                <w:szCs w:val="24"/>
              </w:rPr>
              <w:t>76,93</w:t>
            </w:r>
            <w:r w:rsidR="00A17932">
              <w:rPr>
                <w:szCs w:val="24"/>
              </w:rPr>
              <w:t>5</w:t>
            </w:r>
          </w:p>
          <w:p w:rsidR="00D7321F" w:rsidRPr="00FA65E6" w:rsidP="00B749D6" w14:paraId="481C0EA6" w14:textId="7281131C">
            <w:pPr>
              <w:widowControl/>
              <w:autoSpaceDE w:val="0"/>
              <w:autoSpaceDN w:val="0"/>
              <w:adjustRightInd w:val="0"/>
              <w:jc w:val="right"/>
              <w:rPr>
                <w:szCs w:val="24"/>
              </w:rPr>
            </w:pPr>
          </w:p>
          <w:p w:rsidR="009444C1" w:rsidRPr="00FA65E6" w:rsidP="00B749D6" w14:paraId="37329295" w14:textId="0117A0E8">
            <w:pPr>
              <w:widowControl/>
              <w:autoSpaceDE w:val="0"/>
              <w:autoSpaceDN w:val="0"/>
              <w:adjustRightInd w:val="0"/>
              <w:jc w:val="right"/>
              <w:rPr>
                <w:szCs w:val="24"/>
              </w:rPr>
            </w:pPr>
            <w:r w:rsidRPr="00FA65E6">
              <w:rPr>
                <w:szCs w:val="24"/>
              </w:rPr>
              <w:fldChar w:fldCharType="begin"/>
            </w:r>
            <w:r w:rsidRPr="00FA65E6">
              <w:rPr>
                <w:szCs w:val="24"/>
              </w:rPr>
              <w:instrText xml:space="preserve"> =SUM(ABOVE) </w:instrText>
            </w:r>
            <w:r w:rsidRPr="00FA65E6">
              <w:rPr>
                <w:szCs w:val="24"/>
              </w:rPr>
              <w:fldChar w:fldCharType="separate"/>
            </w:r>
            <w:r w:rsidRPr="00FA65E6">
              <w:rPr>
                <w:noProof/>
                <w:szCs w:val="24"/>
              </w:rPr>
              <w:t xml:space="preserve"> </w:t>
            </w:r>
            <w:r w:rsidRPr="00FA65E6">
              <w:rPr>
                <w:szCs w:val="24"/>
              </w:rPr>
              <w:fldChar w:fldCharType="end"/>
            </w:r>
          </w:p>
        </w:tc>
      </w:tr>
    </w:tbl>
    <w:p w:rsidR="009444C1" w:rsidRPr="00D3497A" w:rsidP="003B4D87" w14:paraId="3BC1BBE5" w14:textId="77777777">
      <w:pPr>
        <w:widowControl/>
        <w:autoSpaceDE w:val="0"/>
        <w:autoSpaceDN w:val="0"/>
        <w:adjustRightInd w:val="0"/>
        <w:rPr>
          <w:color w:val="000000"/>
          <w:szCs w:val="24"/>
        </w:rPr>
      </w:pPr>
    </w:p>
    <w:p w:rsidR="009444C1" w:rsidRPr="005C779E" w:rsidP="009444C1" w14:paraId="12521D1B" w14:textId="02AB9343">
      <w:pPr>
        <w:rPr>
          <w:i/>
          <w:szCs w:val="24"/>
        </w:rPr>
      </w:pPr>
      <w:r w:rsidRPr="007A572B">
        <w:rPr>
          <w:szCs w:val="24"/>
        </w:rPr>
        <w:t xml:space="preserve">13. </w:t>
      </w:r>
      <w:r w:rsidRPr="007A572B">
        <w:rPr>
          <w:szCs w:val="24"/>
          <w:u w:val="single"/>
        </w:rPr>
        <w:t>Annual</w:t>
      </w:r>
      <w:r w:rsidRPr="00757DD3">
        <w:rPr>
          <w:szCs w:val="24"/>
          <w:u w:val="single"/>
        </w:rPr>
        <w:t xml:space="preserve"> Cost to Respondents</w:t>
      </w:r>
      <w:r w:rsidRPr="00090093">
        <w:rPr>
          <w:szCs w:val="24"/>
        </w:rPr>
        <w:t>.</w:t>
      </w:r>
    </w:p>
    <w:p w:rsidR="009444C1" w:rsidRPr="00CF4CF1" w:rsidP="009444C1" w14:paraId="733351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12C1DA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sectPr w:rsidSect="00CA6EE9">
          <w:footerReference w:type="default" r:id="rId10"/>
          <w:headerReference w:type="first" r:id="rId11"/>
          <w:footerReference w:type="first" r:id="rId12"/>
          <w:footnotePr>
            <w:numRestart w:val="eachSect"/>
          </w:footnotePr>
          <w:endnotePr>
            <w:numFmt w:val="decimal"/>
          </w:endnotePr>
          <w:type w:val="continuous"/>
          <w:pgSz w:w="12240" w:h="15840"/>
          <w:pgMar w:top="1440" w:right="1440" w:bottom="1440" w:left="1440" w:header="720" w:footer="720" w:gutter="0"/>
          <w:cols w:space="720"/>
          <w:titlePg/>
          <w:docGrid w:linePitch="326"/>
        </w:sectPr>
      </w:pPr>
    </w:p>
    <w:p w:rsidR="006F680B" w:rsidRPr="00D3497A" w:rsidP="007746F8" w14:paraId="6375466F" w14:textId="30601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3497A">
        <w:rPr>
          <w:szCs w:val="24"/>
        </w:rPr>
        <w:tab/>
      </w:r>
      <w:r w:rsidRPr="00C055DA">
        <w:rPr>
          <w:szCs w:val="24"/>
        </w:rPr>
        <w:t>For some entities, there may be capital, operating, and maintenance costs associated with products</w:t>
      </w:r>
      <w:r w:rsidRPr="00C055DA" w:rsidR="006C7380">
        <w:rPr>
          <w:szCs w:val="24"/>
        </w:rPr>
        <w:t>,</w:t>
      </w:r>
      <w:r w:rsidRPr="00C055DA">
        <w:rPr>
          <w:szCs w:val="24"/>
        </w:rPr>
        <w:t xml:space="preserve"> such as interdiction software</w:t>
      </w:r>
      <w:r w:rsidRPr="00C055DA" w:rsidR="006C7380">
        <w:rPr>
          <w:szCs w:val="24"/>
        </w:rPr>
        <w:t>,</w:t>
      </w:r>
      <w:r w:rsidRPr="00C055DA">
        <w:rPr>
          <w:szCs w:val="24"/>
        </w:rPr>
        <w:t xml:space="preserve"> used to maintain compliance with U.S. sanctions laws</w:t>
      </w:r>
      <w:r w:rsidRPr="00C055DA" w:rsidR="007746F8">
        <w:rPr>
          <w:szCs w:val="24"/>
        </w:rPr>
        <w:t xml:space="preserve"> and other laws</w:t>
      </w:r>
      <w:r w:rsidRPr="00C055DA">
        <w:rPr>
          <w:szCs w:val="24"/>
        </w:rPr>
        <w:t>.  Nevertheless,</w:t>
      </w:r>
      <w:r w:rsidRPr="00C055DA" w:rsidR="006524A2">
        <w:rPr>
          <w:szCs w:val="24"/>
        </w:rPr>
        <w:t xml:space="preserve"> </w:t>
      </w:r>
      <w:r w:rsidRPr="00C055DA">
        <w:rPr>
          <w:szCs w:val="24"/>
        </w:rPr>
        <w:t>any capital or operating costs associated with the actual collection of information</w:t>
      </w:r>
      <w:r w:rsidRPr="00C055DA" w:rsidR="006C7380">
        <w:rPr>
          <w:szCs w:val="24"/>
        </w:rPr>
        <w:t xml:space="preserve"> or recordkeeping requirements</w:t>
      </w:r>
      <w:r w:rsidRPr="00C055DA" w:rsidR="00F760FE">
        <w:rPr>
          <w:szCs w:val="24"/>
        </w:rPr>
        <w:t xml:space="preserve"> under this collection authority</w:t>
      </w:r>
      <w:r w:rsidRPr="00C055DA">
        <w:rPr>
          <w:szCs w:val="24"/>
        </w:rPr>
        <w:t xml:space="preserve"> are assumed to be minimal</w:t>
      </w:r>
      <w:r w:rsidRPr="00C055DA" w:rsidR="00115841">
        <w:rPr>
          <w:szCs w:val="24"/>
        </w:rPr>
        <w:t xml:space="preserve">, as </w:t>
      </w:r>
      <w:r w:rsidRPr="00C055DA" w:rsidR="006C7380">
        <w:rPr>
          <w:szCs w:val="24"/>
        </w:rPr>
        <w:t>such products</w:t>
      </w:r>
      <w:r w:rsidRPr="00C055DA" w:rsidR="00115841">
        <w:rPr>
          <w:szCs w:val="24"/>
        </w:rPr>
        <w:t xml:space="preserve"> are not required for compliance with OFAC’s information collection or recordkeeping requirements</w:t>
      </w:r>
      <w:r w:rsidRPr="00C055DA" w:rsidR="006C7380">
        <w:rPr>
          <w:szCs w:val="24"/>
        </w:rPr>
        <w:t>.  While these products may have some in</w:t>
      </w:r>
      <w:r w:rsidRPr="00C055DA" w:rsidR="001D3BE6">
        <w:rPr>
          <w:szCs w:val="24"/>
        </w:rPr>
        <w:t>cidental benefits in aiding in the submission of required reports under this authority, OFAC assesses that the products are designed and used</w:t>
      </w:r>
      <w:r w:rsidRPr="00C055DA" w:rsidR="00115841">
        <w:rPr>
          <w:szCs w:val="24"/>
        </w:rPr>
        <w:t xml:space="preserve"> </w:t>
      </w:r>
      <w:r w:rsidRPr="00C055DA" w:rsidR="001D3BE6">
        <w:rPr>
          <w:szCs w:val="24"/>
        </w:rPr>
        <w:t xml:space="preserve">more </w:t>
      </w:r>
      <w:r w:rsidRPr="00C055DA" w:rsidR="00115841">
        <w:rPr>
          <w:szCs w:val="24"/>
        </w:rPr>
        <w:t xml:space="preserve">broadly for compliance with </w:t>
      </w:r>
      <w:r w:rsidRPr="00C055DA" w:rsidR="001D3BE6">
        <w:rPr>
          <w:szCs w:val="24"/>
        </w:rPr>
        <w:t>numerous regulatory regimes, including laws and regulations relating to anti-money laundering, countering the financing of terrorism</w:t>
      </w:r>
      <w:r w:rsidRPr="00C055DA" w:rsidR="007746F8">
        <w:rPr>
          <w:szCs w:val="24"/>
        </w:rPr>
        <w:t>,</w:t>
      </w:r>
      <w:r w:rsidRPr="00C055DA" w:rsidR="001D3BE6">
        <w:rPr>
          <w:szCs w:val="24"/>
        </w:rPr>
        <w:t xml:space="preserve"> and export and import controls, as well as the laws and regulations OFAC administers, and also for the identification of other business risks.  </w:t>
      </w:r>
      <w:r w:rsidRPr="00C055DA" w:rsidR="000829EE">
        <w:rPr>
          <w:szCs w:val="24"/>
        </w:rPr>
        <w:t>OFAC assesses that t</w:t>
      </w:r>
      <w:r w:rsidRPr="00C055DA" w:rsidR="001D3BE6">
        <w:rPr>
          <w:szCs w:val="24"/>
        </w:rPr>
        <w:t xml:space="preserve">he products are not specifically for complying with information collection or recordkeeping requirements administered by OFAC, and no such software or technology is required when submitting these required reports to OFAC. </w:t>
      </w:r>
      <w:r w:rsidR="00A11B13">
        <w:rPr>
          <w:szCs w:val="24"/>
        </w:rPr>
        <w:t xml:space="preserve"> </w:t>
      </w:r>
      <w:r w:rsidRPr="00C055DA" w:rsidR="001D3BE6">
        <w:rPr>
          <w:szCs w:val="24"/>
        </w:rPr>
        <w:t>In addition, while a minority of those that are subject to OFAC’s jurisdiction utilize these products for broad compliance purposes (typically the largest and most sophisticated companies), most persons subject to OFAC’s jurisdiction do not utilize any such products.</w:t>
      </w:r>
      <w:r w:rsidRPr="00C055DA" w:rsidR="007746F8">
        <w:rPr>
          <w:szCs w:val="24"/>
        </w:rPr>
        <w:t xml:space="preserve">  </w:t>
      </w:r>
      <w:r w:rsidRPr="00D3497A" w:rsidR="007746F8">
        <w:rPr>
          <w:szCs w:val="24"/>
        </w:rPr>
        <w:t xml:space="preserve">Overall, in light of the above factors, OFAC assesses that any capital, operating, or maintenance costs </w:t>
      </w:r>
      <w:r w:rsidR="00D22DD1">
        <w:rPr>
          <w:szCs w:val="24"/>
        </w:rPr>
        <w:t>exclusively</w:t>
      </w:r>
      <w:r w:rsidRPr="00D3497A" w:rsidR="00D22DD1">
        <w:rPr>
          <w:szCs w:val="24"/>
        </w:rPr>
        <w:t xml:space="preserve"> </w:t>
      </w:r>
      <w:r w:rsidRPr="00D3497A" w:rsidR="007746F8">
        <w:rPr>
          <w:szCs w:val="24"/>
        </w:rPr>
        <w:t>associated with the reportin</w:t>
      </w:r>
      <w:r w:rsidRPr="00757DD3" w:rsidR="007746F8">
        <w:rPr>
          <w:szCs w:val="24"/>
        </w:rPr>
        <w:t>g and recordkeeping requirements under this authority are negligible.</w:t>
      </w:r>
      <w:r w:rsidRPr="00757DD3">
        <w:rPr>
          <w:szCs w:val="24"/>
        </w:rPr>
        <w:t xml:space="preserve"> </w:t>
      </w:r>
      <w:r>
        <w:rPr>
          <w:szCs w:val="24"/>
        </w:rPr>
        <w:t xml:space="preserve"> However, given the upcoming mandate to </w:t>
      </w:r>
      <w:r w:rsidR="00A11B13">
        <w:rPr>
          <w:szCs w:val="24"/>
        </w:rPr>
        <w:t xml:space="preserve">electronically </w:t>
      </w:r>
      <w:r>
        <w:rPr>
          <w:szCs w:val="24"/>
        </w:rPr>
        <w:t xml:space="preserve">file </w:t>
      </w:r>
      <w:r w:rsidR="00A11B13">
        <w:rPr>
          <w:szCs w:val="24"/>
        </w:rPr>
        <w:t>certain reports with OFAC beginning in 2024</w:t>
      </w:r>
      <w:r>
        <w:rPr>
          <w:szCs w:val="24"/>
        </w:rPr>
        <w:t xml:space="preserve">, there could be up-front cost for </w:t>
      </w:r>
      <w:r w:rsidR="007F4AFB">
        <w:rPr>
          <w:szCs w:val="24"/>
        </w:rPr>
        <w:t xml:space="preserve">a very small number of </w:t>
      </w:r>
      <w:r w:rsidR="00A11B13">
        <w:rPr>
          <w:szCs w:val="24"/>
        </w:rPr>
        <w:t xml:space="preserve">filers that are not yet set up to submit reports using the electronic </w:t>
      </w:r>
      <w:r>
        <w:rPr>
          <w:szCs w:val="24"/>
        </w:rPr>
        <w:t>OFAC Reporting System (ORS</w:t>
      </w:r>
      <w:r w:rsidR="00A11B13">
        <w:rPr>
          <w:szCs w:val="24"/>
        </w:rPr>
        <w:t>)</w:t>
      </w:r>
      <w:r>
        <w:rPr>
          <w:szCs w:val="24"/>
        </w:rPr>
        <w:t xml:space="preserve">. </w:t>
      </w:r>
      <w:r w:rsidR="00E043CA">
        <w:rPr>
          <w:szCs w:val="24"/>
        </w:rPr>
        <w:t xml:space="preserve"> Nevertheless,</w:t>
      </w:r>
      <w:r>
        <w:rPr>
          <w:szCs w:val="24"/>
        </w:rPr>
        <w:t xml:space="preserve"> OFAC</w:t>
      </w:r>
      <w:r w:rsidR="00A11B13">
        <w:rPr>
          <w:szCs w:val="24"/>
        </w:rPr>
        <w:t xml:space="preserve"> expects that</w:t>
      </w:r>
      <w:r>
        <w:rPr>
          <w:szCs w:val="24"/>
        </w:rPr>
        <w:t xml:space="preserve"> </w:t>
      </w:r>
      <w:r w:rsidR="00A11B13">
        <w:rPr>
          <w:szCs w:val="24"/>
        </w:rPr>
        <w:t xml:space="preserve">only a few filers </w:t>
      </w:r>
      <w:r w:rsidR="00E043CA">
        <w:rPr>
          <w:szCs w:val="24"/>
        </w:rPr>
        <w:t xml:space="preserve">will </w:t>
      </w:r>
      <w:r w:rsidR="00A11B13">
        <w:rPr>
          <w:szCs w:val="24"/>
        </w:rPr>
        <w:t xml:space="preserve">be impacted because the vast </w:t>
      </w:r>
      <w:r>
        <w:rPr>
          <w:szCs w:val="24"/>
        </w:rPr>
        <w:t>majority of OFAC reports</w:t>
      </w:r>
      <w:r w:rsidR="0068014E">
        <w:rPr>
          <w:szCs w:val="24"/>
        </w:rPr>
        <w:t xml:space="preserve"> (96%)</w:t>
      </w:r>
      <w:r>
        <w:rPr>
          <w:szCs w:val="24"/>
        </w:rPr>
        <w:t xml:space="preserve"> are already submitted electronically </w:t>
      </w:r>
      <w:r w:rsidR="00E043CA">
        <w:rPr>
          <w:szCs w:val="24"/>
        </w:rPr>
        <w:t xml:space="preserve">through </w:t>
      </w:r>
      <w:r>
        <w:rPr>
          <w:szCs w:val="24"/>
        </w:rPr>
        <w:t xml:space="preserve">the current </w:t>
      </w:r>
      <w:r w:rsidR="00E043CA">
        <w:rPr>
          <w:szCs w:val="24"/>
        </w:rPr>
        <w:t>system (</w:t>
      </w:r>
      <w:r>
        <w:rPr>
          <w:szCs w:val="24"/>
        </w:rPr>
        <w:t>ORS</w:t>
      </w:r>
      <w:r w:rsidR="00E043CA">
        <w:rPr>
          <w:szCs w:val="24"/>
        </w:rPr>
        <w:t>)</w:t>
      </w:r>
      <w:r>
        <w:rPr>
          <w:szCs w:val="24"/>
        </w:rPr>
        <w:t>.</w:t>
      </w:r>
    </w:p>
    <w:p w:rsidR="00774BF2" w:rsidRPr="00757DD3" w:rsidP="009444C1" w14:paraId="6577E3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D2E58" w:rsidRPr="00CF4CF1" w:rsidP="00FD2E58" w14:paraId="68AC3F34" w14:textId="4256760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5" w:name="_Hlk149729688"/>
      <w:r w:rsidRPr="007A572B">
        <w:rPr>
          <w:szCs w:val="24"/>
        </w:rPr>
        <w:t xml:space="preserve">14. </w:t>
      </w:r>
      <w:r w:rsidRPr="007A572B">
        <w:rPr>
          <w:szCs w:val="24"/>
          <w:u w:val="single"/>
        </w:rPr>
        <w:t>Cost</w:t>
      </w:r>
      <w:r w:rsidRPr="005C779E">
        <w:rPr>
          <w:szCs w:val="24"/>
          <w:u w:val="single"/>
        </w:rPr>
        <w:t xml:space="preserve"> to the Federal Government</w:t>
      </w:r>
      <w:r w:rsidRPr="00090093">
        <w:rPr>
          <w:szCs w:val="24"/>
        </w:rPr>
        <w:t>.</w:t>
      </w:r>
    </w:p>
    <w:p w:rsidR="00FD2E58" w:rsidRPr="000206E7" w:rsidP="00FD2E58" w14:paraId="33019A63"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D2E58" w:rsidRPr="00757DD3" w:rsidP="00FD2E58" w14:paraId="5F8CA267" w14:textId="3C84E1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t xml:space="preserve">The total estimated annual cost to the U.S. </w:t>
      </w:r>
      <w:r w:rsidR="000E556C">
        <w:rPr>
          <w:szCs w:val="24"/>
        </w:rPr>
        <w:t>g</w:t>
      </w:r>
      <w:r w:rsidRPr="000206E7">
        <w:rPr>
          <w:szCs w:val="24"/>
        </w:rPr>
        <w:t>overnment attributable to this information collection is $</w:t>
      </w:r>
      <w:r>
        <w:rPr>
          <w:szCs w:val="24"/>
        </w:rPr>
        <w:t>1,207,118</w:t>
      </w:r>
      <w:r w:rsidRPr="00D3497A">
        <w:rPr>
          <w:szCs w:val="24"/>
        </w:rPr>
        <w:t xml:space="preserve">.  This amount represents salary and benefit costs for </w:t>
      </w:r>
      <w:r>
        <w:rPr>
          <w:szCs w:val="24"/>
        </w:rPr>
        <w:t>seven</w:t>
      </w:r>
      <w:r w:rsidRPr="00D3497A">
        <w:rPr>
          <w:szCs w:val="24"/>
        </w:rPr>
        <w:t xml:space="preserve"> full time employees across OFAC’s divisions at varying levels of seniority</w:t>
      </w:r>
      <w:r w:rsidRPr="00757DD3">
        <w:rPr>
          <w:szCs w:val="24"/>
        </w:rPr>
        <w:t xml:space="preserve"> (ranging from General Schedule (GS)</w:t>
      </w:r>
      <w:r w:rsidRPr="005C779E">
        <w:rPr>
          <w:szCs w:val="24"/>
        </w:rPr>
        <w:t>-</w:t>
      </w:r>
      <w:r>
        <w:rPr>
          <w:szCs w:val="24"/>
        </w:rPr>
        <w:t>9</w:t>
      </w:r>
      <w:r w:rsidRPr="005C779E">
        <w:rPr>
          <w:szCs w:val="24"/>
        </w:rPr>
        <w:t xml:space="preserve"> to GS-1</w:t>
      </w:r>
      <w:r>
        <w:rPr>
          <w:szCs w:val="24"/>
        </w:rPr>
        <w:t>5</w:t>
      </w:r>
      <w:r w:rsidRPr="005C779E">
        <w:rPr>
          <w:szCs w:val="24"/>
        </w:rPr>
        <w:t xml:space="preserve"> with additional Washington, D.C. locality pay included)</w:t>
      </w:r>
      <w:r w:rsidRPr="00CF4CF1">
        <w:rPr>
          <w:szCs w:val="24"/>
        </w:rPr>
        <w:t xml:space="preserve"> who accept and process the required information received pursuant to this collection.</w:t>
      </w:r>
      <w:r w:rsidRPr="000206E7">
        <w:rPr>
          <w:szCs w:val="24"/>
        </w:rPr>
        <w:t xml:space="preserve"> </w:t>
      </w:r>
      <w:r>
        <w:rPr>
          <w:szCs w:val="24"/>
        </w:rPr>
        <w:t xml:space="preserve"> Specifically, OFAC added the salaries and benefits of three GS-9 employees ($317,640), one GS-11 employee ($128,105), and three GS-15 employees ($761,373) for a total of $1,207,118.</w:t>
      </w:r>
    </w:p>
    <w:bookmarkEnd w:id="5"/>
    <w:p w:rsidR="009444C1" w:rsidRPr="00757DD3" w:rsidP="009444C1" w14:paraId="005F0A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090093" w:rsidP="009444C1" w14:paraId="591E2B37" w14:textId="5C542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15</w:t>
      </w:r>
      <w:r w:rsidRPr="007A572B">
        <w:rPr>
          <w:szCs w:val="24"/>
        </w:rPr>
        <w:t xml:space="preserve">. </w:t>
      </w:r>
      <w:r w:rsidRPr="007A572B">
        <w:rPr>
          <w:szCs w:val="24"/>
          <w:u w:val="single"/>
        </w:rPr>
        <w:t>Reason</w:t>
      </w:r>
      <w:r w:rsidRPr="00757DD3">
        <w:rPr>
          <w:szCs w:val="24"/>
          <w:u w:val="single"/>
        </w:rPr>
        <w:t xml:space="preserve"> for Change</w:t>
      </w:r>
      <w:r w:rsidRPr="00090093">
        <w:rPr>
          <w:szCs w:val="24"/>
        </w:rPr>
        <w:t>.</w:t>
      </w:r>
    </w:p>
    <w:p w:rsidR="009444C1" w:rsidRPr="00757DD3" w:rsidP="009444C1" w14:paraId="756CC0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0206E7" w:rsidP="009444C1" w14:paraId="6812E64F" w14:textId="77E679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ab/>
        <w:t xml:space="preserve">OFAC is seeking OMB renewal authorization for all the collections of information </w:t>
      </w:r>
      <w:r w:rsidRPr="00757DD3" w:rsidR="006C7380">
        <w:rPr>
          <w:szCs w:val="24"/>
        </w:rPr>
        <w:t xml:space="preserve">and recordkeeping requirements </w:t>
      </w:r>
      <w:r w:rsidRPr="005C779E">
        <w:rPr>
          <w:szCs w:val="24"/>
        </w:rPr>
        <w:t>associated with the Regulations</w:t>
      </w:r>
      <w:r w:rsidRPr="00CF4CF1" w:rsidR="00D5659E">
        <w:rPr>
          <w:szCs w:val="24"/>
        </w:rPr>
        <w:t xml:space="preserve"> and certain other parts</w:t>
      </w:r>
      <w:r w:rsidRPr="00CF4CF1" w:rsidR="006C7380">
        <w:rPr>
          <w:szCs w:val="24"/>
        </w:rPr>
        <w:t xml:space="preserve"> of 31 CFR chapter V</w:t>
      </w:r>
      <w:r w:rsidRPr="000206E7" w:rsidR="00D5659E">
        <w:rPr>
          <w:szCs w:val="24"/>
        </w:rPr>
        <w:t xml:space="preserve"> as described herein</w:t>
      </w:r>
      <w:r w:rsidRPr="000206E7">
        <w:rPr>
          <w:szCs w:val="24"/>
        </w:rPr>
        <w:t>.</w:t>
      </w:r>
    </w:p>
    <w:p w:rsidR="009444C1" w:rsidRPr="000206E7" w:rsidP="009444C1" w14:paraId="381A53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0EC1FD13" w14:textId="3BEB3D7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t xml:space="preserve">The estimated </w:t>
      </w:r>
      <w:r w:rsidRPr="00AB0F72" w:rsidR="00AB0F72">
        <w:t>137,084</w:t>
      </w:r>
      <w:r w:rsidR="00E35A8B">
        <w:t xml:space="preserve"> </w:t>
      </w:r>
      <w:r w:rsidRPr="00C055DA">
        <w:rPr>
          <w:szCs w:val="24"/>
        </w:rPr>
        <w:t>responses cited in Item 12 represent a</w:t>
      </w:r>
      <w:r w:rsidR="00CB134E">
        <w:rPr>
          <w:szCs w:val="24"/>
        </w:rPr>
        <w:t xml:space="preserve"> </w:t>
      </w:r>
      <w:r w:rsidR="009E5ECB">
        <w:rPr>
          <w:szCs w:val="24"/>
        </w:rPr>
        <w:t xml:space="preserve">significant </w:t>
      </w:r>
      <w:r w:rsidR="00CB134E">
        <w:rPr>
          <w:szCs w:val="24"/>
        </w:rPr>
        <w:t>increase o</w:t>
      </w:r>
      <w:r w:rsidR="0044657D">
        <w:rPr>
          <w:szCs w:val="24"/>
        </w:rPr>
        <w:t>f 106,</w:t>
      </w:r>
      <w:r w:rsidR="00651093">
        <w:rPr>
          <w:szCs w:val="24"/>
        </w:rPr>
        <w:t>7</w:t>
      </w:r>
      <w:r w:rsidR="0044657D">
        <w:rPr>
          <w:szCs w:val="24"/>
        </w:rPr>
        <w:t>33</w:t>
      </w:r>
      <w:r w:rsidR="00CB134E">
        <w:rPr>
          <w:szCs w:val="24"/>
        </w:rPr>
        <w:t xml:space="preserve"> responses </w:t>
      </w:r>
      <w:r w:rsidRPr="00C055DA">
        <w:rPr>
          <w:szCs w:val="24"/>
        </w:rPr>
        <w:t xml:space="preserve">from the previously approved collection for </w:t>
      </w:r>
      <w:r w:rsidRPr="00C055DA" w:rsidR="007746F8">
        <w:rPr>
          <w:szCs w:val="24"/>
        </w:rPr>
        <w:t>this authority</w:t>
      </w:r>
      <w:r w:rsidRPr="00C055DA">
        <w:rPr>
          <w:szCs w:val="24"/>
        </w:rPr>
        <w:t xml:space="preserve"> (see reference tables below).  </w:t>
      </w:r>
      <w:r w:rsidRPr="00C055DA" w:rsidR="009E5ECB">
        <w:rPr>
          <w:szCs w:val="24"/>
        </w:rPr>
        <w:t xml:space="preserve">Since OFAC’s last renewal request for this authority, </w:t>
      </w:r>
      <w:r w:rsidR="00A2121E">
        <w:rPr>
          <w:szCs w:val="24"/>
        </w:rPr>
        <w:t xml:space="preserve">in </w:t>
      </w:r>
      <w:r w:rsidRPr="00A2121E" w:rsidR="00A2121E">
        <w:rPr>
          <w:szCs w:val="24"/>
        </w:rPr>
        <w:t>respon</w:t>
      </w:r>
      <w:r w:rsidR="00A2121E">
        <w:rPr>
          <w:szCs w:val="24"/>
        </w:rPr>
        <w:t>se</w:t>
      </w:r>
      <w:r w:rsidRPr="00A2121E" w:rsidR="00A2121E">
        <w:rPr>
          <w:szCs w:val="24"/>
        </w:rPr>
        <w:t xml:space="preserve"> to </w:t>
      </w:r>
      <w:r w:rsidR="00A2121E">
        <w:rPr>
          <w:szCs w:val="24"/>
        </w:rPr>
        <w:t>unpredictable</w:t>
      </w:r>
      <w:r w:rsidRPr="00A2121E" w:rsidR="00A2121E">
        <w:rPr>
          <w:szCs w:val="24"/>
        </w:rPr>
        <w:t xml:space="preserve"> foreign policy developments and considerations</w:t>
      </w:r>
      <w:r w:rsidR="00A2121E">
        <w:rPr>
          <w:szCs w:val="24"/>
        </w:rPr>
        <w:t>, and given the ongoing conflict in Ukraine,</w:t>
      </w:r>
      <w:r w:rsidRPr="00C055DA" w:rsidR="00A2121E">
        <w:rPr>
          <w:szCs w:val="24"/>
        </w:rPr>
        <w:t xml:space="preserve"> </w:t>
      </w:r>
      <w:r w:rsidRPr="00C055DA" w:rsidR="009E5ECB">
        <w:rPr>
          <w:szCs w:val="24"/>
        </w:rPr>
        <w:t>OFAC has added a number of new programs and prohibitions</w:t>
      </w:r>
      <w:r w:rsidR="009E5ECB">
        <w:rPr>
          <w:szCs w:val="24"/>
        </w:rPr>
        <w:t xml:space="preserve">, </w:t>
      </w:r>
      <w:r w:rsidR="00D91405">
        <w:rPr>
          <w:szCs w:val="24"/>
        </w:rPr>
        <w:t xml:space="preserve">as well as several thousand new </w:t>
      </w:r>
      <w:r w:rsidR="00D91405">
        <w:rPr>
          <w:szCs w:val="24"/>
        </w:rPr>
        <w:t xml:space="preserve">designations, </w:t>
      </w:r>
      <w:r w:rsidR="00A2121E">
        <w:rPr>
          <w:szCs w:val="24"/>
        </w:rPr>
        <w:t xml:space="preserve">particularly </w:t>
      </w:r>
      <w:r w:rsidR="00D91405">
        <w:rPr>
          <w:szCs w:val="24"/>
        </w:rPr>
        <w:t xml:space="preserve">with respect to Ukraine and </w:t>
      </w:r>
      <w:r w:rsidR="00A2121E">
        <w:rPr>
          <w:szCs w:val="24"/>
        </w:rPr>
        <w:t xml:space="preserve">Russian, </w:t>
      </w:r>
      <w:r w:rsidR="009E5ECB">
        <w:rPr>
          <w:szCs w:val="24"/>
        </w:rPr>
        <w:t>and received a corresponding increase in related reports.</w:t>
      </w:r>
    </w:p>
    <w:p w:rsidR="00E625AF" w:rsidP="00D22492" w14:paraId="67E86B3E"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ab/>
      </w:r>
    </w:p>
    <w:p w:rsidR="00F07EE5" w:rsidRPr="00D3497A" w:rsidP="00D22492" w14:paraId="1502C28E" w14:textId="0F3F447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Pr="00757DD3" w:rsidR="00315D29">
        <w:rPr>
          <w:szCs w:val="24"/>
        </w:rPr>
        <w:t xml:space="preserve">Numerous factors are </w:t>
      </w:r>
      <w:r w:rsidRPr="00757DD3">
        <w:rPr>
          <w:szCs w:val="24"/>
        </w:rPr>
        <w:t>relevant</w:t>
      </w:r>
      <w:r w:rsidRPr="00757DD3" w:rsidR="00315D29">
        <w:rPr>
          <w:szCs w:val="24"/>
        </w:rPr>
        <w:t xml:space="preserve"> with respect to calculating the </w:t>
      </w:r>
      <w:r w:rsidRPr="00757DD3">
        <w:rPr>
          <w:szCs w:val="24"/>
        </w:rPr>
        <w:t xml:space="preserve">estimated </w:t>
      </w:r>
      <w:r w:rsidRPr="005C779E" w:rsidR="00315D29">
        <w:rPr>
          <w:szCs w:val="24"/>
        </w:rPr>
        <w:t xml:space="preserve">burden associated with the information collection and </w:t>
      </w:r>
      <w:r w:rsidRPr="00CF4CF1" w:rsidR="00315D29">
        <w:rPr>
          <w:szCs w:val="24"/>
        </w:rPr>
        <w:t>record</w:t>
      </w:r>
      <w:r w:rsidRPr="00CF4CF1" w:rsidR="00410F86">
        <w:rPr>
          <w:szCs w:val="24"/>
        </w:rPr>
        <w:t>k</w:t>
      </w:r>
      <w:r w:rsidRPr="000206E7" w:rsidR="00315D29">
        <w:rPr>
          <w:szCs w:val="24"/>
        </w:rPr>
        <w:t xml:space="preserve">eeping requirements associated with this collection.  </w:t>
      </w:r>
      <w:r w:rsidR="00C74E39">
        <w:rPr>
          <w:szCs w:val="24"/>
        </w:rPr>
        <w:t xml:space="preserve">Of necessity, </w:t>
      </w:r>
      <w:r w:rsidRPr="00C055DA" w:rsidR="00C74E39">
        <w:rPr>
          <w:szCs w:val="24"/>
        </w:rPr>
        <w:t>OFAC utilizes historical burden dat</w:t>
      </w:r>
      <w:r w:rsidR="00C74E39">
        <w:rPr>
          <w:szCs w:val="24"/>
        </w:rPr>
        <w:t>a</w:t>
      </w:r>
      <w:r w:rsidRPr="00757DD3" w:rsidR="00C74E39">
        <w:rPr>
          <w:szCs w:val="24"/>
        </w:rPr>
        <w:t xml:space="preserve"> in forecasting future burden hours.  </w:t>
      </w:r>
      <w:r w:rsidRPr="000206E7" w:rsidR="00315D29">
        <w:rPr>
          <w:szCs w:val="24"/>
        </w:rPr>
        <w:t xml:space="preserve">In future years, OFAC expects that new sanctions programs may be created, or additional prohibitions imposed under existing programs, and other programs </w:t>
      </w:r>
      <w:r w:rsidRPr="000206E7">
        <w:rPr>
          <w:szCs w:val="24"/>
        </w:rPr>
        <w:t xml:space="preserve">or prohibitions </w:t>
      </w:r>
      <w:r w:rsidRPr="000206E7" w:rsidR="00315D29">
        <w:rPr>
          <w:szCs w:val="24"/>
        </w:rPr>
        <w:t>may be terminated</w:t>
      </w:r>
      <w:r w:rsidRPr="000206E7">
        <w:rPr>
          <w:szCs w:val="24"/>
        </w:rPr>
        <w:t xml:space="preserve">, which may slightly increase or decrease the burden associated with this collection authority.  The creation of new programs or prohibitions, or the elimination of programs or prohibitions, are difficult to estimate as these changes are often responding to specific and unforeseeable foreign policy developments and considerations. </w:t>
      </w:r>
      <w:r w:rsidRPr="00D3497A">
        <w:rPr>
          <w:szCs w:val="24"/>
        </w:rPr>
        <w:t xml:space="preserve"> However, these changes </w:t>
      </w:r>
      <w:r w:rsidRPr="00C055DA" w:rsidR="00BF5E45">
        <w:rPr>
          <w:szCs w:val="24"/>
        </w:rPr>
        <w:t xml:space="preserve">may </w:t>
      </w:r>
      <w:r w:rsidRPr="00C055DA">
        <w:rPr>
          <w:szCs w:val="24"/>
        </w:rPr>
        <w:t>have an impact on the time and cost estimates under this collection authority.</w:t>
      </w:r>
    </w:p>
    <w:p w:rsidR="00F07EE5" w:rsidRPr="00757DD3" w:rsidP="00D22492" w14:paraId="484CF5A4"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C2170" w:rsidRPr="000206E7" w:rsidP="00D22492" w14:paraId="4E57A9EC" w14:textId="55DCBE8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5C779E">
        <w:rPr>
          <w:szCs w:val="24"/>
        </w:rPr>
        <w:tab/>
        <w:t>At the same time, OFAC has been working to streamline the reporting process, and to update its technologies to assist submitters in the reporting process with a view toward reduction of the overall burden on su</w:t>
      </w:r>
      <w:r w:rsidRPr="00CF4CF1">
        <w:rPr>
          <w:szCs w:val="24"/>
        </w:rPr>
        <w:t xml:space="preserve">bmitters of required reports.  </w:t>
      </w:r>
      <w:r w:rsidRPr="00CF4CF1" w:rsidR="00AB724B">
        <w:rPr>
          <w:szCs w:val="24"/>
        </w:rPr>
        <w:t xml:space="preserve">For example, </w:t>
      </w:r>
      <w:r w:rsidR="00A11B13">
        <w:rPr>
          <w:szCs w:val="24"/>
        </w:rPr>
        <w:t>the</w:t>
      </w:r>
      <w:r w:rsidRPr="00CF4CF1" w:rsidR="00AB724B">
        <w:rPr>
          <w:szCs w:val="24"/>
        </w:rPr>
        <w:t xml:space="preserve"> ORS electronic reporting system </w:t>
      </w:r>
      <w:r w:rsidRPr="000206E7" w:rsidR="002D7415">
        <w:rPr>
          <w:szCs w:val="24"/>
        </w:rPr>
        <w:t>continues to reduce</w:t>
      </w:r>
      <w:r w:rsidRPr="000206E7" w:rsidR="00AB724B">
        <w:rPr>
          <w:szCs w:val="24"/>
        </w:rPr>
        <w:t xml:space="preserve"> the burden of submitting certain required reports for many submitters, including many large, higher-volume filers.  OFAC expects this </w:t>
      </w:r>
      <w:r w:rsidR="009C1146">
        <w:rPr>
          <w:szCs w:val="24"/>
        </w:rPr>
        <w:t xml:space="preserve">small </w:t>
      </w:r>
      <w:r w:rsidRPr="000206E7" w:rsidR="00AB724B">
        <w:rPr>
          <w:szCs w:val="24"/>
        </w:rPr>
        <w:t>burden reduction trend to continue as more submitters utilize ORS for reporting</w:t>
      </w:r>
      <w:r w:rsidR="00CB134E">
        <w:rPr>
          <w:szCs w:val="24"/>
        </w:rPr>
        <w:t xml:space="preserve"> given the upcoming mandate for ORS filing for certain reports</w:t>
      </w:r>
      <w:r w:rsidRPr="000206E7" w:rsidR="00AB724B">
        <w:rPr>
          <w:szCs w:val="24"/>
        </w:rPr>
        <w:t>, and reporting of additional forms</w:t>
      </w:r>
      <w:r w:rsidRPr="000206E7" w:rsidR="00B03E80">
        <w:rPr>
          <w:szCs w:val="24"/>
        </w:rPr>
        <w:t xml:space="preserve"> and information</w:t>
      </w:r>
      <w:r w:rsidRPr="000206E7" w:rsidR="00AB724B">
        <w:rPr>
          <w:szCs w:val="24"/>
        </w:rPr>
        <w:t xml:space="preserve"> </w:t>
      </w:r>
      <w:r w:rsidR="00CB134E">
        <w:rPr>
          <w:szCs w:val="24"/>
        </w:rPr>
        <w:t xml:space="preserve">becomes </w:t>
      </w:r>
      <w:r w:rsidRPr="000206E7" w:rsidR="00AB724B">
        <w:rPr>
          <w:szCs w:val="24"/>
        </w:rPr>
        <w:t>available via ORS</w:t>
      </w:r>
      <w:r w:rsidR="00CB134E">
        <w:rPr>
          <w:szCs w:val="24"/>
        </w:rPr>
        <w:t xml:space="preserve"> in the future</w:t>
      </w:r>
      <w:r w:rsidRPr="000206E7" w:rsidR="00AB724B">
        <w:rPr>
          <w:szCs w:val="24"/>
        </w:rPr>
        <w:t>.</w:t>
      </w:r>
    </w:p>
    <w:p w:rsidR="00AB724B" w:rsidRPr="000206E7" w:rsidP="00D22492" w14:paraId="0929ACF7"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D22492" w14:paraId="0F5AE93C" w14:textId="10863A4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r>
      <w:r w:rsidRPr="000206E7" w:rsidR="00F07EE5">
        <w:rPr>
          <w:szCs w:val="24"/>
        </w:rPr>
        <w:t xml:space="preserve">In addition, OFAC continues to finetune its methodology for calculating burden </w:t>
      </w:r>
      <w:r w:rsidRPr="000206E7">
        <w:rPr>
          <w:szCs w:val="24"/>
        </w:rPr>
        <w:t xml:space="preserve">in an </w:t>
      </w:r>
      <w:r w:rsidR="009E5ECB">
        <w:rPr>
          <w:szCs w:val="24"/>
        </w:rPr>
        <w:t>effort</w:t>
      </w:r>
      <w:r w:rsidRPr="000206E7" w:rsidR="009E5ECB">
        <w:rPr>
          <w:szCs w:val="24"/>
        </w:rPr>
        <w:t xml:space="preserve"> </w:t>
      </w:r>
      <w:r w:rsidRPr="000206E7">
        <w:rPr>
          <w:szCs w:val="24"/>
        </w:rPr>
        <w:t>to be more precise and accurate in its burden estimates and calculations.</w:t>
      </w:r>
    </w:p>
    <w:p w:rsidR="009444C1" w:rsidRPr="00C055DA" w:rsidP="009444C1" w14:paraId="2DB2609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010F5B" w14:paraId="0EBB0CC0" w14:textId="371D9F5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055DA">
        <w:rPr>
          <w:szCs w:val="24"/>
        </w:rPr>
        <w:tab/>
        <w:t xml:space="preserve">This </w:t>
      </w:r>
      <w:r w:rsidR="003A7D66">
        <w:rPr>
          <w:szCs w:val="24"/>
        </w:rPr>
        <w:t xml:space="preserve">rule-related information collection </w:t>
      </w:r>
      <w:r w:rsidRPr="00C055DA">
        <w:rPr>
          <w:szCs w:val="24"/>
        </w:rPr>
        <w:t xml:space="preserve">submission is </w:t>
      </w:r>
      <w:r w:rsidR="003A7D66">
        <w:rPr>
          <w:szCs w:val="24"/>
        </w:rPr>
        <w:t xml:space="preserve">also </w:t>
      </w:r>
      <w:r w:rsidRPr="00C055DA">
        <w:rPr>
          <w:szCs w:val="24"/>
        </w:rPr>
        <w:t>being made for renewal purposes.</w:t>
      </w:r>
    </w:p>
    <w:p w:rsidR="009444C1" w:rsidRPr="00C055DA" w:rsidP="009444C1" w14:paraId="38E4D6F3" w14:textId="77777777">
      <w:pPr>
        <w:rPr>
          <w:color w:val="000000" w:themeColor="text1"/>
          <w:szCs w:val="24"/>
        </w:rPr>
      </w:pPr>
    </w:p>
    <w:p w:rsidR="009444C1" w:rsidRPr="00C055DA" w:rsidP="009444C1" w14:paraId="3E1700C5" w14:textId="77777777">
      <w:pPr>
        <w:rPr>
          <w:color w:val="000000" w:themeColor="text1"/>
          <w:szCs w:val="24"/>
        </w:rPr>
      </w:pPr>
    </w:p>
    <w:tbl>
      <w:tblPr>
        <w:tblStyle w:val="TableGrid"/>
        <w:tblW w:w="0" w:type="auto"/>
        <w:tblLayout w:type="fixed"/>
        <w:tblLook w:val="04A0"/>
      </w:tblPr>
      <w:tblGrid>
        <w:gridCol w:w="1776"/>
        <w:gridCol w:w="1729"/>
        <w:gridCol w:w="1980"/>
        <w:gridCol w:w="2160"/>
        <w:gridCol w:w="1705"/>
      </w:tblGrid>
      <w:tr w14:paraId="247ACE0D" w14:textId="77777777" w:rsidTr="00C055DA">
        <w:tblPrEx>
          <w:tblW w:w="0" w:type="auto"/>
          <w:tblLayout w:type="fixed"/>
          <w:tblLook w:val="04A0"/>
        </w:tblPrEx>
        <w:tc>
          <w:tcPr>
            <w:tcW w:w="17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444C1" w:rsidRPr="006A4136" w:rsidP="006A4136" w14:paraId="13854CE7" w14:textId="77777777">
            <w:pPr>
              <w:rPr>
                <w:color w:val="000000" w:themeColor="text1"/>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444C1" w:rsidRPr="006A4136" w:rsidP="006A4136" w14:paraId="7BE3EA65" w14:textId="467C8DA7">
            <w:pPr>
              <w:rPr>
                <w:color w:val="000000" w:themeColor="text1"/>
                <w:szCs w:val="24"/>
              </w:rPr>
            </w:pPr>
            <w:r w:rsidRPr="006A4136">
              <w:rPr>
                <w:color w:val="000000" w:themeColor="text1"/>
                <w:szCs w:val="24"/>
              </w:rPr>
              <w:t>PREVIOUSLY APPROVED</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444C1" w:rsidRPr="006A4136" w:rsidP="006A4136" w14:paraId="71A41289" w14:textId="1101408B">
            <w:pPr>
              <w:rPr>
                <w:color w:val="000000" w:themeColor="text1"/>
                <w:szCs w:val="24"/>
              </w:rPr>
            </w:pPr>
            <w:r w:rsidRPr="006A4136">
              <w:rPr>
                <w:color w:val="000000" w:themeColor="text1"/>
                <w:szCs w:val="24"/>
              </w:rPr>
              <w:t xml:space="preserve">PROGRAM CHANGE DUE TO </w:t>
            </w:r>
            <w:r w:rsidR="00C47F34">
              <w:rPr>
                <w:color w:val="000000" w:themeColor="text1"/>
                <w:szCs w:val="24"/>
              </w:rPr>
              <w:t>NEW STATUTE</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444C1" w:rsidRPr="006A4136" w:rsidP="006A4136" w14:paraId="3E67F6B3" w14:textId="53DA42FE">
            <w:pPr>
              <w:rPr>
                <w:color w:val="000000" w:themeColor="text1"/>
                <w:szCs w:val="24"/>
              </w:rPr>
            </w:pPr>
            <w:r w:rsidRPr="006A4136">
              <w:rPr>
                <w:color w:val="000000" w:themeColor="text1"/>
                <w:szCs w:val="24"/>
              </w:rPr>
              <w:t>CHANGE DUE TO ADJUSTMENT IN AGENCY ESTIMATE</w:t>
            </w:r>
          </w:p>
        </w:tc>
        <w:tc>
          <w:tcPr>
            <w:tcW w:w="1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444C1" w:rsidRPr="006A4136" w:rsidP="006A4136" w14:paraId="356FFE48" w14:textId="414A4AE2">
            <w:pPr>
              <w:rPr>
                <w:color w:val="000000" w:themeColor="text1"/>
                <w:szCs w:val="24"/>
              </w:rPr>
            </w:pPr>
            <w:r w:rsidRPr="006A4136">
              <w:rPr>
                <w:color w:val="000000" w:themeColor="text1"/>
                <w:szCs w:val="24"/>
              </w:rPr>
              <w:t>REQUESTED</w:t>
            </w:r>
          </w:p>
        </w:tc>
      </w:tr>
      <w:tr w14:paraId="0A32188A" w14:textId="77777777" w:rsidTr="00C055DA">
        <w:tblPrEx>
          <w:tblW w:w="0" w:type="auto"/>
          <w:tblLayout w:type="fixed"/>
          <w:tblLook w:val="04A0"/>
        </w:tblPrEx>
        <w:tc>
          <w:tcPr>
            <w:tcW w:w="1776" w:type="dxa"/>
            <w:tcBorders>
              <w:top w:val="single" w:sz="4" w:space="0" w:color="auto"/>
              <w:left w:val="single" w:sz="4" w:space="0" w:color="auto"/>
              <w:bottom w:val="single" w:sz="4" w:space="0" w:color="auto"/>
              <w:right w:val="single" w:sz="4" w:space="0" w:color="auto"/>
            </w:tcBorders>
            <w:hideMark/>
          </w:tcPr>
          <w:p w:rsidR="009444C1" w:rsidRPr="006A4136" w:rsidP="006A4136" w14:paraId="163F7D8D" w14:textId="77777777">
            <w:pPr>
              <w:rPr>
                <w:color w:val="000000" w:themeColor="text1"/>
                <w:szCs w:val="24"/>
              </w:rPr>
            </w:pPr>
            <w:r w:rsidRPr="006A4136">
              <w:rPr>
                <w:color w:val="000000" w:themeColor="text1"/>
                <w:szCs w:val="24"/>
              </w:rPr>
              <w:t>Annual Number of Responses</w:t>
            </w:r>
          </w:p>
        </w:tc>
        <w:tc>
          <w:tcPr>
            <w:tcW w:w="1729" w:type="dxa"/>
            <w:tcBorders>
              <w:top w:val="single" w:sz="4" w:space="0" w:color="auto"/>
              <w:left w:val="single" w:sz="4" w:space="0" w:color="auto"/>
              <w:bottom w:val="single" w:sz="4" w:space="0" w:color="auto"/>
              <w:right w:val="single" w:sz="4" w:space="0" w:color="auto"/>
            </w:tcBorders>
            <w:hideMark/>
          </w:tcPr>
          <w:p w:rsidR="001F5D07" w:rsidRPr="006A4136" w:rsidP="006A4136" w14:paraId="69189B09" w14:textId="77777777">
            <w:pPr>
              <w:rPr>
                <w:color w:val="000000" w:themeColor="text1"/>
                <w:szCs w:val="24"/>
              </w:rPr>
            </w:pPr>
            <w:r w:rsidRPr="005B38FA">
              <w:rPr>
                <w:color w:val="000000" w:themeColor="text1"/>
              </w:rPr>
              <w:t>3</w:t>
            </w:r>
            <w:r w:rsidRPr="005B38FA">
              <w:rPr>
                <w:color w:val="000000" w:themeColor="text1"/>
              </w:rPr>
              <w:t>0,051</w:t>
            </w:r>
          </w:p>
          <w:p w:rsidR="00D50E89" w:rsidRPr="006A4136" w:rsidP="006A4136" w14:paraId="3FC084CD" w14:textId="34DBA934">
            <w:pPr>
              <w:rPr>
                <w:color w:val="000000" w:themeColor="text1"/>
                <w:szCs w:val="24"/>
              </w:rPr>
            </w:pPr>
          </w:p>
          <w:p w:rsidR="009444C1" w:rsidRPr="006A4136" w:rsidP="006A4136" w14:paraId="1CC03FE0" w14:textId="61F1D766">
            <w:pPr>
              <w:rPr>
                <w:color w:val="000000" w:themeColor="text1"/>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444C1" w:rsidRPr="006A4136" w:rsidP="00B749D6" w14:paraId="165F29F4" w14:textId="13E0647B">
            <w:pPr>
              <w:jc w:val="right"/>
              <w:rPr>
                <w:color w:val="000000" w:themeColor="text1"/>
                <w:szCs w:val="24"/>
              </w:rPr>
            </w:pPr>
            <w:r>
              <w:rPr>
                <w:color w:val="000000" w:themeColor="text1"/>
                <w:szCs w:val="24"/>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444C1" w:rsidRPr="006A4136" w:rsidP="00B749D6" w14:paraId="5BD9243F" w14:textId="3746B152">
            <w:pPr>
              <w:jc w:val="right"/>
              <w:rPr>
                <w:color w:val="000000" w:themeColor="text1"/>
                <w:szCs w:val="24"/>
              </w:rPr>
            </w:pPr>
            <w:r w:rsidRPr="006A4136">
              <w:rPr>
                <w:color w:val="000000" w:themeColor="text1"/>
                <w:szCs w:val="24"/>
              </w:rPr>
              <w:t>+</w:t>
            </w:r>
            <w:r w:rsidRPr="006A4136" w:rsidR="00AC7531">
              <w:rPr>
                <w:color w:val="000000" w:themeColor="text1"/>
                <w:szCs w:val="24"/>
              </w:rPr>
              <w:t>10</w:t>
            </w:r>
            <w:r w:rsidR="00C47F34">
              <w:rPr>
                <w:color w:val="000000" w:themeColor="text1"/>
                <w:szCs w:val="24"/>
              </w:rPr>
              <w:t>6</w:t>
            </w:r>
            <w:r w:rsidRPr="006A4136" w:rsidR="00AC7531">
              <w:rPr>
                <w:color w:val="000000" w:themeColor="text1"/>
                <w:szCs w:val="24"/>
              </w:rPr>
              <w:t>,</w:t>
            </w:r>
            <w:r w:rsidR="00C47F34">
              <w:rPr>
                <w:color w:val="000000" w:themeColor="text1"/>
                <w:szCs w:val="24"/>
              </w:rPr>
              <w:t>7</w:t>
            </w:r>
            <w:r w:rsidRPr="006A4136" w:rsidR="00AC7531">
              <w:rPr>
                <w:color w:val="000000" w:themeColor="text1"/>
                <w:szCs w:val="24"/>
              </w:rPr>
              <w:t>33</w:t>
            </w:r>
          </w:p>
        </w:tc>
        <w:tc>
          <w:tcPr>
            <w:tcW w:w="1705" w:type="dxa"/>
            <w:tcBorders>
              <w:top w:val="single" w:sz="4" w:space="0" w:color="auto"/>
              <w:left w:val="single" w:sz="4" w:space="0" w:color="auto"/>
              <w:bottom w:val="single" w:sz="4" w:space="0" w:color="auto"/>
              <w:right w:val="single" w:sz="4" w:space="0" w:color="auto"/>
            </w:tcBorders>
            <w:hideMark/>
          </w:tcPr>
          <w:p w:rsidR="001F5D07" w:rsidRPr="006A4136" w:rsidP="00B749D6" w14:paraId="46FB1DEE" w14:textId="4BF681D9">
            <w:pPr>
              <w:jc w:val="right"/>
              <w:rPr>
                <w:color w:val="000000" w:themeColor="text1"/>
                <w:szCs w:val="24"/>
              </w:rPr>
            </w:pPr>
            <w:r w:rsidRPr="006A4136">
              <w:rPr>
                <w:color w:val="000000" w:themeColor="text1"/>
                <w:szCs w:val="24"/>
              </w:rPr>
              <w:t>1</w:t>
            </w:r>
            <w:r w:rsidRPr="006A4136" w:rsidR="007F4AFB">
              <w:rPr>
                <w:color w:val="000000" w:themeColor="text1"/>
                <w:szCs w:val="24"/>
              </w:rPr>
              <w:t>3</w:t>
            </w:r>
            <w:r w:rsidR="007619E6">
              <w:rPr>
                <w:color w:val="000000" w:themeColor="text1"/>
                <w:szCs w:val="24"/>
              </w:rPr>
              <w:t>7</w:t>
            </w:r>
            <w:r w:rsidRPr="006A4136" w:rsidR="007F4AFB">
              <w:rPr>
                <w:color w:val="000000" w:themeColor="text1"/>
                <w:szCs w:val="24"/>
              </w:rPr>
              <w:t>,</w:t>
            </w:r>
            <w:r w:rsidR="007619E6">
              <w:rPr>
                <w:color w:val="000000" w:themeColor="text1"/>
                <w:szCs w:val="24"/>
              </w:rPr>
              <w:t>0</w:t>
            </w:r>
            <w:r w:rsidRPr="006A4136" w:rsidR="007F4AFB">
              <w:rPr>
                <w:color w:val="000000" w:themeColor="text1"/>
                <w:szCs w:val="24"/>
              </w:rPr>
              <w:t>84</w:t>
            </w:r>
          </w:p>
          <w:p w:rsidR="009444C1" w:rsidRPr="006A4136" w:rsidP="00B749D6" w14:paraId="34505DFA" w14:textId="40F0136E">
            <w:pPr>
              <w:jc w:val="right"/>
              <w:rPr>
                <w:color w:val="000000" w:themeColor="text1"/>
                <w:szCs w:val="24"/>
              </w:rPr>
            </w:pPr>
          </w:p>
        </w:tc>
      </w:tr>
      <w:tr w14:paraId="2A26976F" w14:textId="77777777" w:rsidTr="00C055DA">
        <w:tblPrEx>
          <w:tblW w:w="0" w:type="auto"/>
          <w:tblLayout w:type="fixed"/>
          <w:tblLook w:val="04A0"/>
        </w:tblPrEx>
        <w:tc>
          <w:tcPr>
            <w:tcW w:w="1776" w:type="dxa"/>
            <w:tcBorders>
              <w:top w:val="single" w:sz="4" w:space="0" w:color="auto"/>
              <w:left w:val="single" w:sz="4" w:space="0" w:color="auto"/>
              <w:bottom w:val="single" w:sz="4" w:space="0" w:color="auto"/>
              <w:right w:val="single" w:sz="4" w:space="0" w:color="auto"/>
            </w:tcBorders>
            <w:hideMark/>
          </w:tcPr>
          <w:p w:rsidR="009444C1" w:rsidRPr="006A4136" w:rsidP="006A4136" w14:paraId="3EE41C02" w14:textId="77777777">
            <w:pPr>
              <w:rPr>
                <w:color w:val="000000" w:themeColor="text1"/>
                <w:szCs w:val="24"/>
              </w:rPr>
            </w:pPr>
            <w:r w:rsidRPr="006A4136">
              <w:rPr>
                <w:color w:val="000000" w:themeColor="text1"/>
                <w:szCs w:val="24"/>
              </w:rPr>
              <w:t>Annual Time Burden (Hr)</w:t>
            </w:r>
          </w:p>
        </w:tc>
        <w:tc>
          <w:tcPr>
            <w:tcW w:w="1729" w:type="dxa"/>
            <w:tcBorders>
              <w:top w:val="single" w:sz="4" w:space="0" w:color="auto"/>
              <w:left w:val="single" w:sz="4" w:space="0" w:color="auto"/>
              <w:bottom w:val="single" w:sz="4" w:space="0" w:color="auto"/>
              <w:right w:val="single" w:sz="4" w:space="0" w:color="auto"/>
            </w:tcBorders>
            <w:hideMark/>
          </w:tcPr>
          <w:p w:rsidR="00DC6EB7" w:rsidRPr="006A4136" w:rsidP="006A4136" w14:paraId="5AD121EA" w14:textId="77777777">
            <w:pPr>
              <w:rPr>
                <w:color w:val="000000" w:themeColor="text1"/>
                <w:szCs w:val="24"/>
              </w:rPr>
            </w:pPr>
            <w:r w:rsidRPr="005B38FA">
              <w:rPr>
                <w:color w:val="000000" w:themeColor="text1"/>
              </w:rPr>
              <w:t>13,160</w:t>
            </w:r>
          </w:p>
          <w:p w:rsidR="00DC6EB7" w:rsidRPr="006A4136" w:rsidP="006A4136" w14:paraId="3E79F570" w14:textId="3617203C">
            <w:pPr>
              <w:rPr>
                <w:color w:val="000000" w:themeColor="text1"/>
                <w:szCs w:val="24"/>
              </w:rPr>
            </w:pPr>
          </w:p>
          <w:p w:rsidR="00D50E89" w:rsidRPr="006A4136" w:rsidP="006A4136" w14:paraId="1DFF9751" w14:textId="303C5F5C">
            <w:pPr>
              <w:rPr>
                <w:color w:val="000000" w:themeColor="text1"/>
                <w:szCs w:val="24"/>
              </w:rPr>
            </w:pPr>
          </w:p>
          <w:p w:rsidR="009444C1" w:rsidRPr="006A4136" w:rsidP="006A4136" w14:paraId="50134334" w14:textId="2E100A9B">
            <w:pPr>
              <w:rPr>
                <w:color w:val="000000" w:themeColor="text1"/>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444C1" w:rsidRPr="006A4136" w:rsidP="00B749D6" w14:paraId="0E0610DD" w14:textId="1390335D">
            <w:pPr>
              <w:jc w:val="right"/>
              <w:rPr>
                <w:color w:val="000000" w:themeColor="text1"/>
                <w:szCs w:val="24"/>
              </w:rPr>
            </w:pPr>
            <w:r>
              <w:rPr>
                <w:color w:val="000000" w:themeColor="text1"/>
                <w:szCs w:val="24"/>
              </w:rPr>
              <w:t>+15</w:t>
            </w:r>
            <w:r w:rsidRPr="006A4136" w:rsidR="002B4A91">
              <w:rPr>
                <w:color w:val="000000" w:themeColor="text1"/>
                <w:szCs w:val="24"/>
              </w:rPr>
              <w:t>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444C1" w:rsidRPr="006A4136" w:rsidP="00B749D6" w14:paraId="19C1A223" w14:textId="690379B5">
            <w:pPr>
              <w:jc w:val="right"/>
              <w:rPr>
                <w:color w:val="000000" w:themeColor="text1"/>
                <w:szCs w:val="24"/>
              </w:rPr>
            </w:pPr>
            <w:r w:rsidRPr="006A4136">
              <w:rPr>
                <w:color w:val="000000" w:themeColor="text1"/>
                <w:szCs w:val="24"/>
              </w:rPr>
              <w:t>+3</w:t>
            </w:r>
            <w:r w:rsidRPr="006A4136" w:rsidR="00221D3B">
              <w:rPr>
                <w:color w:val="000000" w:themeColor="text1"/>
                <w:szCs w:val="24"/>
              </w:rPr>
              <w:t>1,</w:t>
            </w:r>
            <w:r w:rsidR="00C47F34">
              <w:rPr>
                <w:color w:val="000000" w:themeColor="text1"/>
                <w:szCs w:val="24"/>
              </w:rPr>
              <w:t>062</w:t>
            </w:r>
          </w:p>
        </w:tc>
        <w:tc>
          <w:tcPr>
            <w:tcW w:w="1705" w:type="dxa"/>
            <w:tcBorders>
              <w:top w:val="single" w:sz="4" w:space="0" w:color="auto"/>
              <w:left w:val="single" w:sz="4" w:space="0" w:color="auto"/>
              <w:bottom w:val="single" w:sz="4" w:space="0" w:color="auto"/>
              <w:right w:val="single" w:sz="4" w:space="0" w:color="auto"/>
            </w:tcBorders>
            <w:hideMark/>
          </w:tcPr>
          <w:p w:rsidR="00DC6EB7" w:rsidRPr="006A4136" w:rsidP="00B749D6" w14:paraId="463142E6" w14:textId="1936AC31">
            <w:pPr>
              <w:jc w:val="right"/>
              <w:rPr>
                <w:szCs w:val="24"/>
              </w:rPr>
            </w:pPr>
            <w:r w:rsidRPr="006A4136">
              <w:rPr>
                <w:szCs w:val="24"/>
              </w:rPr>
              <w:t>4</w:t>
            </w:r>
            <w:r w:rsidRPr="006A4136" w:rsidR="003E0082">
              <w:rPr>
                <w:szCs w:val="24"/>
              </w:rPr>
              <w:t>4,</w:t>
            </w:r>
            <w:r w:rsidR="007619E6">
              <w:rPr>
                <w:szCs w:val="24"/>
              </w:rPr>
              <w:t>372</w:t>
            </w:r>
          </w:p>
          <w:p w:rsidR="009444C1" w:rsidRPr="006A4136" w:rsidP="00B749D6" w14:paraId="3475E6DE" w14:textId="3A20CE48">
            <w:pPr>
              <w:jc w:val="right"/>
              <w:rPr>
                <w:color w:val="000000" w:themeColor="text1"/>
                <w:szCs w:val="24"/>
              </w:rPr>
            </w:pPr>
          </w:p>
        </w:tc>
      </w:tr>
      <w:tr w14:paraId="54E9850D" w14:textId="77777777" w:rsidTr="00C055DA">
        <w:tblPrEx>
          <w:tblW w:w="0" w:type="auto"/>
          <w:tblLayout w:type="fixed"/>
          <w:tblLook w:val="04A0"/>
        </w:tblPrEx>
        <w:tc>
          <w:tcPr>
            <w:tcW w:w="1776" w:type="dxa"/>
            <w:tcBorders>
              <w:top w:val="single" w:sz="4" w:space="0" w:color="auto"/>
              <w:left w:val="single" w:sz="4" w:space="0" w:color="auto"/>
              <w:bottom w:val="single" w:sz="4" w:space="0" w:color="auto"/>
              <w:right w:val="single" w:sz="4" w:space="0" w:color="auto"/>
            </w:tcBorders>
            <w:hideMark/>
          </w:tcPr>
          <w:p w:rsidR="009444C1" w:rsidRPr="006A4136" w:rsidP="006A4136" w14:paraId="258C4D6D" w14:textId="0F1F442F">
            <w:pPr>
              <w:rPr>
                <w:color w:val="000000" w:themeColor="text1"/>
                <w:szCs w:val="24"/>
              </w:rPr>
            </w:pPr>
            <w:r w:rsidRPr="006A4136">
              <w:rPr>
                <w:color w:val="000000" w:themeColor="text1"/>
                <w:szCs w:val="24"/>
              </w:rPr>
              <w:t xml:space="preserve">Annualized </w:t>
            </w:r>
            <w:r w:rsidRPr="006A4136">
              <w:rPr>
                <w:color w:val="000000" w:themeColor="text1"/>
                <w:szCs w:val="24"/>
              </w:rPr>
              <w:t xml:space="preserve">Cost </w:t>
            </w:r>
            <w:r w:rsidRPr="006A4136">
              <w:rPr>
                <w:color w:val="000000" w:themeColor="text1"/>
                <w:szCs w:val="24"/>
              </w:rPr>
              <w:t xml:space="preserve">to Respondents </w:t>
            </w:r>
            <w:r w:rsidRPr="006A4136">
              <w:rPr>
                <w:color w:val="000000" w:themeColor="text1"/>
                <w:szCs w:val="24"/>
              </w:rPr>
              <w:t>($)</w:t>
            </w:r>
          </w:p>
        </w:tc>
        <w:tc>
          <w:tcPr>
            <w:tcW w:w="1729" w:type="dxa"/>
            <w:tcBorders>
              <w:top w:val="single" w:sz="4" w:space="0" w:color="auto"/>
              <w:left w:val="single" w:sz="4" w:space="0" w:color="auto"/>
              <w:bottom w:val="single" w:sz="4" w:space="0" w:color="auto"/>
              <w:right w:val="single" w:sz="4" w:space="0" w:color="auto"/>
            </w:tcBorders>
            <w:hideMark/>
          </w:tcPr>
          <w:p w:rsidR="00DC6EB7" w:rsidRPr="006A4136" w:rsidP="006A4136" w14:paraId="082571FF" w14:textId="1767F4CF">
            <w:pPr>
              <w:rPr>
                <w:color w:val="000000" w:themeColor="text1"/>
                <w:szCs w:val="24"/>
              </w:rPr>
            </w:pPr>
            <w:r w:rsidRPr="006A4136">
              <w:rPr>
                <w:color w:val="000000" w:themeColor="text1"/>
                <w:szCs w:val="24"/>
              </w:rPr>
              <w:t>$</w:t>
            </w:r>
            <w:r w:rsidRPr="006A4136">
              <w:rPr>
                <w:color w:val="000000" w:themeColor="text1"/>
                <w:szCs w:val="24"/>
              </w:rPr>
              <w:t>262,808</w:t>
            </w:r>
          </w:p>
          <w:p w:rsidR="009444C1" w:rsidRPr="006A4136" w:rsidP="006A4136" w14:paraId="128308BF" w14:textId="17966817">
            <w:pPr>
              <w:rPr>
                <w:color w:val="000000" w:themeColor="text1"/>
                <w:szCs w:val="24"/>
              </w:rPr>
            </w:pPr>
          </w:p>
        </w:tc>
        <w:tc>
          <w:tcPr>
            <w:tcW w:w="1980" w:type="dxa"/>
            <w:tcBorders>
              <w:top w:val="single" w:sz="4" w:space="0" w:color="auto"/>
              <w:left w:val="single" w:sz="4" w:space="0" w:color="auto"/>
              <w:bottom w:val="single" w:sz="4" w:space="0" w:color="auto"/>
              <w:right w:val="single" w:sz="4" w:space="0" w:color="auto"/>
            </w:tcBorders>
            <w:hideMark/>
          </w:tcPr>
          <w:p w:rsidR="009444C1" w:rsidRPr="006A4136" w:rsidP="00B749D6" w14:paraId="47F33910" w14:textId="2B5C423C">
            <w:pPr>
              <w:jc w:val="right"/>
              <w:rPr>
                <w:color w:val="000000" w:themeColor="text1"/>
                <w:szCs w:val="24"/>
              </w:rPr>
            </w:pPr>
            <w:r>
              <w:rPr>
                <w:color w:val="000000" w:themeColor="text1"/>
                <w:szCs w:val="24"/>
              </w:rPr>
              <w:t>+</w:t>
            </w:r>
            <w:r w:rsidR="00A17932">
              <w:rPr>
                <w:color w:val="000000" w:themeColor="text1"/>
                <w:szCs w:val="24"/>
              </w:rPr>
              <w:t>$5,171</w:t>
            </w:r>
          </w:p>
        </w:tc>
        <w:tc>
          <w:tcPr>
            <w:tcW w:w="2160" w:type="dxa"/>
            <w:tcBorders>
              <w:top w:val="single" w:sz="4" w:space="0" w:color="auto"/>
              <w:left w:val="single" w:sz="4" w:space="0" w:color="auto"/>
              <w:bottom w:val="single" w:sz="4" w:space="0" w:color="auto"/>
              <w:right w:val="single" w:sz="4" w:space="0" w:color="auto"/>
            </w:tcBorders>
            <w:hideMark/>
          </w:tcPr>
          <w:p w:rsidR="009444C1" w:rsidP="00B749D6" w14:paraId="5A6E575A" w14:textId="18E7A18A">
            <w:pPr>
              <w:jc w:val="right"/>
              <w:rPr>
                <w:color w:val="000000" w:themeColor="text1"/>
                <w:szCs w:val="24"/>
              </w:rPr>
            </w:pPr>
            <w:r w:rsidRPr="006A4136">
              <w:rPr>
                <w:color w:val="000000" w:themeColor="text1"/>
                <w:szCs w:val="24"/>
              </w:rPr>
              <w:t>+$</w:t>
            </w:r>
            <w:r w:rsidR="002D5FC2">
              <w:rPr>
                <w:color w:val="000000" w:themeColor="text1"/>
                <w:szCs w:val="24"/>
              </w:rPr>
              <w:t>6</w:t>
            </w:r>
            <w:r w:rsidR="00A17932">
              <w:rPr>
                <w:color w:val="000000" w:themeColor="text1"/>
                <w:szCs w:val="24"/>
              </w:rPr>
              <w:t>08,956</w:t>
            </w:r>
          </w:p>
          <w:p w:rsidR="002D5FC2" w:rsidRPr="006A4136" w:rsidP="00B749D6" w14:paraId="58E1050F" w14:textId="1869481B">
            <w:pPr>
              <w:jc w:val="right"/>
              <w:rPr>
                <w:color w:val="000000" w:themeColor="text1"/>
                <w:szCs w:val="24"/>
              </w:rPr>
            </w:pPr>
          </w:p>
        </w:tc>
        <w:tc>
          <w:tcPr>
            <w:tcW w:w="1705" w:type="dxa"/>
            <w:tcBorders>
              <w:top w:val="single" w:sz="4" w:space="0" w:color="auto"/>
              <w:left w:val="single" w:sz="4" w:space="0" w:color="auto"/>
              <w:bottom w:val="single" w:sz="4" w:space="0" w:color="auto"/>
              <w:right w:val="single" w:sz="4" w:space="0" w:color="auto"/>
            </w:tcBorders>
            <w:hideMark/>
          </w:tcPr>
          <w:p w:rsidR="009444C1" w:rsidRPr="006A4136" w:rsidP="00B749D6" w14:paraId="4B8C0004" w14:textId="73CB61DC">
            <w:pPr>
              <w:jc w:val="right"/>
              <w:rPr>
                <w:color w:val="000000" w:themeColor="text1"/>
                <w:szCs w:val="24"/>
              </w:rPr>
            </w:pPr>
            <w:r w:rsidRPr="006A4136">
              <w:rPr>
                <w:szCs w:val="24"/>
              </w:rPr>
              <w:t>$</w:t>
            </w:r>
            <w:r w:rsidRPr="00FA65E6" w:rsidR="007619E6">
              <w:rPr>
                <w:szCs w:val="24"/>
              </w:rPr>
              <w:t>8</w:t>
            </w:r>
            <w:r w:rsidR="007619E6">
              <w:rPr>
                <w:szCs w:val="24"/>
              </w:rPr>
              <w:t>76,93</w:t>
            </w:r>
            <w:r w:rsidR="00A17932">
              <w:rPr>
                <w:szCs w:val="24"/>
              </w:rPr>
              <w:t>5</w:t>
            </w:r>
          </w:p>
        </w:tc>
      </w:tr>
    </w:tbl>
    <w:p w:rsidR="009444C1" w:rsidRPr="005B38FA" w:rsidP="005B38FA" w14:paraId="1DA21745" w14:textId="77777777">
      <w:pPr>
        <w:rPr>
          <w:rFonts w:ascii="Calibri" w:hAnsi="Calibri"/>
          <w:color w:val="1F497D"/>
        </w:rPr>
      </w:pPr>
    </w:p>
    <w:p w:rsidR="009444C1" w:rsidRPr="00D3497A" w:rsidP="009444C1" w14:paraId="794654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1A15FE75" w14:textId="5A7B4ED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C183D">
        <w:rPr>
          <w:szCs w:val="24"/>
        </w:rPr>
        <w:t xml:space="preserve">16. </w:t>
      </w:r>
      <w:r w:rsidRPr="002C183D">
        <w:rPr>
          <w:szCs w:val="24"/>
          <w:u w:val="single"/>
        </w:rPr>
        <w:t>Tabulation</w:t>
      </w:r>
      <w:r w:rsidRPr="00D3497A">
        <w:rPr>
          <w:szCs w:val="24"/>
          <w:u w:val="single"/>
        </w:rPr>
        <w:t xml:space="preserve"> of Results, Schedule, Analysis Plans</w:t>
      </w:r>
      <w:r w:rsidRPr="00090093">
        <w:rPr>
          <w:szCs w:val="24"/>
        </w:rPr>
        <w:t>.</w:t>
      </w:r>
    </w:p>
    <w:p w:rsidR="009444C1" w:rsidRPr="00D3497A" w:rsidP="009444C1" w14:paraId="58CF9636"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2EC268F0"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3497A">
        <w:rPr>
          <w:szCs w:val="24"/>
        </w:rPr>
        <w:tab/>
        <w:t>Results will not be published.</w:t>
      </w:r>
    </w:p>
    <w:p w:rsidR="009444C1" w:rsidRPr="00D3497A" w:rsidP="009444C1" w14:paraId="734098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5B38FA" w:rsidP="009444C1" w14:paraId="10247441" w14:textId="69C1F7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183D">
        <w:rPr>
          <w:szCs w:val="24"/>
        </w:rPr>
        <w:t xml:space="preserve">17. </w:t>
      </w:r>
      <w:r w:rsidRPr="002C183D">
        <w:rPr>
          <w:szCs w:val="24"/>
          <w:u w:val="single"/>
        </w:rPr>
        <w:t>Display</w:t>
      </w:r>
      <w:r w:rsidRPr="00582FF1">
        <w:rPr>
          <w:szCs w:val="24"/>
          <w:u w:val="single"/>
        </w:rPr>
        <w:t xml:space="preserve"> of OMB Expiration Date</w:t>
      </w:r>
      <w:r w:rsidRPr="00090093">
        <w:rPr>
          <w:szCs w:val="24"/>
        </w:rPr>
        <w:t>.</w:t>
      </w:r>
    </w:p>
    <w:p w:rsidR="009444C1" w:rsidRPr="00757DD3" w:rsidP="009444C1" w14:paraId="618C8F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RPr="00757DD3" w:rsidP="009444C1" w14:paraId="6865EE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ab/>
        <w:t>Treasury is not requesting a waiver of the requirement to display the expiration date for this OMB Control Number.</w:t>
      </w:r>
    </w:p>
    <w:p w:rsidR="009444C1" w:rsidRPr="00757DD3" w:rsidP="009444C1" w14:paraId="29892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RPr="00BC29DB" w:rsidP="00B749D6" w14:paraId="0DB34DA4" w14:textId="06725B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2C183D">
        <w:rPr>
          <w:szCs w:val="24"/>
        </w:rPr>
        <w:t xml:space="preserve">18.  </w:t>
      </w:r>
      <w:r w:rsidRPr="002C183D">
        <w:rPr>
          <w:szCs w:val="24"/>
          <w:u w:val="single"/>
        </w:rPr>
        <w:t>Exceptions</w:t>
      </w:r>
      <w:r w:rsidRPr="00757DD3">
        <w:rPr>
          <w:szCs w:val="24"/>
          <w:u w:val="single"/>
        </w:rPr>
        <w:t xml:space="preserve"> to Certification for Paperwork Reduction Act Submission</w:t>
      </w:r>
      <w:r w:rsidRPr="00090093">
        <w:rPr>
          <w:szCs w:val="24"/>
        </w:rPr>
        <w:t>.</w:t>
      </w:r>
    </w:p>
    <w:p w:rsidR="009444C1" w:rsidRPr="00757DD3" w:rsidP="00B749D6" w14:paraId="32B6576F"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65E2E" w:rsidRPr="00757DD3" w:rsidP="00B749D6" w14:paraId="45E36C09" w14:textId="6DD414F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ab/>
        <w:t>There are no exceptions to the certification statement.</w:t>
      </w:r>
    </w:p>
    <w:sectPr w:rsidSect="009444C1">
      <w:headerReference w:type="default" r:id="rId13"/>
      <w:headerReference w:type="first" r:id="rId14"/>
      <w:footnotePr>
        <w:numRestart w:val="eachSect"/>
      </w:footnotePr>
      <w:endnotePr>
        <w:numFmt w:val="decimal"/>
      </w:endnotePr>
      <w:type w:val="continuous"/>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6157272"/>
      <w:docPartObj>
        <w:docPartGallery w:val="Page Numbers (Bottom of Page)"/>
        <w:docPartUnique/>
      </w:docPartObj>
    </w:sdtPr>
    <w:sdtEndPr>
      <w:rPr>
        <w:noProof/>
      </w:rPr>
    </w:sdtEndPr>
    <w:sdtContent>
      <w:p w:rsidR="00537688" w14:paraId="4CE033D0" w14:textId="063071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37688" w14:paraId="051D7B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688" w14:paraId="73A8EC0C" w14:textId="35EC322F">
    <w:pPr>
      <w:pStyle w:val="Footer"/>
      <w:jc w:val="center"/>
    </w:pPr>
  </w:p>
  <w:p w:rsidR="00537688" w14:paraId="23C2A5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3803" w14:paraId="78924F37" w14:textId="77777777">
      <w:r>
        <w:separator/>
      </w:r>
    </w:p>
  </w:footnote>
  <w:footnote w:type="continuationSeparator" w:id="1">
    <w:p w:rsidR="000F3803" w14:paraId="39CDA2D7" w14:textId="77777777">
      <w:r>
        <w:continuationSeparator/>
      </w:r>
    </w:p>
  </w:footnote>
  <w:footnote w:type="continuationNotice" w:id="2">
    <w:p w:rsidR="000F3803" w14:paraId="3883FE5C" w14:textId="77777777"/>
  </w:footnote>
  <w:footnote w:id="3">
    <w:p w:rsidR="00970C96" w14:paraId="1DDAAC0B" w14:textId="6B52981D">
      <w:pPr>
        <w:pStyle w:val="FootnoteText"/>
      </w:pPr>
      <w:r>
        <w:rPr>
          <w:rStyle w:val="FootnoteReference"/>
        </w:rPr>
        <w:footnoteRef/>
      </w:r>
      <w:r>
        <w:t xml:space="preserve"> </w:t>
      </w:r>
      <w:r w:rsidRPr="00970C96">
        <w:t xml:space="preserve">OFAC received a number of bulk submissions of </w:t>
      </w:r>
      <w:r>
        <w:t>blocked property</w:t>
      </w:r>
      <w:r w:rsidRPr="00970C96">
        <w:t xml:space="preserve"> during the reporting period and estimates there will continue to be some of these types of submissions moving forward.  Therefore, OFAC has added an additional line item to account for these bulk submissions.  Usually, largely automated, bulk submissions take less time to process and submit (per </w:t>
      </w:r>
      <w:r>
        <w:t>blocked property</w:t>
      </w:r>
      <w:r w:rsidRPr="00970C96">
        <w:t xml:space="preserve">) so there is a lower time and burden calculation for each one of these types of </w:t>
      </w:r>
      <w:r>
        <w:t>blocked property</w:t>
      </w:r>
      <w:r w:rsidRPr="00970C96">
        <w:t xml:space="preserve">.  </w:t>
      </w:r>
    </w:p>
  </w:footnote>
  <w:footnote w:id="4">
    <w:p w:rsidR="001F717D" w:rsidP="001F717D" w14:paraId="44A8EAD7" w14:textId="77777777">
      <w:pPr>
        <w:pStyle w:val="FootnoteText"/>
      </w:pPr>
      <w:r>
        <w:rPr>
          <w:rStyle w:val="FootnoteReference"/>
        </w:rPr>
        <w:footnoteRef/>
      </w:r>
      <w:r>
        <w:t xml:space="preserve"> </w:t>
      </w:r>
      <w:r w:rsidRPr="009444C1">
        <w:rPr>
          <w:color w:val="000000"/>
          <w:szCs w:val="24"/>
        </w:rPr>
        <w:t xml:space="preserve">OFAC received a </w:t>
      </w:r>
      <w:r>
        <w:rPr>
          <w:color w:val="000000"/>
          <w:szCs w:val="24"/>
        </w:rPr>
        <w:t>number</w:t>
      </w:r>
      <w:r w:rsidRPr="009444C1">
        <w:rPr>
          <w:color w:val="000000"/>
          <w:szCs w:val="24"/>
        </w:rPr>
        <w:t xml:space="preserve"> </w:t>
      </w:r>
      <w:r>
        <w:rPr>
          <w:color w:val="000000"/>
          <w:szCs w:val="24"/>
        </w:rPr>
        <w:t xml:space="preserve">of </w:t>
      </w:r>
      <w:r w:rsidRPr="009444C1">
        <w:rPr>
          <w:color w:val="000000"/>
          <w:szCs w:val="24"/>
        </w:rPr>
        <w:t xml:space="preserve">bulk submissions of rejected transactions during the reporting period and estimates there will continue to be some of these types of submissions moving forward.  Therefore, OFAC has added an additional line item to account for these bulk submissions.  </w:t>
      </w:r>
      <w:r>
        <w:rPr>
          <w:color w:val="000000"/>
          <w:szCs w:val="24"/>
        </w:rPr>
        <w:t>Usually,</w:t>
      </w:r>
      <w:r w:rsidRPr="009444C1">
        <w:rPr>
          <w:color w:val="000000"/>
          <w:szCs w:val="24"/>
        </w:rPr>
        <w:t xml:space="preserve"> largely automated, bulk submissions take less time to process and submit </w:t>
      </w:r>
      <w:r>
        <w:rPr>
          <w:color w:val="000000"/>
          <w:szCs w:val="24"/>
        </w:rPr>
        <w:t>(</w:t>
      </w:r>
      <w:r w:rsidRPr="009444C1">
        <w:rPr>
          <w:color w:val="000000"/>
          <w:szCs w:val="24"/>
        </w:rPr>
        <w:t>per rejected transaction</w:t>
      </w:r>
      <w:r>
        <w:rPr>
          <w:color w:val="000000"/>
          <w:szCs w:val="24"/>
        </w:rPr>
        <w:t>)</w:t>
      </w:r>
      <w:r w:rsidRPr="009444C1">
        <w:rPr>
          <w:color w:val="000000"/>
          <w:szCs w:val="24"/>
        </w:rPr>
        <w:t xml:space="preserve"> so there is a lower time and </w:t>
      </w:r>
      <w:r>
        <w:rPr>
          <w:color w:val="000000"/>
          <w:szCs w:val="24"/>
        </w:rPr>
        <w:t>burden</w:t>
      </w:r>
      <w:r w:rsidRPr="009444C1">
        <w:rPr>
          <w:color w:val="000000"/>
          <w:szCs w:val="24"/>
        </w:rPr>
        <w:t xml:space="preserve"> calculation for each one of these types of rejected transactions.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6A4" w14:paraId="427448BB" w14:textId="2107BBFA">
    <w:pPr>
      <w:pStyle w:val="Header"/>
    </w:pPr>
    <w:r>
      <w:t>Renewal of OMB Authorization No. 1505-0164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6A4" w14:paraId="238527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6A4" w14:paraId="55C3FBC9" w14:textId="77777777">
    <w:pPr>
      <w:pStyle w:val="Header"/>
    </w:pPr>
    <w:r>
      <w:t>Renewal of OMB Authorization No. 1505-0164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39D6"/>
    <w:multiLevelType w:val="hybridMultilevel"/>
    <w:tmpl w:val="1526B0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2">
    <w:nsid w:val="09E725FE"/>
    <w:multiLevelType w:val="hybridMultilevel"/>
    <w:tmpl w:val="A086E440"/>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1B0A39"/>
    <w:multiLevelType w:val="hybridMultilevel"/>
    <w:tmpl w:val="C7801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736299"/>
    <w:multiLevelType w:val="hybridMultilevel"/>
    <w:tmpl w:val="B142E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B962FB"/>
    <w:multiLevelType w:val="hybridMultilevel"/>
    <w:tmpl w:val="16D2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7">
    <w:nsid w:val="2469131D"/>
    <w:multiLevelType w:val="hybridMultilevel"/>
    <w:tmpl w:val="E4F41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855D04"/>
    <w:multiLevelType w:val="hybridMultilevel"/>
    <w:tmpl w:val="4D5C4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226EFA"/>
    <w:multiLevelType w:val="hybridMultilevel"/>
    <w:tmpl w:val="8FF0863E"/>
    <w:lvl w:ilvl="0">
      <w:start w:val="1"/>
      <w:numFmt w:val="upp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F4A63FD"/>
    <w:multiLevelType w:val="hybridMultilevel"/>
    <w:tmpl w:val="CEBA367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BC5DEB"/>
    <w:multiLevelType w:val="hybridMultilevel"/>
    <w:tmpl w:val="F9F27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8B4603"/>
    <w:multiLevelType w:val="hybridMultilevel"/>
    <w:tmpl w:val="702CCD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6C7063"/>
    <w:multiLevelType w:val="hybridMultilevel"/>
    <w:tmpl w:val="B378B32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44060D"/>
    <w:multiLevelType w:val="hybridMultilevel"/>
    <w:tmpl w:val="BC20B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2C2F79"/>
    <w:multiLevelType w:val="hybridMultilevel"/>
    <w:tmpl w:val="EE04D4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F94D53"/>
    <w:multiLevelType w:val="hybridMultilevel"/>
    <w:tmpl w:val="6CB6106C"/>
    <w:lvl w:ilvl="0">
      <w:start w:val="1"/>
      <w:numFmt w:val="bullet"/>
      <w:lvlText w:val=""/>
      <w:lvlJc w:val="left"/>
      <w:pPr>
        <w:ind w:left="-180" w:hanging="360"/>
      </w:pPr>
      <w:rPr>
        <w:rFonts w:ascii="Symbol" w:hAnsi="Symbol" w:hint="default"/>
      </w:rPr>
    </w:lvl>
    <w:lvl w:ilvl="1">
      <w:start w:val="1"/>
      <w:numFmt w:val="bullet"/>
      <w:lvlText w:val="o"/>
      <w:lvlJc w:val="left"/>
      <w:pPr>
        <w:ind w:left="540" w:hanging="360"/>
      </w:pPr>
      <w:rPr>
        <w:rFonts w:ascii="Courier New" w:hAnsi="Courier New" w:cs="Courier New" w:hint="default"/>
      </w:rPr>
    </w:lvl>
    <w:lvl w:ilvl="2" w:tentative="1">
      <w:start w:val="1"/>
      <w:numFmt w:val="bullet"/>
      <w:lvlText w:val=""/>
      <w:lvlJc w:val="left"/>
      <w:pPr>
        <w:ind w:left="1260" w:hanging="360"/>
      </w:pPr>
      <w:rPr>
        <w:rFonts w:ascii="Wingdings" w:hAnsi="Wingdings" w:hint="default"/>
      </w:rPr>
    </w:lvl>
    <w:lvl w:ilvl="3" w:tentative="1">
      <w:start w:val="1"/>
      <w:numFmt w:val="bullet"/>
      <w:lvlText w:val=""/>
      <w:lvlJc w:val="left"/>
      <w:pPr>
        <w:ind w:left="1980" w:hanging="360"/>
      </w:pPr>
      <w:rPr>
        <w:rFonts w:ascii="Symbol" w:hAnsi="Symbol" w:hint="default"/>
      </w:rPr>
    </w:lvl>
    <w:lvl w:ilvl="4" w:tentative="1">
      <w:start w:val="1"/>
      <w:numFmt w:val="bullet"/>
      <w:lvlText w:val="o"/>
      <w:lvlJc w:val="left"/>
      <w:pPr>
        <w:ind w:left="2700" w:hanging="360"/>
      </w:pPr>
      <w:rPr>
        <w:rFonts w:ascii="Courier New" w:hAnsi="Courier New" w:cs="Courier New" w:hint="default"/>
      </w:rPr>
    </w:lvl>
    <w:lvl w:ilvl="5" w:tentative="1">
      <w:start w:val="1"/>
      <w:numFmt w:val="bullet"/>
      <w:lvlText w:val=""/>
      <w:lvlJc w:val="left"/>
      <w:pPr>
        <w:ind w:left="3420" w:hanging="360"/>
      </w:pPr>
      <w:rPr>
        <w:rFonts w:ascii="Wingdings" w:hAnsi="Wingdings" w:hint="default"/>
      </w:rPr>
    </w:lvl>
    <w:lvl w:ilvl="6" w:tentative="1">
      <w:start w:val="1"/>
      <w:numFmt w:val="bullet"/>
      <w:lvlText w:val=""/>
      <w:lvlJc w:val="left"/>
      <w:pPr>
        <w:ind w:left="4140" w:hanging="360"/>
      </w:pPr>
      <w:rPr>
        <w:rFonts w:ascii="Symbol" w:hAnsi="Symbol" w:hint="default"/>
      </w:rPr>
    </w:lvl>
    <w:lvl w:ilvl="7" w:tentative="1">
      <w:start w:val="1"/>
      <w:numFmt w:val="bullet"/>
      <w:lvlText w:val="o"/>
      <w:lvlJc w:val="left"/>
      <w:pPr>
        <w:ind w:left="4860" w:hanging="360"/>
      </w:pPr>
      <w:rPr>
        <w:rFonts w:ascii="Courier New" w:hAnsi="Courier New" w:cs="Courier New" w:hint="default"/>
      </w:rPr>
    </w:lvl>
    <w:lvl w:ilvl="8" w:tentative="1">
      <w:start w:val="1"/>
      <w:numFmt w:val="bullet"/>
      <w:lvlText w:val=""/>
      <w:lvlJc w:val="left"/>
      <w:pPr>
        <w:ind w:left="5580" w:hanging="360"/>
      </w:pPr>
      <w:rPr>
        <w:rFonts w:ascii="Wingdings" w:hAnsi="Wingdings" w:hint="default"/>
      </w:rPr>
    </w:lvl>
  </w:abstractNum>
  <w:abstractNum w:abstractNumId="17">
    <w:nsid w:val="4F204061"/>
    <w:multiLevelType w:val="hybridMultilevel"/>
    <w:tmpl w:val="25F6AA50"/>
    <w:lvl w:ilvl="0">
      <w:start w:val="8"/>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FF47D57"/>
    <w:multiLevelType w:val="hybridMultilevel"/>
    <w:tmpl w:val="80025D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71F124C"/>
    <w:multiLevelType w:val="hybridMultilevel"/>
    <w:tmpl w:val="1FC8A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5B112B"/>
    <w:multiLevelType w:val="hybridMultilevel"/>
    <w:tmpl w:val="509604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6B30592"/>
    <w:multiLevelType w:val="hybridMultilevel"/>
    <w:tmpl w:val="C6121D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AC4722F"/>
    <w:multiLevelType w:val="hybridMultilevel"/>
    <w:tmpl w:val="1CB6D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BB5256B"/>
    <w:multiLevelType w:val="hybridMultilevel"/>
    <w:tmpl w:val="733E97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88740645">
    <w:abstractNumId w:val="1"/>
  </w:num>
  <w:num w:numId="2" w16cid:durableId="933319929">
    <w:abstractNumId w:val="6"/>
  </w:num>
  <w:num w:numId="3" w16cid:durableId="1275017301">
    <w:abstractNumId w:val="23"/>
  </w:num>
  <w:num w:numId="4" w16cid:durableId="2059356109">
    <w:abstractNumId w:val="20"/>
  </w:num>
  <w:num w:numId="5" w16cid:durableId="868638295">
    <w:abstractNumId w:val="10"/>
  </w:num>
  <w:num w:numId="6" w16cid:durableId="1955398666">
    <w:abstractNumId w:val="9"/>
  </w:num>
  <w:num w:numId="7" w16cid:durableId="296302478">
    <w:abstractNumId w:val="2"/>
  </w:num>
  <w:num w:numId="8" w16cid:durableId="1631010862">
    <w:abstractNumId w:val="13"/>
  </w:num>
  <w:num w:numId="9" w16cid:durableId="456147853">
    <w:abstractNumId w:val="11"/>
  </w:num>
  <w:num w:numId="10" w16cid:durableId="1121925715">
    <w:abstractNumId w:val="7"/>
  </w:num>
  <w:num w:numId="11" w16cid:durableId="568611708">
    <w:abstractNumId w:val="12"/>
  </w:num>
  <w:num w:numId="12" w16cid:durableId="2099860110">
    <w:abstractNumId w:val="4"/>
  </w:num>
  <w:num w:numId="13" w16cid:durableId="1369066100">
    <w:abstractNumId w:val="16"/>
  </w:num>
  <w:num w:numId="14" w16cid:durableId="1818302241">
    <w:abstractNumId w:val="19"/>
  </w:num>
  <w:num w:numId="15" w16cid:durableId="1940873971">
    <w:abstractNumId w:val="8"/>
  </w:num>
  <w:num w:numId="16" w16cid:durableId="658580849">
    <w:abstractNumId w:val="3"/>
  </w:num>
  <w:num w:numId="17" w16cid:durableId="1834368354">
    <w:abstractNumId w:val="21"/>
  </w:num>
  <w:num w:numId="18" w16cid:durableId="840197913">
    <w:abstractNumId w:val="5"/>
  </w:num>
  <w:num w:numId="19" w16cid:durableId="1182862979">
    <w:abstractNumId w:val="18"/>
  </w:num>
  <w:num w:numId="20" w16cid:durableId="498690487">
    <w:abstractNumId w:val="0"/>
  </w:num>
  <w:num w:numId="21" w16cid:durableId="1635795285">
    <w:abstractNumId w:val="15"/>
  </w:num>
  <w:num w:numId="22" w16cid:durableId="2125155506">
    <w:abstractNumId w:val="14"/>
  </w:num>
  <w:num w:numId="23" w16cid:durableId="2020429923">
    <w:abstractNumId w:val="22"/>
  </w:num>
  <w:num w:numId="24" w16cid:durableId="454450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10"/>
    <w:rsid w:val="000002A9"/>
    <w:rsid w:val="00000D11"/>
    <w:rsid w:val="0000183F"/>
    <w:rsid w:val="00002662"/>
    <w:rsid w:val="000029E5"/>
    <w:rsid w:val="000033E3"/>
    <w:rsid w:val="000035B7"/>
    <w:rsid w:val="0000649F"/>
    <w:rsid w:val="00007C50"/>
    <w:rsid w:val="00010C73"/>
    <w:rsid w:val="00010F5B"/>
    <w:rsid w:val="000111C2"/>
    <w:rsid w:val="0001170C"/>
    <w:rsid w:val="000123C4"/>
    <w:rsid w:val="00012ADF"/>
    <w:rsid w:val="0001428F"/>
    <w:rsid w:val="00015047"/>
    <w:rsid w:val="0001551E"/>
    <w:rsid w:val="0001628F"/>
    <w:rsid w:val="000206E7"/>
    <w:rsid w:val="00021210"/>
    <w:rsid w:val="000215BF"/>
    <w:rsid w:val="000220C1"/>
    <w:rsid w:val="000228C4"/>
    <w:rsid w:val="00022D06"/>
    <w:rsid w:val="00022D8E"/>
    <w:rsid w:val="00024B18"/>
    <w:rsid w:val="00025408"/>
    <w:rsid w:val="000257F1"/>
    <w:rsid w:val="00025A8B"/>
    <w:rsid w:val="000261E5"/>
    <w:rsid w:val="00026303"/>
    <w:rsid w:val="000269F2"/>
    <w:rsid w:val="00026E14"/>
    <w:rsid w:val="00030B0D"/>
    <w:rsid w:val="00031C1F"/>
    <w:rsid w:val="000328D3"/>
    <w:rsid w:val="00033CBE"/>
    <w:rsid w:val="00034287"/>
    <w:rsid w:val="000342B3"/>
    <w:rsid w:val="00035FB5"/>
    <w:rsid w:val="00036144"/>
    <w:rsid w:val="00036909"/>
    <w:rsid w:val="00037C45"/>
    <w:rsid w:val="00040412"/>
    <w:rsid w:val="0004094B"/>
    <w:rsid w:val="00040D78"/>
    <w:rsid w:val="00040EF9"/>
    <w:rsid w:val="000412C4"/>
    <w:rsid w:val="00041519"/>
    <w:rsid w:val="000418F7"/>
    <w:rsid w:val="00041BD4"/>
    <w:rsid w:val="00042062"/>
    <w:rsid w:val="0004254B"/>
    <w:rsid w:val="00046E38"/>
    <w:rsid w:val="00046E98"/>
    <w:rsid w:val="00047629"/>
    <w:rsid w:val="00047EA2"/>
    <w:rsid w:val="00050521"/>
    <w:rsid w:val="00050A0C"/>
    <w:rsid w:val="000523C5"/>
    <w:rsid w:val="0005308C"/>
    <w:rsid w:val="00056586"/>
    <w:rsid w:val="000568CB"/>
    <w:rsid w:val="000575BB"/>
    <w:rsid w:val="00060329"/>
    <w:rsid w:val="00062496"/>
    <w:rsid w:val="00062DD3"/>
    <w:rsid w:val="00063031"/>
    <w:rsid w:val="00064376"/>
    <w:rsid w:val="00064E32"/>
    <w:rsid w:val="0006519B"/>
    <w:rsid w:val="000654F0"/>
    <w:rsid w:val="000659DD"/>
    <w:rsid w:val="000700AE"/>
    <w:rsid w:val="00070407"/>
    <w:rsid w:val="000709C3"/>
    <w:rsid w:val="000713BA"/>
    <w:rsid w:val="000715C9"/>
    <w:rsid w:val="00072D26"/>
    <w:rsid w:val="00075E38"/>
    <w:rsid w:val="00076E1E"/>
    <w:rsid w:val="00080B37"/>
    <w:rsid w:val="000817EB"/>
    <w:rsid w:val="000823C1"/>
    <w:rsid w:val="000829EE"/>
    <w:rsid w:val="0008479A"/>
    <w:rsid w:val="00085EB2"/>
    <w:rsid w:val="00090093"/>
    <w:rsid w:val="00096E7A"/>
    <w:rsid w:val="00096F97"/>
    <w:rsid w:val="00096FE1"/>
    <w:rsid w:val="000A0B88"/>
    <w:rsid w:val="000A1838"/>
    <w:rsid w:val="000A3E0E"/>
    <w:rsid w:val="000A6E93"/>
    <w:rsid w:val="000A6F62"/>
    <w:rsid w:val="000A75FE"/>
    <w:rsid w:val="000B04AF"/>
    <w:rsid w:val="000B0A5E"/>
    <w:rsid w:val="000B0F4E"/>
    <w:rsid w:val="000B1726"/>
    <w:rsid w:val="000B4DCB"/>
    <w:rsid w:val="000B69CD"/>
    <w:rsid w:val="000B6A76"/>
    <w:rsid w:val="000B7BA9"/>
    <w:rsid w:val="000C122E"/>
    <w:rsid w:val="000C1863"/>
    <w:rsid w:val="000C254C"/>
    <w:rsid w:val="000C5875"/>
    <w:rsid w:val="000D048A"/>
    <w:rsid w:val="000D193D"/>
    <w:rsid w:val="000D351E"/>
    <w:rsid w:val="000D6D8F"/>
    <w:rsid w:val="000D6EF3"/>
    <w:rsid w:val="000D756A"/>
    <w:rsid w:val="000E0139"/>
    <w:rsid w:val="000E1439"/>
    <w:rsid w:val="000E1BB0"/>
    <w:rsid w:val="000E556C"/>
    <w:rsid w:val="000F3803"/>
    <w:rsid w:val="000F6EDD"/>
    <w:rsid w:val="001015EF"/>
    <w:rsid w:val="00101E48"/>
    <w:rsid w:val="001022C2"/>
    <w:rsid w:val="0010297E"/>
    <w:rsid w:val="00104E27"/>
    <w:rsid w:val="00105FBC"/>
    <w:rsid w:val="00106002"/>
    <w:rsid w:val="001071C7"/>
    <w:rsid w:val="00110575"/>
    <w:rsid w:val="00110C4F"/>
    <w:rsid w:val="001114FC"/>
    <w:rsid w:val="00113F9D"/>
    <w:rsid w:val="00114D98"/>
    <w:rsid w:val="0011529A"/>
    <w:rsid w:val="00115841"/>
    <w:rsid w:val="00117DB6"/>
    <w:rsid w:val="00120343"/>
    <w:rsid w:val="001211C5"/>
    <w:rsid w:val="00122E7A"/>
    <w:rsid w:val="001230AB"/>
    <w:rsid w:val="0012327D"/>
    <w:rsid w:val="001232B3"/>
    <w:rsid w:val="00125A71"/>
    <w:rsid w:val="00126005"/>
    <w:rsid w:val="001263BB"/>
    <w:rsid w:val="001270CD"/>
    <w:rsid w:val="001278F4"/>
    <w:rsid w:val="00130F76"/>
    <w:rsid w:val="00132224"/>
    <w:rsid w:val="00132240"/>
    <w:rsid w:val="00132375"/>
    <w:rsid w:val="00132E7F"/>
    <w:rsid w:val="00134727"/>
    <w:rsid w:val="00136D9C"/>
    <w:rsid w:val="00136EE3"/>
    <w:rsid w:val="001374F5"/>
    <w:rsid w:val="0014028D"/>
    <w:rsid w:val="001403DE"/>
    <w:rsid w:val="00141414"/>
    <w:rsid w:val="00141823"/>
    <w:rsid w:val="00141DF0"/>
    <w:rsid w:val="00141E23"/>
    <w:rsid w:val="00142016"/>
    <w:rsid w:val="001440B2"/>
    <w:rsid w:val="00144440"/>
    <w:rsid w:val="00146E03"/>
    <w:rsid w:val="0015065D"/>
    <w:rsid w:val="00153D57"/>
    <w:rsid w:val="00155CD5"/>
    <w:rsid w:val="00157607"/>
    <w:rsid w:val="001577B4"/>
    <w:rsid w:val="00157D2A"/>
    <w:rsid w:val="0016001D"/>
    <w:rsid w:val="001609FB"/>
    <w:rsid w:val="001629F6"/>
    <w:rsid w:val="001641FF"/>
    <w:rsid w:val="0016792D"/>
    <w:rsid w:val="00172894"/>
    <w:rsid w:val="00175229"/>
    <w:rsid w:val="00176AED"/>
    <w:rsid w:val="001804C5"/>
    <w:rsid w:val="00182EAF"/>
    <w:rsid w:val="00183305"/>
    <w:rsid w:val="0018350C"/>
    <w:rsid w:val="00183A79"/>
    <w:rsid w:val="00183C4D"/>
    <w:rsid w:val="00183E52"/>
    <w:rsid w:val="00184E54"/>
    <w:rsid w:val="00184FA0"/>
    <w:rsid w:val="00187711"/>
    <w:rsid w:val="00190C44"/>
    <w:rsid w:val="00190EB8"/>
    <w:rsid w:val="00194EAD"/>
    <w:rsid w:val="001954EB"/>
    <w:rsid w:val="00195BA0"/>
    <w:rsid w:val="00195F10"/>
    <w:rsid w:val="00196A43"/>
    <w:rsid w:val="00196DEF"/>
    <w:rsid w:val="001A067F"/>
    <w:rsid w:val="001A0AF6"/>
    <w:rsid w:val="001A0E78"/>
    <w:rsid w:val="001A1451"/>
    <w:rsid w:val="001A5837"/>
    <w:rsid w:val="001B0075"/>
    <w:rsid w:val="001B0564"/>
    <w:rsid w:val="001B079E"/>
    <w:rsid w:val="001B0AEA"/>
    <w:rsid w:val="001B1C6F"/>
    <w:rsid w:val="001B602C"/>
    <w:rsid w:val="001B608C"/>
    <w:rsid w:val="001B796D"/>
    <w:rsid w:val="001B7F4B"/>
    <w:rsid w:val="001B7F5C"/>
    <w:rsid w:val="001C05C3"/>
    <w:rsid w:val="001C07EE"/>
    <w:rsid w:val="001C0BCB"/>
    <w:rsid w:val="001C0FD5"/>
    <w:rsid w:val="001C1D73"/>
    <w:rsid w:val="001C1DE9"/>
    <w:rsid w:val="001C1EA5"/>
    <w:rsid w:val="001C276F"/>
    <w:rsid w:val="001C2C4A"/>
    <w:rsid w:val="001C36A5"/>
    <w:rsid w:val="001C4226"/>
    <w:rsid w:val="001C4369"/>
    <w:rsid w:val="001C44A9"/>
    <w:rsid w:val="001C61E7"/>
    <w:rsid w:val="001C6871"/>
    <w:rsid w:val="001C7996"/>
    <w:rsid w:val="001D08C6"/>
    <w:rsid w:val="001D0B2F"/>
    <w:rsid w:val="001D25E7"/>
    <w:rsid w:val="001D3BE6"/>
    <w:rsid w:val="001D5030"/>
    <w:rsid w:val="001D5235"/>
    <w:rsid w:val="001D6584"/>
    <w:rsid w:val="001D6A24"/>
    <w:rsid w:val="001D79FC"/>
    <w:rsid w:val="001D7B69"/>
    <w:rsid w:val="001E1047"/>
    <w:rsid w:val="001E207B"/>
    <w:rsid w:val="001E269C"/>
    <w:rsid w:val="001E2F57"/>
    <w:rsid w:val="001E5C87"/>
    <w:rsid w:val="001E64C0"/>
    <w:rsid w:val="001F3388"/>
    <w:rsid w:val="001F3857"/>
    <w:rsid w:val="001F40D7"/>
    <w:rsid w:val="001F4E2F"/>
    <w:rsid w:val="001F5D07"/>
    <w:rsid w:val="001F6299"/>
    <w:rsid w:val="001F717D"/>
    <w:rsid w:val="001F7437"/>
    <w:rsid w:val="001F7899"/>
    <w:rsid w:val="00201DA2"/>
    <w:rsid w:val="002021B9"/>
    <w:rsid w:val="00203291"/>
    <w:rsid w:val="002038EB"/>
    <w:rsid w:val="00203B90"/>
    <w:rsid w:val="0020474A"/>
    <w:rsid w:val="002052B2"/>
    <w:rsid w:val="00206179"/>
    <w:rsid w:val="00207728"/>
    <w:rsid w:val="00207D4D"/>
    <w:rsid w:val="00207ED8"/>
    <w:rsid w:val="00211E94"/>
    <w:rsid w:val="00213ACD"/>
    <w:rsid w:val="0021653E"/>
    <w:rsid w:val="00216684"/>
    <w:rsid w:val="00217107"/>
    <w:rsid w:val="00220405"/>
    <w:rsid w:val="00221D3B"/>
    <w:rsid w:val="00222AB4"/>
    <w:rsid w:val="00222F9A"/>
    <w:rsid w:val="00223181"/>
    <w:rsid w:val="00223331"/>
    <w:rsid w:val="00224176"/>
    <w:rsid w:val="00224C0B"/>
    <w:rsid w:val="00224C21"/>
    <w:rsid w:val="00225D7A"/>
    <w:rsid w:val="00226034"/>
    <w:rsid w:val="002268B2"/>
    <w:rsid w:val="002311D4"/>
    <w:rsid w:val="00232256"/>
    <w:rsid w:val="002337FF"/>
    <w:rsid w:val="00235091"/>
    <w:rsid w:val="00235239"/>
    <w:rsid w:val="002406E9"/>
    <w:rsid w:val="0024071A"/>
    <w:rsid w:val="00240EB8"/>
    <w:rsid w:val="00242C6F"/>
    <w:rsid w:val="002432DF"/>
    <w:rsid w:val="00244C6C"/>
    <w:rsid w:val="00245415"/>
    <w:rsid w:val="00246BFB"/>
    <w:rsid w:val="002473C2"/>
    <w:rsid w:val="002505C9"/>
    <w:rsid w:val="0025093F"/>
    <w:rsid w:val="00251895"/>
    <w:rsid w:val="00252C68"/>
    <w:rsid w:val="00253444"/>
    <w:rsid w:val="00254744"/>
    <w:rsid w:val="00256452"/>
    <w:rsid w:val="00256806"/>
    <w:rsid w:val="00256A63"/>
    <w:rsid w:val="00257662"/>
    <w:rsid w:val="0026267A"/>
    <w:rsid w:val="00264FE2"/>
    <w:rsid w:val="002651BE"/>
    <w:rsid w:val="00265E2E"/>
    <w:rsid w:val="0026665E"/>
    <w:rsid w:val="002678EA"/>
    <w:rsid w:val="00267DD5"/>
    <w:rsid w:val="0027049F"/>
    <w:rsid w:val="00270EF4"/>
    <w:rsid w:val="002717AD"/>
    <w:rsid w:val="00271ADA"/>
    <w:rsid w:val="00272848"/>
    <w:rsid w:val="00275B98"/>
    <w:rsid w:val="00276216"/>
    <w:rsid w:val="0027662E"/>
    <w:rsid w:val="0027777B"/>
    <w:rsid w:val="0028141C"/>
    <w:rsid w:val="002830B5"/>
    <w:rsid w:val="00284616"/>
    <w:rsid w:val="0028481C"/>
    <w:rsid w:val="0028522A"/>
    <w:rsid w:val="002854C6"/>
    <w:rsid w:val="0029547B"/>
    <w:rsid w:val="00296D2E"/>
    <w:rsid w:val="00297DB9"/>
    <w:rsid w:val="00297F7B"/>
    <w:rsid w:val="002A3A39"/>
    <w:rsid w:val="002A47F2"/>
    <w:rsid w:val="002A65C3"/>
    <w:rsid w:val="002A6C73"/>
    <w:rsid w:val="002B0F98"/>
    <w:rsid w:val="002B168D"/>
    <w:rsid w:val="002B25BF"/>
    <w:rsid w:val="002B26B0"/>
    <w:rsid w:val="002B2F27"/>
    <w:rsid w:val="002B30B4"/>
    <w:rsid w:val="002B3579"/>
    <w:rsid w:val="002B37C0"/>
    <w:rsid w:val="002B45C6"/>
    <w:rsid w:val="002B4A91"/>
    <w:rsid w:val="002B4E7E"/>
    <w:rsid w:val="002B50C9"/>
    <w:rsid w:val="002C183D"/>
    <w:rsid w:val="002C2170"/>
    <w:rsid w:val="002C40BD"/>
    <w:rsid w:val="002C6493"/>
    <w:rsid w:val="002C666C"/>
    <w:rsid w:val="002C7707"/>
    <w:rsid w:val="002D0D80"/>
    <w:rsid w:val="002D115F"/>
    <w:rsid w:val="002D291D"/>
    <w:rsid w:val="002D2E8E"/>
    <w:rsid w:val="002D3024"/>
    <w:rsid w:val="002D5FC2"/>
    <w:rsid w:val="002D6607"/>
    <w:rsid w:val="002D7415"/>
    <w:rsid w:val="002E04AE"/>
    <w:rsid w:val="002E176E"/>
    <w:rsid w:val="002E318A"/>
    <w:rsid w:val="002E3FCB"/>
    <w:rsid w:val="002E521E"/>
    <w:rsid w:val="002E5C87"/>
    <w:rsid w:val="002E6277"/>
    <w:rsid w:val="002E6D72"/>
    <w:rsid w:val="002E6E9C"/>
    <w:rsid w:val="002E738D"/>
    <w:rsid w:val="002F21C5"/>
    <w:rsid w:val="002F2907"/>
    <w:rsid w:val="002F4D99"/>
    <w:rsid w:val="002F4E0C"/>
    <w:rsid w:val="002F5FF4"/>
    <w:rsid w:val="002F705A"/>
    <w:rsid w:val="002F7C3F"/>
    <w:rsid w:val="00301D68"/>
    <w:rsid w:val="00301EED"/>
    <w:rsid w:val="00301FD3"/>
    <w:rsid w:val="003048A4"/>
    <w:rsid w:val="003053E0"/>
    <w:rsid w:val="00305E9D"/>
    <w:rsid w:val="003062FC"/>
    <w:rsid w:val="0030705B"/>
    <w:rsid w:val="00307C6F"/>
    <w:rsid w:val="00307D78"/>
    <w:rsid w:val="003116C4"/>
    <w:rsid w:val="00311AFC"/>
    <w:rsid w:val="00311C3A"/>
    <w:rsid w:val="00312B33"/>
    <w:rsid w:val="00312F12"/>
    <w:rsid w:val="00313B68"/>
    <w:rsid w:val="00314F03"/>
    <w:rsid w:val="003152EB"/>
    <w:rsid w:val="00315D29"/>
    <w:rsid w:val="00315F11"/>
    <w:rsid w:val="00315FBE"/>
    <w:rsid w:val="00317CB0"/>
    <w:rsid w:val="00320182"/>
    <w:rsid w:val="00321A34"/>
    <w:rsid w:val="00321B81"/>
    <w:rsid w:val="003222EE"/>
    <w:rsid w:val="00322DEE"/>
    <w:rsid w:val="003240A9"/>
    <w:rsid w:val="003252FB"/>
    <w:rsid w:val="00327FC3"/>
    <w:rsid w:val="003305BB"/>
    <w:rsid w:val="003309CB"/>
    <w:rsid w:val="003313C0"/>
    <w:rsid w:val="0033170C"/>
    <w:rsid w:val="00331E20"/>
    <w:rsid w:val="003327BF"/>
    <w:rsid w:val="003357D9"/>
    <w:rsid w:val="003371D8"/>
    <w:rsid w:val="00337703"/>
    <w:rsid w:val="0033778B"/>
    <w:rsid w:val="003410FA"/>
    <w:rsid w:val="003424BF"/>
    <w:rsid w:val="00343216"/>
    <w:rsid w:val="003439D1"/>
    <w:rsid w:val="00343A4C"/>
    <w:rsid w:val="00343D16"/>
    <w:rsid w:val="00343FF8"/>
    <w:rsid w:val="00345C1A"/>
    <w:rsid w:val="00347350"/>
    <w:rsid w:val="00350DEF"/>
    <w:rsid w:val="00352BB6"/>
    <w:rsid w:val="003551AD"/>
    <w:rsid w:val="003554EC"/>
    <w:rsid w:val="00356C47"/>
    <w:rsid w:val="003626C0"/>
    <w:rsid w:val="003626F1"/>
    <w:rsid w:val="00370646"/>
    <w:rsid w:val="003716DB"/>
    <w:rsid w:val="00371C70"/>
    <w:rsid w:val="00373C5B"/>
    <w:rsid w:val="00373FE9"/>
    <w:rsid w:val="003762AC"/>
    <w:rsid w:val="00376385"/>
    <w:rsid w:val="003765D1"/>
    <w:rsid w:val="00376999"/>
    <w:rsid w:val="00380A30"/>
    <w:rsid w:val="0038129E"/>
    <w:rsid w:val="00385A1C"/>
    <w:rsid w:val="00386297"/>
    <w:rsid w:val="003874CE"/>
    <w:rsid w:val="00390F04"/>
    <w:rsid w:val="00391992"/>
    <w:rsid w:val="00392012"/>
    <w:rsid w:val="00394586"/>
    <w:rsid w:val="00395B81"/>
    <w:rsid w:val="003974C3"/>
    <w:rsid w:val="003A05B8"/>
    <w:rsid w:val="003A0F68"/>
    <w:rsid w:val="003A1431"/>
    <w:rsid w:val="003A1474"/>
    <w:rsid w:val="003A4756"/>
    <w:rsid w:val="003A5922"/>
    <w:rsid w:val="003A671C"/>
    <w:rsid w:val="003A6E09"/>
    <w:rsid w:val="003A6F74"/>
    <w:rsid w:val="003A7370"/>
    <w:rsid w:val="003A7D66"/>
    <w:rsid w:val="003A7E17"/>
    <w:rsid w:val="003B0EC4"/>
    <w:rsid w:val="003B13F6"/>
    <w:rsid w:val="003B16AD"/>
    <w:rsid w:val="003B1E72"/>
    <w:rsid w:val="003B313A"/>
    <w:rsid w:val="003B4D87"/>
    <w:rsid w:val="003B5E51"/>
    <w:rsid w:val="003B65B5"/>
    <w:rsid w:val="003B7784"/>
    <w:rsid w:val="003B789E"/>
    <w:rsid w:val="003C2B03"/>
    <w:rsid w:val="003C342E"/>
    <w:rsid w:val="003C34C4"/>
    <w:rsid w:val="003C37F0"/>
    <w:rsid w:val="003C4151"/>
    <w:rsid w:val="003C6342"/>
    <w:rsid w:val="003C6FA1"/>
    <w:rsid w:val="003C70F6"/>
    <w:rsid w:val="003C72D4"/>
    <w:rsid w:val="003C76FE"/>
    <w:rsid w:val="003C7FBA"/>
    <w:rsid w:val="003D2A56"/>
    <w:rsid w:val="003D2BEF"/>
    <w:rsid w:val="003D3C62"/>
    <w:rsid w:val="003D486E"/>
    <w:rsid w:val="003D4875"/>
    <w:rsid w:val="003D581D"/>
    <w:rsid w:val="003D58C1"/>
    <w:rsid w:val="003D6054"/>
    <w:rsid w:val="003D7B48"/>
    <w:rsid w:val="003E0082"/>
    <w:rsid w:val="003E20D0"/>
    <w:rsid w:val="003E3A9C"/>
    <w:rsid w:val="003E519C"/>
    <w:rsid w:val="003E6197"/>
    <w:rsid w:val="003E67BF"/>
    <w:rsid w:val="003F0ED4"/>
    <w:rsid w:val="003F2420"/>
    <w:rsid w:val="003F2629"/>
    <w:rsid w:val="003F45B0"/>
    <w:rsid w:val="003F6F23"/>
    <w:rsid w:val="003F77CD"/>
    <w:rsid w:val="00404145"/>
    <w:rsid w:val="004058D7"/>
    <w:rsid w:val="00405BC1"/>
    <w:rsid w:val="00405D7D"/>
    <w:rsid w:val="00406512"/>
    <w:rsid w:val="00410660"/>
    <w:rsid w:val="00410F86"/>
    <w:rsid w:val="00411244"/>
    <w:rsid w:val="0041470B"/>
    <w:rsid w:val="00415040"/>
    <w:rsid w:val="00416FDF"/>
    <w:rsid w:val="00417501"/>
    <w:rsid w:val="004213C9"/>
    <w:rsid w:val="00421A5B"/>
    <w:rsid w:val="0042240B"/>
    <w:rsid w:val="0042301A"/>
    <w:rsid w:val="00423809"/>
    <w:rsid w:val="004265F5"/>
    <w:rsid w:val="00430662"/>
    <w:rsid w:val="004307AC"/>
    <w:rsid w:val="00431940"/>
    <w:rsid w:val="0043537D"/>
    <w:rsid w:val="0043615C"/>
    <w:rsid w:val="00437A6C"/>
    <w:rsid w:val="004413A4"/>
    <w:rsid w:val="004413D1"/>
    <w:rsid w:val="004420A1"/>
    <w:rsid w:val="00444FB0"/>
    <w:rsid w:val="00445AC5"/>
    <w:rsid w:val="0044657D"/>
    <w:rsid w:val="00446CB9"/>
    <w:rsid w:val="004515B3"/>
    <w:rsid w:val="004522B5"/>
    <w:rsid w:val="00453F59"/>
    <w:rsid w:val="00455A84"/>
    <w:rsid w:val="004603CE"/>
    <w:rsid w:val="004619DE"/>
    <w:rsid w:val="00461A9A"/>
    <w:rsid w:val="004638F4"/>
    <w:rsid w:val="0046589C"/>
    <w:rsid w:val="004669F8"/>
    <w:rsid w:val="0046750F"/>
    <w:rsid w:val="0046752A"/>
    <w:rsid w:val="004676C2"/>
    <w:rsid w:val="00470907"/>
    <w:rsid w:val="004725C9"/>
    <w:rsid w:val="004728C8"/>
    <w:rsid w:val="004749F9"/>
    <w:rsid w:val="004752BA"/>
    <w:rsid w:val="00475F5D"/>
    <w:rsid w:val="00481FCB"/>
    <w:rsid w:val="00483A31"/>
    <w:rsid w:val="00483F4A"/>
    <w:rsid w:val="00485B35"/>
    <w:rsid w:val="00486103"/>
    <w:rsid w:val="004861BD"/>
    <w:rsid w:val="00486BDD"/>
    <w:rsid w:val="00490253"/>
    <w:rsid w:val="0049055B"/>
    <w:rsid w:val="004918A0"/>
    <w:rsid w:val="00491C02"/>
    <w:rsid w:val="00493116"/>
    <w:rsid w:val="00493939"/>
    <w:rsid w:val="00494E80"/>
    <w:rsid w:val="0049501B"/>
    <w:rsid w:val="0049505C"/>
    <w:rsid w:val="00495682"/>
    <w:rsid w:val="00496216"/>
    <w:rsid w:val="00496E01"/>
    <w:rsid w:val="004979FB"/>
    <w:rsid w:val="004A0CC3"/>
    <w:rsid w:val="004A1A14"/>
    <w:rsid w:val="004A1E24"/>
    <w:rsid w:val="004A2F95"/>
    <w:rsid w:val="004A6DB9"/>
    <w:rsid w:val="004B052E"/>
    <w:rsid w:val="004B0FB2"/>
    <w:rsid w:val="004B15C7"/>
    <w:rsid w:val="004B2622"/>
    <w:rsid w:val="004B36F8"/>
    <w:rsid w:val="004B38C6"/>
    <w:rsid w:val="004B40C9"/>
    <w:rsid w:val="004B4678"/>
    <w:rsid w:val="004B64BA"/>
    <w:rsid w:val="004B7876"/>
    <w:rsid w:val="004B7CF0"/>
    <w:rsid w:val="004C0263"/>
    <w:rsid w:val="004C051C"/>
    <w:rsid w:val="004C0C74"/>
    <w:rsid w:val="004C22B0"/>
    <w:rsid w:val="004C2831"/>
    <w:rsid w:val="004C3A54"/>
    <w:rsid w:val="004C68F8"/>
    <w:rsid w:val="004C6D81"/>
    <w:rsid w:val="004C79B1"/>
    <w:rsid w:val="004C7E65"/>
    <w:rsid w:val="004D29A9"/>
    <w:rsid w:val="004D2B80"/>
    <w:rsid w:val="004D2F51"/>
    <w:rsid w:val="004D377B"/>
    <w:rsid w:val="004D3899"/>
    <w:rsid w:val="004D3AA0"/>
    <w:rsid w:val="004D5C05"/>
    <w:rsid w:val="004E0C05"/>
    <w:rsid w:val="004E13FB"/>
    <w:rsid w:val="004E183C"/>
    <w:rsid w:val="004E27A9"/>
    <w:rsid w:val="004E3BF1"/>
    <w:rsid w:val="004E52FB"/>
    <w:rsid w:val="004E54A9"/>
    <w:rsid w:val="004E63AD"/>
    <w:rsid w:val="004E71CB"/>
    <w:rsid w:val="004F081A"/>
    <w:rsid w:val="004F0CDD"/>
    <w:rsid w:val="004F1216"/>
    <w:rsid w:val="004F14BC"/>
    <w:rsid w:val="004F2BD6"/>
    <w:rsid w:val="004F59B1"/>
    <w:rsid w:val="004F5ED3"/>
    <w:rsid w:val="004F60EC"/>
    <w:rsid w:val="004F6F92"/>
    <w:rsid w:val="004F7909"/>
    <w:rsid w:val="004F7A00"/>
    <w:rsid w:val="00501F06"/>
    <w:rsid w:val="00501FAB"/>
    <w:rsid w:val="0050254F"/>
    <w:rsid w:val="00502D14"/>
    <w:rsid w:val="00503165"/>
    <w:rsid w:val="0050317D"/>
    <w:rsid w:val="005058A8"/>
    <w:rsid w:val="00505A5C"/>
    <w:rsid w:val="0050704A"/>
    <w:rsid w:val="00507321"/>
    <w:rsid w:val="00507723"/>
    <w:rsid w:val="005145BC"/>
    <w:rsid w:val="005148BF"/>
    <w:rsid w:val="005148C7"/>
    <w:rsid w:val="0051698A"/>
    <w:rsid w:val="00517310"/>
    <w:rsid w:val="00517EB1"/>
    <w:rsid w:val="00520482"/>
    <w:rsid w:val="00525A95"/>
    <w:rsid w:val="005269AA"/>
    <w:rsid w:val="00526C78"/>
    <w:rsid w:val="00530B76"/>
    <w:rsid w:val="00530D0C"/>
    <w:rsid w:val="00530E09"/>
    <w:rsid w:val="0053344E"/>
    <w:rsid w:val="0053587E"/>
    <w:rsid w:val="00537688"/>
    <w:rsid w:val="005400F6"/>
    <w:rsid w:val="0054324C"/>
    <w:rsid w:val="00545833"/>
    <w:rsid w:val="00545937"/>
    <w:rsid w:val="00547490"/>
    <w:rsid w:val="00547C0A"/>
    <w:rsid w:val="00550F25"/>
    <w:rsid w:val="00550FE9"/>
    <w:rsid w:val="00552B5C"/>
    <w:rsid w:val="00552D1D"/>
    <w:rsid w:val="00554CDC"/>
    <w:rsid w:val="00557680"/>
    <w:rsid w:val="0056106C"/>
    <w:rsid w:val="005610A5"/>
    <w:rsid w:val="00562690"/>
    <w:rsid w:val="00562759"/>
    <w:rsid w:val="00563DD6"/>
    <w:rsid w:val="00564A45"/>
    <w:rsid w:val="00564DED"/>
    <w:rsid w:val="00565452"/>
    <w:rsid w:val="00565915"/>
    <w:rsid w:val="00571652"/>
    <w:rsid w:val="005716BF"/>
    <w:rsid w:val="005717FA"/>
    <w:rsid w:val="00572EDD"/>
    <w:rsid w:val="00574332"/>
    <w:rsid w:val="00574772"/>
    <w:rsid w:val="00576237"/>
    <w:rsid w:val="005762BA"/>
    <w:rsid w:val="00580EC5"/>
    <w:rsid w:val="00581687"/>
    <w:rsid w:val="00581B2D"/>
    <w:rsid w:val="00582141"/>
    <w:rsid w:val="00582FF1"/>
    <w:rsid w:val="00583E5F"/>
    <w:rsid w:val="00583FC7"/>
    <w:rsid w:val="00585357"/>
    <w:rsid w:val="00585C37"/>
    <w:rsid w:val="00585FA6"/>
    <w:rsid w:val="0058644D"/>
    <w:rsid w:val="00591417"/>
    <w:rsid w:val="00591787"/>
    <w:rsid w:val="00593D2B"/>
    <w:rsid w:val="00594716"/>
    <w:rsid w:val="00596C62"/>
    <w:rsid w:val="005A0EB0"/>
    <w:rsid w:val="005A1809"/>
    <w:rsid w:val="005A1B15"/>
    <w:rsid w:val="005A291E"/>
    <w:rsid w:val="005A4228"/>
    <w:rsid w:val="005A45BF"/>
    <w:rsid w:val="005A5615"/>
    <w:rsid w:val="005A688F"/>
    <w:rsid w:val="005A69E9"/>
    <w:rsid w:val="005A6D0E"/>
    <w:rsid w:val="005A7263"/>
    <w:rsid w:val="005B0695"/>
    <w:rsid w:val="005B0E01"/>
    <w:rsid w:val="005B371C"/>
    <w:rsid w:val="005B38FA"/>
    <w:rsid w:val="005B4377"/>
    <w:rsid w:val="005B5941"/>
    <w:rsid w:val="005B650F"/>
    <w:rsid w:val="005B6745"/>
    <w:rsid w:val="005B7069"/>
    <w:rsid w:val="005C0CD2"/>
    <w:rsid w:val="005C17A8"/>
    <w:rsid w:val="005C22E9"/>
    <w:rsid w:val="005C673D"/>
    <w:rsid w:val="005C779E"/>
    <w:rsid w:val="005C7D06"/>
    <w:rsid w:val="005D0995"/>
    <w:rsid w:val="005D123F"/>
    <w:rsid w:val="005D2109"/>
    <w:rsid w:val="005D2F0F"/>
    <w:rsid w:val="005D51B1"/>
    <w:rsid w:val="005D5A45"/>
    <w:rsid w:val="005D5BC7"/>
    <w:rsid w:val="005D5E53"/>
    <w:rsid w:val="005D6A5B"/>
    <w:rsid w:val="005E046F"/>
    <w:rsid w:val="005E483E"/>
    <w:rsid w:val="005E5A98"/>
    <w:rsid w:val="005E5C09"/>
    <w:rsid w:val="005E7325"/>
    <w:rsid w:val="005E74FA"/>
    <w:rsid w:val="005E75BB"/>
    <w:rsid w:val="005E7926"/>
    <w:rsid w:val="005F0002"/>
    <w:rsid w:val="005F1955"/>
    <w:rsid w:val="005F2009"/>
    <w:rsid w:val="005F2571"/>
    <w:rsid w:val="005F2BAE"/>
    <w:rsid w:val="005F34DE"/>
    <w:rsid w:val="005F56B6"/>
    <w:rsid w:val="005F57F6"/>
    <w:rsid w:val="005F6BE7"/>
    <w:rsid w:val="006007F0"/>
    <w:rsid w:val="00600E66"/>
    <w:rsid w:val="00602D74"/>
    <w:rsid w:val="00604359"/>
    <w:rsid w:val="00605AFC"/>
    <w:rsid w:val="0061020F"/>
    <w:rsid w:val="00611E12"/>
    <w:rsid w:val="0061579F"/>
    <w:rsid w:val="006176E3"/>
    <w:rsid w:val="006209A3"/>
    <w:rsid w:val="00620EB2"/>
    <w:rsid w:val="00620F70"/>
    <w:rsid w:val="0062183C"/>
    <w:rsid w:val="00621F83"/>
    <w:rsid w:val="006238C8"/>
    <w:rsid w:val="006238D6"/>
    <w:rsid w:val="00623F55"/>
    <w:rsid w:val="0062414C"/>
    <w:rsid w:val="00624EF2"/>
    <w:rsid w:val="0062570A"/>
    <w:rsid w:val="00627EEC"/>
    <w:rsid w:val="0063024A"/>
    <w:rsid w:val="0063285F"/>
    <w:rsid w:val="00634712"/>
    <w:rsid w:val="006356B4"/>
    <w:rsid w:val="0063637E"/>
    <w:rsid w:val="0063691D"/>
    <w:rsid w:val="00636D6F"/>
    <w:rsid w:val="00642C0A"/>
    <w:rsid w:val="0064456B"/>
    <w:rsid w:val="00645D64"/>
    <w:rsid w:val="00645E3B"/>
    <w:rsid w:val="00645FF6"/>
    <w:rsid w:val="006475DD"/>
    <w:rsid w:val="00651093"/>
    <w:rsid w:val="006524A2"/>
    <w:rsid w:val="006532D7"/>
    <w:rsid w:val="0065341E"/>
    <w:rsid w:val="006536B2"/>
    <w:rsid w:val="00655929"/>
    <w:rsid w:val="00657309"/>
    <w:rsid w:val="00657451"/>
    <w:rsid w:val="00657F1F"/>
    <w:rsid w:val="00660852"/>
    <w:rsid w:val="00661049"/>
    <w:rsid w:val="00662677"/>
    <w:rsid w:val="00662807"/>
    <w:rsid w:val="00663301"/>
    <w:rsid w:val="006635B5"/>
    <w:rsid w:val="00666088"/>
    <w:rsid w:val="00666F94"/>
    <w:rsid w:val="0067015F"/>
    <w:rsid w:val="00670C5A"/>
    <w:rsid w:val="00670E63"/>
    <w:rsid w:val="0067168F"/>
    <w:rsid w:val="006735A1"/>
    <w:rsid w:val="0067504A"/>
    <w:rsid w:val="006767C3"/>
    <w:rsid w:val="0068014E"/>
    <w:rsid w:val="006842BE"/>
    <w:rsid w:val="006868D5"/>
    <w:rsid w:val="00687207"/>
    <w:rsid w:val="00693A32"/>
    <w:rsid w:val="00693FEE"/>
    <w:rsid w:val="0069522C"/>
    <w:rsid w:val="0069547C"/>
    <w:rsid w:val="0069608B"/>
    <w:rsid w:val="00696340"/>
    <w:rsid w:val="006971A0"/>
    <w:rsid w:val="006A099A"/>
    <w:rsid w:val="006A2618"/>
    <w:rsid w:val="006A28F1"/>
    <w:rsid w:val="006A3369"/>
    <w:rsid w:val="006A3473"/>
    <w:rsid w:val="006A4136"/>
    <w:rsid w:val="006A570D"/>
    <w:rsid w:val="006A59E5"/>
    <w:rsid w:val="006A70DB"/>
    <w:rsid w:val="006A7F2E"/>
    <w:rsid w:val="006B044F"/>
    <w:rsid w:val="006B20AB"/>
    <w:rsid w:val="006B3141"/>
    <w:rsid w:val="006B3F21"/>
    <w:rsid w:val="006B5D15"/>
    <w:rsid w:val="006B630F"/>
    <w:rsid w:val="006B65B4"/>
    <w:rsid w:val="006C03D5"/>
    <w:rsid w:val="006C042F"/>
    <w:rsid w:val="006C0A09"/>
    <w:rsid w:val="006C1E99"/>
    <w:rsid w:val="006C5F94"/>
    <w:rsid w:val="006C66D6"/>
    <w:rsid w:val="006C69CC"/>
    <w:rsid w:val="006C721C"/>
    <w:rsid w:val="006C7380"/>
    <w:rsid w:val="006D0A7B"/>
    <w:rsid w:val="006D237C"/>
    <w:rsid w:val="006D283B"/>
    <w:rsid w:val="006D372D"/>
    <w:rsid w:val="006D3CD8"/>
    <w:rsid w:val="006D3DBA"/>
    <w:rsid w:val="006D47E2"/>
    <w:rsid w:val="006D4D29"/>
    <w:rsid w:val="006D5164"/>
    <w:rsid w:val="006D53DB"/>
    <w:rsid w:val="006D609F"/>
    <w:rsid w:val="006D62AF"/>
    <w:rsid w:val="006D63B1"/>
    <w:rsid w:val="006D64F9"/>
    <w:rsid w:val="006D66D8"/>
    <w:rsid w:val="006E0277"/>
    <w:rsid w:val="006E1E24"/>
    <w:rsid w:val="006E1E92"/>
    <w:rsid w:val="006E27EE"/>
    <w:rsid w:val="006E32E7"/>
    <w:rsid w:val="006E3716"/>
    <w:rsid w:val="006E3AFA"/>
    <w:rsid w:val="006E3FA2"/>
    <w:rsid w:val="006E4364"/>
    <w:rsid w:val="006E4A22"/>
    <w:rsid w:val="006E59AB"/>
    <w:rsid w:val="006E6843"/>
    <w:rsid w:val="006E6BDB"/>
    <w:rsid w:val="006E7F4A"/>
    <w:rsid w:val="006F0D5B"/>
    <w:rsid w:val="006F0E12"/>
    <w:rsid w:val="006F0F61"/>
    <w:rsid w:val="006F19FD"/>
    <w:rsid w:val="006F28EE"/>
    <w:rsid w:val="006F4B9F"/>
    <w:rsid w:val="006F680B"/>
    <w:rsid w:val="00700A13"/>
    <w:rsid w:val="00701AF3"/>
    <w:rsid w:val="00701FAD"/>
    <w:rsid w:val="007028F1"/>
    <w:rsid w:val="00703BA7"/>
    <w:rsid w:val="00707233"/>
    <w:rsid w:val="00710F3F"/>
    <w:rsid w:val="007132CD"/>
    <w:rsid w:val="00713995"/>
    <w:rsid w:val="00714BBD"/>
    <w:rsid w:val="00716351"/>
    <w:rsid w:val="00717BC0"/>
    <w:rsid w:val="00717CA9"/>
    <w:rsid w:val="00721D16"/>
    <w:rsid w:val="00722555"/>
    <w:rsid w:val="007231EA"/>
    <w:rsid w:val="00723C07"/>
    <w:rsid w:val="00723E28"/>
    <w:rsid w:val="00724248"/>
    <w:rsid w:val="0072452E"/>
    <w:rsid w:val="0072509E"/>
    <w:rsid w:val="0072518C"/>
    <w:rsid w:val="007254C3"/>
    <w:rsid w:val="00726AA9"/>
    <w:rsid w:val="00726B4C"/>
    <w:rsid w:val="00731212"/>
    <w:rsid w:val="00731371"/>
    <w:rsid w:val="00732E6A"/>
    <w:rsid w:val="00734E96"/>
    <w:rsid w:val="0073635D"/>
    <w:rsid w:val="00741F2D"/>
    <w:rsid w:val="007434B8"/>
    <w:rsid w:val="007439BE"/>
    <w:rsid w:val="00743C6E"/>
    <w:rsid w:val="00747701"/>
    <w:rsid w:val="00747881"/>
    <w:rsid w:val="00747AD3"/>
    <w:rsid w:val="00750755"/>
    <w:rsid w:val="007509C1"/>
    <w:rsid w:val="00757DD3"/>
    <w:rsid w:val="0076046F"/>
    <w:rsid w:val="00760521"/>
    <w:rsid w:val="00761375"/>
    <w:rsid w:val="007619E6"/>
    <w:rsid w:val="00762559"/>
    <w:rsid w:val="00762C2E"/>
    <w:rsid w:val="00763ECE"/>
    <w:rsid w:val="007652F0"/>
    <w:rsid w:val="007664D8"/>
    <w:rsid w:val="00766736"/>
    <w:rsid w:val="00766A41"/>
    <w:rsid w:val="007733DB"/>
    <w:rsid w:val="007736FC"/>
    <w:rsid w:val="00773CD8"/>
    <w:rsid w:val="00773DD5"/>
    <w:rsid w:val="00774313"/>
    <w:rsid w:val="007746AF"/>
    <w:rsid w:val="007746F8"/>
    <w:rsid w:val="00774BF2"/>
    <w:rsid w:val="0077533F"/>
    <w:rsid w:val="0077587C"/>
    <w:rsid w:val="007773DA"/>
    <w:rsid w:val="007805A4"/>
    <w:rsid w:val="00780E08"/>
    <w:rsid w:val="00781070"/>
    <w:rsid w:val="007820C9"/>
    <w:rsid w:val="00784768"/>
    <w:rsid w:val="0078496C"/>
    <w:rsid w:val="00785BA9"/>
    <w:rsid w:val="00786B4C"/>
    <w:rsid w:val="00786C33"/>
    <w:rsid w:val="00793EF4"/>
    <w:rsid w:val="007949D5"/>
    <w:rsid w:val="00794B01"/>
    <w:rsid w:val="007962CD"/>
    <w:rsid w:val="007A22CE"/>
    <w:rsid w:val="007A26C7"/>
    <w:rsid w:val="007A3643"/>
    <w:rsid w:val="007A4A6B"/>
    <w:rsid w:val="007A572B"/>
    <w:rsid w:val="007A580A"/>
    <w:rsid w:val="007A6037"/>
    <w:rsid w:val="007A667C"/>
    <w:rsid w:val="007A6F63"/>
    <w:rsid w:val="007A755E"/>
    <w:rsid w:val="007A7920"/>
    <w:rsid w:val="007A7E8B"/>
    <w:rsid w:val="007B06A9"/>
    <w:rsid w:val="007B07D1"/>
    <w:rsid w:val="007B2667"/>
    <w:rsid w:val="007B3BDB"/>
    <w:rsid w:val="007B4E6F"/>
    <w:rsid w:val="007B558B"/>
    <w:rsid w:val="007B5C95"/>
    <w:rsid w:val="007B5E5C"/>
    <w:rsid w:val="007B6F9B"/>
    <w:rsid w:val="007B7016"/>
    <w:rsid w:val="007C0058"/>
    <w:rsid w:val="007C08C7"/>
    <w:rsid w:val="007C17A7"/>
    <w:rsid w:val="007C1B2A"/>
    <w:rsid w:val="007C359E"/>
    <w:rsid w:val="007C360C"/>
    <w:rsid w:val="007C6101"/>
    <w:rsid w:val="007C64EB"/>
    <w:rsid w:val="007C7900"/>
    <w:rsid w:val="007C7D2E"/>
    <w:rsid w:val="007D0103"/>
    <w:rsid w:val="007D035A"/>
    <w:rsid w:val="007D25A6"/>
    <w:rsid w:val="007D34F7"/>
    <w:rsid w:val="007D79CD"/>
    <w:rsid w:val="007D7A7D"/>
    <w:rsid w:val="007E11BC"/>
    <w:rsid w:val="007E2A89"/>
    <w:rsid w:val="007E484C"/>
    <w:rsid w:val="007E513A"/>
    <w:rsid w:val="007E66AA"/>
    <w:rsid w:val="007E72C6"/>
    <w:rsid w:val="007F14B6"/>
    <w:rsid w:val="007F156F"/>
    <w:rsid w:val="007F19EF"/>
    <w:rsid w:val="007F1EC0"/>
    <w:rsid w:val="007F2793"/>
    <w:rsid w:val="007F34BE"/>
    <w:rsid w:val="007F3F6C"/>
    <w:rsid w:val="007F4AFB"/>
    <w:rsid w:val="007F5F45"/>
    <w:rsid w:val="007F7457"/>
    <w:rsid w:val="007F7A7E"/>
    <w:rsid w:val="0080009C"/>
    <w:rsid w:val="00801CAF"/>
    <w:rsid w:val="008024CA"/>
    <w:rsid w:val="00802860"/>
    <w:rsid w:val="0080289E"/>
    <w:rsid w:val="00805F01"/>
    <w:rsid w:val="00806EDB"/>
    <w:rsid w:val="008100A2"/>
    <w:rsid w:val="008100B3"/>
    <w:rsid w:val="00810660"/>
    <w:rsid w:val="008115C4"/>
    <w:rsid w:val="0081185E"/>
    <w:rsid w:val="0081473B"/>
    <w:rsid w:val="00815156"/>
    <w:rsid w:val="008154B7"/>
    <w:rsid w:val="00817C51"/>
    <w:rsid w:val="008207AE"/>
    <w:rsid w:val="00821D88"/>
    <w:rsid w:val="008228EA"/>
    <w:rsid w:val="008229F3"/>
    <w:rsid w:val="0082466D"/>
    <w:rsid w:val="00825286"/>
    <w:rsid w:val="00826BE1"/>
    <w:rsid w:val="00827C54"/>
    <w:rsid w:val="00830EE1"/>
    <w:rsid w:val="0083284B"/>
    <w:rsid w:val="00833E0F"/>
    <w:rsid w:val="00834156"/>
    <w:rsid w:val="0083480D"/>
    <w:rsid w:val="00836142"/>
    <w:rsid w:val="00836431"/>
    <w:rsid w:val="00836A83"/>
    <w:rsid w:val="00836D3F"/>
    <w:rsid w:val="0084283C"/>
    <w:rsid w:val="00842E73"/>
    <w:rsid w:val="008435AC"/>
    <w:rsid w:val="0084422E"/>
    <w:rsid w:val="00844C9E"/>
    <w:rsid w:val="008457C6"/>
    <w:rsid w:val="0084650B"/>
    <w:rsid w:val="00846941"/>
    <w:rsid w:val="00850163"/>
    <w:rsid w:val="0085124C"/>
    <w:rsid w:val="0085376A"/>
    <w:rsid w:val="00853DFA"/>
    <w:rsid w:val="00855999"/>
    <w:rsid w:val="0086096B"/>
    <w:rsid w:val="00860DE3"/>
    <w:rsid w:val="00861236"/>
    <w:rsid w:val="00862CD4"/>
    <w:rsid w:val="00864092"/>
    <w:rsid w:val="0086516E"/>
    <w:rsid w:val="00867B6B"/>
    <w:rsid w:val="00871163"/>
    <w:rsid w:val="0087195C"/>
    <w:rsid w:val="00871AFD"/>
    <w:rsid w:val="0087499A"/>
    <w:rsid w:val="00875069"/>
    <w:rsid w:val="00875FCE"/>
    <w:rsid w:val="008766AA"/>
    <w:rsid w:val="008768EB"/>
    <w:rsid w:val="00876C8F"/>
    <w:rsid w:val="00876FCF"/>
    <w:rsid w:val="00877567"/>
    <w:rsid w:val="00877C2F"/>
    <w:rsid w:val="00880069"/>
    <w:rsid w:val="00881200"/>
    <w:rsid w:val="0088225B"/>
    <w:rsid w:val="00883465"/>
    <w:rsid w:val="008853BC"/>
    <w:rsid w:val="00885897"/>
    <w:rsid w:val="008863FB"/>
    <w:rsid w:val="008873E0"/>
    <w:rsid w:val="00887DD7"/>
    <w:rsid w:val="00890133"/>
    <w:rsid w:val="008913A8"/>
    <w:rsid w:val="00893351"/>
    <w:rsid w:val="00893419"/>
    <w:rsid w:val="00893937"/>
    <w:rsid w:val="00893D11"/>
    <w:rsid w:val="00894324"/>
    <w:rsid w:val="00896A61"/>
    <w:rsid w:val="00896ECB"/>
    <w:rsid w:val="00897A8A"/>
    <w:rsid w:val="008A00B3"/>
    <w:rsid w:val="008A0297"/>
    <w:rsid w:val="008A3AE1"/>
    <w:rsid w:val="008A3F56"/>
    <w:rsid w:val="008A4CBC"/>
    <w:rsid w:val="008A7122"/>
    <w:rsid w:val="008A72F6"/>
    <w:rsid w:val="008B4303"/>
    <w:rsid w:val="008B5468"/>
    <w:rsid w:val="008B5519"/>
    <w:rsid w:val="008B561A"/>
    <w:rsid w:val="008B62EF"/>
    <w:rsid w:val="008B7772"/>
    <w:rsid w:val="008B7ED6"/>
    <w:rsid w:val="008C0B8B"/>
    <w:rsid w:val="008C1111"/>
    <w:rsid w:val="008C1267"/>
    <w:rsid w:val="008C2F3A"/>
    <w:rsid w:val="008C3768"/>
    <w:rsid w:val="008C4549"/>
    <w:rsid w:val="008C45EF"/>
    <w:rsid w:val="008C46D3"/>
    <w:rsid w:val="008C4A72"/>
    <w:rsid w:val="008C57A9"/>
    <w:rsid w:val="008C6773"/>
    <w:rsid w:val="008C73B0"/>
    <w:rsid w:val="008D0885"/>
    <w:rsid w:val="008D095D"/>
    <w:rsid w:val="008D0C29"/>
    <w:rsid w:val="008D0FD4"/>
    <w:rsid w:val="008D1DBE"/>
    <w:rsid w:val="008D2BA2"/>
    <w:rsid w:val="008D3399"/>
    <w:rsid w:val="008D42C0"/>
    <w:rsid w:val="008D5126"/>
    <w:rsid w:val="008D5656"/>
    <w:rsid w:val="008D5AD6"/>
    <w:rsid w:val="008E0D0A"/>
    <w:rsid w:val="008E11A5"/>
    <w:rsid w:val="008E1240"/>
    <w:rsid w:val="008E236A"/>
    <w:rsid w:val="008E26A4"/>
    <w:rsid w:val="008E338F"/>
    <w:rsid w:val="008E3A7C"/>
    <w:rsid w:val="008E3DD9"/>
    <w:rsid w:val="008E48AA"/>
    <w:rsid w:val="008E5CE4"/>
    <w:rsid w:val="008E66B4"/>
    <w:rsid w:val="008E6C2D"/>
    <w:rsid w:val="008E763C"/>
    <w:rsid w:val="008E786B"/>
    <w:rsid w:val="008F008B"/>
    <w:rsid w:val="008F0D22"/>
    <w:rsid w:val="008F3151"/>
    <w:rsid w:val="008F7D99"/>
    <w:rsid w:val="0090045A"/>
    <w:rsid w:val="00900668"/>
    <w:rsid w:val="0090068F"/>
    <w:rsid w:val="00904790"/>
    <w:rsid w:val="00905140"/>
    <w:rsid w:val="00905478"/>
    <w:rsid w:val="0091336A"/>
    <w:rsid w:val="009137B0"/>
    <w:rsid w:val="00914762"/>
    <w:rsid w:val="00914FE6"/>
    <w:rsid w:val="0091580C"/>
    <w:rsid w:val="00915960"/>
    <w:rsid w:val="00916F0E"/>
    <w:rsid w:val="009171BD"/>
    <w:rsid w:val="00917C4E"/>
    <w:rsid w:val="00922C1C"/>
    <w:rsid w:val="00923801"/>
    <w:rsid w:val="00930FAF"/>
    <w:rsid w:val="0093205E"/>
    <w:rsid w:val="00932BF6"/>
    <w:rsid w:val="0093370C"/>
    <w:rsid w:val="00936899"/>
    <w:rsid w:val="009369F5"/>
    <w:rsid w:val="00936DE8"/>
    <w:rsid w:val="00936E7E"/>
    <w:rsid w:val="00937044"/>
    <w:rsid w:val="009371F7"/>
    <w:rsid w:val="009372A9"/>
    <w:rsid w:val="00937C4D"/>
    <w:rsid w:val="00940B40"/>
    <w:rsid w:val="0094344A"/>
    <w:rsid w:val="00943B9D"/>
    <w:rsid w:val="00943E8C"/>
    <w:rsid w:val="00944124"/>
    <w:rsid w:val="009442C0"/>
    <w:rsid w:val="009443B1"/>
    <w:rsid w:val="009444C1"/>
    <w:rsid w:val="00945CFB"/>
    <w:rsid w:val="00946E2E"/>
    <w:rsid w:val="00951413"/>
    <w:rsid w:val="00952741"/>
    <w:rsid w:val="009528B2"/>
    <w:rsid w:val="00952D8B"/>
    <w:rsid w:val="00954B3D"/>
    <w:rsid w:val="00960B5F"/>
    <w:rsid w:val="00961AB3"/>
    <w:rsid w:val="0096427A"/>
    <w:rsid w:val="00964E91"/>
    <w:rsid w:val="00965913"/>
    <w:rsid w:val="00965F52"/>
    <w:rsid w:val="009677BF"/>
    <w:rsid w:val="009679EE"/>
    <w:rsid w:val="00967B60"/>
    <w:rsid w:val="00970C96"/>
    <w:rsid w:val="009725B2"/>
    <w:rsid w:val="00973ECC"/>
    <w:rsid w:val="00974B58"/>
    <w:rsid w:val="009810D6"/>
    <w:rsid w:val="0098151E"/>
    <w:rsid w:val="00981E9E"/>
    <w:rsid w:val="00982467"/>
    <w:rsid w:val="00982C52"/>
    <w:rsid w:val="00986D38"/>
    <w:rsid w:val="00990DD2"/>
    <w:rsid w:val="00991114"/>
    <w:rsid w:val="00991171"/>
    <w:rsid w:val="00992599"/>
    <w:rsid w:val="0099407F"/>
    <w:rsid w:val="009947B0"/>
    <w:rsid w:val="009960B0"/>
    <w:rsid w:val="009A0134"/>
    <w:rsid w:val="009A0CEE"/>
    <w:rsid w:val="009A0FC0"/>
    <w:rsid w:val="009A1B30"/>
    <w:rsid w:val="009A1E3C"/>
    <w:rsid w:val="009A1FF3"/>
    <w:rsid w:val="009A20BA"/>
    <w:rsid w:val="009A3BDC"/>
    <w:rsid w:val="009A4681"/>
    <w:rsid w:val="009A57CD"/>
    <w:rsid w:val="009A5C7C"/>
    <w:rsid w:val="009A6536"/>
    <w:rsid w:val="009A76BB"/>
    <w:rsid w:val="009B0D38"/>
    <w:rsid w:val="009B0D40"/>
    <w:rsid w:val="009B1D9C"/>
    <w:rsid w:val="009B503C"/>
    <w:rsid w:val="009B55C7"/>
    <w:rsid w:val="009B7973"/>
    <w:rsid w:val="009C1146"/>
    <w:rsid w:val="009C1329"/>
    <w:rsid w:val="009C15EF"/>
    <w:rsid w:val="009C22C0"/>
    <w:rsid w:val="009C3298"/>
    <w:rsid w:val="009C34EF"/>
    <w:rsid w:val="009C3A3D"/>
    <w:rsid w:val="009C3DA1"/>
    <w:rsid w:val="009C442D"/>
    <w:rsid w:val="009C4649"/>
    <w:rsid w:val="009C51B3"/>
    <w:rsid w:val="009C6C41"/>
    <w:rsid w:val="009C7FB4"/>
    <w:rsid w:val="009D0564"/>
    <w:rsid w:val="009D0F4D"/>
    <w:rsid w:val="009D1907"/>
    <w:rsid w:val="009D1CF4"/>
    <w:rsid w:val="009D31C8"/>
    <w:rsid w:val="009D33C8"/>
    <w:rsid w:val="009D3F1E"/>
    <w:rsid w:val="009D46DD"/>
    <w:rsid w:val="009D4E0C"/>
    <w:rsid w:val="009D75C9"/>
    <w:rsid w:val="009D7E05"/>
    <w:rsid w:val="009E08A2"/>
    <w:rsid w:val="009E0B3A"/>
    <w:rsid w:val="009E1150"/>
    <w:rsid w:val="009E1AC0"/>
    <w:rsid w:val="009E1E67"/>
    <w:rsid w:val="009E2637"/>
    <w:rsid w:val="009E268C"/>
    <w:rsid w:val="009E285D"/>
    <w:rsid w:val="009E3013"/>
    <w:rsid w:val="009E41DC"/>
    <w:rsid w:val="009E45FD"/>
    <w:rsid w:val="009E5ECB"/>
    <w:rsid w:val="009E7552"/>
    <w:rsid w:val="009F0AF0"/>
    <w:rsid w:val="009F2364"/>
    <w:rsid w:val="009F3641"/>
    <w:rsid w:val="009F3906"/>
    <w:rsid w:val="009F4D58"/>
    <w:rsid w:val="009F62C6"/>
    <w:rsid w:val="009F6481"/>
    <w:rsid w:val="009F6ED6"/>
    <w:rsid w:val="009F7560"/>
    <w:rsid w:val="00A0008F"/>
    <w:rsid w:val="00A00A9C"/>
    <w:rsid w:val="00A01AF8"/>
    <w:rsid w:val="00A03ED9"/>
    <w:rsid w:val="00A04913"/>
    <w:rsid w:val="00A04BE0"/>
    <w:rsid w:val="00A04FA5"/>
    <w:rsid w:val="00A0513C"/>
    <w:rsid w:val="00A05C17"/>
    <w:rsid w:val="00A0685B"/>
    <w:rsid w:val="00A07B34"/>
    <w:rsid w:val="00A11B13"/>
    <w:rsid w:val="00A121CD"/>
    <w:rsid w:val="00A124BE"/>
    <w:rsid w:val="00A15167"/>
    <w:rsid w:val="00A15B66"/>
    <w:rsid w:val="00A1636F"/>
    <w:rsid w:val="00A17559"/>
    <w:rsid w:val="00A17932"/>
    <w:rsid w:val="00A20953"/>
    <w:rsid w:val="00A20A98"/>
    <w:rsid w:val="00A2121E"/>
    <w:rsid w:val="00A248B9"/>
    <w:rsid w:val="00A26EE8"/>
    <w:rsid w:val="00A26EFB"/>
    <w:rsid w:val="00A27439"/>
    <w:rsid w:val="00A27A35"/>
    <w:rsid w:val="00A27FAE"/>
    <w:rsid w:val="00A316BB"/>
    <w:rsid w:val="00A32C31"/>
    <w:rsid w:val="00A346EF"/>
    <w:rsid w:val="00A35898"/>
    <w:rsid w:val="00A370A7"/>
    <w:rsid w:val="00A37F93"/>
    <w:rsid w:val="00A40897"/>
    <w:rsid w:val="00A408E6"/>
    <w:rsid w:val="00A428E6"/>
    <w:rsid w:val="00A44937"/>
    <w:rsid w:val="00A44947"/>
    <w:rsid w:val="00A45BEA"/>
    <w:rsid w:val="00A47C56"/>
    <w:rsid w:val="00A50574"/>
    <w:rsid w:val="00A50C56"/>
    <w:rsid w:val="00A5234C"/>
    <w:rsid w:val="00A524C1"/>
    <w:rsid w:val="00A53AE8"/>
    <w:rsid w:val="00A5488B"/>
    <w:rsid w:val="00A561DF"/>
    <w:rsid w:val="00A56C91"/>
    <w:rsid w:val="00A56D77"/>
    <w:rsid w:val="00A606F6"/>
    <w:rsid w:val="00A61983"/>
    <w:rsid w:val="00A631B3"/>
    <w:rsid w:val="00A63ADF"/>
    <w:rsid w:val="00A64506"/>
    <w:rsid w:val="00A6747B"/>
    <w:rsid w:val="00A67910"/>
    <w:rsid w:val="00A705FD"/>
    <w:rsid w:val="00A70B32"/>
    <w:rsid w:val="00A7289C"/>
    <w:rsid w:val="00A72D26"/>
    <w:rsid w:val="00A73EEF"/>
    <w:rsid w:val="00A73F56"/>
    <w:rsid w:val="00A73FCB"/>
    <w:rsid w:val="00A750B6"/>
    <w:rsid w:val="00A7609D"/>
    <w:rsid w:val="00A772A8"/>
    <w:rsid w:val="00A77EA7"/>
    <w:rsid w:val="00A77FD8"/>
    <w:rsid w:val="00A813F0"/>
    <w:rsid w:val="00A8145A"/>
    <w:rsid w:val="00A826D9"/>
    <w:rsid w:val="00A82789"/>
    <w:rsid w:val="00A83E56"/>
    <w:rsid w:val="00A84D34"/>
    <w:rsid w:val="00A85D03"/>
    <w:rsid w:val="00A90BE0"/>
    <w:rsid w:val="00A9114E"/>
    <w:rsid w:val="00A9269D"/>
    <w:rsid w:val="00A92EFD"/>
    <w:rsid w:val="00A9367A"/>
    <w:rsid w:val="00A9465F"/>
    <w:rsid w:val="00A947AB"/>
    <w:rsid w:val="00A9510C"/>
    <w:rsid w:val="00A95B66"/>
    <w:rsid w:val="00A96876"/>
    <w:rsid w:val="00A97F89"/>
    <w:rsid w:val="00AA0899"/>
    <w:rsid w:val="00AA0D72"/>
    <w:rsid w:val="00AA14CE"/>
    <w:rsid w:val="00AA1613"/>
    <w:rsid w:val="00AA236C"/>
    <w:rsid w:val="00AA2B66"/>
    <w:rsid w:val="00AA4060"/>
    <w:rsid w:val="00AB0F72"/>
    <w:rsid w:val="00AB126C"/>
    <w:rsid w:val="00AB1B9D"/>
    <w:rsid w:val="00AB1E46"/>
    <w:rsid w:val="00AB2D72"/>
    <w:rsid w:val="00AB50C8"/>
    <w:rsid w:val="00AB642D"/>
    <w:rsid w:val="00AB6536"/>
    <w:rsid w:val="00AB724B"/>
    <w:rsid w:val="00AC070C"/>
    <w:rsid w:val="00AC14B3"/>
    <w:rsid w:val="00AC18D8"/>
    <w:rsid w:val="00AC269B"/>
    <w:rsid w:val="00AC324C"/>
    <w:rsid w:val="00AC3667"/>
    <w:rsid w:val="00AC3BF5"/>
    <w:rsid w:val="00AC3F71"/>
    <w:rsid w:val="00AC3F98"/>
    <w:rsid w:val="00AC4D90"/>
    <w:rsid w:val="00AC5185"/>
    <w:rsid w:val="00AC5C5D"/>
    <w:rsid w:val="00AC6D84"/>
    <w:rsid w:val="00AC7531"/>
    <w:rsid w:val="00AD1317"/>
    <w:rsid w:val="00AD2553"/>
    <w:rsid w:val="00AD5C16"/>
    <w:rsid w:val="00AD60BB"/>
    <w:rsid w:val="00AD6602"/>
    <w:rsid w:val="00AE0B39"/>
    <w:rsid w:val="00AE21D6"/>
    <w:rsid w:val="00AE4A4F"/>
    <w:rsid w:val="00AE5345"/>
    <w:rsid w:val="00AE5D5F"/>
    <w:rsid w:val="00AE7345"/>
    <w:rsid w:val="00AF170D"/>
    <w:rsid w:val="00AF19EE"/>
    <w:rsid w:val="00AF21E4"/>
    <w:rsid w:val="00AF2D5A"/>
    <w:rsid w:val="00AF3507"/>
    <w:rsid w:val="00AF371E"/>
    <w:rsid w:val="00AF3E65"/>
    <w:rsid w:val="00AF41AF"/>
    <w:rsid w:val="00AF4EF1"/>
    <w:rsid w:val="00AF5740"/>
    <w:rsid w:val="00AF5DDA"/>
    <w:rsid w:val="00AF6E76"/>
    <w:rsid w:val="00B01A3C"/>
    <w:rsid w:val="00B03E80"/>
    <w:rsid w:val="00B04D29"/>
    <w:rsid w:val="00B05A48"/>
    <w:rsid w:val="00B06752"/>
    <w:rsid w:val="00B07E47"/>
    <w:rsid w:val="00B102CA"/>
    <w:rsid w:val="00B1096B"/>
    <w:rsid w:val="00B1125E"/>
    <w:rsid w:val="00B12F0D"/>
    <w:rsid w:val="00B13C96"/>
    <w:rsid w:val="00B15A0C"/>
    <w:rsid w:val="00B16360"/>
    <w:rsid w:val="00B20ABB"/>
    <w:rsid w:val="00B23E40"/>
    <w:rsid w:val="00B24196"/>
    <w:rsid w:val="00B24AAE"/>
    <w:rsid w:val="00B25BFD"/>
    <w:rsid w:val="00B26690"/>
    <w:rsid w:val="00B30DA2"/>
    <w:rsid w:val="00B322AC"/>
    <w:rsid w:val="00B324C9"/>
    <w:rsid w:val="00B339F3"/>
    <w:rsid w:val="00B340DF"/>
    <w:rsid w:val="00B36588"/>
    <w:rsid w:val="00B36ED4"/>
    <w:rsid w:val="00B43687"/>
    <w:rsid w:val="00B43700"/>
    <w:rsid w:val="00B43B23"/>
    <w:rsid w:val="00B44EA5"/>
    <w:rsid w:val="00B51039"/>
    <w:rsid w:val="00B51887"/>
    <w:rsid w:val="00B53949"/>
    <w:rsid w:val="00B53CB8"/>
    <w:rsid w:val="00B5432F"/>
    <w:rsid w:val="00B545B7"/>
    <w:rsid w:val="00B54958"/>
    <w:rsid w:val="00B54B79"/>
    <w:rsid w:val="00B5751F"/>
    <w:rsid w:val="00B57F3B"/>
    <w:rsid w:val="00B601BE"/>
    <w:rsid w:val="00B60F71"/>
    <w:rsid w:val="00B61BDF"/>
    <w:rsid w:val="00B63224"/>
    <w:rsid w:val="00B63551"/>
    <w:rsid w:val="00B638B4"/>
    <w:rsid w:val="00B648AD"/>
    <w:rsid w:val="00B64913"/>
    <w:rsid w:val="00B668FA"/>
    <w:rsid w:val="00B72C28"/>
    <w:rsid w:val="00B749D6"/>
    <w:rsid w:val="00B75066"/>
    <w:rsid w:val="00B7542E"/>
    <w:rsid w:val="00B756A6"/>
    <w:rsid w:val="00B7684A"/>
    <w:rsid w:val="00B80369"/>
    <w:rsid w:val="00B806C6"/>
    <w:rsid w:val="00B80D13"/>
    <w:rsid w:val="00B81F64"/>
    <w:rsid w:val="00B83BBD"/>
    <w:rsid w:val="00B84143"/>
    <w:rsid w:val="00B84BAF"/>
    <w:rsid w:val="00B860DB"/>
    <w:rsid w:val="00B87C81"/>
    <w:rsid w:val="00B9034F"/>
    <w:rsid w:val="00B91ADE"/>
    <w:rsid w:val="00B930B4"/>
    <w:rsid w:val="00B93A27"/>
    <w:rsid w:val="00B963BC"/>
    <w:rsid w:val="00B977FF"/>
    <w:rsid w:val="00B97894"/>
    <w:rsid w:val="00BA079B"/>
    <w:rsid w:val="00BA07F2"/>
    <w:rsid w:val="00BA20DF"/>
    <w:rsid w:val="00BA2A1E"/>
    <w:rsid w:val="00BA2A36"/>
    <w:rsid w:val="00BA3AE6"/>
    <w:rsid w:val="00BA3C60"/>
    <w:rsid w:val="00BA54FB"/>
    <w:rsid w:val="00BA56C0"/>
    <w:rsid w:val="00BA66F8"/>
    <w:rsid w:val="00BA6CDA"/>
    <w:rsid w:val="00BB0761"/>
    <w:rsid w:val="00BB0A31"/>
    <w:rsid w:val="00BB0DEE"/>
    <w:rsid w:val="00BB1538"/>
    <w:rsid w:val="00BB1849"/>
    <w:rsid w:val="00BB1B22"/>
    <w:rsid w:val="00BB1FA9"/>
    <w:rsid w:val="00BB2378"/>
    <w:rsid w:val="00BB4642"/>
    <w:rsid w:val="00BB51C3"/>
    <w:rsid w:val="00BB5EC3"/>
    <w:rsid w:val="00BB6390"/>
    <w:rsid w:val="00BB7E38"/>
    <w:rsid w:val="00BC23EC"/>
    <w:rsid w:val="00BC24D8"/>
    <w:rsid w:val="00BC29DB"/>
    <w:rsid w:val="00BC34E7"/>
    <w:rsid w:val="00BC482D"/>
    <w:rsid w:val="00BC5798"/>
    <w:rsid w:val="00BC5D0E"/>
    <w:rsid w:val="00BC5F50"/>
    <w:rsid w:val="00BC7499"/>
    <w:rsid w:val="00BD1735"/>
    <w:rsid w:val="00BD3436"/>
    <w:rsid w:val="00BD5620"/>
    <w:rsid w:val="00BD6361"/>
    <w:rsid w:val="00BD6A10"/>
    <w:rsid w:val="00BD6C53"/>
    <w:rsid w:val="00BD6FC9"/>
    <w:rsid w:val="00BD78C0"/>
    <w:rsid w:val="00BE182A"/>
    <w:rsid w:val="00BE28A8"/>
    <w:rsid w:val="00BE2A69"/>
    <w:rsid w:val="00BE58F4"/>
    <w:rsid w:val="00BE6B18"/>
    <w:rsid w:val="00BE72F9"/>
    <w:rsid w:val="00BF05AE"/>
    <w:rsid w:val="00BF0796"/>
    <w:rsid w:val="00BF0BF0"/>
    <w:rsid w:val="00BF194A"/>
    <w:rsid w:val="00BF233D"/>
    <w:rsid w:val="00BF2EDE"/>
    <w:rsid w:val="00BF3E97"/>
    <w:rsid w:val="00BF525B"/>
    <w:rsid w:val="00BF52C5"/>
    <w:rsid w:val="00BF5E45"/>
    <w:rsid w:val="00BF7536"/>
    <w:rsid w:val="00C001B3"/>
    <w:rsid w:val="00C008F4"/>
    <w:rsid w:val="00C00BE8"/>
    <w:rsid w:val="00C00E69"/>
    <w:rsid w:val="00C01FD8"/>
    <w:rsid w:val="00C03542"/>
    <w:rsid w:val="00C03AD5"/>
    <w:rsid w:val="00C04EBA"/>
    <w:rsid w:val="00C052FC"/>
    <w:rsid w:val="00C055DA"/>
    <w:rsid w:val="00C07275"/>
    <w:rsid w:val="00C07804"/>
    <w:rsid w:val="00C11B48"/>
    <w:rsid w:val="00C12BAA"/>
    <w:rsid w:val="00C146C9"/>
    <w:rsid w:val="00C1543F"/>
    <w:rsid w:val="00C16739"/>
    <w:rsid w:val="00C17054"/>
    <w:rsid w:val="00C17063"/>
    <w:rsid w:val="00C17235"/>
    <w:rsid w:val="00C17EA6"/>
    <w:rsid w:val="00C20BA8"/>
    <w:rsid w:val="00C22EA6"/>
    <w:rsid w:val="00C22EBF"/>
    <w:rsid w:val="00C232EB"/>
    <w:rsid w:val="00C26271"/>
    <w:rsid w:val="00C274E7"/>
    <w:rsid w:val="00C2768E"/>
    <w:rsid w:val="00C27E0A"/>
    <w:rsid w:val="00C30D2F"/>
    <w:rsid w:val="00C310D5"/>
    <w:rsid w:val="00C31284"/>
    <w:rsid w:val="00C316A3"/>
    <w:rsid w:val="00C3243F"/>
    <w:rsid w:val="00C3421E"/>
    <w:rsid w:val="00C351AD"/>
    <w:rsid w:val="00C365EB"/>
    <w:rsid w:val="00C37DD3"/>
    <w:rsid w:val="00C41F33"/>
    <w:rsid w:val="00C4281F"/>
    <w:rsid w:val="00C4467A"/>
    <w:rsid w:val="00C44DC2"/>
    <w:rsid w:val="00C46062"/>
    <w:rsid w:val="00C46C63"/>
    <w:rsid w:val="00C47F34"/>
    <w:rsid w:val="00C50470"/>
    <w:rsid w:val="00C50561"/>
    <w:rsid w:val="00C50D2F"/>
    <w:rsid w:val="00C50DCB"/>
    <w:rsid w:val="00C51343"/>
    <w:rsid w:val="00C523DC"/>
    <w:rsid w:val="00C52C9D"/>
    <w:rsid w:val="00C56DDA"/>
    <w:rsid w:val="00C575AF"/>
    <w:rsid w:val="00C5765F"/>
    <w:rsid w:val="00C57E82"/>
    <w:rsid w:val="00C601B1"/>
    <w:rsid w:val="00C607F6"/>
    <w:rsid w:val="00C6293E"/>
    <w:rsid w:val="00C62987"/>
    <w:rsid w:val="00C6345B"/>
    <w:rsid w:val="00C63EDC"/>
    <w:rsid w:val="00C6464F"/>
    <w:rsid w:val="00C647D4"/>
    <w:rsid w:val="00C65648"/>
    <w:rsid w:val="00C72315"/>
    <w:rsid w:val="00C726C4"/>
    <w:rsid w:val="00C72C06"/>
    <w:rsid w:val="00C72D05"/>
    <w:rsid w:val="00C73C11"/>
    <w:rsid w:val="00C7443F"/>
    <w:rsid w:val="00C74E39"/>
    <w:rsid w:val="00C74E96"/>
    <w:rsid w:val="00C75437"/>
    <w:rsid w:val="00C76343"/>
    <w:rsid w:val="00C773A3"/>
    <w:rsid w:val="00C8273A"/>
    <w:rsid w:val="00C82E84"/>
    <w:rsid w:val="00C83707"/>
    <w:rsid w:val="00C86F7C"/>
    <w:rsid w:val="00C90BDC"/>
    <w:rsid w:val="00C90F22"/>
    <w:rsid w:val="00C916EB"/>
    <w:rsid w:val="00C9219D"/>
    <w:rsid w:val="00C93BA4"/>
    <w:rsid w:val="00C93D90"/>
    <w:rsid w:val="00C946D6"/>
    <w:rsid w:val="00C94CA4"/>
    <w:rsid w:val="00C96FF1"/>
    <w:rsid w:val="00C97107"/>
    <w:rsid w:val="00C97316"/>
    <w:rsid w:val="00CA2BA3"/>
    <w:rsid w:val="00CA5AE2"/>
    <w:rsid w:val="00CA5BD1"/>
    <w:rsid w:val="00CA5C3B"/>
    <w:rsid w:val="00CA68AA"/>
    <w:rsid w:val="00CA6EE9"/>
    <w:rsid w:val="00CA7397"/>
    <w:rsid w:val="00CB0D32"/>
    <w:rsid w:val="00CB134E"/>
    <w:rsid w:val="00CB288F"/>
    <w:rsid w:val="00CB3A82"/>
    <w:rsid w:val="00CB5662"/>
    <w:rsid w:val="00CB6BF7"/>
    <w:rsid w:val="00CB7960"/>
    <w:rsid w:val="00CB7C2E"/>
    <w:rsid w:val="00CC1351"/>
    <w:rsid w:val="00CC4ED1"/>
    <w:rsid w:val="00CC5186"/>
    <w:rsid w:val="00CC6134"/>
    <w:rsid w:val="00CC69F5"/>
    <w:rsid w:val="00CC7773"/>
    <w:rsid w:val="00CC7781"/>
    <w:rsid w:val="00CD28E6"/>
    <w:rsid w:val="00CD4931"/>
    <w:rsid w:val="00CD55E6"/>
    <w:rsid w:val="00CD68AD"/>
    <w:rsid w:val="00CD69A4"/>
    <w:rsid w:val="00CD6C63"/>
    <w:rsid w:val="00CD6CAF"/>
    <w:rsid w:val="00CD7326"/>
    <w:rsid w:val="00CD738E"/>
    <w:rsid w:val="00CD77A4"/>
    <w:rsid w:val="00CE311B"/>
    <w:rsid w:val="00CE6559"/>
    <w:rsid w:val="00CF1ECF"/>
    <w:rsid w:val="00CF3006"/>
    <w:rsid w:val="00CF4537"/>
    <w:rsid w:val="00CF4CF1"/>
    <w:rsid w:val="00CF5443"/>
    <w:rsid w:val="00CF6C88"/>
    <w:rsid w:val="00CF7040"/>
    <w:rsid w:val="00CF78BC"/>
    <w:rsid w:val="00D00761"/>
    <w:rsid w:val="00D03FDF"/>
    <w:rsid w:val="00D0413B"/>
    <w:rsid w:val="00D04A5D"/>
    <w:rsid w:val="00D04DD5"/>
    <w:rsid w:val="00D0688A"/>
    <w:rsid w:val="00D06953"/>
    <w:rsid w:val="00D07377"/>
    <w:rsid w:val="00D07C53"/>
    <w:rsid w:val="00D127C3"/>
    <w:rsid w:val="00D12F05"/>
    <w:rsid w:val="00D14E46"/>
    <w:rsid w:val="00D15953"/>
    <w:rsid w:val="00D16339"/>
    <w:rsid w:val="00D1659E"/>
    <w:rsid w:val="00D169FE"/>
    <w:rsid w:val="00D213AE"/>
    <w:rsid w:val="00D22492"/>
    <w:rsid w:val="00D22DD1"/>
    <w:rsid w:val="00D23321"/>
    <w:rsid w:val="00D24D51"/>
    <w:rsid w:val="00D26A44"/>
    <w:rsid w:val="00D27B8E"/>
    <w:rsid w:val="00D30613"/>
    <w:rsid w:val="00D30722"/>
    <w:rsid w:val="00D32378"/>
    <w:rsid w:val="00D33E69"/>
    <w:rsid w:val="00D33FCB"/>
    <w:rsid w:val="00D3497A"/>
    <w:rsid w:val="00D354B4"/>
    <w:rsid w:val="00D36146"/>
    <w:rsid w:val="00D402F7"/>
    <w:rsid w:val="00D410C9"/>
    <w:rsid w:val="00D45A85"/>
    <w:rsid w:val="00D45B7E"/>
    <w:rsid w:val="00D45EA6"/>
    <w:rsid w:val="00D4667A"/>
    <w:rsid w:val="00D50E89"/>
    <w:rsid w:val="00D51108"/>
    <w:rsid w:val="00D5256B"/>
    <w:rsid w:val="00D52853"/>
    <w:rsid w:val="00D5341D"/>
    <w:rsid w:val="00D5386B"/>
    <w:rsid w:val="00D55455"/>
    <w:rsid w:val="00D55611"/>
    <w:rsid w:val="00D55D1C"/>
    <w:rsid w:val="00D561DC"/>
    <w:rsid w:val="00D5659E"/>
    <w:rsid w:val="00D56A11"/>
    <w:rsid w:val="00D6025D"/>
    <w:rsid w:val="00D62B40"/>
    <w:rsid w:val="00D62C35"/>
    <w:rsid w:val="00D647CE"/>
    <w:rsid w:val="00D65E1C"/>
    <w:rsid w:val="00D6693C"/>
    <w:rsid w:val="00D678FC"/>
    <w:rsid w:val="00D71064"/>
    <w:rsid w:val="00D72BE7"/>
    <w:rsid w:val="00D7321F"/>
    <w:rsid w:val="00D73302"/>
    <w:rsid w:val="00D76624"/>
    <w:rsid w:val="00D76D59"/>
    <w:rsid w:val="00D76E8F"/>
    <w:rsid w:val="00D7719C"/>
    <w:rsid w:val="00D77ADA"/>
    <w:rsid w:val="00D80CDE"/>
    <w:rsid w:val="00D818B2"/>
    <w:rsid w:val="00D822F7"/>
    <w:rsid w:val="00D82C5E"/>
    <w:rsid w:val="00D83018"/>
    <w:rsid w:val="00D83152"/>
    <w:rsid w:val="00D84328"/>
    <w:rsid w:val="00D86F7E"/>
    <w:rsid w:val="00D87765"/>
    <w:rsid w:val="00D91405"/>
    <w:rsid w:val="00D9141C"/>
    <w:rsid w:val="00D91503"/>
    <w:rsid w:val="00D92B41"/>
    <w:rsid w:val="00D96159"/>
    <w:rsid w:val="00D96CA9"/>
    <w:rsid w:val="00D97021"/>
    <w:rsid w:val="00DA0612"/>
    <w:rsid w:val="00DA0BCA"/>
    <w:rsid w:val="00DA12A5"/>
    <w:rsid w:val="00DA36CA"/>
    <w:rsid w:val="00DA551F"/>
    <w:rsid w:val="00DA5881"/>
    <w:rsid w:val="00DA6397"/>
    <w:rsid w:val="00DA758E"/>
    <w:rsid w:val="00DA7896"/>
    <w:rsid w:val="00DB1140"/>
    <w:rsid w:val="00DB1E5F"/>
    <w:rsid w:val="00DB264A"/>
    <w:rsid w:val="00DB355F"/>
    <w:rsid w:val="00DB48AC"/>
    <w:rsid w:val="00DB548A"/>
    <w:rsid w:val="00DB54A1"/>
    <w:rsid w:val="00DB614C"/>
    <w:rsid w:val="00DB7A04"/>
    <w:rsid w:val="00DC028A"/>
    <w:rsid w:val="00DC0AE4"/>
    <w:rsid w:val="00DC1ED2"/>
    <w:rsid w:val="00DC21C0"/>
    <w:rsid w:val="00DC249A"/>
    <w:rsid w:val="00DC3151"/>
    <w:rsid w:val="00DC5DC9"/>
    <w:rsid w:val="00DC6EB7"/>
    <w:rsid w:val="00DD100B"/>
    <w:rsid w:val="00DD1240"/>
    <w:rsid w:val="00DD3B71"/>
    <w:rsid w:val="00DD4074"/>
    <w:rsid w:val="00DD4FA3"/>
    <w:rsid w:val="00DD580E"/>
    <w:rsid w:val="00DD72CC"/>
    <w:rsid w:val="00DE3241"/>
    <w:rsid w:val="00DE6378"/>
    <w:rsid w:val="00DE6A13"/>
    <w:rsid w:val="00DE752A"/>
    <w:rsid w:val="00DF4EE3"/>
    <w:rsid w:val="00DF4EF3"/>
    <w:rsid w:val="00DF581C"/>
    <w:rsid w:val="00DF5916"/>
    <w:rsid w:val="00DF712D"/>
    <w:rsid w:val="00E043CA"/>
    <w:rsid w:val="00E04A27"/>
    <w:rsid w:val="00E073B4"/>
    <w:rsid w:val="00E103DD"/>
    <w:rsid w:val="00E10A0B"/>
    <w:rsid w:val="00E119EA"/>
    <w:rsid w:val="00E13FCC"/>
    <w:rsid w:val="00E16026"/>
    <w:rsid w:val="00E164CF"/>
    <w:rsid w:val="00E20398"/>
    <w:rsid w:val="00E224AD"/>
    <w:rsid w:val="00E237F1"/>
    <w:rsid w:val="00E23BA5"/>
    <w:rsid w:val="00E2741E"/>
    <w:rsid w:val="00E27627"/>
    <w:rsid w:val="00E27CBF"/>
    <w:rsid w:val="00E304A5"/>
    <w:rsid w:val="00E31FAB"/>
    <w:rsid w:val="00E32AFC"/>
    <w:rsid w:val="00E32FB8"/>
    <w:rsid w:val="00E35409"/>
    <w:rsid w:val="00E35A8B"/>
    <w:rsid w:val="00E367D5"/>
    <w:rsid w:val="00E36E11"/>
    <w:rsid w:val="00E37F11"/>
    <w:rsid w:val="00E40005"/>
    <w:rsid w:val="00E40D1A"/>
    <w:rsid w:val="00E41592"/>
    <w:rsid w:val="00E4253E"/>
    <w:rsid w:val="00E432DA"/>
    <w:rsid w:val="00E43A08"/>
    <w:rsid w:val="00E4436E"/>
    <w:rsid w:val="00E444A6"/>
    <w:rsid w:val="00E44EA4"/>
    <w:rsid w:val="00E454F8"/>
    <w:rsid w:val="00E45F20"/>
    <w:rsid w:val="00E47AE7"/>
    <w:rsid w:val="00E52407"/>
    <w:rsid w:val="00E5289C"/>
    <w:rsid w:val="00E52DC2"/>
    <w:rsid w:val="00E530E7"/>
    <w:rsid w:val="00E535A4"/>
    <w:rsid w:val="00E5539D"/>
    <w:rsid w:val="00E603D5"/>
    <w:rsid w:val="00E60AB7"/>
    <w:rsid w:val="00E61300"/>
    <w:rsid w:val="00E6130A"/>
    <w:rsid w:val="00E618D7"/>
    <w:rsid w:val="00E61BBC"/>
    <w:rsid w:val="00E621AC"/>
    <w:rsid w:val="00E625AF"/>
    <w:rsid w:val="00E66B84"/>
    <w:rsid w:val="00E67BFB"/>
    <w:rsid w:val="00E74622"/>
    <w:rsid w:val="00E75A2D"/>
    <w:rsid w:val="00E7675B"/>
    <w:rsid w:val="00E76D81"/>
    <w:rsid w:val="00E771A4"/>
    <w:rsid w:val="00E80F47"/>
    <w:rsid w:val="00E82C96"/>
    <w:rsid w:val="00E83311"/>
    <w:rsid w:val="00E845D6"/>
    <w:rsid w:val="00E847B0"/>
    <w:rsid w:val="00E850C6"/>
    <w:rsid w:val="00E87B97"/>
    <w:rsid w:val="00E90270"/>
    <w:rsid w:val="00E90F50"/>
    <w:rsid w:val="00E92A5F"/>
    <w:rsid w:val="00E940C8"/>
    <w:rsid w:val="00E9499E"/>
    <w:rsid w:val="00E94FF0"/>
    <w:rsid w:val="00E97A14"/>
    <w:rsid w:val="00EA158A"/>
    <w:rsid w:val="00EA21F3"/>
    <w:rsid w:val="00EA2A3F"/>
    <w:rsid w:val="00EA2EDC"/>
    <w:rsid w:val="00EA34EE"/>
    <w:rsid w:val="00EA371F"/>
    <w:rsid w:val="00EA3D17"/>
    <w:rsid w:val="00EA4762"/>
    <w:rsid w:val="00EA4F74"/>
    <w:rsid w:val="00EA649B"/>
    <w:rsid w:val="00EA6774"/>
    <w:rsid w:val="00EB0515"/>
    <w:rsid w:val="00EB05BB"/>
    <w:rsid w:val="00EB0725"/>
    <w:rsid w:val="00EB0932"/>
    <w:rsid w:val="00EB258B"/>
    <w:rsid w:val="00EB261F"/>
    <w:rsid w:val="00EB28EC"/>
    <w:rsid w:val="00EB2C80"/>
    <w:rsid w:val="00EB2EA4"/>
    <w:rsid w:val="00EB3214"/>
    <w:rsid w:val="00EB52A7"/>
    <w:rsid w:val="00EB693B"/>
    <w:rsid w:val="00EB6BA3"/>
    <w:rsid w:val="00EB6FF1"/>
    <w:rsid w:val="00EB786D"/>
    <w:rsid w:val="00EB7A6F"/>
    <w:rsid w:val="00EC0316"/>
    <w:rsid w:val="00EC4AFD"/>
    <w:rsid w:val="00EC581F"/>
    <w:rsid w:val="00EC5F61"/>
    <w:rsid w:val="00ED29C3"/>
    <w:rsid w:val="00ED2EBE"/>
    <w:rsid w:val="00ED311E"/>
    <w:rsid w:val="00ED3919"/>
    <w:rsid w:val="00ED3C8D"/>
    <w:rsid w:val="00ED404E"/>
    <w:rsid w:val="00ED5249"/>
    <w:rsid w:val="00ED5E95"/>
    <w:rsid w:val="00ED6B2F"/>
    <w:rsid w:val="00ED732D"/>
    <w:rsid w:val="00EE01F5"/>
    <w:rsid w:val="00EE1B77"/>
    <w:rsid w:val="00EE2E42"/>
    <w:rsid w:val="00EE3189"/>
    <w:rsid w:val="00EE427A"/>
    <w:rsid w:val="00EE47A3"/>
    <w:rsid w:val="00EE5539"/>
    <w:rsid w:val="00EE6F51"/>
    <w:rsid w:val="00EF1819"/>
    <w:rsid w:val="00EF4B41"/>
    <w:rsid w:val="00EF4C46"/>
    <w:rsid w:val="00EF5154"/>
    <w:rsid w:val="00EF71C1"/>
    <w:rsid w:val="00EF7EB0"/>
    <w:rsid w:val="00F00738"/>
    <w:rsid w:val="00F00CBB"/>
    <w:rsid w:val="00F00E3F"/>
    <w:rsid w:val="00F01B1E"/>
    <w:rsid w:val="00F02F30"/>
    <w:rsid w:val="00F04DC5"/>
    <w:rsid w:val="00F056B7"/>
    <w:rsid w:val="00F0586C"/>
    <w:rsid w:val="00F07158"/>
    <w:rsid w:val="00F07EE5"/>
    <w:rsid w:val="00F10279"/>
    <w:rsid w:val="00F10AC7"/>
    <w:rsid w:val="00F14FE8"/>
    <w:rsid w:val="00F15684"/>
    <w:rsid w:val="00F15E2E"/>
    <w:rsid w:val="00F16243"/>
    <w:rsid w:val="00F212A5"/>
    <w:rsid w:val="00F214CC"/>
    <w:rsid w:val="00F248B1"/>
    <w:rsid w:val="00F2493A"/>
    <w:rsid w:val="00F25F25"/>
    <w:rsid w:val="00F267BC"/>
    <w:rsid w:val="00F277E7"/>
    <w:rsid w:val="00F27845"/>
    <w:rsid w:val="00F27928"/>
    <w:rsid w:val="00F346F5"/>
    <w:rsid w:val="00F363E0"/>
    <w:rsid w:val="00F364DC"/>
    <w:rsid w:val="00F40244"/>
    <w:rsid w:val="00F40419"/>
    <w:rsid w:val="00F40FEE"/>
    <w:rsid w:val="00F41846"/>
    <w:rsid w:val="00F43A32"/>
    <w:rsid w:val="00F46F13"/>
    <w:rsid w:val="00F478E6"/>
    <w:rsid w:val="00F5064E"/>
    <w:rsid w:val="00F531FA"/>
    <w:rsid w:val="00F608D6"/>
    <w:rsid w:val="00F60D7E"/>
    <w:rsid w:val="00F615E4"/>
    <w:rsid w:val="00F61D35"/>
    <w:rsid w:val="00F61FAA"/>
    <w:rsid w:val="00F624CF"/>
    <w:rsid w:val="00F629AB"/>
    <w:rsid w:val="00F63D23"/>
    <w:rsid w:val="00F64473"/>
    <w:rsid w:val="00F6449E"/>
    <w:rsid w:val="00F649D2"/>
    <w:rsid w:val="00F650CA"/>
    <w:rsid w:val="00F65B86"/>
    <w:rsid w:val="00F65F3C"/>
    <w:rsid w:val="00F668D3"/>
    <w:rsid w:val="00F67D45"/>
    <w:rsid w:val="00F703FF"/>
    <w:rsid w:val="00F70578"/>
    <w:rsid w:val="00F712D1"/>
    <w:rsid w:val="00F713B9"/>
    <w:rsid w:val="00F718C0"/>
    <w:rsid w:val="00F72756"/>
    <w:rsid w:val="00F72971"/>
    <w:rsid w:val="00F72AC1"/>
    <w:rsid w:val="00F734A4"/>
    <w:rsid w:val="00F749DF"/>
    <w:rsid w:val="00F74AB7"/>
    <w:rsid w:val="00F75206"/>
    <w:rsid w:val="00F760FE"/>
    <w:rsid w:val="00F80FA0"/>
    <w:rsid w:val="00F81E22"/>
    <w:rsid w:val="00F8296C"/>
    <w:rsid w:val="00F82B15"/>
    <w:rsid w:val="00F83026"/>
    <w:rsid w:val="00F85385"/>
    <w:rsid w:val="00F87331"/>
    <w:rsid w:val="00F90573"/>
    <w:rsid w:val="00F90838"/>
    <w:rsid w:val="00F91594"/>
    <w:rsid w:val="00F9240B"/>
    <w:rsid w:val="00F92A7B"/>
    <w:rsid w:val="00F92AA2"/>
    <w:rsid w:val="00F92F97"/>
    <w:rsid w:val="00F9364C"/>
    <w:rsid w:val="00F937B6"/>
    <w:rsid w:val="00F93FBB"/>
    <w:rsid w:val="00F95263"/>
    <w:rsid w:val="00F95FD2"/>
    <w:rsid w:val="00F96765"/>
    <w:rsid w:val="00F9788B"/>
    <w:rsid w:val="00F97C30"/>
    <w:rsid w:val="00FA1B05"/>
    <w:rsid w:val="00FA65E6"/>
    <w:rsid w:val="00FA79F3"/>
    <w:rsid w:val="00FB05E5"/>
    <w:rsid w:val="00FB342B"/>
    <w:rsid w:val="00FB3965"/>
    <w:rsid w:val="00FB4F61"/>
    <w:rsid w:val="00FB5123"/>
    <w:rsid w:val="00FB5EB4"/>
    <w:rsid w:val="00FB6136"/>
    <w:rsid w:val="00FB78CA"/>
    <w:rsid w:val="00FC0020"/>
    <w:rsid w:val="00FC10C1"/>
    <w:rsid w:val="00FC1D66"/>
    <w:rsid w:val="00FC24D5"/>
    <w:rsid w:val="00FC25AE"/>
    <w:rsid w:val="00FC2976"/>
    <w:rsid w:val="00FC2C11"/>
    <w:rsid w:val="00FC2D21"/>
    <w:rsid w:val="00FC2E39"/>
    <w:rsid w:val="00FC35C4"/>
    <w:rsid w:val="00FC3872"/>
    <w:rsid w:val="00FC3EAD"/>
    <w:rsid w:val="00FC6266"/>
    <w:rsid w:val="00FC6280"/>
    <w:rsid w:val="00FC635C"/>
    <w:rsid w:val="00FD0D63"/>
    <w:rsid w:val="00FD0F70"/>
    <w:rsid w:val="00FD1B43"/>
    <w:rsid w:val="00FD1C83"/>
    <w:rsid w:val="00FD2180"/>
    <w:rsid w:val="00FD296A"/>
    <w:rsid w:val="00FD2E58"/>
    <w:rsid w:val="00FD386E"/>
    <w:rsid w:val="00FD6975"/>
    <w:rsid w:val="00FD7FAC"/>
    <w:rsid w:val="00FE07C0"/>
    <w:rsid w:val="00FE08DC"/>
    <w:rsid w:val="00FE1511"/>
    <w:rsid w:val="00FE286D"/>
    <w:rsid w:val="00FE2B58"/>
    <w:rsid w:val="00FE3322"/>
    <w:rsid w:val="00FE4150"/>
    <w:rsid w:val="00FE44FA"/>
    <w:rsid w:val="00FE57C3"/>
    <w:rsid w:val="00FE5A9E"/>
    <w:rsid w:val="00FE629E"/>
    <w:rsid w:val="00FE643C"/>
    <w:rsid w:val="00FE7FCD"/>
    <w:rsid w:val="00FF0982"/>
    <w:rsid w:val="00FF0DC4"/>
    <w:rsid w:val="00FF1941"/>
    <w:rsid w:val="00FF3B6C"/>
    <w:rsid w:val="00FF5503"/>
    <w:rsid w:val="00FF57DA"/>
    <w:rsid w:val="00FF60A5"/>
    <w:rsid w:val="00FF60E7"/>
    <w:rsid w:val="00FF6602"/>
    <w:rsid w:val="00FF6E91"/>
    <w:rsid w:val="082063EE"/>
  </w:rsids>
  <w:docVars>
    <w:docVar w:name="__Grammarly_42___1" w:val="H4sIAAAAAAAEAKtWcslP9kxRslIyNDYyNTczNDY1MrU0Mra0tDRT0lEKTi0uzszPAykwrQUAoc61D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E51D844"/>
  <w15:docId w15:val="{75DFCB51-8262-4DC1-B753-0AD9D830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3F98"/>
    <w:pPr>
      <w:widowControl w:val="0"/>
    </w:pPr>
    <w:rPr>
      <w:sz w:val="24"/>
    </w:rPr>
  </w:style>
  <w:style w:type="paragraph" w:styleId="Heading1">
    <w:name w:val="heading 1"/>
    <w:basedOn w:val="Normal"/>
    <w:next w:val="Normal"/>
    <w:link w:val="Heading1Char"/>
    <w:qFormat/>
    <w:rsid w:val="00AC3F9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paragraph" w:styleId="Heading2">
    <w:name w:val="heading 2"/>
    <w:basedOn w:val="Normal"/>
    <w:next w:val="Normal"/>
    <w:link w:val="Heading2Char"/>
    <w:unhideWhenUsed/>
    <w:qFormat/>
    <w:rsid w:val="00BC57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AC3F98"/>
    <w:pPr>
      <w:widowControl w:val="0"/>
      <w:ind w:left="720"/>
    </w:pPr>
    <w:rPr>
      <w:sz w:val="24"/>
    </w:rPr>
  </w:style>
  <w:style w:type="paragraph" w:styleId="Header">
    <w:name w:val="header"/>
    <w:basedOn w:val="Normal"/>
    <w:link w:val="HeaderChar"/>
    <w:uiPriority w:val="99"/>
    <w:rsid w:val="00AC3F98"/>
    <w:pPr>
      <w:tabs>
        <w:tab w:val="center" w:pos="4320"/>
        <w:tab w:val="right" w:pos="8640"/>
      </w:tabs>
    </w:pPr>
  </w:style>
  <w:style w:type="character" w:styleId="PageNumber">
    <w:name w:val="page number"/>
    <w:basedOn w:val="DefaultParagraphFont"/>
    <w:uiPriority w:val="99"/>
    <w:rsid w:val="00AC3F98"/>
  </w:style>
  <w:style w:type="paragraph" w:styleId="Footer">
    <w:name w:val="footer"/>
    <w:basedOn w:val="Normal"/>
    <w:link w:val="FooterChar"/>
    <w:uiPriority w:val="99"/>
    <w:rsid w:val="00AC3F98"/>
    <w:pPr>
      <w:tabs>
        <w:tab w:val="center" w:pos="4320"/>
        <w:tab w:val="right" w:pos="8640"/>
      </w:tabs>
    </w:pPr>
  </w:style>
  <w:style w:type="paragraph" w:styleId="BodyText">
    <w:name w:val="Body Text"/>
    <w:basedOn w:val="Normal"/>
    <w:link w:val="BodyTextChar"/>
    <w:rsid w:val="00AC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link w:val="BalloonTextChar"/>
    <w:semiHidden/>
    <w:rsid w:val="00284616"/>
    <w:rPr>
      <w:rFonts w:ascii="Tahoma" w:hAnsi="Tahoma" w:cs="Tahoma"/>
      <w:sz w:val="16"/>
      <w:szCs w:val="16"/>
    </w:rPr>
  </w:style>
  <w:style w:type="character" w:styleId="FollowedHyperlink">
    <w:name w:val="FollowedHyperlink"/>
    <w:basedOn w:val="DefaultParagraphFont"/>
    <w:rsid w:val="0082466D"/>
    <w:rPr>
      <w:color w:val="800080" w:themeColor="followedHyperlink"/>
      <w:u w:val="single"/>
    </w:rPr>
  </w:style>
  <w:style w:type="character" w:styleId="CommentReference">
    <w:name w:val="annotation reference"/>
    <w:basedOn w:val="DefaultParagraphFont"/>
    <w:uiPriority w:val="99"/>
    <w:rsid w:val="00F95263"/>
    <w:rPr>
      <w:sz w:val="16"/>
      <w:szCs w:val="16"/>
    </w:rPr>
  </w:style>
  <w:style w:type="paragraph" w:styleId="CommentText">
    <w:name w:val="annotation text"/>
    <w:basedOn w:val="Normal"/>
    <w:link w:val="CommentTextChar"/>
    <w:uiPriority w:val="99"/>
    <w:rsid w:val="00F95263"/>
    <w:rPr>
      <w:sz w:val="20"/>
    </w:rPr>
  </w:style>
  <w:style w:type="character" w:customStyle="1" w:styleId="CommentTextChar">
    <w:name w:val="Comment Text Char"/>
    <w:basedOn w:val="DefaultParagraphFont"/>
    <w:link w:val="CommentText"/>
    <w:uiPriority w:val="99"/>
    <w:rsid w:val="00F95263"/>
  </w:style>
  <w:style w:type="paragraph" w:styleId="CommentSubject">
    <w:name w:val="annotation subject"/>
    <w:basedOn w:val="CommentText"/>
    <w:next w:val="CommentText"/>
    <w:link w:val="CommentSubjectChar"/>
    <w:rsid w:val="00F95263"/>
    <w:rPr>
      <w:b/>
      <w:bCs/>
    </w:rPr>
  </w:style>
  <w:style w:type="character" w:customStyle="1" w:styleId="CommentSubjectChar">
    <w:name w:val="Comment Subject Char"/>
    <w:basedOn w:val="CommentTextChar"/>
    <w:link w:val="CommentSubject"/>
    <w:rsid w:val="00F95263"/>
    <w:rPr>
      <w:b/>
      <w:bCs/>
    </w:rPr>
  </w:style>
  <w:style w:type="paragraph" w:customStyle="1" w:styleId="Default">
    <w:name w:val="Default"/>
    <w:rsid w:val="004B052E"/>
    <w:pPr>
      <w:autoSpaceDE w:val="0"/>
      <w:autoSpaceDN w:val="0"/>
      <w:adjustRightInd w:val="0"/>
    </w:pPr>
    <w:rPr>
      <w:color w:val="000000"/>
      <w:sz w:val="24"/>
      <w:szCs w:val="24"/>
    </w:rPr>
  </w:style>
  <w:style w:type="table" w:styleId="TableGrid">
    <w:name w:val="Table Grid"/>
    <w:basedOn w:val="TableNormal"/>
    <w:uiPriority w:val="39"/>
    <w:rsid w:val="0031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99E"/>
    <w:pPr>
      <w:ind w:left="720"/>
      <w:contextualSpacing/>
    </w:pPr>
  </w:style>
  <w:style w:type="paragraph" w:styleId="Revision">
    <w:name w:val="Revision"/>
    <w:hidden/>
    <w:uiPriority w:val="99"/>
    <w:semiHidden/>
    <w:rsid w:val="004E183C"/>
    <w:rPr>
      <w:sz w:val="24"/>
    </w:rPr>
  </w:style>
  <w:style w:type="paragraph" w:styleId="NormalWeb">
    <w:name w:val="Normal (Web)"/>
    <w:basedOn w:val="Normal"/>
    <w:uiPriority w:val="99"/>
    <w:unhideWhenUsed/>
    <w:rsid w:val="00747AD3"/>
    <w:pPr>
      <w:widowControl/>
      <w:spacing w:before="100" w:beforeAutospacing="1" w:after="100" w:afterAutospacing="1"/>
      <w:ind w:firstLine="480"/>
    </w:pPr>
    <w:rPr>
      <w:szCs w:val="24"/>
    </w:rPr>
  </w:style>
  <w:style w:type="character" w:customStyle="1" w:styleId="hits1">
    <w:name w:val="hits1"/>
    <w:basedOn w:val="DefaultParagraphFont"/>
    <w:rsid w:val="00A7289C"/>
    <w:rPr>
      <w:color w:val="FF0000"/>
    </w:rPr>
  </w:style>
  <w:style w:type="character" w:customStyle="1" w:styleId="Heading2Char">
    <w:name w:val="Heading 2 Char"/>
    <w:basedOn w:val="DefaultParagraphFont"/>
    <w:link w:val="Heading2"/>
    <w:rsid w:val="00BC5798"/>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semiHidden/>
    <w:unhideWhenUsed/>
    <w:rsid w:val="004522B5"/>
    <w:rPr>
      <w:sz w:val="20"/>
    </w:rPr>
  </w:style>
  <w:style w:type="character" w:customStyle="1" w:styleId="FootnoteTextChar">
    <w:name w:val="Footnote Text Char"/>
    <w:basedOn w:val="DefaultParagraphFont"/>
    <w:link w:val="FootnoteText"/>
    <w:semiHidden/>
    <w:rsid w:val="004522B5"/>
  </w:style>
  <w:style w:type="character" w:styleId="FootnoteReference">
    <w:name w:val="footnote reference"/>
    <w:basedOn w:val="DefaultParagraphFont"/>
    <w:semiHidden/>
    <w:unhideWhenUsed/>
    <w:rsid w:val="004522B5"/>
    <w:rPr>
      <w:vertAlign w:val="superscript"/>
    </w:rPr>
  </w:style>
  <w:style w:type="character" w:customStyle="1" w:styleId="HeaderChar">
    <w:name w:val="Header Char"/>
    <w:basedOn w:val="DefaultParagraphFont"/>
    <w:link w:val="Header"/>
    <w:uiPriority w:val="99"/>
    <w:rsid w:val="00FF60E7"/>
    <w:rPr>
      <w:sz w:val="24"/>
    </w:rPr>
  </w:style>
  <w:style w:type="character" w:styleId="Hyperlink">
    <w:name w:val="Hyperlink"/>
    <w:basedOn w:val="DefaultParagraphFont"/>
    <w:uiPriority w:val="99"/>
    <w:unhideWhenUsed/>
    <w:rsid w:val="00850163"/>
    <w:rPr>
      <w:color w:val="0000FF"/>
      <w:u w:val="single"/>
    </w:rPr>
  </w:style>
  <w:style w:type="character" w:styleId="UnresolvedMention">
    <w:name w:val="Unresolved Mention"/>
    <w:basedOn w:val="DefaultParagraphFont"/>
    <w:uiPriority w:val="99"/>
    <w:semiHidden/>
    <w:unhideWhenUsed/>
    <w:rsid w:val="00A248B9"/>
    <w:rPr>
      <w:color w:val="605E5C"/>
      <w:shd w:val="clear" w:color="auto" w:fill="E1DFDD"/>
    </w:rPr>
  </w:style>
  <w:style w:type="character" w:customStyle="1" w:styleId="Heading1Char">
    <w:name w:val="Heading 1 Char"/>
    <w:basedOn w:val="DefaultParagraphFont"/>
    <w:link w:val="Heading1"/>
    <w:rsid w:val="009444C1"/>
    <w:rPr>
      <w:b/>
      <w:sz w:val="40"/>
    </w:rPr>
  </w:style>
  <w:style w:type="character" w:customStyle="1" w:styleId="FooterChar">
    <w:name w:val="Footer Char"/>
    <w:basedOn w:val="DefaultParagraphFont"/>
    <w:link w:val="Footer"/>
    <w:uiPriority w:val="99"/>
    <w:rsid w:val="009444C1"/>
    <w:rPr>
      <w:sz w:val="24"/>
    </w:rPr>
  </w:style>
  <w:style w:type="character" w:customStyle="1" w:styleId="BodyTextChar">
    <w:name w:val="Body Text Char"/>
    <w:basedOn w:val="DefaultParagraphFont"/>
    <w:link w:val="BodyText"/>
    <w:rsid w:val="009444C1"/>
    <w:rPr>
      <w:i/>
      <w:sz w:val="24"/>
    </w:rPr>
  </w:style>
  <w:style w:type="character" w:customStyle="1" w:styleId="BalloonTextChar">
    <w:name w:val="Balloon Text Char"/>
    <w:basedOn w:val="DefaultParagraphFont"/>
    <w:link w:val="BalloonText"/>
    <w:semiHidden/>
    <w:rsid w:val="009444C1"/>
    <w:rPr>
      <w:rFonts w:ascii="Tahoma" w:hAnsi="Tahoma" w:cs="Tahoma"/>
      <w:sz w:val="16"/>
      <w:szCs w:val="16"/>
    </w:rPr>
  </w:style>
  <w:style w:type="paragraph" w:styleId="PlainText">
    <w:name w:val="Plain Text"/>
    <w:basedOn w:val="Normal"/>
    <w:link w:val="PlainTextChar"/>
    <w:uiPriority w:val="99"/>
    <w:semiHidden/>
    <w:unhideWhenUsed/>
    <w:rsid w:val="005400F6"/>
    <w:pPr>
      <w:widowControl/>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5400F6"/>
    <w:rPr>
      <w:rFonts w:ascii="Calibri" w:hAnsi="Calibri" w:eastAsiaTheme="minorHAnsi" w:cstheme="minorBidi"/>
      <w:sz w:val="22"/>
      <w:szCs w:val="21"/>
    </w:rPr>
  </w:style>
  <w:style w:type="character" w:customStyle="1" w:styleId="cf01">
    <w:name w:val="cf01"/>
    <w:basedOn w:val="DefaultParagraphFont"/>
    <w:rsid w:val="00AD1317"/>
    <w:rPr>
      <w:rFonts w:ascii="Segoe UI" w:hAnsi="Segoe UI" w:cs="Segoe UI" w:hint="default"/>
      <w:sz w:val="18"/>
      <w:szCs w:val="18"/>
    </w:rPr>
  </w:style>
  <w:style w:type="character" w:customStyle="1" w:styleId="cf11">
    <w:name w:val="cf11"/>
    <w:basedOn w:val="DefaultParagraphFont"/>
    <w:rsid w:val="00AD1317"/>
    <w:rPr>
      <w:rFonts w:ascii="Segoe UI" w:hAnsi="Segoe UI" w:cs="Segoe UI" w:hint="default"/>
      <w:sz w:val="18"/>
      <w:szCs w:val="18"/>
      <w:shd w:val="clear" w:color="auto" w:fill="FFFF00"/>
    </w:rPr>
  </w:style>
  <w:style w:type="character" w:customStyle="1" w:styleId="cf21">
    <w:name w:val="cf21"/>
    <w:basedOn w:val="DefaultParagraphFont"/>
    <w:rsid w:val="00AD13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c8b7b2c-8739-4fcf-ac7a-83e2acbb4ec9">K4QNK5PQFHXR-256769110-834</_dlc_DocId>
    <_dlc_DocIdUrl xmlns="9c8b7b2c-8739-4fcf-ac7a-83e2acbb4ec9">
      <Url>https://my.treasury.gov/Collab/OFAC/SPI/RegulatoryAffairs/_layouts/15/DocIdRedir.aspx?ID=K4QNK5PQFHXR-256769110-834</Url>
      <Description>K4QNK5PQFHXR-256769110-834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309BB8A9FAE74F941C59438CA4B061" ma:contentTypeVersion="12" ma:contentTypeDescription="Create a new document." ma:contentTypeScope="" ma:versionID="04b5f122fb82246c12de84e605270669">
  <xsd:schema xmlns:xsd="http://www.w3.org/2001/XMLSchema" xmlns:xs="http://www.w3.org/2001/XMLSchema" xmlns:p="http://schemas.microsoft.com/office/2006/metadata/properties" xmlns:ns2="9c8b7b2c-8739-4fcf-ac7a-83e2acbb4ec9" xmlns:ns3="d23a3a91-f1cd-4168-afd7-7da61b017537" targetNamespace="http://schemas.microsoft.com/office/2006/metadata/properties" ma:root="true" ma:fieldsID="04500bc2c9f2ddc1c13a3259b27f7f84" ns2:_="" ns3:_="">
    <xsd:import namespace="9c8b7b2c-8739-4fcf-ac7a-83e2acbb4ec9"/>
    <xsd:import namespace="d23a3a91-f1cd-4168-afd7-7da61b01753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b7b2c-8739-4fcf-ac7a-83e2acbb4e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3a3a91-f1cd-4168-afd7-7da61b0175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C68711-E45A-4148-8D55-3DDB992EE496}">
  <ds:schemaRefs>
    <ds:schemaRef ds:uri="http://schemas.microsoft.com/sharepoint/v3/contenttype/forms"/>
  </ds:schemaRefs>
</ds:datastoreItem>
</file>

<file path=customXml/itemProps2.xml><?xml version="1.0" encoding="utf-8"?>
<ds:datastoreItem xmlns:ds="http://schemas.openxmlformats.org/officeDocument/2006/customXml" ds:itemID="{2D651D2F-0039-437A-9FB8-622BEA82ED4C}">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d23a3a91-f1cd-4168-afd7-7da61b017537"/>
    <ds:schemaRef ds:uri="9c8b7b2c-8739-4fcf-ac7a-83e2acbb4ec9"/>
    <ds:schemaRef ds:uri="http://www.w3.org/XML/1998/namespace"/>
  </ds:schemaRefs>
</ds:datastoreItem>
</file>

<file path=customXml/itemProps3.xml><?xml version="1.0" encoding="utf-8"?>
<ds:datastoreItem xmlns:ds="http://schemas.openxmlformats.org/officeDocument/2006/customXml" ds:itemID="{5ACB2248-4A67-4FF1-8773-8F86CDC088F3}">
  <ds:schemaRefs>
    <ds:schemaRef ds:uri="http://schemas.openxmlformats.org/officeDocument/2006/bibliography"/>
  </ds:schemaRefs>
</ds:datastoreItem>
</file>

<file path=customXml/itemProps4.xml><?xml version="1.0" encoding="utf-8"?>
<ds:datastoreItem xmlns:ds="http://schemas.openxmlformats.org/officeDocument/2006/customXml" ds:itemID="{08182DCF-DE92-49A0-8EEF-4D05BDBDC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b7b2c-8739-4fcf-ac7a-83e2acbb4ec9"/>
    <ds:schemaRef ds:uri="d23a3a91-f1cd-4168-afd7-7da61b017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3AC7DF-B303-4A13-9E8C-5CD9DA6B6E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5614</Words>
  <Characters>32001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U.S. Treasury Department</Company>
  <LinksUpToDate>false</LinksUpToDate>
  <CharactersWithSpaces>37540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Treasury Dept.</dc:creator>
  <cp:lastModifiedBy>Clark, Spencer</cp:lastModifiedBy>
  <cp:revision>3</cp:revision>
  <cp:lastPrinted>2024-01-22T16:15:00Z</cp:lastPrinted>
  <dcterms:created xsi:type="dcterms:W3CDTF">2024-07-10T20:28:00Z</dcterms:created>
  <dcterms:modified xsi:type="dcterms:W3CDTF">2024-07-10T20:42:00Z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0x010100BD309BB8A9FAE74F941C59438CA4B061</vt:lpwstr>
  </property>
  <property fmtid="{D5CDD505-2E9C-101B-9397-08002B2CF9AE}" pid="3" name="_dlc_DocIdItemGuid">
    <vt:lpwstr>5dd7b08b-a9c9-41ed-bb01-2ef3e55db773</vt:lpwstr>
  </property>
</Properties>
</file>