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8CB" w:rsidRPr="007B28CB" w:rsidP="007B28CB" w14:paraId="14716AA0" w14:textId="77777777">
      <w:pPr>
        <w:jc w:val="center"/>
        <w:rPr>
          <w:b/>
          <w:bCs/>
          <w:sz w:val="24"/>
          <w:szCs w:val="24"/>
          <w:lang w:eastAsia="en-US"/>
        </w:rPr>
      </w:pPr>
      <w:r>
        <w:rPr>
          <w:b/>
          <w:sz w:val="24"/>
          <w:szCs w:val="24"/>
        </w:rPr>
        <w:t>A</w:t>
      </w:r>
      <w:r w:rsidR="00DB0B45">
        <w:rPr>
          <w:b/>
          <w:sz w:val="24"/>
          <w:szCs w:val="24"/>
        </w:rPr>
        <w:t xml:space="preserve">ddendum to the </w:t>
      </w:r>
      <w:r w:rsidRPr="007B28CB">
        <w:rPr>
          <w:b/>
          <w:bCs/>
          <w:sz w:val="24"/>
          <w:szCs w:val="24"/>
          <w:lang w:eastAsia="en-US"/>
        </w:rPr>
        <w:t>Supporting Statement for Form SSA-789</w:t>
      </w:r>
    </w:p>
    <w:p w:rsidR="007B28CB" w:rsidRPr="007B28CB" w:rsidP="007B28CB" w14:paraId="5E143A8A" w14:textId="77777777">
      <w:pPr>
        <w:jc w:val="center"/>
        <w:rPr>
          <w:b/>
          <w:sz w:val="24"/>
          <w:szCs w:val="24"/>
          <w:lang w:eastAsia="en-US"/>
        </w:rPr>
      </w:pPr>
      <w:r w:rsidRPr="007B28CB">
        <w:rPr>
          <w:b/>
          <w:bCs/>
          <w:sz w:val="24"/>
          <w:szCs w:val="24"/>
          <w:lang w:eastAsia="en-US"/>
        </w:rPr>
        <w:t>Request for Reconsideration – Disability Cessation</w:t>
      </w:r>
    </w:p>
    <w:p w:rsidR="007B28CB" w:rsidRPr="007B28CB" w:rsidP="007B28CB" w14:paraId="4916A5BC" w14:textId="77777777">
      <w:pPr>
        <w:jc w:val="center"/>
        <w:rPr>
          <w:b/>
          <w:sz w:val="24"/>
          <w:szCs w:val="24"/>
          <w:lang w:eastAsia="en-US"/>
        </w:rPr>
      </w:pPr>
      <w:r w:rsidRPr="007B28CB">
        <w:rPr>
          <w:b/>
          <w:bCs/>
          <w:sz w:val="24"/>
          <w:szCs w:val="24"/>
          <w:lang w:eastAsia="en-US"/>
        </w:rPr>
        <w:t>20 CFR 404.909, 404.1597(b), 416.995, &amp; 416.1409</w:t>
      </w:r>
    </w:p>
    <w:p w:rsidR="00DB0B45" w:rsidRPr="009865DC" w:rsidP="007B28CB" w14:paraId="621C77CE" w14:textId="04E102D4">
      <w:pPr>
        <w:jc w:val="center"/>
        <w:rPr>
          <w:b/>
          <w:sz w:val="24"/>
          <w:szCs w:val="24"/>
        </w:rPr>
      </w:pPr>
      <w:r w:rsidRPr="007B28CB">
        <w:rPr>
          <w:b/>
          <w:bCs/>
          <w:sz w:val="24"/>
          <w:szCs w:val="24"/>
          <w:lang w:eastAsia="en-US"/>
        </w:rPr>
        <w:t>OMB No. 0960-0349</w:t>
      </w:r>
    </w:p>
    <w:p w:rsidR="00DB0B45" w14:paraId="792D0A73" w14:textId="77777777">
      <w:pPr>
        <w:tabs>
          <w:tab w:val="left" w:pos="-720"/>
          <w:tab w:val="left" w:pos="0"/>
        </w:tabs>
        <w:ind w:left="720" w:right="-720" w:hanging="720"/>
        <w:rPr>
          <w:sz w:val="24"/>
          <w:szCs w:val="24"/>
        </w:rPr>
      </w:pPr>
    </w:p>
    <w:p w:rsidR="00CF6128" w:rsidRPr="00CF6128" w:rsidP="00CF6128" w14:paraId="4FF6DE34" w14:textId="77777777">
      <w:pPr>
        <w:keepNext/>
        <w:widowControl w:val="0"/>
        <w:suppressAutoHyphens w:val="0"/>
        <w:snapToGrid w:val="0"/>
        <w:outlineLvl w:val="6"/>
        <w:rPr>
          <w:b/>
          <w:bCs/>
          <w:sz w:val="24"/>
          <w:szCs w:val="24"/>
          <w:u w:val="single"/>
          <w:lang w:eastAsia="en-US"/>
        </w:rPr>
      </w:pPr>
      <w:r w:rsidRPr="00CF6128">
        <w:rPr>
          <w:b/>
          <w:bCs/>
          <w:sz w:val="24"/>
          <w:szCs w:val="24"/>
          <w:u w:val="single"/>
          <w:lang w:eastAsia="en-US"/>
        </w:rPr>
        <w:t>Minor Revisions to the Collection Instrument</w:t>
      </w:r>
      <w:r>
        <w:rPr>
          <w:b/>
          <w:bCs/>
          <w:sz w:val="24"/>
          <w:szCs w:val="24"/>
          <w:u w:val="single"/>
          <w:lang w:eastAsia="en-US"/>
        </w:rPr>
        <w:t>s</w:t>
      </w:r>
    </w:p>
    <w:p w:rsidR="00CF6128" w:rsidRPr="00CF6128" w:rsidP="00CF6128" w14:paraId="4CB7579E" w14:textId="77777777">
      <w:pPr>
        <w:widowControl w:val="0"/>
        <w:suppressAutoHyphens w:val="0"/>
        <w:snapToGrid w:val="0"/>
        <w:rPr>
          <w:sz w:val="24"/>
          <w:szCs w:val="24"/>
          <w:u w:val="single"/>
          <w:lang w:eastAsia="en-US"/>
        </w:rPr>
      </w:pPr>
    </w:p>
    <w:p w:rsidR="00DB0B45" w:rsidRPr="00275D32" w:rsidP="00CF6128" w14:paraId="30A9235D" w14:textId="77777777">
      <w:pPr>
        <w:rPr>
          <w:b/>
          <w:sz w:val="24"/>
          <w:szCs w:val="24"/>
          <w:u w:val="single"/>
        </w:rPr>
      </w:pPr>
      <w:r w:rsidRPr="00CF6128">
        <w:rPr>
          <w:sz w:val="24"/>
          <w:szCs w:val="24"/>
          <w:lang w:eastAsia="en-US"/>
        </w:rPr>
        <w:t>SSA is making the following revisions:</w:t>
      </w:r>
    </w:p>
    <w:p w:rsidR="00091C62" w:rsidRPr="0022529E" w:rsidP="00091C62" w14:paraId="63BE6DE4" w14:textId="77777777">
      <w:pPr>
        <w:rPr>
          <w:sz w:val="24"/>
          <w:szCs w:val="24"/>
        </w:rPr>
      </w:pPr>
    </w:p>
    <w:p w:rsidR="0022529E" w:rsidRPr="0022529E" w:rsidP="0022529E" w14:paraId="7CA8A185" w14:textId="77777777">
      <w:pPr>
        <w:widowControl w:val="0"/>
        <w:numPr>
          <w:ilvl w:val="0"/>
          <w:numId w:val="2"/>
        </w:numPr>
        <w:suppressAutoHyphens w:val="0"/>
        <w:snapToGrid w:val="0"/>
        <w:rPr>
          <w:bCs/>
          <w:sz w:val="24"/>
          <w:szCs w:val="24"/>
        </w:rPr>
      </w:pPr>
      <w:r w:rsidRPr="0022529E">
        <w:rPr>
          <w:b/>
          <w:bCs/>
          <w:sz w:val="24"/>
          <w:szCs w:val="24"/>
          <w:u w:val="single"/>
        </w:rPr>
        <w:t>Change #1</w:t>
      </w:r>
      <w:r w:rsidRPr="0022529E">
        <w:rPr>
          <w:b/>
          <w:bCs/>
          <w:sz w:val="24"/>
          <w:szCs w:val="24"/>
        </w:rPr>
        <w:t>:</w:t>
      </w:r>
      <w:r w:rsidRPr="0022529E">
        <w:rPr>
          <w:bCs/>
          <w:sz w:val="24"/>
          <w:szCs w:val="24"/>
        </w:rPr>
        <w:t xml:space="preserve">  SSA is removing the signature requirement from Form SSA-789.  </w:t>
      </w:r>
    </w:p>
    <w:p w:rsidR="0022529E" w:rsidRPr="0022529E" w:rsidP="0022529E" w14:paraId="6C495915" w14:textId="77777777">
      <w:pPr>
        <w:ind w:left="360"/>
        <w:rPr>
          <w:bCs/>
          <w:sz w:val="24"/>
          <w:szCs w:val="24"/>
        </w:rPr>
      </w:pPr>
    </w:p>
    <w:p w:rsidR="0022529E" w:rsidRPr="0022529E" w:rsidP="0022529E" w14:paraId="54EB7EE0" w14:textId="77777777">
      <w:pPr>
        <w:ind w:left="360"/>
        <w:rPr>
          <w:bCs/>
          <w:sz w:val="24"/>
          <w:szCs w:val="24"/>
        </w:rPr>
      </w:pPr>
      <w:r w:rsidRPr="0022529E">
        <w:rPr>
          <w:b/>
          <w:bCs/>
          <w:sz w:val="24"/>
          <w:szCs w:val="24"/>
          <w:u w:val="single"/>
        </w:rPr>
        <w:t>Justification #1</w:t>
      </w:r>
      <w:r w:rsidRPr="0022529E">
        <w:rPr>
          <w:b/>
          <w:bCs/>
          <w:sz w:val="24"/>
          <w:szCs w:val="24"/>
        </w:rPr>
        <w:t xml:space="preserve">: </w:t>
      </w:r>
      <w:r w:rsidRPr="0022529E">
        <w:rPr>
          <w:bCs/>
          <w:sz w:val="24"/>
          <w:szCs w:val="24"/>
        </w:rPr>
        <w:t xml:space="preserve"> We reassessed the need for a wet signature on this form and determined we no longer require it.  Therefore, we will no longer ask respondents to sign this form prior to submitting it to SSA.</w:t>
      </w:r>
    </w:p>
    <w:p w:rsidR="0022529E" w:rsidRPr="0022529E" w:rsidP="0022529E" w14:paraId="696F4824" w14:textId="77777777">
      <w:pPr>
        <w:ind w:left="360"/>
        <w:rPr>
          <w:bCs/>
          <w:sz w:val="24"/>
          <w:szCs w:val="24"/>
        </w:rPr>
      </w:pPr>
    </w:p>
    <w:p w:rsidR="0022529E" w:rsidRPr="0022529E" w:rsidP="0022529E" w14:paraId="432EAEFA" w14:textId="77777777">
      <w:pPr>
        <w:pStyle w:val="ListParagraph"/>
        <w:widowControl/>
        <w:numPr>
          <w:ilvl w:val="0"/>
          <w:numId w:val="3"/>
        </w:numPr>
        <w:snapToGrid/>
        <w:ind w:left="360"/>
        <w:rPr>
          <w:rFonts w:ascii="Times New Roman" w:hAnsi="Times New Roman"/>
          <w:i/>
          <w:iCs/>
          <w:color w:val="000000"/>
        </w:rPr>
      </w:pPr>
      <w:r w:rsidRPr="0022529E">
        <w:rPr>
          <w:rFonts w:ascii="Times New Roman" w:hAnsi="Times New Roman"/>
          <w:b/>
          <w:bCs/>
          <w:color w:val="000000"/>
          <w:u w:val="single"/>
        </w:rPr>
        <w:t>Change #2</w:t>
      </w:r>
      <w:r w:rsidRPr="0022529E">
        <w:rPr>
          <w:rFonts w:ascii="Times New Roman" w:hAnsi="Times New Roman"/>
          <w:b/>
          <w:bCs/>
          <w:color w:val="000000"/>
        </w:rPr>
        <w:t>:</w:t>
      </w:r>
      <w:r w:rsidRPr="0022529E">
        <w:rPr>
          <w:rFonts w:ascii="Times New Roman" w:hAnsi="Times New Roman"/>
          <w:color w:val="000000"/>
        </w:rPr>
        <w:t xml:space="preserve">  We are replacing the Penalty of Perjury Statement with a Penalty of Perjury Warning: </w:t>
      </w:r>
    </w:p>
    <w:p w:rsidR="0022529E" w:rsidRPr="0022529E" w:rsidP="0022529E" w14:paraId="7CA642FE" w14:textId="77777777">
      <w:pPr>
        <w:ind w:left="720"/>
        <w:rPr>
          <w:i/>
          <w:iCs/>
          <w:color w:val="000000"/>
          <w:sz w:val="24"/>
          <w:szCs w:val="24"/>
        </w:rPr>
      </w:pPr>
    </w:p>
    <w:p w:rsidR="0022529E" w:rsidRPr="0022529E" w:rsidP="0022529E" w14:paraId="6D2F7513" w14:textId="43FA83FC">
      <w:pPr>
        <w:ind w:left="720"/>
        <w:rPr>
          <w:i/>
          <w:iCs/>
          <w:color w:val="000000"/>
          <w:sz w:val="24"/>
          <w:szCs w:val="24"/>
        </w:rPr>
      </w:pPr>
      <w:r w:rsidRPr="0022529E">
        <w:rPr>
          <w:i/>
          <w:iCs/>
          <w:color w:val="000000"/>
          <w:sz w:val="24"/>
          <w:szCs w:val="24"/>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p w:rsidR="0022529E" w:rsidRPr="0022529E" w:rsidP="0022529E" w14:paraId="50AB5E9A" w14:textId="77777777">
      <w:pPr>
        <w:pStyle w:val="ListParagraph"/>
        <w:ind w:left="360"/>
        <w:rPr>
          <w:rFonts w:ascii="Times New Roman" w:hAnsi="Times New Roman" w:eastAsiaTheme="minorHAnsi"/>
          <w:color w:val="000000"/>
        </w:rPr>
      </w:pPr>
    </w:p>
    <w:p w:rsidR="0022529E" w:rsidRPr="0022529E" w:rsidP="0022529E" w14:paraId="595907CB" w14:textId="298BFA0E">
      <w:pPr>
        <w:pStyle w:val="ListParagraph"/>
        <w:ind w:left="360"/>
        <w:rPr>
          <w:rFonts w:ascii="Times New Roman" w:hAnsi="Times New Roman"/>
          <w:color w:val="000000"/>
        </w:rPr>
      </w:pPr>
      <w:r w:rsidRPr="0022529E">
        <w:rPr>
          <w:rFonts w:ascii="Times New Roman" w:hAnsi="Times New Roman"/>
          <w:b/>
          <w:bCs/>
          <w:color w:val="000000"/>
          <w:u w:val="single"/>
        </w:rPr>
        <w:t>Justification #2</w:t>
      </w:r>
      <w:r w:rsidRPr="0022529E">
        <w:rPr>
          <w:rFonts w:ascii="Times New Roman" w:hAnsi="Times New Roman"/>
          <w:b/>
          <w:bCs/>
          <w:color w:val="000000"/>
        </w:rPr>
        <w:t>:</w:t>
      </w:r>
      <w:r w:rsidRPr="0022529E">
        <w:rPr>
          <w:rFonts w:ascii="Times New Roman" w:hAnsi="Times New Roman"/>
          <w:color w:val="000000"/>
        </w:rPr>
        <w:t xml:space="preserve">  The Penalty of Perjury Statement is directly connected to the signature and needs to be removed since a signature is no longer required. </w:t>
      </w:r>
      <w:r>
        <w:rPr>
          <w:rFonts w:ascii="Times New Roman" w:hAnsi="Times New Roman"/>
          <w:color w:val="000000"/>
        </w:rPr>
        <w:t xml:space="preserve"> </w:t>
      </w:r>
      <w:r w:rsidRPr="0022529E">
        <w:rPr>
          <w:rFonts w:ascii="Times New Roman" w:hAnsi="Times New Roman"/>
          <w:color w:val="000000"/>
        </w:rPr>
        <w:t xml:space="preserve">However, to maintain the intent of that statement, </w:t>
      </w:r>
      <w:r>
        <w:rPr>
          <w:rFonts w:ascii="Times New Roman" w:hAnsi="Times New Roman"/>
          <w:color w:val="000000"/>
        </w:rPr>
        <w:t>we are replacing it</w:t>
      </w:r>
      <w:r w:rsidRPr="0022529E">
        <w:rPr>
          <w:rFonts w:ascii="Times New Roman" w:hAnsi="Times New Roman"/>
          <w:color w:val="000000"/>
        </w:rPr>
        <w:t xml:space="preserve"> with a Penalty of Perjury Warning.</w:t>
      </w:r>
    </w:p>
    <w:p w:rsidR="0022529E" w:rsidRPr="0022529E" w:rsidP="0022529E" w14:paraId="51D53D97" w14:textId="77777777">
      <w:pPr>
        <w:widowControl w:val="0"/>
        <w:suppressAutoHyphens w:val="0"/>
        <w:snapToGrid w:val="0"/>
        <w:ind w:left="360"/>
        <w:rPr>
          <w:sz w:val="24"/>
          <w:szCs w:val="24"/>
          <w:lang w:eastAsia="en-US"/>
        </w:rPr>
      </w:pPr>
    </w:p>
    <w:p w:rsidR="005F4DE5" w:rsidRPr="0022529E" w:rsidP="005F4DE5" w14:paraId="74113284" w14:textId="2373D03D">
      <w:pPr>
        <w:widowControl w:val="0"/>
        <w:numPr>
          <w:ilvl w:val="0"/>
          <w:numId w:val="1"/>
        </w:numPr>
        <w:suppressAutoHyphens w:val="0"/>
        <w:snapToGrid w:val="0"/>
        <w:rPr>
          <w:sz w:val="24"/>
          <w:szCs w:val="24"/>
          <w:lang w:eastAsia="en-US"/>
        </w:rPr>
      </w:pPr>
      <w:r w:rsidRPr="0022529E">
        <w:rPr>
          <w:b/>
          <w:sz w:val="24"/>
          <w:szCs w:val="24"/>
          <w:u w:val="single"/>
          <w:lang w:eastAsia="en-US"/>
        </w:rPr>
        <w:t>Change #</w:t>
      </w:r>
      <w:r w:rsidR="0022529E">
        <w:rPr>
          <w:b/>
          <w:sz w:val="24"/>
          <w:szCs w:val="24"/>
          <w:u w:val="single"/>
          <w:lang w:eastAsia="en-US"/>
        </w:rPr>
        <w:t>3</w:t>
      </w:r>
      <w:r w:rsidRPr="0022529E">
        <w:rPr>
          <w:b/>
          <w:sz w:val="24"/>
          <w:szCs w:val="24"/>
          <w:lang w:eastAsia="en-US"/>
        </w:rPr>
        <w:t xml:space="preserve">: </w:t>
      </w:r>
      <w:r w:rsidRPr="0022529E">
        <w:rPr>
          <w:sz w:val="24"/>
          <w:szCs w:val="24"/>
          <w:lang w:eastAsia="en-US"/>
        </w:rPr>
        <w:t xml:space="preserve"> We are revising the PRA statement on th</w:t>
      </w:r>
      <w:r w:rsidRPr="0022529E" w:rsidR="00545AC9">
        <w:rPr>
          <w:sz w:val="24"/>
          <w:szCs w:val="24"/>
          <w:lang w:eastAsia="en-US"/>
        </w:rPr>
        <w:t>is</w:t>
      </w:r>
      <w:r w:rsidRPr="0022529E">
        <w:rPr>
          <w:sz w:val="24"/>
          <w:szCs w:val="24"/>
          <w:lang w:eastAsia="en-US"/>
        </w:rPr>
        <w:t xml:space="preserve"> form.</w:t>
      </w:r>
    </w:p>
    <w:p w:rsidR="005F4DE5" w:rsidRPr="0022529E" w:rsidP="005F4DE5" w14:paraId="52CBF141" w14:textId="77777777">
      <w:pPr>
        <w:suppressAutoHyphens w:val="0"/>
        <w:ind w:left="360"/>
        <w:rPr>
          <w:sz w:val="24"/>
          <w:szCs w:val="24"/>
          <w:lang w:eastAsia="en-US"/>
        </w:rPr>
      </w:pPr>
    </w:p>
    <w:p w:rsidR="005F4DE5" w:rsidRPr="0022529E" w:rsidP="005F4DE5" w14:paraId="74F33BD4" w14:textId="388D9217">
      <w:pPr>
        <w:suppressAutoHyphens w:val="0"/>
        <w:ind w:left="360"/>
        <w:rPr>
          <w:sz w:val="24"/>
          <w:szCs w:val="24"/>
          <w:lang w:eastAsia="en-US"/>
        </w:rPr>
      </w:pPr>
      <w:r w:rsidRPr="0022529E">
        <w:rPr>
          <w:b/>
          <w:sz w:val="24"/>
          <w:szCs w:val="24"/>
          <w:u w:val="single"/>
          <w:lang w:eastAsia="en-US"/>
        </w:rPr>
        <w:t>Justification #</w:t>
      </w:r>
      <w:r w:rsidR="0022529E">
        <w:rPr>
          <w:b/>
          <w:sz w:val="24"/>
          <w:szCs w:val="24"/>
          <w:u w:val="single"/>
          <w:lang w:eastAsia="en-US"/>
        </w:rPr>
        <w:t>3</w:t>
      </w:r>
      <w:r w:rsidRPr="0022529E">
        <w:rPr>
          <w:b/>
          <w:sz w:val="24"/>
          <w:szCs w:val="24"/>
          <w:lang w:eastAsia="en-US"/>
        </w:rPr>
        <w:t>:</w:t>
      </w:r>
      <w:r w:rsidRPr="0022529E">
        <w:rPr>
          <w:sz w:val="24"/>
          <w:szCs w:val="24"/>
          <w:lang w:eastAsia="en-US"/>
        </w:rPr>
        <w:t xml:space="preserve">  We are revising the PRA statement to reflect our current boilerplate language.  The current language, which dates back to the last reprint of the form, is now outdated.</w:t>
      </w:r>
    </w:p>
    <w:p w:rsidR="005F4DE5" w:rsidRPr="0022529E" w:rsidP="005F4DE5" w14:paraId="324B1F77" w14:textId="77777777">
      <w:pPr>
        <w:suppressAutoHyphens w:val="0"/>
        <w:ind w:left="360"/>
        <w:rPr>
          <w:sz w:val="24"/>
          <w:szCs w:val="24"/>
          <w:lang w:eastAsia="en-US"/>
        </w:rPr>
      </w:pPr>
    </w:p>
    <w:p w:rsidR="005F4DE5" w:rsidRPr="0022529E" w:rsidP="005F4DE5" w14:paraId="0702DDFE" w14:textId="36813F18">
      <w:pPr>
        <w:widowControl w:val="0"/>
        <w:numPr>
          <w:ilvl w:val="0"/>
          <w:numId w:val="1"/>
        </w:numPr>
        <w:suppressAutoHyphens w:val="0"/>
        <w:snapToGrid w:val="0"/>
        <w:rPr>
          <w:sz w:val="24"/>
          <w:szCs w:val="24"/>
          <w:lang w:eastAsia="en-US"/>
        </w:rPr>
      </w:pPr>
      <w:r w:rsidRPr="0022529E">
        <w:rPr>
          <w:b/>
          <w:sz w:val="24"/>
          <w:szCs w:val="24"/>
          <w:u w:val="single"/>
          <w:lang w:eastAsia="en-US"/>
        </w:rPr>
        <w:t>Change #</w:t>
      </w:r>
      <w:r w:rsidR="0022529E">
        <w:rPr>
          <w:b/>
          <w:sz w:val="24"/>
          <w:szCs w:val="24"/>
          <w:u w:val="single"/>
          <w:lang w:eastAsia="en-US"/>
        </w:rPr>
        <w:t>4</w:t>
      </w:r>
      <w:r w:rsidRPr="0022529E">
        <w:rPr>
          <w:b/>
          <w:sz w:val="24"/>
          <w:szCs w:val="24"/>
          <w:lang w:eastAsia="en-US"/>
        </w:rPr>
        <w:t>:</w:t>
      </w:r>
      <w:r w:rsidRPr="0022529E">
        <w:rPr>
          <w:sz w:val="24"/>
          <w:szCs w:val="24"/>
          <w:lang w:eastAsia="en-US"/>
        </w:rPr>
        <w:t xml:space="preserve">  We are revising the Privacy Act Statement on </w:t>
      </w:r>
      <w:r w:rsidRPr="0022529E" w:rsidR="00545AC9">
        <w:rPr>
          <w:sz w:val="24"/>
          <w:szCs w:val="24"/>
          <w:lang w:eastAsia="en-US"/>
        </w:rPr>
        <w:t>this form</w:t>
      </w:r>
      <w:r w:rsidRPr="0022529E">
        <w:rPr>
          <w:sz w:val="24"/>
          <w:szCs w:val="24"/>
          <w:lang w:eastAsia="en-US"/>
        </w:rPr>
        <w:t>.</w:t>
      </w:r>
    </w:p>
    <w:p w:rsidR="005F4DE5" w:rsidRPr="0022529E" w:rsidP="005F4DE5" w14:paraId="140B10E0" w14:textId="77777777">
      <w:pPr>
        <w:suppressAutoHyphens w:val="0"/>
        <w:ind w:left="360"/>
        <w:rPr>
          <w:sz w:val="24"/>
          <w:szCs w:val="24"/>
          <w:lang w:eastAsia="en-US"/>
        </w:rPr>
      </w:pPr>
    </w:p>
    <w:p w:rsidR="005F4DE5" w:rsidRPr="0022529E" w:rsidP="005F4DE5" w14:paraId="07930C50" w14:textId="1789B1B2">
      <w:pPr>
        <w:suppressAutoHyphens w:val="0"/>
        <w:ind w:left="360"/>
        <w:rPr>
          <w:sz w:val="24"/>
          <w:szCs w:val="24"/>
          <w:lang w:eastAsia="en-US"/>
        </w:rPr>
      </w:pPr>
      <w:r w:rsidRPr="0022529E">
        <w:rPr>
          <w:b/>
          <w:sz w:val="24"/>
          <w:szCs w:val="24"/>
          <w:u w:val="single"/>
          <w:lang w:eastAsia="en-US"/>
        </w:rPr>
        <w:t>Justification #</w:t>
      </w:r>
      <w:r w:rsidR="0022529E">
        <w:rPr>
          <w:b/>
          <w:sz w:val="24"/>
          <w:szCs w:val="24"/>
          <w:u w:val="single"/>
          <w:lang w:eastAsia="en-US"/>
        </w:rPr>
        <w:t>4</w:t>
      </w:r>
      <w:r w:rsidRPr="0022529E">
        <w:rPr>
          <w:b/>
          <w:sz w:val="24"/>
          <w:szCs w:val="24"/>
          <w:lang w:eastAsia="en-US"/>
        </w:rPr>
        <w:t xml:space="preserve">: </w:t>
      </w:r>
      <w:r w:rsidRPr="0022529E">
        <w:rPr>
          <w:sz w:val="24"/>
          <w:szCs w:val="24"/>
          <w:lang w:eastAsia="en-US"/>
        </w:rPr>
        <w:t xml:space="preserve"> SSA’s Office of the General Counsel is conducting a systematic review of SSA’s Privacy Act Statements on agency forms.  As a result, SSA is updating the Privacy Act Statement on </w:t>
      </w:r>
      <w:r w:rsidRPr="0022529E" w:rsidR="00545AC9">
        <w:rPr>
          <w:sz w:val="24"/>
          <w:szCs w:val="24"/>
          <w:lang w:eastAsia="en-US"/>
        </w:rPr>
        <w:t>this form</w:t>
      </w:r>
      <w:r w:rsidRPr="0022529E">
        <w:rPr>
          <w:sz w:val="24"/>
          <w:szCs w:val="24"/>
          <w:lang w:eastAsia="en-US"/>
        </w:rPr>
        <w:t>.</w:t>
      </w:r>
    </w:p>
    <w:p w:rsidR="005F4DE5" w:rsidRPr="0022529E" w:rsidP="00435551" w14:paraId="2F4C0F9D" w14:textId="77777777">
      <w:pPr>
        <w:suppressAutoHyphens w:val="0"/>
        <w:ind w:left="360"/>
        <w:rPr>
          <w:sz w:val="24"/>
          <w:szCs w:val="24"/>
        </w:rPr>
      </w:pPr>
    </w:p>
    <w:p w:rsidR="00DB0B45" w:rsidRPr="0022529E" w:rsidP="00275D32" w14:paraId="13FFB681" w14:textId="77777777">
      <w:pPr>
        <w:ind w:left="360"/>
        <w:rPr>
          <w:sz w:val="24"/>
          <w:szCs w:val="24"/>
        </w:rPr>
      </w:pPr>
    </w:p>
    <w:sectPr>
      <w:footerReference w:type="default" r:id="rId4"/>
      <w:footnotePr>
        <w:pos w:val="beneathText"/>
      </w:footnotePr>
      <w:pgSz w:w="12240" w:h="15840"/>
      <w:pgMar w:top="1440" w:right="1440" w:bottom="1496" w:left="1440" w:header="72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45" w14:paraId="027906DB" w14:textId="77777777">
    <w:pPr>
      <w:pStyle w:val="Footer"/>
    </w:pPr>
  </w:p>
  <w:p w:rsidR="00DB0B45" w14:paraId="7808AD69"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42C4B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55239040">
    <w:abstractNumId w:val="1"/>
  </w:num>
  <w:num w:numId="2" w16cid:durableId="1089932150">
    <w:abstractNumId w:val="2"/>
  </w:num>
  <w:num w:numId="3" w16cid:durableId="138682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7"/>
    <w:rsid w:val="0002531A"/>
    <w:rsid w:val="00076564"/>
    <w:rsid w:val="00077466"/>
    <w:rsid w:val="00091C62"/>
    <w:rsid w:val="000B4629"/>
    <w:rsid w:val="00184557"/>
    <w:rsid w:val="0022529E"/>
    <w:rsid w:val="00275D32"/>
    <w:rsid w:val="00347D0D"/>
    <w:rsid w:val="00373E7A"/>
    <w:rsid w:val="00435551"/>
    <w:rsid w:val="00545AC9"/>
    <w:rsid w:val="005F4DE5"/>
    <w:rsid w:val="007B28CB"/>
    <w:rsid w:val="00930C63"/>
    <w:rsid w:val="009353AF"/>
    <w:rsid w:val="009865DC"/>
    <w:rsid w:val="00A333DA"/>
    <w:rsid w:val="00AF4C26"/>
    <w:rsid w:val="00B100AB"/>
    <w:rsid w:val="00B841DF"/>
    <w:rsid w:val="00BB6982"/>
    <w:rsid w:val="00C3158A"/>
    <w:rsid w:val="00C35DE8"/>
    <w:rsid w:val="00CF6128"/>
    <w:rsid w:val="00CF72F3"/>
    <w:rsid w:val="00DB0B45"/>
    <w:rsid w:val="00DE20D7"/>
    <w:rsid w:val="00E55378"/>
    <w:rsid w:val="00E65DF4"/>
    <w:rsid w:val="00F85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BDBC0"/>
  <w15:docId w15:val="{4A5840C5-E9B5-40AA-B3AE-6B5796C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9865DC"/>
    <w:pPr>
      <w:keepNext/>
      <w:widowControl w:val="0"/>
      <w:tabs>
        <w:tab w:val="center" w:pos="4680"/>
      </w:tabs>
      <w:jc w:val="center"/>
      <w:outlineLvl w:val="0"/>
    </w:pPr>
    <w:rPr>
      <w:b/>
      <w:bCs/>
      <w:snapToGrid w:val="0"/>
      <w:sz w:val="24"/>
      <w:szCs w:val="24"/>
      <w:lang w:eastAsia="en-US"/>
    </w:rPr>
  </w:style>
  <w:style w:type="paragraph" w:styleId="Heading7">
    <w:name w:val="heading 7"/>
    <w:basedOn w:val="Normal"/>
    <w:next w:val="Normal"/>
    <w:link w:val="Heading7Char"/>
    <w:uiPriority w:val="9"/>
    <w:semiHidden/>
    <w:unhideWhenUsed/>
    <w:qFormat/>
    <w:rsid w:val="00CF61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character" w:customStyle="1" w:styleId="Heading1Char">
    <w:name w:val="Heading 1 Char"/>
    <w:basedOn w:val="DefaultParagraphFont"/>
    <w:link w:val="Heading1"/>
    <w:rsid w:val="009865DC"/>
    <w:rPr>
      <w:b/>
      <w:bCs/>
      <w:snapToGrid w:val="0"/>
      <w:sz w:val="24"/>
      <w:szCs w:val="24"/>
    </w:rPr>
  </w:style>
  <w:style w:type="character" w:customStyle="1" w:styleId="Heading7Char">
    <w:name w:val="Heading 7 Char"/>
    <w:basedOn w:val="DefaultParagraphFont"/>
    <w:link w:val="Heading7"/>
    <w:uiPriority w:val="9"/>
    <w:semiHidden/>
    <w:rsid w:val="00CF6128"/>
    <w:rPr>
      <w:rFonts w:asciiTheme="majorHAnsi" w:eastAsiaTheme="majorEastAsia" w:hAnsiTheme="majorHAnsi" w:cstheme="majorBidi"/>
      <w:i/>
      <w:iCs/>
      <w:color w:val="243F60" w:themeColor="accent1" w:themeShade="7F"/>
      <w:lang w:eastAsia="ar-SA"/>
    </w:rPr>
  </w:style>
  <w:style w:type="paragraph" w:styleId="ListParagraph">
    <w:name w:val="List Paragraph"/>
    <w:basedOn w:val="Normal"/>
    <w:uiPriority w:val="34"/>
    <w:qFormat/>
    <w:rsid w:val="0022529E"/>
    <w:pPr>
      <w:widowControl w:val="0"/>
      <w:suppressAutoHyphens w:val="0"/>
      <w:snapToGrid w:val="0"/>
      <w:ind w:left="720"/>
    </w:pPr>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Naomi Sipple</cp:lastModifiedBy>
  <cp:revision>2</cp:revision>
  <cp:lastPrinted>2009-08-19T13:25:00Z</cp:lastPrinted>
  <dcterms:created xsi:type="dcterms:W3CDTF">2024-05-15T18:50:00Z</dcterms:created>
  <dcterms:modified xsi:type="dcterms:W3CDTF">2024-05-15T18:50:00Z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-1954147214</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Expiration Notice: 0960-0794 (HA-L90)</vt:lpwstr>
  </property>
  <property fmtid="{D5CDD505-2E9C-101B-9397-08002B2CF9AE}" pid="6" name="_NewReviewCycle">
    <vt:lpwstr/>
  </property>
  <property fmtid="{D5CDD505-2E9C-101B-9397-08002B2CF9AE}" pid="7" name="_PreviousAdHocReviewCycleID">
    <vt:i4>966874710</vt:i4>
  </property>
  <property fmtid="{D5CDD505-2E9C-101B-9397-08002B2CF9AE}" pid="8" name="_ReviewingToolsShownOnce">
    <vt:lpwstr/>
  </property>
</Properties>
</file>