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31DA" w:rsidP="00663337" w14:paraId="4524ADEF" w14:textId="174F4AD8">
      <w:pPr>
        <w:pStyle w:val="Default"/>
        <w:jc w:val="center"/>
        <w:rPr>
          <w:b/>
          <w:bCs/>
          <w:color w:val="auto"/>
        </w:rPr>
      </w:pPr>
      <w:r>
        <w:rPr>
          <w:b/>
          <w:bCs/>
          <w:color w:val="auto"/>
        </w:rPr>
        <w:t>S</w:t>
      </w:r>
      <w:r w:rsidRPr="00CF5000" w:rsidR="00663337">
        <w:rPr>
          <w:b/>
          <w:bCs/>
          <w:color w:val="auto"/>
        </w:rPr>
        <w:t>upporting Statement for Form SSA-789</w:t>
      </w:r>
    </w:p>
    <w:p w:rsidR="00663337" w:rsidRPr="00CF5000" w:rsidP="00663337" w14:paraId="2B317D5F" w14:textId="77777777">
      <w:pPr>
        <w:pStyle w:val="Default"/>
        <w:jc w:val="center"/>
        <w:rPr>
          <w:color w:val="auto"/>
        </w:rPr>
      </w:pPr>
      <w:r w:rsidRPr="00CF5000">
        <w:rPr>
          <w:b/>
          <w:bCs/>
          <w:color w:val="auto"/>
        </w:rPr>
        <w:t>Request for Reconsideration – Disability Cessation</w:t>
      </w:r>
    </w:p>
    <w:p w:rsidR="00663337" w:rsidRPr="00CF5000" w:rsidP="00F9308A" w14:paraId="24A36D4C" w14:textId="7184726D">
      <w:pPr>
        <w:pStyle w:val="Default"/>
        <w:jc w:val="center"/>
        <w:rPr>
          <w:color w:val="auto"/>
        </w:rPr>
      </w:pPr>
      <w:r w:rsidRPr="00CF5000">
        <w:rPr>
          <w:b/>
          <w:bCs/>
          <w:color w:val="auto"/>
        </w:rPr>
        <w:t xml:space="preserve">20 CFR </w:t>
      </w:r>
      <w:r w:rsidRPr="00F9308A" w:rsidR="00F9308A">
        <w:rPr>
          <w:b/>
          <w:bCs/>
          <w:color w:val="auto"/>
        </w:rPr>
        <w:t>404.909,</w:t>
      </w:r>
      <w:r w:rsidR="00F9308A">
        <w:rPr>
          <w:b/>
          <w:bCs/>
          <w:color w:val="auto"/>
        </w:rPr>
        <w:t xml:space="preserve"> </w:t>
      </w:r>
      <w:r w:rsidRPr="00F9308A" w:rsidR="00F9308A">
        <w:rPr>
          <w:b/>
          <w:bCs/>
          <w:color w:val="auto"/>
        </w:rPr>
        <w:t>404.1597(b), 416.995, &amp; 416.1409</w:t>
      </w:r>
    </w:p>
    <w:p w:rsidR="00663337" w:rsidRPr="00CF5000" w:rsidP="00663337" w14:paraId="2CA4B089" w14:textId="77777777">
      <w:pPr>
        <w:pStyle w:val="Default"/>
        <w:jc w:val="center"/>
        <w:rPr>
          <w:b/>
          <w:bCs/>
          <w:color w:val="auto"/>
        </w:rPr>
      </w:pPr>
      <w:r>
        <w:rPr>
          <w:b/>
          <w:bCs/>
          <w:color w:val="auto"/>
        </w:rPr>
        <w:t xml:space="preserve">OMB No. </w:t>
      </w:r>
      <w:r w:rsidRPr="00CF5000">
        <w:rPr>
          <w:b/>
          <w:bCs/>
          <w:color w:val="auto"/>
        </w:rPr>
        <w:t>0960-0349</w:t>
      </w:r>
    </w:p>
    <w:p w:rsidR="00663337" w:rsidRPr="00CF5000" w:rsidP="00DD24A4" w14:paraId="45154CE3" w14:textId="77777777">
      <w:pPr>
        <w:pStyle w:val="Default"/>
        <w:rPr>
          <w:color w:val="auto"/>
        </w:rPr>
      </w:pPr>
    </w:p>
    <w:p w:rsidR="00663337" w:rsidP="00F9308A" w14:paraId="5D33877D" w14:textId="77777777">
      <w:pPr>
        <w:pStyle w:val="Default"/>
        <w:numPr>
          <w:ilvl w:val="0"/>
          <w:numId w:val="7"/>
        </w:numPr>
        <w:ind w:left="720" w:hanging="540"/>
        <w:rPr>
          <w:b/>
          <w:bCs/>
          <w:color w:val="auto"/>
          <w:u w:val="single"/>
        </w:rPr>
      </w:pPr>
      <w:r>
        <w:rPr>
          <w:b/>
          <w:bCs/>
          <w:color w:val="auto"/>
          <w:u w:val="single"/>
        </w:rPr>
        <w:t>Justification</w:t>
      </w:r>
    </w:p>
    <w:p w:rsidR="00DD24A4" w:rsidRPr="00F9308A" w:rsidP="00DD24A4" w14:paraId="1CE1BD40" w14:textId="77777777">
      <w:pPr>
        <w:pStyle w:val="Default"/>
        <w:ind w:left="90"/>
        <w:rPr>
          <w:b/>
          <w:bCs/>
          <w:color w:val="auto"/>
        </w:rPr>
      </w:pPr>
    </w:p>
    <w:p w:rsidR="00DD24A4" w:rsidRPr="00DD24A4" w:rsidP="00F9308A" w14:paraId="1B25F6E0" w14:textId="77777777">
      <w:pPr>
        <w:pStyle w:val="Default"/>
        <w:numPr>
          <w:ilvl w:val="0"/>
          <w:numId w:val="8"/>
        </w:numPr>
        <w:tabs>
          <w:tab w:val="left" w:pos="1440"/>
        </w:tabs>
        <w:ind w:left="1440" w:hanging="720"/>
        <w:rPr>
          <w:b/>
          <w:bCs/>
          <w:color w:val="auto"/>
          <w:u w:val="single"/>
        </w:rPr>
      </w:pPr>
      <w:r w:rsidRPr="00CF5000">
        <w:rPr>
          <w:b/>
        </w:rPr>
        <w:t>Introduction/Authoring Laws and Regulations</w:t>
      </w:r>
    </w:p>
    <w:p w:rsidR="00DD24A4" w:rsidP="00F9308A" w14:paraId="1A7CB2D0" w14:textId="4D0B0058">
      <w:pPr>
        <w:pStyle w:val="Default"/>
        <w:tabs>
          <w:tab w:val="left" w:pos="1440"/>
        </w:tabs>
        <w:ind w:left="1440"/>
        <w:rPr>
          <w:b/>
        </w:rPr>
      </w:pPr>
      <w:r w:rsidRPr="00AD6C13">
        <w:rPr>
          <w:iCs/>
          <w:color w:val="auto"/>
        </w:rPr>
        <w:t>Section</w:t>
      </w:r>
      <w:r w:rsidRPr="00CF5000">
        <w:rPr>
          <w:i/>
          <w:iCs/>
          <w:color w:val="auto"/>
        </w:rPr>
        <w:t xml:space="preserve"> 205(b) </w:t>
      </w:r>
      <w:r w:rsidRPr="00CF5000">
        <w:rPr>
          <w:color w:val="auto"/>
        </w:rPr>
        <w:t xml:space="preserve">of the </w:t>
      </w:r>
      <w:r w:rsidRPr="00CF5000">
        <w:rPr>
          <w:i/>
          <w:iCs/>
          <w:color w:val="auto"/>
        </w:rPr>
        <w:t xml:space="preserve">Social Security Act (Act) </w:t>
      </w:r>
      <w:r w:rsidRPr="00CF5000">
        <w:rPr>
          <w:color w:val="auto"/>
        </w:rPr>
        <w:t>requires</w:t>
      </w:r>
      <w:r>
        <w:rPr>
          <w:color w:val="auto"/>
        </w:rPr>
        <w:t xml:space="preserve"> SSA to</w:t>
      </w:r>
      <w:r w:rsidRPr="00CF5000">
        <w:rPr>
          <w:color w:val="auto"/>
        </w:rPr>
        <w:t xml:space="preserve"> provide a</w:t>
      </w:r>
      <w:r>
        <w:rPr>
          <w:color w:val="auto"/>
        </w:rPr>
        <w:t xml:space="preserve"> disability hearing</w:t>
      </w:r>
      <w:r w:rsidRPr="00CF5000">
        <w:rPr>
          <w:color w:val="auto"/>
        </w:rPr>
        <w:t xml:space="preserve"> at the continuing disability review level of appeal for</w:t>
      </w:r>
      <w:r>
        <w:rPr>
          <w:color w:val="auto"/>
        </w:rPr>
        <w:t xml:space="preserve"> </w:t>
      </w:r>
      <w:r w:rsidRPr="00CF5000">
        <w:rPr>
          <w:color w:val="auto"/>
        </w:rPr>
        <w:t xml:space="preserve">claimants who received an initial </w:t>
      </w:r>
      <w:r>
        <w:rPr>
          <w:color w:val="auto"/>
        </w:rPr>
        <w:t xml:space="preserve">continuing disability review (CDR) cessation </w:t>
      </w:r>
      <w:r w:rsidRPr="00CF5000">
        <w:rPr>
          <w:color w:val="auto"/>
        </w:rPr>
        <w:t xml:space="preserve">or </w:t>
      </w:r>
      <w:r>
        <w:rPr>
          <w:color w:val="auto"/>
        </w:rPr>
        <w:t>reconsideration pre-hearing cessation</w:t>
      </w:r>
      <w:r w:rsidRPr="00CF5000">
        <w:rPr>
          <w:color w:val="auto"/>
        </w:rPr>
        <w:t xml:space="preserve"> determination.  The</w:t>
      </w:r>
      <w:r>
        <w:rPr>
          <w:color w:val="auto"/>
        </w:rPr>
        <w:t xml:space="preserve"> regulatory requirements for </w:t>
      </w:r>
      <w:r w:rsidRPr="00CF5000">
        <w:rPr>
          <w:color w:val="auto"/>
        </w:rPr>
        <w:t xml:space="preserve">implementing </w:t>
      </w:r>
      <w:r w:rsidRPr="00AD6C13">
        <w:rPr>
          <w:color w:val="auto"/>
        </w:rPr>
        <w:t xml:space="preserve">Section </w:t>
      </w:r>
      <w:r w:rsidRPr="00CF5000">
        <w:rPr>
          <w:i/>
          <w:color w:val="auto"/>
        </w:rPr>
        <w:t>205(b)</w:t>
      </w:r>
      <w:r w:rsidRPr="00CF5000">
        <w:rPr>
          <w:color w:val="auto"/>
        </w:rPr>
        <w:t xml:space="preserve"> of the </w:t>
      </w:r>
      <w:r w:rsidRPr="00CF5000">
        <w:rPr>
          <w:i/>
          <w:color w:val="auto"/>
        </w:rPr>
        <w:t xml:space="preserve">Act </w:t>
      </w:r>
      <w:r w:rsidRPr="00CF5000">
        <w:rPr>
          <w:color w:val="auto"/>
        </w:rPr>
        <w:t xml:space="preserve">are set forth in </w:t>
      </w:r>
      <w:r w:rsidR="00BA5245">
        <w:rPr>
          <w:color w:val="auto"/>
        </w:rPr>
        <w:t>S</w:t>
      </w:r>
      <w:r>
        <w:rPr>
          <w:color w:val="auto"/>
        </w:rPr>
        <w:t xml:space="preserve">ections </w:t>
      </w:r>
      <w:r w:rsidRPr="00BA5245" w:rsidR="00BA5245">
        <w:rPr>
          <w:i/>
          <w:color w:val="auto"/>
        </w:rPr>
        <w:t>20 CFR 404.909, 404.1597(b), 416.995, &amp; 416.1409</w:t>
      </w:r>
      <w:r w:rsidRPr="00CF5000">
        <w:rPr>
          <w:i/>
          <w:iCs/>
          <w:color w:val="auto"/>
        </w:rPr>
        <w:t xml:space="preserve"> </w:t>
      </w:r>
      <w:r w:rsidRPr="00CF5000">
        <w:rPr>
          <w:color w:val="auto"/>
        </w:rPr>
        <w:t xml:space="preserve">of the </w:t>
      </w:r>
      <w:r w:rsidRPr="00CF5000">
        <w:rPr>
          <w:i/>
          <w:iCs/>
          <w:color w:val="auto"/>
        </w:rPr>
        <w:t>Code of Federal Regulations</w:t>
      </w:r>
      <w:r w:rsidRPr="00BA5245">
        <w:rPr>
          <w:color w:val="auto"/>
        </w:rPr>
        <w:t>.</w:t>
      </w:r>
    </w:p>
    <w:p w:rsidR="00DD24A4" w:rsidP="00F9308A" w14:paraId="3CE49B52" w14:textId="77777777">
      <w:pPr>
        <w:pStyle w:val="Default"/>
        <w:tabs>
          <w:tab w:val="left" w:pos="1440"/>
        </w:tabs>
        <w:ind w:left="1440"/>
        <w:rPr>
          <w:b/>
          <w:bCs/>
          <w:color w:val="auto"/>
          <w:u w:val="single"/>
        </w:rPr>
      </w:pPr>
    </w:p>
    <w:p w:rsidR="00F8602A" w:rsidP="00F8602A" w14:paraId="2004EA60" w14:textId="77777777">
      <w:pPr>
        <w:pStyle w:val="Default"/>
        <w:numPr>
          <w:ilvl w:val="0"/>
          <w:numId w:val="8"/>
        </w:numPr>
        <w:tabs>
          <w:tab w:val="left" w:pos="1440"/>
        </w:tabs>
        <w:ind w:left="1440" w:hanging="720"/>
        <w:rPr>
          <w:b/>
          <w:bCs/>
          <w:color w:val="auto"/>
          <w:u w:val="single"/>
        </w:rPr>
      </w:pPr>
      <w:r w:rsidRPr="00CF5000">
        <w:rPr>
          <w:b/>
        </w:rPr>
        <w:t>Description of Collection</w:t>
      </w:r>
    </w:p>
    <w:p w:rsidR="00A2311B" w:rsidRPr="00F8602A" w:rsidP="00F8602A" w14:paraId="3C0A8545" w14:textId="62319A61">
      <w:pPr>
        <w:pStyle w:val="Default"/>
        <w:tabs>
          <w:tab w:val="left" w:pos="1440"/>
        </w:tabs>
        <w:ind w:left="1440"/>
        <w:rPr>
          <w:b/>
          <w:bCs/>
          <w:color w:val="000000" w:themeColor="text1"/>
          <w:u w:val="single"/>
        </w:rPr>
      </w:pPr>
      <w:r w:rsidRPr="00F8602A">
        <w:rPr>
          <w:rFonts w:eastAsia="Times New Roman"/>
          <w:color w:val="000000" w:themeColor="text1"/>
        </w:rPr>
        <w:t>SSA conducts periodic reviews of beneficiaries to confirm that they continue to be  disabled to continue qualifying for disability benefits.</w:t>
      </w:r>
      <w:r>
        <w:rPr>
          <w:rFonts w:eastAsia="Times New Roman"/>
          <w:color w:val="000000" w:themeColor="text1"/>
        </w:rPr>
        <w:t xml:space="preserve">  </w:t>
      </w:r>
      <w:r w:rsidRPr="00F8602A">
        <w:rPr>
          <w:rFonts w:eastAsia="Times New Roman"/>
          <w:color w:val="000000" w:themeColor="text1"/>
        </w:rPr>
        <w:t xml:space="preserve">The primary information collection associated with that process is the Continuing Disability Review (CDR, OMB Control 0960-0072). </w:t>
      </w:r>
      <w:r>
        <w:rPr>
          <w:rFonts w:eastAsia="Times New Roman"/>
          <w:color w:val="000000" w:themeColor="text1"/>
        </w:rPr>
        <w:t xml:space="preserve"> </w:t>
      </w:r>
      <w:r w:rsidRPr="00F8602A">
        <w:rPr>
          <w:rFonts w:eastAsia="Times New Roman"/>
          <w:color w:val="000000" w:themeColor="text1"/>
        </w:rPr>
        <w:t xml:space="preserve">When SSA determines through this process that claimants’ disabilities medically improved; ceased; or are no longer sufficiently disabling, the claimant will receive a written notice from SSA regarding the determination and their benefits will be ceased. </w:t>
      </w:r>
      <w:r>
        <w:rPr>
          <w:rFonts w:eastAsia="Times New Roman"/>
          <w:color w:val="000000" w:themeColor="text1"/>
        </w:rPr>
        <w:t xml:space="preserve"> </w:t>
      </w:r>
      <w:r w:rsidRPr="00F8602A">
        <w:rPr>
          <w:rFonts w:eastAsia="Times New Roman"/>
          <w:color w:val="000000" w:themeColor="text1"/>
        </w:rPr>
        <w:t xml:space="preserve">The notice includes a discussion of the claimant’s appeal rights, including the right to continue benefits during appeal (“statutory benefits continuation”). </w:t>
      </w:r>
      <w:r>
        <w:rPr>
          <w:rFonts w:eastAsia="Times New Roman"/>
          <w:color w:val="000000" w:themeColor="text1"/>
        </w:rPr>
        <w:t xml:space="preserve"> </w:t>
      </w:r>
      <w:r w:rsidRPr="00F8602A">
        <w:rPr>
          <w:rFonts w:eastAsia="Times New Roman"/>
          <w:color w:val="000000" w:themeColor="text1"/>
        </w:rPr>
        <w:t>The notice does not include a copy of the SSA-789, nor does it include a self-addressed envelope to allow potential respondents to mail the SSA-789 back to SSA. Claimants must either independently download a copy of the SSA-789 from ssa.gov, or independently request that SSA</w:t>
      </w:r>
      <w:r>
        <w:rPr>
          <w:rFonts w:eastAsia="Times New Roman"/>
          <w:color w:val="000000" w:themeColor="text1"/>
        </w:rPr>
        <w:t xml:space="preserve"> </w:t>
      </w:r>
      <w:r w:rsidRPr="00F8602A">
        <w:rPr>
          <w:rFonts w:eastAsia="Times New Roman"/>
          <w:color w:val="000000" w:themeColor="text1"/>
        </w:rPr>
        <w:t xml:space="preserve">send them a copy of the SSA-789.  In FY 2021 approximately </w:t>
      </w:r>
      <w:r w:rsidRPr="00F8602A">
        <w:rPr>
          <w:rFonts w:eastAsia="Times New Roman"/>
          <w:color w:val="000000" w:themeColor="text1"/>
          <w:lang w:eastAsia="zh-CN"/>
        </w:rPr>
        <w:t>214,000</w:t>
      </w:r>
      <w:r w:rsidRPr="00F8602A">
        <w:rPr>
          <w:rFonts w:eastAsia="Times New Roman"/>
          <w:color w:val="000000" w:themeColor="text1"/>
        </w:rPr>
        <w:t xml:space="preserve"> beneficiaries were ceased following CDRs, suggesting that approximately 23% of individuals who could potentially submit an SSA-789 choose to do so.</w:t>
      </w:r>
    </w:p>
    <w:p w:rsidR="00A2311B" w:rsidP="00F9308A" w14:paraId="08322751" w14:textId="77777777">
      <w:pPr>
        <w:pStyle w:val="Default"/>
        <w:tabs>
          <w:tab w:val="left" w:pos="1440"/>
        </w:tabs>
        <w:ind w:left="1440"/>
        <w:rPr>
          <w:rFonts w:eastAsia="Times New Roman"/>
        </w:rPr>
      </w:pPr>
    </w:p>
    <w:p w:rsidR="00A2311B" w:rsidP="00F9308A" w14:paraId="33FC3762" w14:textId="7935F561">
      <w:pPr>
        <w:pStyle w:val="Default"/>
        <w:tabs>
          <w:tab w:val="left" w:pos="1440"/>
        </w:tabs>
        <w:ind w:left="1440"/>
        <w:rPr>
          <w:rFonts w:eastAsia="Times New Roman"/>
        </w:rPr>
      </w:pPr>
      <w:r>
        <w:rPr>
          <w:rFonts w:eastAsia="Times New Roman"/>
        </w:rPr>
        <w:t>If the claimant disagrees with the determination to cease benefits, they may request an appeal.</w:t>
      </w:r>
      <w:r>
        <w:rPr>
          <w:rFonts w:eastAsia="Times New Roman"/>
        </w:rPr>
        <w:t xml:space="preserve">  </w:t>
      </w:r>
      <w:r>
        <w:rPr>
          <w:rFonts w:eastAsia="Times New Roman"/>
        </w:rPr>
        <w:t xml:space="preserve">This initiates the appeal process, the first step is the “reconsideration,” and this information collection covers requesting a reconsideration. During the reconsideration process, the claimant’s file will be reviewed by </w:t>
      </w:r>
      <w:r w:rsidRPr="00A43883">
        <w:rPr>
          <w:rFonts w:eastAsia="Times New Roman"/>
        </w:rPr>
        <w:t>an adjudicative team or designated person that was not involved in the initial unfavorable determinatio</w:t>
      </w:r>
      <w:r>
        <w:rPr>
          <w:rFonts w:eastAsia="Times New Roman"/>
        </w:rPr>
        <w:t xml:space="preserve">n, and in most cases a Disability Hearing Officer (DHO) with Disability Determination Services will hold an evidentiary hearing where </w:t>
      </w:r>
      <w:r w:rsidRPr="00A43883">
        <w:rPr>
          <w:rFonts w:eastAsia="Times New Roman"/>
        </w:rPr>
        <w:t xml:space="preserve">claimant </w:t>
      </w:r>
      <w:r>
        <w:rPr>
          <w:rFonts w:eastAsia="Times New Roman"/>
        </w:rPr>
        <w:t xml:space="preserve">has </w:t>
      </w:r>
      <w:r w:rsidRPr="00A43883">
        <w:rPr>
          <w:rFonts w:eastAsia="Times New Roman"/>
        </w:rPr>
        <w:t xml:space="preserve">an opportunity to review the evidence, introduce new evidence, and present </w:t>
      </w:r>
      <w:r>
        <w:rPr>
          <w:rFonts w:eastAsia="Times New Roman"/>
        </w:rPr>
        <w:t xml:space="preserve">their </w:t>
      </w:r>
      <w:r w:rsidRPr="00A43883">
        <w:rPr>
          <w:rFonts w:eastAsia="Times New Roman"/>
        </w:rPr>
        <w:t>objections to an unfavorable medical determination before a DHO</w:t>
      </w:r>
      <w:r>
        <w:rPr>
          <w:rFonts w:eastAsia="Times New Roman"/>
        </w:rPr>
        <w:t>.</w:t>
      </w:r>
    </w:p>
    <w:p w:rsidR="00AC0B97" w:rsidP="00F9308A" w14:paraId="042D2040" w14:textId="77777777">
      <w:pPr>
        <w:pStyle w:val="Default"/>
        <w:tabs>
          <w:tab w:val="left" w:pos="1440"/>
        </w:tabs>
        <w:ind w:left="1440"/>
        <w:rPr>
          <w:rFonts w:eastAsia="Times New Roman"/>
        </w:rPr>
      </w:pPr>
    </w:p>
    <w:p w:rsidR="00AC0B97" w:rsidP="00F8602A" w14:paraId="46C7EF68" w14:textId="6B5B0503">
      <w:pPr>
        <w:pStyle w:val="Default"/>
        <w:tabs>
          <w:tab w:val="left" w:pos="1440"/>
        </w:tabs>
        <w:ind w:left="1440"/>
        <w:rPr>
          <w:rFonts w:eastAsia="Times New Roman"/>
        </w:rPr>
      </w:pPr>
      <w:r>
        <w:rPr>
          <w:rFonts w:eastAsia="Times New Roman"/>
        </w:rPr>
        <w:t xml:space="preserve">The claimant has 60 days after the date of the cessation notice  to request a reconsideration. We allow an additional 5 days to account for mailing time. </w:t>
      </w:r>
      <w:r>
        <w:rPr>
          <w:rFonts w:eastAsia="Times New Roman"/>
        </w:rPr>
        <w:t xml:space="preserve"> </w:t>
      </w:r>
      <w:r>
        <w:rPr>
          <w:rFonts w:eastAsia="Times New Roman"/>
        </w:rPr>
        <w:t xml:space="preserve">SSA </w:t>
      </w:r>
      <w:r>
        <w:rPr>
          <w:rFonts w:eastAsia="Times New Roman"/>
        </w:rPr>
        <w:t>uses form SSA-789 as the primary means of collecting the information associated with requesting a reconsideration for the CDR. Claimants can submit this request via a mailed submission to the field office or through visiting a field office and physically completing a request on site, and based on subject-matter expertise SSA believes respondents regularly use both options.</w:t>
      </w:r>
      <w:r>
        <w:rPr>
          <w:rFonts w:eastAsia="Times New Roman"/>
        </w:rPr>
        <w:t xml:space="preserve"> </w:t>
      </w:r>
      <w:r>
        <w:rPr>
          <w:rFonts w:eastAsia="Times New Roman"/>
        </w:rPr>
        <w:t xml:space="preserve"> SSA only accepts written requests for reconsideration and will not accept phone-based interviews as a means of submitting the request. </w:t>
      </w:r>
      <w:r>
        <w:rPr>
          <w:rFonts w:eastAsia="Times New Roman"/>
        </w:rPr>
        <w:t xml:space="preserve"> </w:t>
      </w:r>
      <w:r w:rsidRPr="00A55892">
        <w:rPr>
          <w:rFonts w:eastAsia="Times New Roman"/>
        </w:rPr>
        <w:t>This is due to a requirement under 20 CFR 404.909(a), which states “[w]e shall reconsider an initial determination if you or any other party to the reconsideration files a written request.”</w:t>
      </w:r>
    </w:p>
    <w:p w:rsidR="00AC0B97" w:rsidP="00F9308A" w14:paraId="2E186BA6" w14:textId="77777777">
      <w:pPr>
        <w:pStyle w:val="Default"/>
        <w:tabs>
          <w:tab w:val="left" w:pos="1440"/>
        </w:tabs>
        <w:ind w:left="1440"/>
        <w:rPr>
          <w:rFonts w:eastAsia="Times New Roman"/>
        </w:rPr>
      </w:pPr>
    </w:p>
    <w:p w:rsidR="00724235" w:rsidP="00F9308A" w14:paraId="2CF50D57" w14:textId="2ECED696">
      <w:pPr>
        <w:pStyle w:val="Default"/>
        <w:tabs>
          <w:tab w:val="left" w:pos="1440"/>
        </w:tabs>
        <w:ind w:left="1440"/>
        <w:rPr>
          <w:rFonts w:eastAsia="Times New Roman"/>
        </w:rPr>
      </w:pPr>
      <w:r>
        <w:rPr>
          <w:rFonts w:eastAsia="Times New Roman"/>
        </w:rPr>
        <w:t xml:space="preserve">SSA uses the information collected on Form SSA-789 to arrange for a hearing or </w:t>
      </w:r>
      <w:r w:rsidRPr="007C2757">
        <w:rPr>
          <w:rFonts w:eastAsia="Times New Roman"/>
        </w:rPr>
        <w:t xml:space="preserve">to </w:t>
      </w:r>
      <w:r>
        <w:rPr>
          <w:rFonts w:eastAsia="Times New Roman"/>
        </w:rPr>
        <w:t xml:space="preserve">prepare a decision based on the </w:t>
      </w:r>
      <w:r w:rsidRPr="007C2757">
        <w:rPr>
          <w:rFonts w:eastAsia="Times New Roman"/>
        </w:rPr>
        <w:t xml:space="preserve">evidence of record. </w:t>
      </w:r>
      <w:r>
        <w:rPr>
          <w:rFonts w:eastAsia="Times New Roman"/>
        </w:rPr>
        <w:t xml:space="preserve"> Specifically, </w:t>
      </w:r>
      <w:r w:rsidRPr="007C2757">
        <w:rPr>
          <w:rFonts w:eastAsia="Times New Roman"/>
        </w:rPr>
        <w:t>claiman</w:t>
      </w:r>
      <w:r>
        <w:rPr>
          <w:rFonts w:eastAsia="Times New Roman"/>
        </w:rPr>
        <w:t>ts or their representatives use Form SSA-789</w:t>
      </w:r>
      <w:r w:rsidRPr="007C2757">
        <w:rPr>
          <w:rFonts w:eastAsia="Times New Roman"/>
        </w:rPr>
        <w:t xml:space="preserve"> to:</w:t>
      </w:r>
      <w:r>
        <w:rPr>
          <w:rFonts w:eastAsia="Times New Roman"/>
        </w:rPr>
        <w:t xml:space="preserve">  (1) ask SSA to </w:t>
      </w:r>
      <w:r w:rsidRPr="007C2757">
        <w:rPr>
          <w:rFonts w:eastAsia="Times New Roman"/>
        </w:rPr>
        <w:t>reconsider a determination; (2) indicate</w:t>
      </w:r>
      <w:r>
        <w:rPr>
          <w:rFonts w:eastAsia="Times New Roman"/>
        </w:rPr>
        <w:t xml:space="preserve"> </w:t>
      </w:r>
      <w:r w:rsidRPr="007C2757">
        <w:rPr>
          <w:rFonts w:eastAsia="Times New Roman"/>
        </w:rPr>
        <w:t>if they</w:t>
      </w:r>
      <w:r>
        <w:rPr>
          <w:rFonts w:eastAsia="Times New Roman"/>
        </w:rPr>
        <w:t xml:space="preserve"> wish to appear at a disability </w:t>
      </w:r>
      <w:r w:rsidRPr="007C2757">
        <w:rPr>
          <w:rFonts w:eastAsia="Times New Roman"/>
        </w:rPr>
        <w:t>hea</w:t>
      </w:r>
      <w:r>
        <w:rPr>
          <w:rFonts w:eastAsia="Times New Roman"/>
        </w:rPr>
        <w:t xml:space="preserve">ring; (3) submit any additional </w:t>
      </w:r>
      <w:r w:rsidRPr="007C2757">
        <w:rPr>
          <w:rFonts w:eastAsia="Times New Roman"/>
        </w:rPr>
        <w:t>informa</w:t>
      </w:r>
      <w:r>
        <w:rPr>
          <w:rFonts w:eastAsia="Times New Roman"/>
        </w:rPr>
        <w:t xml:space="preserve">tion or evidence for use in the </w:t>
      </w:r>
      <w:r w:rsidRPr="007C2757">
        <w:rPr>
          <w:rFonts w:eastAsia="Times New Roman"/>
        </w:rPr>
        <w:t>reco</w:t>
      </w:r>
      <w:r>
        <w:rPr>
          <w:rFonts w:eastAsia="Times New Roman"/>
        </w:rPr>
        <w:t xml:space="preserve">nsidered determination (the claimant can also choose to submit this information at a later point in the reconsideration process); and (4) </w:t>
      </w:r>
      <w:r w:rsidRPr="007C2757">
        <w:rPr>
          <w:rFonts w:eastAsia="Times New Roman"/>
        </w:rPr>
        <w:t>indicate i</w:t>
      </w:r>
      <w:r>
        <w:rPr>
          <w:rFonts w:eastAsia="Times New Roman"/>
        </w:rPr>
        <w:t xml:space="preserve">f they will need an interpreter </w:t>
      </w:r>
      <w:r w:rsidRPr="007C2757">
        <w:rPr>
          <w:rFonts w:eastAsia="Times New Roman"/>
        </w:rPr>
        <w:t>for the hearing.</w:t>
      </w:r>
      <w:r>
        <w:rPr>
          <w:rFonts w:eastAsia="Times New Roman"/>
        </w:rPr>
        <w:t xml:space="preserve"> For individuals who indicate that they do not wish to appear at a disability hearing, SSA will follow-up with them to confirm their decision by having them complete and sign an SSA-773 (“Waiver of Right to Appear – Disability Hearing,” OMB Control 0960-0534). SSA does not have data on how much additional information about or evidence supporting the claimant’s request for reconsideration is provided via the SSA-789 (as opposed to being provided later in the reconsideration process).</w:t>
      </w:r>
    </w:p>
    <w:p w:rsidR="00724235" w:rsidP="00F9308A" w14:paraId="30B6E6F2" w14:textId="73C6AE39">
      <w:pPr>
        <w:pStyle w:val="Default"/>
        <w:tabs>
          <w:tab w:val="left" w:pos="1440"/>
        </w:tabs>
        <w:ind w:left="1440"/>
        <w:rPr>
          <w:rFonts w:eastAsia="Times New Roman"/>
        </w:rPr>
      </w:pPr>
    </w:p>
    <w:p w:rsidR="00724235" w:rsidP="007854BA" w14:paraId="2816B885" w14:textId="78583D0B">
      <w:pPr>
        <w:pStyle w:val="Default"/>
        <w:tabs>
          <w:tab w:val="left" w:pos="1440"/>
        </w:tabs>
        <w:ind w:left="1440"/>
        <w:rPr>
          <w:rFonts w:eastAsia="Times New Roman"/>
        </w:rPr>
      </w:pPr>
      <w:r>
        <w:rPr>
          <w:rFonts w:eastAsia="Times New Roman"/>
        </w:rPr>
        <w:t>In asking to reconsider a determination, the claimant must explain their reason for submitting the request.</w:t>
      </w:r>
      <w:r>
        <w:rPr>
          <w:rFonts w:eastAsia="Times New Roman"/>
        </w:rPr>
        <w:t xml:space="preserve"> </w:t>
      </w:r>
      <w:r>
        <w:rPr>
          <w:rFonts w:eastAsia="Times New Roman"/>
        </w:rPr>
        <w:t xml:space="preserve"> SSA encourages claimants to b</w:t>
      </w:r>
      <w:r w:rsidRPr="007854BA">
        <w:rPr>
          <w:rFonts w:eastAsia="Times New Roman"/>
        </w:rPr>
        <w:t>riefly describe why the individual believes he or she is still disabled, or what part of the notice he or she thinks is inaccurat</w:t>
      </w:r>
      <w:r>
        <w:rPr>
          <w:rFonts w:eastAsia="Times New Roman"/>
        </w:rPr>
        <w:t>e, but to a</w:t>
      </w:r>
      <w:r w:rsidRPr="007854BA">
        <w:rPr>
          <w:rFonts w:eastAsia="Times New Roman"/>
        </w:rPr>
        <w:t>void writing, “I am still disabled and cannot work</w:t>
      </w:r>
      <w:r>
        <w:rPr>
          <w:rFonts w:eastAsia="Times New Roman"/>
        </w:rPr>
        <w:t>,</w:t>
      </w:r>
      <w:r w:rsidRPr="007854BA">
        <w:rPr>
          <w:rFonts w:eastAsia="Times New Roman"/>
        </w:rPr>
        <w:t xml:space="preserve">” </w:t>
      </w:r>
      <w:r>
        <w:rPr>
          <w:rFonts w:eastAsia="Times New Roman"/>
        </w:rPr>
        <w:t>as t</w:t>
      </w:r>
      <w:r w:rsidRPr="007854BA">
        <w:rPr>
          <w:rFonts w:eastAsia="Times New Roman"/>
        </w:rPr>
        <w:t>his statement does not provide specific information about the individual’s reason for requesting reconsideration.</w:t>
      </w:r>
      <w:r>
        <w:rPr>
          <w:rFonts w:eastAsia="Times New Roman"/>
        </w:rPr>
        <w:t xml:space="preserve"> </w:t>
      </w:r>
      <w:r>
        <w:rPr>
          <w:rFonts w:eastAsia="Times New Roman"/>
        </w:rPr>
        <w:t xml:space="preserve"> </w:t>
      </w:r>
      <w:r>
        <w:rPr>
          <w:rFonts w:eastAsia="Times New Roman"/>
        </w:rPr>
        <w:t>Additionally, if the claimant is filing the SSA-789 late (i.e. more than 65 days after the date of the original notice ceasing benefits), then this section can also be used to explain the reason for the lateness</w:t>
      </w:r>
      <w:r w:rsidR="007854BA">
        <w:rPr>
          <w:rFonts w:eastAsia="Times New Roman"/>
        </w:rPr>
        <w:t>.</w:t>
      </w:r>
    </w:p>
    <w:p w:rsidR="00324D41" w:rsidP="007854BA" w14:paraId="05F4E630" w14:textId="1F2F6EDF">
      <w:pPr>
        <w:pStyle w:val="Default"/>
        <w:tabs>
          <w:tab w:val="left" w:pos="1440"/>
        </w:tabs>
        <w:ind w:left="1440"/>
        <w:rPr>
          <w:rFonts w:eastAsia="Times New Roman"/>
        </w:rPr>
      </w:pPr>
    </w:p>
    <w:p w:rsidR="00324D41" w:rsidP="007854BA" w14:paraId="79BD13A9" w14:textId="0E75101F">
      <w:pPr>
        <w:pStyle w:val="Default"/>
        <w:tabs>
          <w:tab w:val="left" w:pos="1440"/>
        </w:tabs>
        <w:ind w:left="1440"/>
        <w:rPr>
          <w:rFonts w:eastAsia="Times New Roman"/>
        </w:rPr>
      </w:pPr>
      <w:r>
        <w:rPr>
          <w:rFonts w:eastAsia="Times New Roman"/>
        </w:rPr>
        <w:t xml:space="preserve">While the SSA-789 requests that claimants provide any additional information or evidence available to use in the reconsideration determination, claimants do not need to provide this information as a part of submitting the SSA-789. </w:t>
      </w:r>
      <w:r>
        <w:rPr>
          <w:rFonts w:eastAsia="Times New Roman"/>
        </w:rPr>
        <w:t xml:space="preserve"> </w:t>
      </w:r>
      <w:r>
        <w:rPr>
          <w:rFonts w:eastAsia="Times New Roman"/>
        </w:rPr>
        <w:t xml:space="preserve">Evidence to support the reconsideration determination may always be submitted up until the hearing. </w:t>
      </w:r>
      <w:r>
        <w:rPr>
          <w:rFonts w:eastAsia="Times New Roman"/>
        </w:rPr>
        <w:t xml:space="preserve"> </w:t>
      </w:r>
      <w:r>
        <w:rPr>
          <w:rFonts w:eastAsia="Times New Roman"/>
        </w:rPr>
        <w:t>Additionally, at the claimant’s request, the Disability Hearings Officer has the discretion to accept evidence up to 15 days after the hearing if the evidence was not available prior to the hearing and the DHO determines the evidence has bearing on the determination</w:t>
      </w:r>
      <w:r w:rsidR="00436184">
        <w:rPr>
          <w:rFonts w:eastAsia="Times New Roman"/>
        </w:rPr>
        <w:t xml:space="preserve">. </w:t>
      </w:r>
    </w:p>
    <w:p w:rsidR="00F61DD7" w:rsidP="00F9308A" w14:paraId="3CD2BD54" w14:textId="77777777">
      <w:pPr>
        <w:pStyle w:val="Default"/>
        <w:tabs>
          <w:tab w:val="left" w:pos="1440"/>
        </w:tabs>
        <w:ind w:left="1440"/>
        <w:rPr>
          <w:rFonts w:eastAsia="Times New Roman"/>
        </w:rPr>
      </w:pPr>
    </w:p>
    <w:p w:rsidR="00436184" w:rsidP="00F9308A" w14:paraId="770E3881" w14:textId="7E3630FC">
      <w:pPr>
        <w:pStyle w:val="Default"/>
        <w:tabs>
          <w:tab w:val="left" w:pos="1440"/>
        </w:tabs>
        <w:ind w:left="1440"/>
        <w:rPr>
          <w:rFonts w:eastAsia="Times New Roman"/>
        </w:rPr>
      </w:pPr>
      <w:r>
        <w:rPr>
          <w:rFonts w:eastAsia="Times New Roman"/>
        </w:rPr>
        <w:t xml:space="preserve">Note that the SSA-789 is exclusively for reconsideration appeals for claimants whose benefits have ceased via </w:t>
      </w:r>
      <w:r>
        <w:rPr>
          <w:rFonts w:eastAsia="Times New Roman"/>
        </w:rPr>
        <w:t>CDRs.</w:t>
      </w:r>
      <w:r>
        <w:rPr>
          <w:rFonts w:eastAsia="Times New Roman"/>
        </w:rPr>
        <w:t xml:space="preserve"> For claimants who received denials through the initial benefits application process, the request for reconsideration is </w:t>
      </w:r>
      <w:r>
        <w:rPr>
          <w:rFonts w:eastAsia="Times New Roman"/>
        </w:rPr>
        <w:t xml:space="preserve">made via the SSA-561 or the i561 web application (under the </w:t>
      </w:r>
      <w:r>
        <w:rPr>
          <w:rFonts w:eastAsia="Times New Roman"/>
        </w:rPr>
        <w:t>iAppeals</w:t>
      </w:r>
      <w:r>
        <w:rPr>
          <w:rFonts w:eastAsia="Times New Roman"/>
        </w:rPr>
        <w:t xml:space="preserve"> web application), both of which are under OMB Control 0960-0622</w:t>
      </w:r>
      <w:r w:rsidR="006879C0">
        <w:rPr>
          <w:rFonts w:eastAsia="Times New Roman"/>
        </w:rPr>
        <w:t>.</w:t>
      </w:r>
    </w:p>
    <w:p w:rsidR="00436184" w:rsidP="00F9308A" w14:paraId="01255700" w14:textId="77777777">
      <w:pPr>
        <w:pStyle w:val="Default"/>
        <w:tabs>
          <w:tab w:val="left" w:pos="1440"/>
        </w:tabs>
        <w:ind w:left="1440"/>
        <w:rPr>
          <w:rFonts w:eastAsia="Times New Roman"/>
        </w:rPr>
      </w:pPr>
    </w:p>
    <w:p w:rsidR="00DD24A4" w:rsidP="00F9308A" w14:paraId="6A03750C" w14:textId="2A5782C4">
      <w:pPr>
        <w:pStyle w:val="Default"/>
        <w:tabs>
          <w:tab w:val="left" w:pos="1440"/>
        </w:tabs>
        <w:ind w:left="1440"/>
        <w:rPr>
          <w:b/>
        </w:rPr>
      </w:pPr>
      <w:r>
        <w:rPr>
          <w:rFonts w:eastAsia="Times New Roman"/>
        </w:rPr>
        <w:t xml:space="preserve">The respondents are </w:t>
      </w:r>
      <w:r w:rsidRPr="007C2757">
        <w:rPr>
          <w:rFonts w:eastAsia="Times New Roman"/>
        </w:rPr>
        <w:t>disability claimants for So</w:t>
      </w:r>
      <w:r>
        <w:rPr>
          <w:rFonts w:eastAsia="Times New Roman"/>
        </w:rPr>
        <w:t xml:space="preserve">cial Security </w:t>
      </w:r>
      <w:r w:rsidRPr="007C2757">
        <w:rPr>
          <w:rFonts w:eastAsia="Times New Roman"/>
        </w:rPr>
        <w:t>be</w:t>
      </w:r>
      <w:r>
        <w:rPr>
          <w:rFonts w:eastAsia="Times New Roman"/>
        </w:rPr>
        <w:t>nefits or Supplemental Security Income (SSI) payments</w:t>
      </w:r>
      <w:r w:rsidRPr="007C2757">
        <w:rPr>
          <w:rFonts w:eastAsia="Times New Roman"/>
        </w:rPr>
        <w:t xml:space="preserve"> who wish to appeal an u</w:t>
      </w:r>
      <w:r>
        <w:rPr>
          <w:rFonts w:eastAsia="Times New Roman"/>
        </w:rPr>
        <w:t xml:space="preserve">nfavorable disability cessation </w:t>
      </w:r>
      <w:r w:rsidRPr="007C2757">
        <w:rPr>
          <w:rFonts w:eastAsia="Times New Roman"/>
        </w:rPr>
        <w:t>determination</w:t>
      </w:r>
      <w:r>
        <w:rPr>
          <w:rFonts w:eastAsia="Times New Roman"/>
        </w:rPr>
        <w:t>.</w:t>
      </w:r>
    </w:p>
    <w:p w:rsidR="00DD24A4" w:rsidP="00F9308A" w14:paraId="21AE2A46" w14:textId="77777777">
      <w:pPr>
        <w:pStyle w:val="Default"/>
        <w:tabs>
          <w:tab w:val="left" w:pos="1440"/>
        </w:tabs>
        <w:ind w:left="1440"/>
        <w:rPr>
          <w:b/>
          <w:bCs/>
          <w:color w:val="auto"/>
          <w:u w:val="single"/>
        </w:rPr>
      </w:pPr>
    </w:p>
    <w:p w:rsidR="00DD24A4" w:rsidRPr="00DD24A4" w:rsidP="00F9308A" w14:paraId="31987BE6" w14:textId="77777777">
      <w:pPr>
        <w:pStyle w:val="Default"/>
        <w:numPr>
          <w:ilvl w:val="0"/>
          <w:numId w:val="8"/>
        </w:numPr>
        <w:tabs>
          <w:tab w:val="left" w:pos="1440"/>
        </w:tabs>
        <w:ind w:left="1440" w:hanging="720"/>
        <w:rPr>
          <w:b/>
          <w:bCs/>
          <w:color w:val="auto"/>
          <w:u w:val="single"/>
        </w:rPr>
      </w:pPr>
      <w:r w:rsidRPr="00CF5000">
        <w:rPr>
          <w:b/>
        </w:rPr>
        <w:t>Use of Information Technology to Collect the Information</w:t>
      </w:r>
    </w:p>
    <w:p w:rsidR="00DD24A4" w:rsidP="008A48AD" w14:paraId="41D5F06F" w14:textId="5510A148">
      <w:pPr>
        <w:pStyle w:val="Default"/>
        <w:tabs>
          <w:tab w:val="left" w:pos="1440"/>
        </w:tabs>
        <w:ind w:left="1440"/>
        <w:rPr>
          <w:b/>
        </w:rPr>
      </w:pPr>
      <w:r>
        <w:rPr>
          <w:rFonts w:eastAsia="Times New Roman"/>
          <w:snapToGrid w:val="0"/>
          <w:color w:val="auto"/>
        </w:rPr>
        <w:t xml:space="preserve">The SSA-789 is available as </w:t>
      </w:r>
      <w:r w:rsidRPr="00136C49">
        <w:rPr>
          <w:rFonts w:eastAsia="Times New Roman"/>
          <w:snapToGrid w:val="0"/>
          <w:color w:val="auto"/>
        </w:rPr>
        <w:t>a</w:t>
      </w:r>
      <w:r>
        <w:rPr>
          <w:rFonts w:eastAsia="Times New Roman"/>
          <w:snapToGrid w:val="0"/>
          <w:color w:val="auto"/>
        </w:rPr>
        <w:t xml:space="preserve"> </w:t>
      </w:r>
      <w:r w:rsidR="00465967">
        <w:rPr>
          <w:rFonts w:eastAsia="Times New Roman"/>
          <w:snapToGrid w:val="0"/>
          <w:color w:val="auto"/>
        </w:rPr>
        <w:t xml:space="preserve">fillable </w:t>
      </w:r>
      <w:r>
        <w:rPr>
          <w:rFonts w:eastAsia="Times New Roman"/>
          <w:snapToGrid w:val="0"/>
          <w:color w:val="auto"/>
        </w:rPr>
        <w:t>PDF on SSA’s website</w:t>
      </w:r>
      <w:r w:rsidRPr="00136C49">
        <w:rPr>
          <w:rFonts w:eastAsia="Times New Roman"/>
          <w:snapToGrid w:val="0"/>
          <w:color w:val="auto"/>
        </w:rPr>
        <w:t xml:space="preserve">. </w:t>
      </w:r>
      <w:r>
        <w:rPr>
          <w:rFonts w:eastAsia="Times New Roman"/>
          <w:snapToGrid w:val="0"/>
          <w:color w:val="auto"/>
        </w:rPr>
        <w:t xml:space="preserve"> </w:t>
      </w:r>
      <w:r w:rsidR="00465967">
        <w:rPr>
          <w:rFonts w:eastAsia="Times New Roman"/>
          <w:snapToGrid w:val="0"/>
          <w:color w:val="auto"/>
        </w:rPr>
        <w:t xml:space="preserve">While we currently do not allow for electronic submission of this information collection </w:t>
      </w:r>
      <w:r>
        <w:rPr>
          <w:rFonts w:eastAsia="Times New Roman"/>
          <w:snapToGrid w:val="0"/>
          <w:color w:val="auto"/>
        </w:rPr>
        <w:t>as described under the Government Paperwork Elimination Act</w:t>
      </w:r>
      <w:r w:rsidR="00465967">
        <w:rPr>
          <w:rFonts w:eastAsia="Times New Roman"/>
          <w:snapToGrid w:val="0"/>
          <w:color w:val="auto"/>
        </w:rPr>
        <w:t>, we updated the form to remove the signature requirement.  Therefore, respondents can complete the form electronically, download it, and either send or bring it to a field office for processing, with no need for a wet signature (or a signature of any kind)</w:t>
      </w:r>
      <w:r>
        <w:rPr>
          <w:rFonts w:eastAsia="Times New Roman"/>
          <w:snapToGrid w:val="0"/>
          <w:color w:val="auto"/>
        </w:rPr>
        <w:t xml:space="preserve">. </w:t>
      </w:r>
      <w:r w:rsidR="00465967">
        <w:rPr>
          <w:rFonts w:eastAsia="Times New Roman"/>
          <w:snapToGrid w:val="0"/>
          <w:color w:val="auto"/>
        </w:rPr>
        <w:t xml:space="preserve"> </w:t>
      </w:r>
      <w:r>
        <w:rPr>
          <w:rFonts w:eastAsia="Times New Roman"/>
          <w:snapToGrid w:val="0"/>
          <w:color w:val="auto"/>
        </w:rPr>
        <w:t xml:space="preserve">Field offices are responsible for receiving and adjudicating this form. </w:t>
      </w:r>
      <w:r>
        <w:rPr>
          <w:rFonts w:eastAsia="Times New Roman"/>
          <w:snapToGrid w:val="0"/>
          <w:color w:val="auto"/>
        </w:rPr>
        <w:t xml:space="preserve"> </w:t>
      </w:r>
      <w:r>
        <w:rPr>
          <w:rFonts w:eastAsia="Times New Roman"/>
          <w:snapToGrid w:val="0"/>
          <w:color w:val="auto"/>
        </w:rPr>
        <w:t>W</w:t>
      </w:r>
      <w:r w:rsidRPr="008A48AD">
        <w:rPr>
          <w:rFonts w:eastAsia="Times New Roman"/>
          <w:snapToGrid w:val="0"/>
          <w:color w:val="auto"/>
        </w:rPr>
        <w:t>e evaluated this collection for conversion to a</w:t>
      </w:r>
      <w:r>
        <w:rPr>
          <w:rFonts w:eastAsia="Times New Roman"/>
          <w:snapToGrid w:val="0"/>
          <w:color w:val="auto"/>
        </w:rPr>
        <w:t>n electronically</w:t>
      </w:r>
      <w:r w:rsidRPr="008A48AD">
        <w:rPr>
          <w:rFonts w:eastAsia="Times New Roman"/>
          <w:snapToGrid w:val="0"/>
          <w:color w:val="auto"/>
        </w:rPr>
        <w:t xml:space="preserve"> submittable PDF</w:t>
      </w:r>
      <w:r w:rsidR="00465967">
        <w:rPr>
          <w:rFonts w:eastAsia="Times New Roman"/>
          <w:snapToGrid w:val="0"/>
          <w:color w:val="auto"/>
        </w:rPr>
        <w:t>; however, g</w:t>
      </w:r>
      <w:r w:rsidRPr="008A48AD">
        <w:rPr>
          <w:rFonts w:eastAsia="Times New Roman"/>
          <w:snapToGrid w:val="0"/>
          <w:color w:val="auto"/>
        </w:rPr>
        <w:t>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Pr>
          <w:rFonts w:eastAsia="Times New Roman"/>
          <w:snapToGrid w:val="0"/>
          <w:color w:val="auto"/>
        </w:rPr>
        <w:t>.</w:t>
      </w:r>
    </w:p>
    <w:p w:rsidR="00DD24A4" w:rsidP="00F9308A" w14:paraId="4775AFE9" w14:textId="77777777">
      <w:pPr>
        <w:pStyle w:val="Default"/>
        <w:tabs>
          <w:tab w:val="left" w:pos="1440"/>
        </w:tabs>
        <w:ind w:left="1440"/>
        <w:rPr>
          <w:b/>
          <w:bCs/>
          <w:color w:val="auto"/>
          <w:u w:val="single"/>
        </w:rPr>
      </w:pPr>
    </w:p>
    <w:p w:rsidR="00DD24A4" w:rsidRPr="00DD24A4" w:rsidP="00F9308A" w14:paraId="08EA5278" w14:textId="77777777">
      <w:pPr>
        <w:pStyle w:val="Default"/>
        <w:numPr>
          <w:ilvl w:val="0"/>
          <w:numId w:val="8"/>
        </w:numPr>
        <w:tabs>
          <w:tab w:val="left" w:pos="1440"/>
        </w:tabs>
        <w:ind w:left="1440" w:hanging="720"/>
        <w:rPr>
          <w:b/>
          <w:bCs/>
          <w:color w:val="auto"/>
          <w:u w:val="single"/>
        </w:rPr>
      </w:pPr>
      <w:r w:rsidRPr="00CF5000">
        <w:rPr>
          <w:b/>
        </w:rPr>
        <w:t>Why We Cannot Use Duplicate Information</w:t>
      </w:r>
    </w:p>
    <w:p w:rsidR="00DD24A4" w:rsidP="00F9308A" w14:paraId="206A6A63" w14:textId="77777777">
      <w:pPr>
        <w:pStyle w:val="Default"/>
        <w:tabs>
          <w:tab w:val="left" w:pos="1440"/>
        </w:tabs>
        <w:ind w:left="1440"/>
        <w:rPr>
          <w:b/>
        </w:rPr>
      </w:pPr>
      <w:r w:rsidRPr="008505D2">
        <w:rPr>
          <w:rFonts w:eastAsia="Arial Unicode MS"/>
        </w:rPr>
        <w:t xml:space="preserve">The nature of the information </w:t>
      </w:r>
      <w:r>
        <w:rPr>
          <w:rFonts w:eastAsia="Arial Unicode MS"/>
        </w:rPr>
        <w:t>we collect</w:t>
      </w:r>
      <w:r w:rsidRPr="008505D2">
        <w:rPr>
          <w:rFonts w:eastAsia="Arial Unicode MS"/>
        </w:rPr>
        <w:t xml:space="preserve"> and the manner in which </w:t>
      </w:r>
      <w:r>
        <w:rPr>
          <w:rFonts w:eastAsia="Arial Unicode MS"/>
        </w:rPr>
        <w:t>we collect</w:t>
      </w:r>
      <w:r w:rsidRPr="008505D2">
        <w:rPr>
          <w:rFonts w:eastAsia="Arial Unicode MS"/>
        </w:rPr>
        <w:t xml:space="preserve"> it preclude duplication.  SSA does not use another collection instrument to obtain similar data</w:t>
      </w:r>
      <w:r>
        <w:rPr>
          <w:rFonts w:eastAsia="Arial Unicode MS"/>
        </w:rPr>
        <w:t>.</w:t>
      </w:r>
    </w:p>
    <w:p w:rsidR="00DD24A4" w:rsidP="00F9308A" w14:paraId="2D80128F" w14:textId="77777777">
      <w:pPr>
        <w:pStyle w:val="Default"/>
        <w:tabs>
          <w:tab w:val="left" w:pos="1440"/>
        </w:tabs>
        <w:ind w:left="1440"/>
        <w:rPr>
          <w:b/>
          <w:bCs/>
          <w:color w:val="auto"/>
          <w:u w:val="single"/>
        </w:rPr>
      </w:pPr>
    </w:p>
    <w:p w:rsidR="00DD24A4" w:rsidRPr="00DD24A4" w:rsidP="00F9308A" w14:paraId="2554D370" w14:textId="77777777">
      <w:pPr>
        <w:pStyle w:val="Default"/>
        <w:numPr>
          <w:ilvl w:val="0"/>
          <w:numId w:val="8"/>
        </w:numPr>
        <w:tabs>
          <w:tab w:val="left" w:pos="1440"/>
        </w:tabs>
        <w:ind w:left="1440" w:hanging="720"/>
        <w:rPr>
          <w:b/>
          <w:bCs/>
          <w:color w:val="auto"/>
          <w:u w:val="single"/>
        </w:rPr>
      </w:pPr>
      <w:r w:rsidRPr="00CF5000">
        <w:rPr>
          <w:b/>
        </w:rPr>
        <w:t>Minimizing Burden on Small Respondents</w:t>
      </w:r>
    </w:p>
    <w:p w:rsidR="00DD24A4" w:rsidP="00F9308A" w14:paraId="42404136" w14:textId="77777777">
      <w:pPr>
        <w:pStyle w:val="Default"/>
        <w:tabs>
          <w:tab w:val="left" w:pos="1440"/>
        </w:tabs>
        <w:ind w:left="1440"/>
        <w:rPr>
          <w:b/>
        </w:rPr>
      </w:pPr>
      <w:r w:rsidRPr="00CF5000">
        <w:t>This collection does not significantly affect small businesses or other small entities</w:t>
      </w:r>
      <w:r>
        <w:t>.</w:t>
      </w:r>
    </w:p>
    <w:p w:rsidR="00DD24A4" w:rsidP="00F9308A" w14:paraId="36128012" w14:textId="77777777">
      <w:pPr>
        <w:pStyle w:val="Default"/>
        <w:tabs>
          <w:tab w:val="left" w:pos="1440"/>
        </w:tabs>
        <w:ind w:left="1440"/>
        <w:rPr>
          <w:b/>
          <w:bCs/>
          <w:color w:val="auto"/>
          <w:u w:val="single"/>
        </w:rPr>
      </w:pPr>
    </w:p>
    <w:p w:rsidR="00DD24A4" w:rsidRPr="00DD24A4" w:rsidP="00F9308A" w14:paraId="7EC80901" w14:textId="77777777">
      <w:pPr>
        <w:pStyle w:val="Default"/>
        <w:numPr>
          <w:ilvl w:val="0"/>
          <w:numId w:val="8"/>
        </w:numPr>
        <w:tabs>
          <w:tab w:val="left" w:pos="1440"/>
        </w:tabs>
        <w:ind w:left="1440" w:hanging="720"/>
        <w:rPr>
          <w:b/>
          <w:bCs/>
          <w:color w:val="auto"/>
          <w:u w:val="single"/>
        </w:rPr>
      </w:pPr>
      <w:r w:rsidRPr="00CF5000">
        <w:rPr>
          <w:b/>
        </w:rPr>
        <w:t>Consequence of Not Collecting Information or Collecting it Less Frequently</w:t>
      </w:r>
    </w:p>
    <w:p w:rsidR="00DD24A4" w:rsidP="00F9308A" w14:paraId="5B0E5CBA" w14:textId="77777777">
      <w:pPr>
        <w:pStyle w:val="Default"/>
        <w:tabs>
          <w:tab w:val="left" w:pos="1440"/>
        </w:tabs>
        <w:ind w:left="1440"/>
        <w:rPr>
          <w:b/>
        </w:rPr>
      </w:pPr>
      <w:r w:rsidRPr="00CF5000">
        <w:rPr>
          <w:color w:val="auto"/>
        </w:rPr>
        <w:t xml:space="preserve">If we did not use </w:t>
      </w:r>
      <w:r>
        <w:rPr>
          <w:color w:val="auto"/>
        </w:rPr>
        <w:t>F</w:t>
      </w:r>
      <w:r w:rsidRPr="00CF5000">
        <w:rPr>
          <w:color w:val="auto"/>
        </w:rPr>
        <w:t>orm SSA-789</w:t>
      </w:r>
      <w:r>
        <w:rPr>
          <w:color w:val="auto"/>
        </w:rPr>
        <w:t>,</w:t>
      </w:r>
      <w:r w:rsidR="001E6648">
        <w:rPr>
          <w:color w:val="auto"/>
        </w:rPr>
        <w:t xml:space="preserve"> we would deprive</w:t>
      </w:r>
      <w:r w:rsidRPr="00CF5000">
        <w:rPr>
          <w:color w:val="auto"/>
        </w:rPr>
        <w:t xml:space="preserve"> claimants of </w:t>
      </w:r>
      <w:r>
        <w:rPr>
          <w:color w:val="auto"/>
        </w:rPr>
        <w:t xml:space="preserve">their </w:t>
      </w:r>
      <w:r w:rsidRPr="00CF5000">
        <w:rPr>
          <w:color w:val="auto"/>
        </w:rPr>
        <w:t xml:space="preserve">due process right to </w:t>
      </w:r>
      <w:r>
        <w:rPr>
          <w:color w:val="auto"/>
        </w:rPr>
        <w:t>appeal</w:t>
      </w:r>
      <w:r w:rsidRPr="00CF5000">
        <w:rPr>
          <w:color w:val="auto"/>
        </w:rPr>
        <w:t xml:space="preserve"> </w:t>
      </w:r>
      <w:r>
        <w:rPr>
          <w:color w:val="auto"/>
        </w:rPr>
        <w:t xml:space="preserve">a determination to cease Social Security disability benefits. </w:t>
      </w:r>
      <w:r w:rsidR="00D66549">
        <w:rPr>
          <w:color w:val="auto"/>
        </w:rPr>
        <w:t xml:space="preserve"> </w:t>
      </w:r>
      <w:r w:rsidRPr="00CF5000">
        <w:rPr>
          <w:color w:val="auto"/>
        </w:rPr>
        <w:t>The</w:t>
      </w:r>
      <w:r>
        <w:rPr>
          <w:color w:val="auto"/>
        </w:rPr>
        <w:t xml:space="preserve"> information </w:t>
      </w:r>
      <w:r w:rsidRPr="00CF5000">
        <w:rPr>
          <w:color w:val="auto"/>
        </w:rPr>
        <w:t xml:space="preserve">we collect </w:t>
      </w:r>
      <w:r>
        <w:rPr>
          <w:color w:val="auto"/>
        </w:rPr>
        <w:t xml:space="preserve">using Form SSA-789 </w:t>
      </w:r>
      <w:r w:rsidRPr="00CF5000">
        <w:rPr>
          <w:color w:val="auto"/>
        </w:rPr>
        <w:t>also provides the claiman</w:t>
      </w:r>
      <w:r>
        <w:rPr>
          <w:color w:val="auto"/>
        </w:rPr>
        <w:t xml:space="preserve">t with the opportunity to </w:t>
      </w:r>
      <w:r w:rsidRPr="00CF5000">
        <w:rPr>
          <w:color w:val="auto"/>
        </w:rPr>
        <w:t>state the need for an interpreter</w:t>
      </w:r>
      <w:r>
        <w:rPr>
          <w:color w:val="auto"/>
        </w:rPr>
        <w:t xml:space="preserve"> at an administrative hearing with a Disability Hearing Officer</w:t>
      </w:r>
      <w:r w:rsidRPr="00CF5000">
        <w:rPr>
          <w:color w:val="auto"/>
        </w:rPr>
        <w:t>.  Because we collect the information o</w:t>
      </w:r>
      <w:r>
        <w:rPr>
          <w:color w:val="auto"/>
        </w:rPr>
        <w:t>n an as needed basis, we cannot</w:t>
      </w:r>
      <w:r w:rsidRPr="00CF5000">
        <w:rPr>
          <w:color w:val="auto"/>
        </w:rPr>
        <w:t xml:space="preserve"> </w:t>
      </w:r>
      <w:r>
        <w:rPr>
          <w:color w:val="auto"/>
        </w:rPr>
        <w:t xml:space="preserve">collect it </w:t>
      </w:r>
      <w:r w:rsidRPr="00CF5000">
        <w:rPr>
          <w:color w:val="auto"/>
        </w:rPr>
        <w:t>less</w:t>
      </w:r>
      <w:r>
        <w:rPr>
          <w:color w:val="auto"/>
        </w:rPr>
        <w:t xml:space="preserve"> </w:t>
      </w:r>
      <w:r w:rsidRPr="00CF5000">
        <w:rPr>
          <w:color w:val="auto"/>
        </w:rPr>
        <w:t>frequently</w:t>
      </w:r>
      <w:r w:rsidR="00D66549">
        <w:rPr>
          <w:color w:val="auto"/>
        </w:rPr>
        <w:t xml:space="preserve">.  </w:t>
      </w:r>
      <w:r w:rsidRPr="008505D2" w:rsidR="00D66549">
        <w:rPr>
          <w:rFonts w:eastAsia="Arial Unicode MS"/>
        </w:rPr>
        <w:t>There are no technical</w:t>
      </w:r>
      <w:r w:rsidR="00D66549">
        <w:rPr>
          <w:rFonts w:eastAsia="Arial Unicode MS"/>
        </w:rPr>
        <w:t xml:space="preserve"> or legal obstacles to</w:t>
      </w:r>
      <w:r w:rsidRPr="008505D2" w:rsidR="00D66549">
        <w:rPr>
          <w:rFonts w:eastAsia="Arial Unicode MS"/>
        </w:rPr>
        <w:t xml:space="preserve"> burden reduction</w:t>
      </w:r>
      <w:r w:rsidR="00D66549">
        <w:rPr>
          <w:rFonts w:eastAsia="Arial Unicode MS"/>
        </w:rPr>
        <w:t>.</w:t>
      </w:r>
    </w:p>
    <w:p w:rsidR="00DD24A4" w:rsidP="00F9308A" w14:paraId="51084507" w14:textId="77777777">
      <w:pPr>
        <w:pStyle w:val="Default"/>
        <w:tabs>
          <w:tab w:val="left" w:pos="1440"/>
        </w:tabs>
        <w:ind w:left="1440"/>
        <w:rPr>
          <w:b/>
          <w:bCs/>
          <w:color w:val="auto"/>
          <w:u w:val="single"/>
        </w:rPr>
      </w:pPr>
    </w:p>
    <w:p w:rsidR="00DD24A4" w:rsidRPr="00D66549" w:rsidP="00F9308A" w14:paraId="454D083E" w14:textId="77777777">
      <w:pPr>
        <w:pStyle w:val="Default"/>
        <w:numPr>
          <w:ilvl w:val="0"/>
          <w:numId w:val="8"/>
        </w:numPr>
        <w:tabs>
          <w:tab w:val="left" w:pos="1440"/>
        </w:tabs>
        <w:ind w:left="1440" w:hanging="720"/>
        <w:rPr>
          <w:b/>
          <w:bCs/>
          <w:color w:val="auto"/>
          <w:u w:val="single"/>
        </w:rPr>
      </w:pPr>
      <w:r w:rsidRPr="00CF5000">
        <w:rPr>
          <w:b/>
        </w:rPr>
        <w:t>Special Circumstances</w:t>
      </w:r>
    </w:p>
    <w:p w:rsidR="00D66549" w:rsidP="00F9308A" w14:paraId="3741FF2D" w14:textId="77777777">
      <w:pPr>
        <w:pStyle w:val="Default"/>
        <w:tabs>
          <w:tab w:val="left" w:pos="1440"/>
        </w:tabs>
        <w:ind w:left="1440"/>
        <w:rPr>
          <w:b/>
        </w:rPr>
      </w:pPr>
      <w:r w:rsidRPr="008505D2">
        <w:rPr>
          <w:rFonts w:eastAsia="Arial Unicode MS"/>
        </w:rPr>
        <w:t xml:space="preserve">There are no special circumstances that would cause SSA to conduct this information collection in a manner inconsistent with </w:t>
      </w:r>
      <w:r w:rsidRPr="001E08CB">
        <w:rPr>
          <w:rFonts w:eastAsia="Arial Unicode MS"/>
          <w:i/>
        </w:rPr>
        <w:t>5 CFR 1320.5</w:t>
      </w:r>
      <w:r>
        <w:rPr>
          <w:rFonts w:eastAsia="Arial Unicode MS"/>
        </w:rPr>
        <w:t>.</w:t>
      </w:r>
    </w:p>
    <w:p w:rsidR="00D66549" w:rsidP="00F9308A" w14:paraId="79E73437" w14:textId="77777777">
      <w:pPr>
        <w:pStyle w:val="Default"/>
        <w:tabs>
          <w:tab w:val="left" w:pos="1440"/>
        </w:tabs>
        <w:ind w:left="1440"/>
        <w:rPr>
          <w:b/>
          <w:bCs/>
          <w:color w:val="auto"/>
          <w:u w:val="single"/>
        </w:rPr>
      </w:pPr>
    </w:p>
    <w:p w:rsidR="00DD24A4" w:rsidRPr="00D66549" w:rsidP="00F9308A" w14:paraId="35CB1E23" w14:textId="77777777">
      <w:pPr>
        <w:pStyle w:val="Default"/>
        <w:numPr>
          <w:ilvl w:val="0"/>
          <w:numId w:val="8"/>
        </w:numPr>
        <w:tabs>
          <w:tab w:val="left" w:pos="1440"/>
        </w:tabs>
        <w:ind w:left="1440" w:hanging="720"/>
        <w:rPr>
          <w:b/>
          <w:bCs/>
          <w:color w:val="auto"/>
          <w:u w:val="single"/>
        </w:rPr>
      </w:pPr>
      <w:r w:rsidRPr="00CF5000">
        <w:rPr>
          <w:b/>
        </w:rPr>
        <w:t>Solicitation of Public Comment and Other Consultations with the Public</w:t>
      </w:r>
    </w:p>
    <w:p w:rsidR="00D66549" w:rsidP="00F9308A" w14:paraId="4C4FFDCE" w14:textId="3401618F">
      <w:pPr>
        <w:pStyle w:val="Default"/>
        <w:tabs>
          <w:tab w:val="left" w:pos="1440"/>
        </w:tabs>
        <w:ind w:left="1440"/>
        <w:rPr>
          <w:b/>
        </w:rPr>
      </w:pPr>
      <w:r w:rsidRPr="00195101">
        <w:rPr>
          <w:rFonts w:eastAsia="Times New Roman"/>
          <w:noProof/>
          <w:color w:val="auto"/>
          <w:lang w:eastAsia="zh-CN"/>
        </w:rPr>
        <w:t xml:space="preserve">The 60-day advance Federal Register Notice published on </w:t>
      </w:r>
      <w:r>
        <w:rPr>
          <w:rFonts w:eastAsia="Times New Roman"/>
          <w:noProof/>
          <w:color w:val="auto"/>
          <w:lang w:eastAsia="zh-CN"/>
        </w:rPr>
        <w:t>April 6</w:t>
      </w:r>
      <w:r w:rsidRPr="00195101">
        <w:rPr>
          <w:rFonts w:eastAsia="Times New Roman"/>
          <w:noProof/>
          <w:color w:val="auto"/>
          <w:lang w:eastAsia="zh-CN"/>
        </w:rPr>
        <w:t xml:space="preserve">, 2021 at 86 FR </w:t>
      </w:r>
      <w:r>
        <w:rPr>
          <w:rFonts w:eastAsia="Times New Roman"/>
          <w:noProof/>
          <w:color w:val="auto"/>
          <w:lang w:eastAsia="zh-CN"/>
        </w:rPr>
        <w:t>17874</w:t>
      </w:r>
      <w:r w:rsidRPr="00195101">
        <w:rPr>
          <w:rFonts w:eastAsia="Times New Roman"/>
          <w:noProof/>
          <w:color w:val="auto"/>
          <w:lang w:eastAsia="zh-CN"/>
        </w:rPr>
        <w:t xml:space="preserve">, and we received no public comments.  </w:t>
      </w:r>
      <w:r w:rsidRPr="00195101">
        <w:rPr>
          <w:rFonts w:eastAsia="SimSun"/>
          <w:color w:val="auto"/>
          <w:lang w:eastAsia="zh-CN"/>
        </w:rPr>
        <w:t xml:space="preserve">The 30-day FRN published on </w:t>
      </w:r>
      <w:r w:rsidR="00557E1C">
        <w:rPr>
          <w:rFonts w:eastAsia="SimSun"/>
          <w:color w:val="auto"/>
          <w:lang w:eastAsia="zh-CN"/>
        </w:rPr>
        <w:t>June 23</w:t>
      </w:r>
      <w:r w:rsidRPr="00195101">
        <w:rPr>
          <w:rFonts w:eastAsia="SimSun"/>
          <w:color w:val="auto"/>
          <w:lang w:eastAsia="zh-CN"/>
        </w:rPr>
        <w:t xml:space="preserve">, 2021 at 86 FR </w:t>
      </w:r>
      <w:r w:rsidR="00557E1C">
        <w:rPr>
          <w:rFonts w:eastAsia="SimSun"/>
          <w:color w:val="auto"/>
          <w:lang w:eastAsia="zh-CN"/>
        </w:rPr>
        <w:t>33007</w:t>
      </w:r>
      <w:r w:rsidRPr="00195101">
        <w:rPr>
          <w:rFonts w:eastAsia="SimSun"/>
          <w:color w:val="auto"/>
          <w:lang w:eastAsia="zh-CN"/>
        </w:rPr>
        <w:t>.  If we receive any comments in response to this Notice, we will forward them to OMB</w:t>
      </w:r>
      <w:r>
        <w:t>.</w:t>
      </w:r>
    </w:p>
    <w:p w:rsidR="00D66549" w:rsidP="00F9308A" w14:paraId="33C8A08D" w14:textId="77777777">
      <w:pPr>
        <w:pStyle w:val="Default"/>
        <w:tabs>
          <w:tab w:val="left" w:pos="1440"/>
        </w:tabs>
        <w:ind w:left="1440"/>
        <w:rPr>
          <w:b/>
          <w:bCs/>
          <w:color w:val="auto"/>
          <w:u w:val="single"/>
        </w:rPr>
      </w:pPr>
    </w:p>
    <w:p w:rsidR="00DD24A4" w:rsidRPr="00D66549" w:rsidP="00F9308A" w14:paraId="32C41D76" w14:textId="77777777">
      <w:pPr>
        <w:pStyle w:val="Default"/>
        <w:numPr>
          <w:ilvl w:val="0"/>
          <w:numId w:val="8"/>
        </w:numPr>
        <w:tabs>
          <w:tab w:val="left" w:pos="1440"/>
        </w:tabs>
        <w:ind w:left="1440" w:hanging="720"/>
        <w:rPr>
          <w:b/>
          <w:bCs/>
          <w:color w:val="auto"/>
          <w:u w:val="single"/>
        </w:rPr>
      </w:pPr>
      <w:r w:rsidRPr="00CF5000">
        <w:rPr>
          <w:b/>
        </w:rPr>
        <w:t>Payment or Gifts to Respondents</w:t>
      </w:r>
    </w:p>
    <w:p w:rsidR="00D66549" w:rsidP="00F9308A" w14:paraId="28AB0259" w14:textId="77777777">
      <w:pPr>
        <w:pStyle w:val="Default"/>
        <w:tabs>
          <w:tab w:val="left" w:pos="1440"/>
        </w:tabs>
        <w:ind w:left="1440"/>
        <w:rPr>
          <w:b/>
        </w:rPr>
      </w:pPr>
      <w:r w:rsidRPr="00CF5000">
        <w:t>SSA does not provide payments or gifts to the respondents</w:t>
      </w:r>
      <w:r>
        <w:t>.</w:t>
      </w:r>
    </w:p>
    <w:p w:rsidR="00D66549" w:rsidP="00F9308A" w14:paraId="4385D8F0" w14:textId="77777777">
      <w:pPr>
        <w:pStyle w:val="Default"/>
        <w:tabs>
          <w:tab w:val="left" w:pos="1440"/>
        </w:tabs>
        <w:ind w:left="1440"/>
        <w:rPr>
          <w:b/>
          <w:bCs/>
          <w:color w:val="auto"/>
          <w:u w:val="single"/>
        </w:rPr>
      </w:pPr>
    </w:p>
    <w:p w:rsidR="00DD24A4" w:rsidRPr="00D66549" w:rsidP="00F9308A" w14:paraId="00E04968" w14:textId="77777777">
      <w:pPr>
        <w:pStyle w:val="Default"/>
        <w:numPr>
          <w:ilvl w:val="0"/>
          <w:numId w:val="8"/>
        </w:numPr>
        <w:tabs>
          <w:tab w:val="left" w:pos="1440"/>
        </w:tabs>
        <w:ind w:left="1440" w:hanging="720"/>
        <w:rPr>
          <w:b/>
          <w:bCs/>
          <w:color w:val="auto"/>
          <w:u w:val="single"/>
        </w:rPr>
      </w:pPr>
      <w:r w:rsidRPr="00CF5000">
        <w:rPr>
          <w:b/>
        </w:rPr>
        <w:t>Assurances of Confidentiality</w:t>
      </w:r>
    </w:p>
    <w:p w:rsidR="00D66549" w:rsidP="00F9308A" w14:paraId="376CC292" w14:textId="77777777">
      <w:pPr>
        <w:pStyle w:val="Default"/>
        <w:tabs>
          <w:tab w:val="left" w:pos="1440"/>
        </w:tabs>
        <w:ind w:left="1440"/>
        <w:rPr>
          <w:b/>
        </w:rPr>
      </w:pPr>
      <w:r w:rsidRPr="00203DFF">
        <w:t>SSA protects and holds confidential the information it</w:t>
      </w:r>
      <w:r>
        <w:t xml:space="preserve"> collects in accordance with </w:t>
      </w:r>
      <w:r w:rsidRPr="00AF3320">
        <w:rPr>
          <w:i/>
        </w:rPr>
        <w:t>42 U.S.C. 1306, 20 CFR 401</w:t>
      </w:r>
      <w:r w:rsidRPr="00203DFF">
        <w:t xml:space="preserve"> and </w:t>
      </w:r>
      <w:r w:rsidRPr="00AF3320">
        <w:rPr>
          <w:i/>
        </w:rPr>
        <w:t>402, 5 U.S.C. 552</w:t>
      </w:r>
      <w:r w:rsidRPr="00203DFF">
        <w:t xml:space="preserve"> </w:t>
      </w:r>
      <w:r>
        <w:t xml:space="preserve">(Freedom of Information Act), </w:t>
      </w:r>
      <w:r w:rsidRPr="00AF3320">
        <w:rPr>
          <w:i/>
        </w:rPr>
        <w:t>5 U.S.C. 552a</w:t>
      </w:r>
      <w:r w:rsidRPr="00203DFF">
        <w:t xml:space="preserve"> (Privacy Act of 1974), and OMB Circular No. A-13</w:t>
      </w:r>
      <w:r w:rsidRPr="00CD4E9C">
        <w:t>0</w:t>
      </w:r>
      <w:r>
        <w:t>.</w:t>
      </w:r>
    </w:p>
    <w:p w:rsidR="00D66549" w:rsidP="00F9308A" w14:paraId="62711FD3" w14:textId="77777777">
      <w:pPr>
        <w:pStyle w:val="Default"/>
        <w:tabs>
          <w:tab w:val="left" w:pos="1440"/>
        </w:tabs>
        <w:ind w:left="1440"/>
        <w:rPr>
          <w:b/>
          <w:bCs/>
          <w:color w:val="auto"/>
          <w:u w:val="single"/>
        </w:rPr>
      </w:pPr>
    </w:p>
    <w:p w:rsidR="00DD24A4" w:rsidRPr="00D66549" w:rsidP="00F9308A" w14:paraId="28DEBD37" w14:textId="77777777">
      <w:pPr>
        <w:pStyle w:val="Default"/>
        <w:numPr>
          <w:ilvl w:val="0"/>
          <w:numId w:val="8"/>
        </w:numPr>
        <w:tabs>
          <w:tab w:val="left" w:pos="1440"/>
        </w:tabs>
        <w:ind w:left="1440" w:hanging="720"/>
        <w:rPr>
          <w:b/>
          <w:bCs/>
          <w:color w:val="auto"/>
          <w:u w:val="single"/>
        </w:rPr>
      </w:pPr>
      <w:r w:rsidRPr="00CF5000">
        <w:rPr>
          <w:b/>
        </w:rPr>
        <w:t>Justification for Sensitive Questions</w:t>
      </w:r>
    </w:p>
    <w:p w:rsidR="00D66549" w:rsidP="00F9308A" w14:paraId="040DBF7A" w14:textId="77777777">
      <w:pPr>
        <w:pStyle w:val="Default"/>
        <w:tabs>
          <w:tab w:val="left" w:pos="1440"/>
        </w:tabs>
        <w:ind w:left="1440"/>
        <w:rPr>
          <w:b/>
        </w:rPr>
      </w:pPr>
      <w:r w:rsidRPr="00CF5000">
        <w:rPr>
          <w:color w:val="auto"/>
        </w:rPr>
        <w:t>The information collection does not contain any questions of a sensitive nature</w:t>
      </w:r>
      <w:r>
        <w:rPr>
          <w:color w:val="auto"/>
        </w:rPr>
        <w:t>.</w:t>
      </w:r>
    </w:p>
    <w:p w:rsidR="00D66549" w:rsidP="00F9308A" w14:paraId="1E774C4B" w14:textId="77777777">
      <w:pPr>
        <w:pStyle w:val="Default"/>
        <w:tabs>
          <w:tab w:val="left" w:pos="1440"/>
        </w:tabs>
        <w:ind w:left="1440"/>
        <w:rPr>
          <w:b/>
          <w:bCs/>
          <w:color w:val="auto"/>
          <w:u w:val="single"/>
        </w:rPr>
      </w:pPr>
    </w:p>
    <w:p w:rsidR="00DD24A4" w:rsidRPr="00D66549" w:rsidP="00F9308A" w14:paraId="61B689B9" w14:textId="77777777">
      <w:pPr>
        <w:pStyle w:val="Default"/>
        <w:numPr>
          <w:ilvl w:val="0"/>
          <w:numId w:val="8"/>
        </w:numPr>
        <w:tabs>
          <w:tab w:val="left" w:pos="1440"/>
        </w:tabs>
        <w:ind w:left="1440" w:hanging="720"/>
        <w:rPr>
          <w:b/>
          <w:bCs/>
          <w:color w:val="auto"/>
          <w:u w:val="single"/>
        </w:rPr>
      </w:pPr>
      <w:r w:rsidRPr="00CF5000">
        <w:rPr>
          <w:b/>
        </w:rPr>
        <w:t>Estimates of Public Reporting Burden</w:t>
      </w:r>
    </w:p>
    <w:p w:rsidR="00D66549" w:rsidP="00E55846" w14:paraId="34141381" w14:textId="740C238F">
      <w:pPr>
        <w:pStyle w:val="ListParagraph"/>
        <w:tabs>
          <w:tab w:val="left" w:pos="1440"/>
        </w:tabs>
        <w:ind w:left="1440"/>
      </w:pPr>
      <w:r>
        <w:t>Please see the burden chart below:</w:t>
      </w:r>
    </w:p>
    <w:p w:rsidR="000B507B" w:rsidP="00D66549" w14:paraId="2F8AF1B9" w14:textId="77777777">
      <w:pPr>
        <w:pStyle w:val="Default"/>
        <w:ind w:left="450"/>
      </w:pPr>
    </w:p>
    <w:tbl>
      <w:tblPr>
        <w:tblW w:w="1196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0"/>
        <w:gridCol w:w="1523"/>
        <w:gridCol w:w="1310"/>
        <w:gridCol w:w="1190"/>
        <w:gridCol w:w="1256"/>
        <w:gridCol w:w="1389"/>
        <w:gridCol w:w="1801"/>
        <w:gridCol w:w="1801"/>
      </w:tblGrid>
      <w:tr w14:paraId="3272EE3A" w14:textId="77777777" w:rsidTr="000B507B">
        <w:tblPrEx>
          <w:tblW w:w="1196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90" w:type="dxa"/>
            <w:shd w:val="clear" w:color="auto" w:fill="auto"/>
          </w:tcPr>
          <w:p w:rsidR="004E60C7" w:rsidRPr="00AC730E" w:rsidP="004E60C7" w14:paraId="794D4A89" w14:textId="77777777">
            <w:pPr>
              <w:suppressAutoHyphens/>
              <w:spacing w:after="0" w:line="240" w:lineRule="auto"/>
              <w:rPr>
                <w:rFonts w:ascii="Times New Roman" w:eastAsia="SimSun" w:hAnsi="Times New Roman"/>
                <w:b/>
                <w:sz w:val="24"/>
                <w:szCs w:val="24"/>
                <w:lang w:eastAsia="ar-SA"/>
              </w:rPr>
            </w:pPr>
            <w:r w:rsidRPr="00AC730E">
              <w:rPr>
                <w:rFonts w:ascii="Times New Roman" w:eastAsia="SimSun" w:hAnsi="Times New Roman"/>
                <w:b/>
                <w:sz w:val="24"/>
                <w:szCs w:val="24"/>
                <w:lang w:eastAsia="ar-SA"/>
              </w:rPr>
              <w:t>Modality of Completion</w:t>
            </w:r>
          </w:p>
        </w:tc>
        <w:tc>
          <w:tcPr>
            <w:tcW w:w="1523" w:type="dxa"/>
            <w:shd w:val="clear" w:color="auto" w:fill="auto"/>
          </w:tcPr>
          <w:p w:rsidR="004E60C7" w:rsidRPr="00AC730E" w:rsidP="004E60C7" w14:paraId="253174FD" w14:textId="77777777">
            <w:pPr>
              <w:suppressAutoHyphens/>
              <w:spacing w:after="0" w:line="240" w:lineRule="auto"/>
              <w:rPr>
                <w:rFonts w:ascii="Times New Roman" w:eastAsia="SimSun" w:hAnsi="Times New Roman"/>
                <w:b/>
                <w:sz w:val="24"/>
                <w:szCs w:val="24"/>
                <w:lang w:eastAsia="ar-SA"/>
              </w:rPr>
            </w:pPr>
            <w:r w:rsidRPr="00AC730E">
              <w:rPr>
                <w:rFonts w:ascii="Times New Roman" w:eastAsia="SimSun" w:hAnsi="Times New Roman"/>
                <w:b/>
                <w:sz w:val="24"/>
                <w:szCs w:val="24"/>
                <w:lang w:eastAsia="ar-SA"/>
              </w:rPr>
              <w:t>Number of Respondents</w:t>
            </w:r>
          </w:p>
        </w:tc>
        <w:tc>
          <w:tcPr>
            <w:tcW w:w="1310" w:type="dxa"/>
            <w:shd w:val="clear" w:color="auto" w:fill="auto"/>
          </w:tcPr>
          <w:p w:rsidR="004E60C7" w:rsidRPr="00AC730E" w:rsidP="004E60C7" w14:paraId="7561D444" w14:textId="77777777">
            <w:pPr>
              <w:suppressAutoHyphens/>
              <w:spacing w:after="0" w:line="240" w:lineRule="auto"/>
              <w:rPr>
                <w:rFonts w:ascii="Times New Roman" w:eastAsia="SimSun" w:hAnsi="Times New Roman"/>
                <w:b/>
                <w:sz w:val="24"/>
                <w:szCs w:val="24"/>
                <w:lang w:eastAsia="ar-SA"/>
              </w:rPr>
            </w:pPr>
            <w:r w:rsidRPr="00AC730E">
              <w:rPr>
                <w:rFonts w:ascii="Times New Roman" w:eastAsia="SimSun" w:hAnsi="Times New Roman"/>
                <w:b/>
                <w:sz w:val="24"/>
                <w:szCs w:val="24"/>
                <w:lang w:eastAsia="ar-SA"/>
              </w:rPr>
              <w:t>Frequency of Response</w:t>
            </w:r>
          </w:p>
        </w:tc>
        <w:tc>
          <w:tcPr>
            <w:tcW w:w="1190" w:type="dxa"/>
            <w:shd w:val="clear" w:color="auto" w:fill="auto"/>
          </w:tcPr>
          <w:p w:rsidR="004E60C7" w:rsidRPr="00AC730E" w:rsidP="004E60C7" w14:paraId="4519240C" w14:textId="77777777">
            <w:pPr>
              <w:suppressAutoHyphens/>
              <w:spacing w:after="0" w:line="240" w:lineRule="auto"/>
              <w:rPr>
                <w:rFonts w:ascii="Times New Roman" w:eastAsia="SimSun" w:hAnsi="Times New Roman"/>
                <w:b/>
                <w:sz w:val="24"/>
                <w:szCs w:val="24"/>
                <w:lang w:eastAsia="ar-SA"/>
              </w:rPr>
            </w:pPr>
            <w:r w:rsidRPr="00AC730E">
              <w:rPr>
                <w:rFonts w:ascii="Times New Roman" w:eastAsia="SimSun" w:hAnsi="Times New Roman"/>
                <w:b/>
                <w:sz w:val="24"/>
                <w:szCs w:val="24"/>
                <w:lang w:eastAsia="ar-SA"/>
              </w:rPr>
              <w:t>Average Burden Per Response (minutes)</w:t>
            </w:r>
          </w:p>
        </w:tc>
        <w:tc>
          <w:tcPr>
            <w:tcW w:w="1256" w:type="dxa"/>
            <w:shd w:val="clear" w:color="auto" w:fill="auto"/>
          </w:tcPr>
          <w:p w:rsidR="004E60C7" w:rsidRPr="00AC730E" w:rsidP="004E60C7" w14:paraId="7088B733" w14:textId="77777777">
            <w:pPr>
              <w:suppressAutoHyphens/>
              <w:spacing w:after="0" w:line="240" w:lineRule="auto"/>
              <w:rPr>
                <w:rFonts w:ascii="Times New Roman" w:eastAsia="SimSun" w:hAnsi="Times New Roman"/>
                <w:b/>
                <w:sz w:val="24"/>
                <w:szCs w:val="24"/>
                <w:lang w:eastAsia="ar-SA"/>
              </w:rPr>
            </w:pPr>
            <w:r w:rsidRPr="00AC730E">
              <w:rPr>
                <w:rFonts w:ascii="Times New Roman" w:eastAsia="SimSun" w:hAnsi="Times New Roman"/>
                <w:b/>
                <w:sz w:val="24"/>
                <w:szCs w:val="24"/>
                <w:lang w:eastAsia="ar-SA"/>
              </w:rPr>
              <w:t>Estimated Total Annual Burden (hours)</w:t>
            </w:r>
          </w:p>
        </w:tc>
        <w:tc>
          <w:tcPr>
            <w:tcW w:w="1389" w:type="dxa"/>
            <w:shd w:val="clear" w:color="auto" w:fill="auto"/>
          </w:tcPr>
          <w:p w:rsidR="004E60C7" w:rsidRPr="00AC730E" w:rsidP="004E60C7" w14:paraId="47E90D5F" w14:textId="77777777">
            <w:pPr>
              <w:suppressAutoHyphens/>
              <w:spacing w:after="0" w:line="240" w:lineRule="auto"/>
              <w:rPr>
                <w:rFonts w:ascii="Times New Roman" w:eastAsia="SimSun" w:hAnsi="Times New Roman"/>
                <w:b/>
                <w:sz w:val="24"/>
                <w:szCs w:val="24"/>
                <w:lang w:eastAsia="ar-SA"/>
              </w:rPr>
            </w:pPr>
            <w:r w:rsidRPr="00AC730E">
              <w:rPr>
                <w:rFonts w:ascii="Times New Roman" w:eastAsia="SimSun" w:hAnsi="Times New Roman"/>
                <w:b/>
                <w:sz w:val="24"/>
                <w:szCs w:val="24"/>
                <w:lang w:eastAsia="ar-SA"/>
              </w:rPr>
              <w:t>Average Theoretical Hourly Cost Amount (dollars)*</w:t>
            </w:r>
          </w:p>
        </w:tc>
        <w:tc>
          <w:tcPr>
            <w:tcW w:w="1801" w:type="dxa"/>
            <w:shd w:val="clear" w:color="auto" w:fill="auto"/>
          </w:tcPr>
          <w:p w:rsidR="004E60C7" w:rsidRPr="0085343D" w:rsidP="004E60C7" w14:paraId="0928F558" w14:textId="17EC154A">
            <w:pPr>
              <w:suppressAutoHyphens/>
              <w:rPr>
                <w:rFonts w:ascii="Times New Roman" w:eastAsia="SimSun" w:hAnsi="Times New Roman"/>
                <w:b/>
                <w:bCs/>
                <w:lang w:eastAsia="ar-SA"/>
              </w:rPr>
            </w:pPr>
            <w:r w:rsidRPr="0085343D">
              <w:rPr>
                <w:rFonts w:ascii="Times New Roman" w:eastAsia="SimSun" w:hAnsi="Times New Roman"/>
                <w:b/>
                <w:bCs/>
                <w:lang w:eastAsia="ar-SA"/>
              </w:rPr>
              <w:t>Average Wait Time in Field Office (minutes)**</w:t>
            </w:r>
          </w:p>
          <w:p w:rsidR="004E60C7" w:rsidRPr="00AC730E" w:rsidP="004E60C7" w14:paraId="45A685CB" w14:textId="77777777">
            <w:pPr>
              <w:widowControl w:val="0"/>
              <w:spacing w:after="0" w:line="240" w:lineRule="auto"/>
              <w:contextualSpacing/>
              <w:rPr>
                <w:rFonts w:ascii="Times New Roman" w:hAnsi="Times New Roman"/>
                <w:b/>
                <w:snapToGrid w:val="0"/>
                <w:sz w:val="24"/>
                <w:szCs w:val="24"/>
              </w:rPr>
            </w:pPr>
          </w:p>
        </w:tc>
        <w:tc>
          <w:tcPr>
            <w:tcW w:w="1801" w:type="dxa"/>
            <w:shd w:val="clear" w:color="auto" w:fill="auto"/>
          </w:tcPr>
          <w:p w:rsidR="004E60C7" w:rsidRPr="00AC730E" w:rsidP="004E60C7" w14:paraId="52B2DA70" w14:textId="4C9C0156">
            <w:pPr>
              <w:widowControl w:val="0"/>
              <w:spacing w:after="0" w:line="240" w:lineRule="auto"/>
              <w:contextualSpacing/>
              <w:rPr>
                <w:rFonts w:ascii="Times New Roman" w:hAnsi="Times New Roman"/>
                <w:b/>
                <w:snapToGrid w:val="0"/>
                <w:sz w:val="24"/>
                <w:szCs w:val="24"/>
              </w:rPr>
            </w:pPr>
            <w:r w:rsidRPr="00AC730E">
              <w:rPr>
                <w:rFonts w:ascii="Times New Roman" w:hAnsi="Times New Roman"/>
                <w:b/>
                <w:snapToGrid w:val="0"/>
                <w:sz w:val="24"/>
                <w:szCs w:val="24"/>
              </w:rPr>
              <w:t>Total Annual Opportunity Cost (dollars)**</w:t>
            </w:r>
            <w:r>
              <w:rPr>
                <w:rFonts w:ascii="Times New Roman" w:hAnsi="Times New Roman"/>
                <w:b/>
                <w:snapToGrid w:val="0"/>
                <w:sz w:val="24"/>
                <w:szCs w:val="24"/>
              </w:rPr>
              <w:t>*</w:t>
            </w:r>
          </w:p>
        </w:tc>
      </w:tr>
      <w:tr w14:paraId="7293DA62" w14:textId="77777777" w:rsidTr="000B507B">
        <w:tblPrEx>
          <w:tblW w:w="11960" w:type="dxa"/>
          <w:tblInd w:w="-1265" w:type="dxa"/>
          <w:tblLook w:val="04A0"/>
        </w:tblPrEx>
        <w:tc>
          <w:tcPr>
            <w:tcW w:w="1690" w:type="dxa"/>
            <w:shd w:val="clear" w:color="auto" w:fill="auto"/>
          </w:tcPr>
          <w:p w:rsidR="004E60C7" w:rsidRPr="00AC730E" w:rsidP="004E60C7" w14:paraId="7E2A045A" w14:textId="690E5C84">
            <w:pPr>
              <w:suppressAutoHyphens/>
              <w:spacing w:after="0" w:line="240" w:lineRule="auto"/>
              <w:rPr>
                <w:rFonts w:ascii="Times New Roman" w:eastAsia="SimSun" w:hAnsi="Times New Roman"/>
                <w:sz w:val="24"/>
                <w:szCs w:val="24"/>
                <w:lang w:eastAsia="ar-SA"/>
              </w:rPr>
            </w:pPr>
            <w:r>
              <w:rPr>
                <w:rFonts w:ascii="Times New Roman" w:eastAsia="Times New Roman" w:hAnsi="Times New Roman"/>
                <w:sz w:val="24"/>
                <w:szCs w:val="24"/>
              </w:rPr>
              <w:t>SSA-789</w:t>
            </w:r>
          </w:p>
        </w:tc>
        <w:tc>
          <w:tcPr>
            <w:tcW w:w="1523" w:type="dxa"/>
            <w:shd w:val="clear" w:color="auto" w:fill="auto"/>
          </w:tcPr>
          <w:p w:rsidR="004E60C7" w:rsidRPr="00AC730E" w:rsidP="004E60C7" w14:paraId="2CF5F65E" w14:textId="61D8CED7">
            <w:pPr>
              <w:suppressAutoHyphens/>
              <w:spacing w:after="0" w:line="240" w:lineRule="auto"/>
              <w:jc w:val="right"/>
              <w:rPr>
                <w:rFonts w:ascii="Times New Roman" w:eastAsia="SimSun" w:hAnsi="Times New Roman"/>
                <w:sz w:val="24"/>
                <w:szCs w:val="24"/>
                <w:lang w:eastAsia="ar-SA"/>
              </w:rPr>
            </w:pPr>
            <w:r>
              <w:rPr>
                <w:rFonts w:ascii="Times New Roman" w:eastAsia="Times New Roman" w:hAnsi="Times New Roman"/>
                <w:sz w:val="24"/>
                <w:szCs w:val="24"/>
              </w:rPr>
              <w:t>49,000</w:t>
            </w:r>
          </w:p>
        </w:tc>
        <w:tc>
          <w:tcPr>
            <w:tcW w:w="1310" w:type="dxa"/>
            <w:shd w:val="clear" w:color="auto" w:fill="auto"/>
          </w:tcPr>
          <w:p w:rsidR="004E60C7" w:rsidRPr="00AC730E" w:rsidP="004E60C7" w14:paraId="72F94FC8" w14:textId="77777777">
            <w:pPr>
              <w:suppressAutoHyphens/>
              <w:spacing w:after="0" w:line="240" w:lineRule="auto"/>
              <w:jc w:val="right"/>
              <w:rPr>
                <w:rFonts w:ascii="Times New Roman" w:eastAsia="SimSun" w:hAnsi="Times New Roman"/>
                <w:sz w:val="24"/>
                <w:szCs w:val="24"/>
                <w:lang w:eastAsia="ar-SA"/>
              </w:rPr>
            </w:pPr>
            <w:r w:rsidRPr="00AC730E">
              <w:rPr>
                <w:rFonts w:ascii="Times New Roman" w:eastAsia="Times New Roman" w:hAnsi="Times New Roman"/>
                <w:sz w:val="24"/>
                <w:szCs w:val="24"/>
              </w:rPr>
              <w:t>1</w:t>
            </w:r>
          </w:p>
        </w:tc>
        <w:tc>
          <w:tcPr>
            <w:tcW w:w="1190" w:type="dxa"/>
            <w:shd w:val="clear" w:color="auto" w:fill="auto"/>
          </w:tcPr>
          <w:p w:rsidR="004E60C7" w:rsidRPr="00AC730E" w:rsidP="004E60C7" w14:paraId="6176B17A" w14:textId="41544260">
            <w:pPr>
              <w:suppressAutoHyphens/>
              <w:spacing w:after="0" w:line="240" w:lineRule="auto"/>
              <w:jc w:val="right"/>
              <w:rPr>
                <w:rFonts w:ascii="Times New Roman" w:eastAsia="SimSun" w:hAnsi="Times New Roman"/>
                <w:sz w:val="24"/>
                <w:szCs w:val="24"/>
                <w:lang w:eastAsia="ar-SA"/>
              </w:rPr>
            </w:pPr>
            <w:r>
              <w:rPr>
                <w:rFonts w:ascii="Times New Roman" w:eastAsia="Times New Roman" w:hAnsi="Times New Roman"/>
                <w:sz w:val="24"/>
                <w:szCs w:val="24"/>
              </w:rPr>
              <w:t>13</w:t>
            </w:r>
            <w:r w:rsidRPr="00AC730E">
              <w:rPr>
                <w:rFonts w:ascii="Times New Roman" w:eastAsia="Times New Roman" w:hAnsi="Times New Roman"/>
                <w:sz w:val="24"/>
                <w:szCs w:val="24"/>
              </w:rPr>
              <w:t xml:space="preserve"> </w:t>
            </w:r>
          </w:p>
        </w:tc>
        <w:tc>
          <w:tcPr>
            <w:tcW w:w="1256" w:type="dxa"/>
            <w:shd w:val="clear" w:color="auto" w:fill="auto"/>
          </w:tcPr>
          <w:p w:rsidR="004E60C7" w:rsidRPr="00AC730E" w:rsidP="004E60C7" w14:paraId="21837F0C" w14:textId="6B9AEDCB">
            <w:pPr>
              <w:suppressAutoHyphens/>
              <w:spacing w:after="0" w:line="240" w:lineRule="auto"/>
              <w:jc w:val="right"/>
              <w:rPr>
                <w:rFonts w:ascii="Times New Roman" w:eastAsia="SimSun" w:hAnsi="Times New Roman"/>
                <w:sz w:val="24"/>
                <w:szCs w:val="24"/>
                <w:lang w:eastAsia="ar-SA"/>
              </w:rPr>
            </w:pPr>
            <w:r>
              <w:rPr>
                <w:rFonts w:ascii="Times New Roman" w:eastAsia="Times New Roman" w:hAnsi="Times New Roman"/>
                <w:sz w:val="24"/>
                <w:szCs w:val="24"/>
              </w:rPr>
              <w:t>10,617</w:t>
            </w:r>
          </w:p>
        </w:tc>
        <w:tc>
          <w:tcPr>
            <w:tcW w:w="1389" w:type="dxa"/>
            <w:shd w:val="clear" w:color="auto" w:fill="auto"/>
          </w:tcPr>
          <w:p w:rsidR="004E60C7" w:rsidRPr="00AC730E" w:rsidP="004E60C7" w14:paraId="4CADAE26" w14:textId="20C37498">
            <w:pPr>
              <w:suppressAutoHyphens/>
              <w:spacing w:after="0" w:line="240" w:lineRule="auto"/>
              <w:jc w:val="right"/>
              <w:rPr>
                <w:rFonts w:ascii="Times New Roman" w:eastAsia="SimSun" w:hAnsi="Times New Roman"/>
                <w:sz w:val="24"/>
                <w:szCs w:val="24"/>
                <w:lang w:eastAsia="ar-SA"/>
              </w:rPr>
            </w:pPr>
            <w:r w:rsidRPr="00AC730E">
              <w:rPr>
                <w:rFonts w:ascii="Times New Roman" w:eastAsia="Times New Roman" w:hAnsi="Times New Roman"/>
                <w:sz w:val="24"/>
                <w:szCs w:val="24"/>
              </w:rPr>
              <w:t>$</w:t>
            </w:r>
            <w:r>
              <w:rPr>
                <w:rFonts w:ascii="Times New Roman" w:eastAsia="Times New Roman" w:hAnsi="Times New Roman"/>
                <w:sz w:val="24"/>
                <w:szCs w:val="24"/>
              </w:rPr>
              <w:t>1</w:t>
            </w:r>
            <w:r w:rsidR="00E55846">
              <w:rPr>
                <w:rFonts w:ascii="Times New Roman" w:eastAsia="Times New Roman" w:hAnsi="Times New Roman"/>
                <w:sz w:val="24"/>
                <w:szCs w:val="24"/>
              </w:rPr>
              <w:t>3.30</w:t>
            </w:r>
            <w:r w:rsidRPr="00AC730E">
              <w:rPr>
                <w:rFonts w:ascii="Times New Roman" w:eastAsia="Times New Roman" w:hAnsi="Times New Roman"/>
                <w:sz w:val="24"/>
                <w:szCs w:val="24"/>
              </w:rPr>
              <w:t>*</w:t>
            </w:r>
          </w:p>
        </w:tc>
        <w:tc>
          <w:tcPr>
            <w:tcW w:w="1801" w:type="dxa"/>
            <w:shd w:val="clear" w:color="auto" w:fill="auto"/>
          </w:tcPr>
          <w:p w:rsidR="004E60C7" w:rsidRPr="00AC730E" w:rsidP="004E60C7" w14:paraId="423C5C54" w14:textId="30B28B6F">
            <w:pPr>
              <w:widowControl w:val="0"/>
              <w:spacing w:after="0" w:line="240" w:lineRule="auto"/>
              <w:contextualSpacing/>
              <w:jc w:val="right"/>
              <w:rPr>
                <w:rFonts w:ascii="Times New Roman" w:eastAsia="Times New Roman" w:hAnsi="Times New Roman"/>
                <w:snapToGrid w:val="0"/>
                <w:sz w:val="24"/>
                <w:szCs w:val="24"/>
              </w:rPr>
            </w:pPr>
            <w:r w:rsidRPr="0085343D">
              <w:rPr>
                <w:rFonts w:ascii="Times New Roman" w:eastAsia="SimSun" w:hAnsi="Times New Roman"/>
                <w:lang w:eastAsia="ar-SA"/>
              </w:rPr>
              <w:t>24**</w:t>
            </w:r>
          </w:p>
        </w:tc>
        <w:tc>
          <w:tcPr>
            <w:tcW w:w="1801" w:type="dxa"/>
            <w:shd w:val="clear" w:color="auto" w:fill="auto"/>
          </w:tcPr>
          <w:p w:rsidR="004E60C7" w:rsidRPr="00AC730E" w:rsidP="004E60C7" w14:paraId="3DFEC9E3" w14:textId="6062F8A0">
            <w:pPr>
              <w:widowControl w:val="0"/>
              <w:spacing w:after="0" w:line="240" w:lineRule="auto"/>
              <w:contextualSpacing/>
              <w:jc w:val="right"/>
              <w:rPr>
                <w:rFonts w:ascii="Times New Roman" w:hAnsi="Times New Roman"/>
                <w:snapToGrid w:val="0"/>
                <w:sz w:val="24"/>
                <w:szCs w:val="24"/>
              </w:rPr>
            </w:pPr>
            <w:r>
              <w:rPr>
                <w:rFonts w:ascii="Times New Roman" w:eastAsia="Times New Roman" w:hAnsi="Times New Roman"/>
                <w:snapToGrid w:val="0"/>
                <w:sz w:val="24"/>
                <w:szCs w:val="24"/>
              </w:rPr>
              <w:t>$</w:t>
            </w:r>
            <w:r w:rsidR="00E55846">
              <w:rPr>
                <w:rFonts w:ascii="Times New Roman" w:eastAsia="Times New Roman" w:hAnsi="Times New Roman"/>
                <w:snapToGrid w:val="0"/>
                <w:sz w:val="24"/>
                <w:szCs w:val="24"/>
              </w:rPr>
              <w:t>401,886</w:t>
            </w:r>
            <w:r>
              <w:rPr>
                <w:rFonts w:ascii="Times New Roman" w:eastAsia="Times New Roman" w:hAnsi="Times New Roman"/>
                <w:snapToGrid w:val="0"/>
                <w:sz w:val="24"/>
                <w:szCs w:val="24"/>
              </w:rPr>
              <w:t>***</w:t>
            </w:r>
          </w:p>
        </w:tc>
      </w:tr>
    </w:tbl>
    <w:p w:rsidR="00AC730E" w:rsidP="00AC730E" w14:paraId="02B20CD8" w14:textId="77B6C0D4">
      <w:pPr>
        <w:spacing w:after="0" w:line="240" w:lineRule="auto"/>
        <w:ind w:left="1440"/>
        <w:rPr>
          <w:rFonts w:ascii="Times New Roman" w:eastAsia="Times New Roman" w:hAnsi="Times New Roman"/>
          <w:sz w:val="24"/>
          <w:szCs w:val="24"/>
        </w:rPr>
      </w:pPr>
      <w:r w:rsidRPr="00AC730E">
        <w:rPr>
          <w:rFonts w:ascii="Times New Roman" w:eastAsia="Times New Roman" w:hAnsi="Times New Roman"/>
          <w:sz w:val="24"/>
          <w:szCs w:val="24"/>
        </w:rPr>
        <w:t>* We based this figure on the average DI payments based on SSA's current FY 202</w:t>
      </w:r>
      <w:r w:rsidR="00E55846">
        <w:rPr>
          <w:rFonts w:ascii="Times New Roman" w:eastAsia="Times New Roman" w:hAnsi="Times New Roman"/>
          <w:sz w:val="24"/>
          <w:szCs w:val="24"/>
        </w:rPr>
        <w:t>4</w:t>
      </w:r>
      <w:r w:rsidRPr="00AC730E">
        <w:rPr>
          <w:rFonts w:ascii="Times New Roman" w:eastAsia="Times New Roman" w:hAnsi="Times New Roman"/>
          <w:sz w:val="24"/>
          <w:szCs w:val="24"/>
        </w:rPr>
        <w:t xml:space="preserve"> data (</w:t>
      </w:r>
      <w:hyperlink r:id="rId5" w:history="1">
        <w:r w:rsidRPr="00AC730E">
          <w:rPr>
            <w:rFonts w:ascii="Times New Roman" w:eastAsia="Times New Roman" w:hAnsi="Times New Roman"/>
            <w:color w:val="0000FF"/>
            <w:sz w:val="24"/>
            <w:szCs w:val="24"/>
            <w:u w:val="single"/>
          </w:rPr>
          <w:t>https://www.ssa.gov/legislation/2021FactSheet.pdf</w:t>
        </w:r>
      </w:hyperlink>
      <w:r w:rsidRPr="00AC730E">
        <w:rPr>
          <w:rFonts w:ascii="Times New Roman" w:eastAsia="Times New Roman" w:hAnsi="Times New Roman"/>
          <w:sz w:val="24"/>
          <w:szCs w:val="24"/>
        </w:rPr>
        <w:t>)</w:t>
      </w:r>
      <w:r>
        <w:rPr>
          <w:rFonts w:ascii="Times New Roman" w:eastAsia="Times New Roman" w:hAnsi="Times New Roman"/>
          <w:sz w:val="24"/>
          <w:szCs w:val="24"/>
        </w:rPr>
        <w:t>.</w:t>
      </w:r>
    </w:p>
    <w:p w:rsidR="004E60C7" w:rsidP="00AC730E" w14:paraId="65F4AC70" w14:textId="76883D18">
      <w:pPr>
        <w:spacing w:after="0" w:line="240" w:lineRule="auto"/>
        <w:ind w:left="1440"/>
        <w:rPr>
          <w:rFonts w:ascii="Times New Roman" w:eastAsia="Times New Roman" w:hAnsi="Times New Roman"/>
          <w:sz w:val="24"/>
          <w:szCs w:val="24"/>
        </w:rPr>
      </w:pPr>
    </w:p>
    <w:p w:rsidR="004E60C7" w:rsidP="004E60C7" w14:paraId="639CBDF3" w14:textId="36242F3B">
      <w:pPr>
        <w:suppressAutoHyphens/>
        <w:autoSpaceDE w:val="0"/>
        <w:autoSpaceDN w:val="0"/>
        <w:adjustRightInd w:val="0"/>
        <w:spacing w:after="0" w:line="240" w:lineRule="auto"/>
        <w:ind w:left="1440"/>
        <w:rPr>
          <w:rFonts w:ascii="Times New Roman" w:eastAsia="Times New Roman" w:hAnsi="Times New Roman"/>
          <w:sz w:val="24"/>
          <w:szCs w:val="24"/>
        </w:rPr>
      </w:pPr>
      <w:r w:rsidRPr="004E60C7">
        <w:rPr>
          <w:rFonts w:ascii="Times New Roman" w:eastAsia="SimSun" w:hAnsi="Times New Roman"/>
          <w:sz w:val="24"/>
          <w:szCs w:val="24"/>
          <w:lang w:eastAsia="ar-SA"/>
        </w:rPr>
        <w:t>** We based this figure on the average FY 202</w:t>
      </w:r>
      <w:r w:rsidR="00E55846">
        <w:rPr>
          <w:rFonts w:ascii="Times New Roman" w:eastAsia="SimSun" w:hAnsi="Times New Roman"/>
          <w:sz w:val="24"/>
          <w:szCs w:val="24"/>
          <w:lang w:eastAsia="ar-SA"/>
        </w:rPr>
        <w:t>4</w:t>
      </w:r>
      <w:r w:rsidRPr="004E60C7">
        <w:rPr>
          <w:rFonts w:ascii="Times New Roman" w:eastAsia="SimSun" w:hAnsi="Times New Roman"/>
          <w:sz w:val="24"/>
          <w:szCs w:val="24"/>
          <w:lang w:eastAsia="ar-SA"/>
        </w:rPr>
        <w:t xml:space="preserve"> wait times for field offices, based on SSA’s current management information data.</w:t>
      </w:r>
    </w:p>
    <w:p w:rsidR="00AC730E" w:rsidP="00AC730E" w14:paraId="2DA146E7" w14:textId="77777777">
      <w:pPr>
        <w:spacing w:after="0" w:line="240" w:lineRule="auto"/>
        <w:ind w:left="1440"/>
        <w:rPr>
          <w:rFonts w:ascii="Times New Roman" w:eastAsia="Times New Roman" w:hAnsi="Times New Roman"/>
          <w:sz w:val="24"/>
          <w:szCs w:val="24"/>
        </w:rPr>
      </w:pPr>
    </w:p>
    <w:p w:rsidR="00AC730E" w:rsidP="00AC730E" w14:paraId="566153FD" w14:textId="138EAB8A">
      <w:pPr>
        <w:spacing w:after="0" w:line="240" w:lineRule="auto"/>
        <w:ind w:left="1440"/>
        <w:rPr>
          <w:rFonts w:ascii="Times New Roman" w:eastAsia="Times New Roman" w:hAnsi="Times New Roman"/>
          <w:sz w:val="24"/>
          <w:szCs w:val="24"/>
        </w:rPr>
      </w:pPr>
      <w:r w:rsidRPr="00AC730E">
        <w:rPr>
          <w:rFonts w:ascii="Times New Roman" w:eastAsia="Times New Roman" w:hAnsi="Times New Roman"/>
          <w:sz w:val="24"/>
          <w:szCs w:val="24"/>
        </w:rPr>
        <w:t>*</w:t>
      </w:r>
      <w:r w:rsidR="004E60C7">
        <w:rPr>
          <w:rFonts w:ascii="Times New Roman" w:eastAsia="Times New Roman" w:hAnsi="Times New Roman"/>
          <w:sz w:val="24"/>
          <w:szCs w:val="24"/>
        </w:rPr>
        <w:t>*</w:t>
      </w:r>
      <w:r w:rsidRPr="00AC730E">
        <w:rPr>
          <w:rFonts w:ascii="Times New Roman" w:eastAsia="Times New Roman" w:hAnsi="Times New Roman"/>
          <w:sz w:val="24"/>
          <w:szCs w:val="24"/>
        </w:rPr>
        <w:t xml:space="preserve">* This figure does not represent actual costs that we are imposing on recipients of Social Security payments to complete this application; rather, these are theoretical opportunity costs for the additional time respondents will spend to complete the application. </w:t>
      </w:r>
      <w:r w:rsidRPr="00AC730E">
        <w:rPr>
          <w:rFonts w:ascii="Times New Roman" w:eastAsia="Times New Roman" w:hAnsi="Times New Roman"/>
          <w:b/>
          <w:sz w:val="24"/>
          <w:szCs w:val="24"/>
        </w:rPr>
        <w:t xml:space="preserve"> </w:t>
      </w:r>
      <w:r w:rsidRPr="00AC730E">
        <w:rPr>
          <w:rFonts w:ascii="Times New Roman" w:eastAsia="Times New Roman" w:hAnsi="Times New Roman"/>
          <w:b/>
          <w:sz w:val="24"/>
          <w:szCs w:val="24"/>
          <w:u w:val="single"/>
        </w:rPr>
        <w:t>There is no actual charge to respondents to complete the application</w:t>
      </w:r>
      <w:r w:rsidRPr="00AC730E">
        <w:rPr>
          <w:rFonts w:ascii="Times New Roman" w:eastAsia="Times New Roman" w:hAnsi="Times New Roman"/>
          <w:sz w:val="24"/>
          <w:szCs w:val="24"/>
        </w:rPr>
        <w:t>.</w:t>
      </w:r>
    </w:p>
    <w:p w:rsidR="004E60C7" w:rsidP="00AC730E" w14:paraId="600116F4" w14:textId="24DA8840">
      <w:pPr>
        <w:spacing w:after="0" w:line="240" w:lineRule="auto"/>
        <w:ind w:left="1440"/>
        <w:rPr>
          <w:rFonts w:ascii="Times New Roman" w:eastAsia="Times New Roman" w:hAnsi="Times New Roman"/>
          <w:sz w:val="24"/>
          <w:szCs w:val="24"/>
        </w:rPr>
      </w:pPr>
    </w:p>
    <w:p w:rsidR="004E60C7" w:rsidRPr="004E60C7" w:rsidP="004E60C7" w14:paraId="49C3D934" w14:textId="77777777">
      <w:pPr>
        <w:widowControl w:val="0"/>
        <w:spacing w:after="0" w:line="240" w:lineRule="auto"/>
        <w:ind w:left="1440"/>
        <w:rPr>
          <w:rFonts w:ascii="Times New Roman" w:eastAsia="Times New Roman" w:hAnsi="Times New Roman"/>
          <w:snapToGrid w:val="0"/>
          <w:sz w:val="24"/>
          <w:szCs w:val="24"/>
        </w:rPr>
      </w:pPr>
      <w:r w:rsidRPr="004E60C7">
        <w:rPr>
          <w:rFonts w:ascii="Times New Roman" w:eastAsia="Times New Roman" w:hAnsi="Times New Roman"/>
          <w:snapToGrid w:val="0"/>
          <w:sz w:val="24"/>
          <w:szCs w:val="24"/>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4E60C7" w:rsidRPr="004E60C7" w:rsidP="004E60C7" w14:paraId="797079A7" w14:textId="77777777">
      <w:pPr>
        <w:widowControl w:val="0"/>
        <w:spacing w:after="0" w:line="240" w:lineRule="auto"/>
        <w:ind w:left="1440"/>
        <w:rPr>
          <w:rFonts w:ascii="Times New Roman" w:eastAsia="Times New Roman" w:hAnsi="Times New Roman"/>
          <w:sz w:val="24"/>
          <w:szCs w:val="24"/>
        </w:rPr>
      </w:pPr>
    </w:p>
    <w:tbl>
      <w:tblPr>
        <w:tblStyle w:val="TableGrid2"/>
        <w:tblW w:w="0" w:type="auto"/>
        <w:tblInd w:w="1327" w:type="dxa"/>
        <w:tblLook w:val="04A0"/>
      </w:tblPr>
      <w:tblGrid>
        <w:gridCol w:w="1671"/>
        <w:gridCol w:w="1572"/>
        <w:gridCol w:w="1529"/>
        <w:gridCol w:w="1548"/>
        <w:gridCol w:w="1703"/>
      </w:tblGrid>
      <w:tr w14:paraId="3BB642ED" w14:textId="77777777" w:rsidTr="00602BF6">
        <w:tblPrEx>
          <w:tblW w:w="0" w:type="auto"/>
          <w:tblInd w:w="1327" w:type="dxa"/>
          <w:tblLook w:val="04A0"/>
        </w:tblPrEx>
        <w:tc>
          <w:tcPr>
            <w:tcW w:w="1671" w:type="dxa"/>
            <w:tcBorders>
              <w:top w:val="single" w:sz="4" w:space="0" w:color="auto"/>
              <w:left w:val="single" w:sz="4" w:space="0" w:color="auto"/>
              <w:bottom w:val="single" w:sz="4" w:space="0" w:color="auto"/>
              <w:right w:val="single" w:sz="4" w:space="0" w:color="auto"/>
            </w:tcBorders>
            <w:hideMark/>
          </w:tcPr>
          <w:p w:rsidR="004E60C7" w:rsidRPr="004E60C7" w:rsidP="004E60C7" w14:paraId="6AF7ECBC" w14:textId="77777777">
            <w:pPr>
              <w:spacing w:after="0" w:line="240" w:lineRule="auto"/>
              <w:rPr>
                <w:snapToGrid w:val="0"/>
                <w:sz w:val="24"/>
                <w:szCs w:val="24"/>
              </w:rPr>
            </w:pPr>
            <w:r w:rsidRPr="004E60C7">
              <w:rPr>
                <w:snapToGrid w:val="0"/>
                <w:sz w:val="24"/>
                <w:szCs w:val="24"/>
              </w:rPr>
              <w:t>Total Number of Respondents Who Visit a Field Office</w:t>
            </w:r>
          </w:p>
        </w:tc>
        <w:tc>
          <w:tcPr>
            <w:tcW w:w="1572" w:type="dxa"/>
            <w:tcBorders>
              <w:top w:val="single" w:sz="4" w:space="0" w:color="auto"/>
              <w:left w:val="single" w:sz="4" w:space="0" w:color="auto"/>
              <w:bottom w:val="single" w:sz="4" w:space="0" w:color="auto"/>
              <w:right w:val="single" w:sz="4" w:space="0" w:color="auto"/>
            </w:tcBorders>
            <w:hideMark/>
          </w:tcPr>
          <w:p w:rsidR="004E60C7" w:rsidRPr="004E60C7" w:rsidP="004E60C7" w14:paraId="4441C5E2" w14:textId="77777777">
            <w:pPr>
              <w:spacing w:after="0" w:line="240" w:lineRule="auto"/>
              <w:rPr>
                <w:snapToGrid w:val="0"/>
                <w:sz w:val="24"/>
                <w:szCs w:val="24"/>
              </w:rPr>
            </w:pPr>
            <w:r w:rsidRPr="004E60C7">
              <w:rPr>
                <w:snapToGrid w:val="0"/>
                <w:sz w:val="24"/>
                <w:szCs w:val="24"/>
              </w:rPr>
              <w:t>Frequency of Response</w:t>
            </w:r>
          </w:p>
        </w:tc>
        <w:tc>
          <w:tcPr>
            <w:tcW w:w="1529" w:type="dxa"/>
            <w:tcBorders>
              <w:top w:val="single" w:sz="4" w:space="0" w:color="auto"/>
              <w:left w:val="single" w:sz="4" w:space="0" w:color="auto"/>
              <w:bottom w:val="single" w:sz="4" w:space="0" w:color="auto"/>
              <w:right w:val="single" w:sz="4" w:space="0" w:color="auto"/>
            </w:tcBorders>
            <w:hideMark/>
          </w:tcPr>
          <w:p w:rsidR="004E60C7" w:rsidRPr="004E60C7" w:rsidP="004E60C7" w14:paraId="2A5143FF" w14:textId="77777777">
            <w:pPr>
              <w:spacing w:after="0" w:line="240" w:lineRule="auto"/>
              <w:rPr>
                <w:snapToGrid w:val="0"/>
                <w:sz w:val="24"/>
                <w:szCs w:val="24"/>
              </w:rPr>
            </w:pPr>
            <w:r w:rsidRPr="004E60C7">
              <w:rPr>
                <w:snapToGrid w:val="0"/>
                <w:sz w:val="24"/>
                <w:szCs w:val="24"/>
              </w:rPr>
              <w:t>Average One-Way Travel Time to a Field Office (minutes)</w:t>
            </w:r>
          </w:p>
        </w:tc>
        <w:tc>
          <w:tcPr>
            <w:tcW w:w="1548" w:type="dxa"/>
            <w:tcBorders>
              <w:top w:val="single" w:sz="4" w:space="0" w:color="auto"/>
              <w:left w:val="single" w:sz="4" w:space="0" w:color="auto"/>
              <w:bottom w:val="single" w:sz="4" w:space="0" w:color="auto"/>
              <w:right w:val="single" w:sz="4" w:space="0" w:color="auto"/>
            </w:tcBorders>
            <w:hideMark/>
          </w:tcPr>
          <w:p w:rsidR="004E60C7" w:rsidRPr="004E60C7" w:rsidP="004E60C7" w14:paraId="0AAA5FC3" w14:textId="77777777">
            <w:pPr>
              <w:spacing w:after="0" w:line="240" w:lineRule="auto"/>
              <w:rPr>
                <w:snapToGrid w:val="0"/>
                <w:sz w:val="24"/>
                <w:szCs w:val="24"/>
              </w:rPr>
            </w:pPr>
            <w:r w:rsidRPr="004E60C7">
              <w:rPr>
                <w:snapToGrid w:val="0"/>
                <w:sz w:val="24"/>
                <w:szCs w:val="24"/>
              </w:rPr>
              <w:t>Estimated Total Travel Time to a Field Office (hours)</w:t>
            </w:r>
          </w:p>
        </w:tc>
        <w:tc>
          <w:tcPr>
            <w:tcW w:w="1703" w:type="dxa"/>
            <w:tcBorders>
              <w:top w:val="single" w:sz="4" w:space="0" w:color="auto"/>
              <w:left w:val="single" w:sz="4" w:space="0" w:color="auto"/>
              <w:bottom w:val="single" w:sz="4" w:space="0" w:color="auto"/>
              <w:right w:val="single" w:sz="4" w:space="0" w:color="auto"/>
            </w:tcBorders>
            <w:hideMark/>
          </w:tcPr>
          <w:p w:rsidR="004E60C7" w:rsidRPr="004E60C7" w:rsidP="004E60C7" w14:paraId="45287250" w14:textId="11436FE3">
            <w:pPr>
              <w:spacing w:after="0" w:line="240" w:lineRule="auto"/>
              <w:rPr>
                <w:snapToGrid w:val="0"/>
                <w:sz w:val="24"/>
                <w:szCs w:val="24"/>
              </w:rPr>
            </w:pPr>
            <w:r w:rsidRPr="004E60C7">
              <w:rPr>
                <w:snapToGrid w:val="0"/>
                <w:sz w:val="24"/>
                <w:szCs w:val="24"/>
              </w:rPr>
              <w:t>Total Annual Opportunity Cost for Travel Time (dollars)****</w:t>
            </w:r>
          </w:p>
        </w:tc>
      </w:tr>
      <w:tr w14:paraId="5C8E52F9" w14:textId="77777777" w:rsidTr="00602BF6">
        <w:tblPrEx>
          <w:tblW w:w="0" w:type="auto"/>
          <w:tblInd w:w="1327" w:type="dxa"/>
          <w:tblLook w:val="04A0"/>
        </w:tblPrEx>
        <w:tc>
          <w:tcPr>
            <w:tcW w:w="1671" w:type="dxa"/>
            <w:tcBorders>
              <w:top w:val="single" w:sz="4" w:space="0" w:color="auto"/>
              <w:left w:val="single" w:sz="4" w:space="0" w:color="auto"/>
              <w:bottom w:val="single" w:sz="4" w:space="0" w:color="auto"/>
              <w:right w:val="single" w:sz="4" w:space="0" w:color="auto"/>
            </w:tcBorders>
            <w:hideMark/>
          </w:tcPr>
          <w:p w:rsidR="004E60C7" w:rsidRPr="004E60C7" w:rsidP="004E60C7" w14:paraId="5A324C19" w14:textId="04A317E7">
            <w:pPr>
              <w:spacing w:after="0" w:line="240" w:lineRule="auto"/>
              <w:jc w:val="right"/>
              <w:rPr>
                <w:snapToGrid w:val="0"/>
                <w:sz w:val="24"/>
                <w:szCs w:val="24"/>
              </w:rPr>
            </w:pPr>
            <w:r>
              <w:rPr>
                <w:bCs/>
                <w:sz w:val="24"/>
                <w:szCs w:val="24"/>
                <w:lang w:eastAsia="zh-CN"/>
              </w:rPr>
              <w:t>49,000</w:t>
            </w:r>
          </w:p>
        </w:tc>
        <w:tc>
          <w:tcPr>
            <w:tcW w:w="1572" w:type="dxa"/>
            <w:tcBorders>
              <w:top w:val="single" w:sz="4" w:space="0" w:color="auto"/>
              <w:left w:val="single" w:sz="4" w:space="0" w:color="auto"/>
              <w:bottom w:val="single" w:sz="4" w:space="0" w:color="auto"/>
              <w:right w:val="single" w:sz="4" w:space="0" w:color="auto"/>
            </w:tcBorders>
            <w:hideMark/>
          </w:tcPr>
          <w:p w:rsidR="004E60C7" w:rsidRPr="004E60C7" w:rsidP="004E60C7" w14:paraId="569E384B" w14:textId="77777777">
            <w:pPr>
              <w:spacing w:after="0" w:line="240" w:lineRule="auto"/>
              <w:jc w:val="right"/>
              <w:rPr>
                <w:snapToGrid w:val="0"/>
                <w:sz w:val="24"/>
                <w:szCs w:val="24"/>
              </w:rPr>
            </w:pPr>
            <w:r w:rsidRPr="004E60C7">
              <w:rPr>
                <w:snapToGrid w:val="0"/>
                <w:sz w:val="24"/>
                <w:szCs w:val="24"/>
              </w:rPr>
              <w:t>1</w:t>
            </w:r>
          </w:p>
        </w:tc>
        <w:tc>
          <w:tcPr>
            <w:tcW w:w="1529" w:type="dxa"/>
            <w:tcBorders>
              <w:top w:val="single" w:sz="4" w:space="0" w:color="auto"/>
              <w:left w:val="single" w:sz="4" w:space="0" w:color="auto"/>
              <w:bottom w:val="single" w:sz="4" w:space="0" w:color="auto"/>
              <w:right w:val="single" w:sz="4" w:space="0" w:color="auto"/>
            </w:tcBorders>
            <w:hideMark/>
          </w:tcPr>
          <w:p w:rsidR="004E60C7" w:rsidRPr="004E60C7" w:rsidP="004E60C7" w14:paraId="0EE26D97" w14:textId="77777777">
            <w:pPr>
              <w:spacing w:after="0" w:line="240" w:lineRule="auto"/>
              <w:jc w:val="right"/>
              <w:rPr>
                <w:snapToGrid w:val="0"/>
                <w:sz w:val="24"/>
                <w:szCs w:val="24"/>
              </w:rPr>
            </w:pPr>
            <w:r w:rsidRPr="004E60C7">
              <w:rPr>
                <w:snapToGrid w:val="0"/>
                <w:sz w:val="24"/>
                <w:szCs w:val="24"/>
              </w:rPr>
              <w:t>30</w:t>
            </w:r>
          </w:p>
        </w:tc>
        <w:tc>
          <w:tcPr>
            <w:tcW w:w="1548" w:type="dxa"/>
            <w:tcBorders>
              <w:top w:val="single" w:sz="4" w:space="0" w:color="auto"/>
              <w:left w:val="single" w:sz="4" w:space="0" w:color="auto"/>
              <w:bottom w:val="single" w:sz="4" w:space="0" w:color="auto"/>
              <w:right w:val="single" w:sz="4" w:space="0" w:color="auto"/>
            </w:tcBorders>
            <w:hideMark/>
          </w:tcPr>
          <w:p w:rsidR="004E60C7" w:rsidRPr="004E60C7" w:rsidP="004E60C7" w14:paraId="1F92F341" w14:textId="7C1A6047">
            <w:pPr>
              <w:spacing w:after="0" w:line="240" w:lineRule="auto"/>
              <w:jc w:val="right"/>
              <w:rPr>
                <w:snapToGrid w:val="0"/>
                <w:sz w:val="24"/>
                <w:szCs w:val="24"/>
              </w:rPr>
            </w:pPr>
            <w:r>
              <w:rPr>
                <w:snapToGrid w:val="0"/>
                <w:sz w:val="24"/>
                <w:szCs w:val="24"/>
              </w:rPr>
              <w:t>24,500</w:t>
            </w:r>
          </w:p>
        </w:tc>
        <w:tc>
          <w:tcPr>
            <w:tcW w:w="1703" w:type="dxa"/>
            <w:tcBorders>
              <w:top w:val="single" w:sz="4" w:space="0" w:color="auto"/>
              <w:left w:val="single" w:sz="4" w:space="0" w:color="auto"/>
              <w:bottom w:val="single" w:sz="4" w:space="0" w:color="auto"/>
              <w:right w:val="single" w:sz="4" w:space="0" w:color="auto"/>
            </w:tcBorders>
            <w:hideMark/>
          </w:tcPr>
          <w:p w:rsidR="004E60C7" w:rsidRPr="004E60C7" w:rsidP="004E60C7" w14:paraId="638ABD55" w14:textId="25FD8958">
            <w:pPr>
              <w:spacing w:after="0" w:line="240" w:lineRule="auto"/>
              <w:jc w:val="right"/>
              <w:rPr>
                <w:snapToGrid w:val="0"/>
                <w:sz w:val="24"/>
                <w:szCs w:val="24"/>
              </w:rPr>
            </w:pPr>
            <w:r w:rsidRPr="004E60C7">
              <w:rPr>
                <w:snapToGrid w:val="0"/>
                <w:sz w:val="24"/>
                <w:szCs w:val="24"/>
              </w:rPr>
              <w:t>$</w:t>
            </w:r>
            <w:r w:rsidR="00E55846">
              <w:rPr>
                <w:snapToGrid w:val="0"/>
                <w:sz w:val="24"/>
                <w:szCs w:val="24"/>
              </w:rPr>
              <w:t>325,850****</w:t>
            </w:r>
          </w:p>
        </w:tc>
      </w:tr>
    </w:tbl>
    <w:p w:rsidR="004E60C7" w:rsidRPr="004E60C7" w:rsidP="004E60C7" w14:paraId="3A8338A2" w14:textId="12AC1C85">
      <w:pPr>
        <w:widowControl w:val="0"/>
        <w:spacing w:after="0" w:line="240" w:lineRule="auto"/>
        <w:ind w:left="1440"/>
        <w:rPr>
          <w:rFonts w:ascii="Times New Roman" w:eastAsia="Times New Roman" w:hAnsi="Times New Roman"/>
          <w:snapToGrid w:val="0"/>
          <w:sz w:val="24"/>
          <w:szCs w:val="24"/>
        </w:rPr>
      </w:pPr>
      <w:r w:rsidRPr="004E60C7">
        <w:rPr>
          <w:rFonts w:ascii="Times New Roman" w:eastAsia="Times New Roman" w:hAnsi="Times New Roman"/>
          <w:snapToGrid w:val="0"/>
          <w:sz w:val="24"/>
          <w:szCs w:val="24"/>
        </w:rPr>
        <w:t xml:space="preserve">**** We based this dollar amount on the Average Theoretical Hourly Cost Amount in dollars shown on the burden chart above.  </w:t>
      </w:r>
    </w:p>
    <w:p w:rsidR="004E60C7" w:rsidRPr="004E60C7" w:rsidP="004E60C7" w14:paraId="5D87BA3E" w14:textId="77777777">
      <w:pPr>
        <w:widowControl w:val="0"/>
        <w:spacing w:after="0" w:line="240" w:lineRule="auto"/>
        <w:ind w:left="1440"/>
        <w:rPr>
          <w:rFonts w:ascii="Times New Roman" w:eastAsia="Times New Roman" w:hAnsi="Times New Roman"/>
          <w:snapToGrid w:val="0"/>
          <w:sz w:val="24"/>
          <w:szCs w:val="24"/>
        </w:rPr>
      </w:pPr>
    </w:p>
    <w:p w:rsidR="004E60C7" w:rsidRPr="004E60C7" w:rsidP="004E60C7" w14:paraId="3B00BE4E" w14:textId="77777777">
      <w:pPr>
        <w:widowControl w:val="0"/>
        <w:spacing w:after="0" w:line="240" w:lineRule="auto"/>
        <w:ind w:left="1440"/>
        <w:rPr>
          <w:rFonts w:ascii="Times New Roman" w:eastAsia="Times New Roman" w:hAnsi="Times New Roman"/>
          <w:snapToGrid w:val="0"/>
          <w:sz w:val="24"/>
          <w:szCs w:val="24"/>
        </w:rPr>
      </w:pPr>
      <w:r w:rsidRPr="004E60C7">
        <w:rPr>
          <w:rFonts w:ascii="Times New Roman" w:eastAsia="Times New Roman" w:hAnsi="Times New Roman"/>
          <w:snapToGrid w:val="0"/>
          <w:sz w:val="24"/>
          <w:szCs w:val="24"/>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4E60C7" w:rsidRPr="004E60C7" w:rsidP="004E60C7" w14:paraId="269191C0" w14:textId="77777777">
      <w:pPr>
        <w:widowControl w:val="0"/>
        <w:spacing w:after="0" w:line="240" w:lineRule="auto"/>
        <w:ind w:left="1440"/>
        <w:contextualSpacing/>
        <w:rPr>
          <w:rFonts w:ascii="Times New Roman" w:eastAsia="Times New Roman" w:hAnsi="Times New Roman"/>
          <w:snapToGrid w:val="0"/>
          <w:sz w:val="24"/>
          <w:szCs w:val="24"/>
        </w:rPr>
      </w:pPr>
    </w:p>
    <w:p w:rsidR="004E60C7" w:rsidP="004E60C7" w14:paraId="6EA9D185" w14:textId="618AAF70">
      <w:pPr>
        <w:spacing w:after="0" w:line="240" w:lineRule="auto"/>
        <w:ind w:left="1440"/>
        <w:rPr>
          <w:rFonts w:ascii="Times New Roman" w:eastAsia="Times New Roman" w:hAnsi="Times New Roman"/>
          <w:snapToGrid w:val="0"/>
          <w:sz w:val="24"/>
          <w:szCs w:val="24"/>
        </w:rPr>
      </w:pPr>
      <w:r w:rsidRPr="004E60C7">
        <w:rPr>
          <w:rFonts w:ascii="Times New Roman" w:eastAsia="Times New Roman" w:hAnsi="Times New Roman"/>
          <w:snapToGrid w:val="0"/>
          <w:sz w:val="24"/>
          <w:szCs w:val="24"/>
        </w:rPr>
        <w:t>NOTE:  We included the total opportunity cost estimate from this chart in our calculations when showing the total time and opportunity cost estimates in the paragraph below.</w:t>
      </w:r>
    </w:p>
    <w:p w:rsidR="0057357C" w:rsidP="004E60C7" w14:paraId="20794437" w14:textId="673AB45D">
      <w:pPr>
        <w:spacing w:after="0" w:line="240" w:lineRule="auto"/>
        <w:ind w:left="1440"/>
        <w:rPr>
          <w:rFonts w:ascii="Times New Roman" w:eastAsia="Times New Roman" w:hAnsi="Times New Roman"/>
          <w:snapToGrid w:val="0"/>
          <w:sz w:val="24"/>
          <w:szCs w:val="24"/>
        </w:rPr>
      </w:pPr>
    </w:p>
    <w:p w:rsidR="0057357C" w:rsidRPr="00AC730E" w:rsidP="004E60C7" w14:paraId="52265170" w14:textId="58FE66B6">
      <w:pPr>
        <w:spacing w:after="0" w:line="240" w:lineRule="auto"/>
        <w:ind w:left="1440"/>
        <w:rPr>
          <w:rFonts w:ascii="Times New Roman" w:eastAsia="Times New Roman" w:hAnsi="Times New Roman"/>
          <w:sz w:val="24"/>
          <w:szCs w:val="24"/>
        </w:rPr>
      </w:pPr>
      <w:r w:rsidRPr="0057357C">
        <w:rPr>
          <w:rFonts w:ascii="Times New Roman" w:eastAsia="Times New Roman" w:hAnsi="Times New Roman"/>
          <w:noProof/>
          <w:snapToGrid w:val="0"/>
          <w:sz w:val="24"/>
          <w:szCs w:val="24"/>
        </w:rPr>
        <w:t xml:space="preserve">We base our burden estimates on current management information data, which includes data from actual interviews, as well as from years of conducting this information collection.  Per our management information data, we believe that the </w:t>
      </w:r>
      <w:r w:rsidRPr="0057357C">
        <w:rPr>
          <w:rFonts w:ascii="Times New Roman" w:eastAsia="Times New Roman" w:hAnsi="Times New Roman"/>
          <w:b/>
          <w:bCs/>
          <w:noProof/>
          <w:snapToGrid w:val="0"/>
          <w:sz w:val="24"/>
          <w:szCs w:val="24"/>
        </w:rPr>
        <w:t>13</w:t>
      </w:r>
      <w:r w:rsidRPr="0057357C">
        <w:rPr>
          <w:rFonts w:ascii="Times New Roman" w:eastAsia="Times New Roman" w:hAnsi="Times New Roman"/>
          <w:noProof/>
          <w:snapToGrid w:val="0"/>
          <w:sz w:val="24"/>
          <w:szCs w:val="24"/>
        </w:rPr>
        <w:t xml:space="preserve"> minutes shown in our chart above accurately shows the average burden per response for reading the instructions, gathering the facts, and answering the questions.  Based on our current management information data, the current burden information we provided is accurate</w:t>
      </w:r>
      <w:r w:rsidRPr="0057357C">
        <w:rPr>
          <w:rFonts w:ascii="Times New Roman" w:eastAsia="Times New Roman" w:hAnsi="Times New Roman"/>
          <w:snapToGrid w:val="0"/>
          <w:sz w:val="24"/>
          <w:szCs w:val="24"/>
        </w:rPr>
        <w:t xml:space="preserve">.  The total burden for this ICR is </w:t>
      </w:r>
      <w:r w:rsidRPr="0057357C">
        <w:rPr>
          <w:rFonts w:ascii="Times New Roman" w:eastAsia="Times New Roman" w:hAnsi="Times New Roman"/>
          <w:b/>
          <w:snapToGrid w:val="0"/>
          <w:sz w:val="24"/>
          <w:szCs w:val="24"/>
        </w:rPr>
        <w:t>10,617</w:t>
      </w:r>
      <w:r w:rsidRPr="0057357C">
        <w:rPr>
          <w:rFonts w:ascii="Times New Roman" w:eastAsia="Times New Roman" w:hAnsi="Times New Roman"/>
          <w:snapToGrid w:val="0"/>
          <w:sz w:val="24"/>
          <w:szCs w:val="24"/>
        </w:rPr>
        <w:t xml:space="preserve"> burden hours (reflecting SSA management information data), which results in an associated theoretical (not actual) opportunity cost financial burden of </w:t>
      </w:r>
      <w:r w:rsidRPr="0057357C">
        <w:rPr>
          <w:rFonts w:ascii="Times New Roman" w:eastAsia="Times New Roman" w:hAnsi="Times New Roman"/>
          <w:b/>
          <w:snapToGrid w:val="0"/>
          <w:sz w:val="24"/>
          <w:szCs w:val="24"/>
        </w:rPr>
        <w:t>$</w:t>
      </w:r>
      <w:r w:rsidR="00E55846">
        <w:rPr>
          <w:rFonts w:ascii="Times New Roman" w:eastAsia="Times New Roman" w:hAnsi="Times New Roman"/>
          <w:b/>
          <w:snapToGrid w:val="0"/>
          <w:sz w:val="24"/>
          <w:szCs w:val="24"/>
        </w:rPr>
        <w:t>727,736</w:t>
      </w:r>
      <w:r w:rsidRPr="0057357C">
        <w:rPr>
          <w:rFonts w:ascii="Times New Roman" w:eastAsia="Times New Roman" w:hAnsi="Times New Roman"/>
          <w:snapToGrid w:val="0"/>
          <w:sz w:val="24"/>
          <w:szCs w:val="24"/>
        </w:rPr>
        <w:t>.  SSA does not charge respondents to complete our applications</w:t>
      </w:r>
      <w:r>
        <w:rPr>
          <w:rFonts w:ascii="Times New Roman" w:eastAsia="Times New Roman" w:hAnsi="Times New Roman"/>
          <w:snapToGrid w:val="0"/>
          <w:sz w:val="24"/>
          <w:szCs w:val="24"/>
        </w:rPr>
        <w:t>.</w:t>
      </w:r>
    </w:p>
    <w:p w:rsidR="00D66549" w:rsidP="00F9308A" w14:paraId="5B917997" w14:textId="77777777">
      <w:pPr>
        <w:pStyle w:val="Default"/>
        <w:ind w:left="1440"/>
        <w:rPr>
          <w:b/>
          <w:bCs/>
          <w:color w:val="auto"/>
          <w:u w:val="single"/>
        </w:rPr>
      </w:pPr>
    </w:p>
    <w:p w:rsidR="00DD24A4" w:rsidRPr="00D66549" w:rsidP="00F9308A" w14:paraId="73D39DC8" w14:textId="77777777">
      <w:pPr>
        <w:pStyle w:val="Default"/>
        <w:numPr>
          <w:ilvl w:val="0"/>
          <w:numId w:val="8"/>
        </w:numPr>
        <w:ind w:left="1440" w:hanging="720"/>
        <w:rPr>
          <w:b/>
          <w:bCs/>
          <w:color w:val="auto"/>
          <w:u w:val="single"/>
        </w:rPr>
      </w:pPr>
      <w:r w:rsidRPr="00CF5000">
        <w:rPr>
          <w:b/>
        </w:rPr>
        <w:t>Annual</w:t>
      </w:r>
      <w:r w:rsidRPr="00CF5000">
        <w:t xml:space="preserve"> </w:t>
      </w:r>
      <w:r w:rsidRPr="00CF5000">
        <w:rPr>
          <w:b/>
        </w:rPr>
        <w:t>Cost to the Respondents (Other)</w:t>
      </w:r>
    </w:p>
    <w:p w:rsidR="00D66549" w:rsidP="00F9308A" w14:paraId="1858F772" w14:textId="77777777">
      <w:pPr>
        <w:pStyle w:val="Default"/>
        <w:ind w:left="1440"/>
        <w:rPr>
          <w:b/>
        </w:rPr>
      </w:pPr>
      <w:r w:rsidRPr="00CF5000">
        <w:rPr>
          <w:color w:val="auto"/>
        </w:rPr>
        <w:t>This collection does not impose a known cost burden on the respondents</w:t>
      </w:r>
      <w:r>
        <w:rPr>
          <w:color w:val="auto"/>
        </w:rPr>
        <w:t>.</w:t>
      </w:r>
    </w:p>
    <w:p w:rsidR="00D66549" w:rsidP="00F9308A" w14:paraId="28199892" w14:textId="77777777">
      <w:pPr>
        <w:pStyle w:val="Default"/>
        <w:ind w:left="1440"/>
        <w:rPr>
          <w:b/>
          <w:bCs/>
          <w:color w:val="auto"/>
          <w:u w:val="single"/>
        </w:rPr>
      </w:pPr>
    </w:p>
    <w:p w:rsidR="00DD24A4" w:rsidRPr="00D66549" w:rsidP="00F9308A" w14:paraId="78FEEFCE" w14:textId="77777777">
      <w:pPr>
        <w:pStyle w:val="Default"/>
        <w:numPr>
          <w:ilvl w:val="0"/>
          <w:numId w:val="8"/>
        </w:numPr>
        <w:ind w:left="1440" w:hanging="720"/>
        <w:rPr>
          <w:b/>
          <w:bCs/>
          <w:color w:val="auto"/>
          <w:u w:val="single"/>
        </w:rPr>
      </w:pPr>
      <w:r w:rsidRPr="00CF5000">
        <w:rPr>
          <w:b/>
        </w:rPr>
        <w:t xml:space="preserve">Annual Cost </w:t>
      </w:r>
      <w:r>
        <w:rPr>
          <w:b/>
        </w:rPr>
        <w:t>t</w:t>
      </w:r>
      <w:r w:rsidRPr="00CF5000">
        <w:rPr>
          <w:b/>
        </w:rPr>
        <w:t>o Federal Government</w:t>
      </w:r>
    </w:p>
    <w:p w:rsidR="00CB5ECE" w:rsidRPr="00CB5ECE" w:rsidP="00CB5ECE" w14:paraId="7A6AB39B" w14:textId="044C08F9">
      <w:pPr>
        <w:pStyle w:val="Default"/>
        <w:tabs>
          <w:tab w:val="left" w:pos="1100"/>
        </w:tabs>
        <w:ind w:left="1440"/>
        <w:rPr>
          <w:rFonts w:eastAsia="SimSun"/>
          <w:lang w:eastAsia="zh-CN"/>
        </w:rPr>
      </w:pPr>
      <w:r>
        <w:t>The annual cost to the Federal Government is approximately</w:t>
      </w:r>
      <w:r w:rsidR="00D66549">
        <w:t xml:space="preserve"> $</w:t>
      </w:r>
      <w:r>
        <w:rPr>
          <w:color w:val="auto"/>
        </w:rPr>
        <w:t>65,025</w:t>
      </w:r>
      <w:r w:rsidR="00D66549">
        <w:rPr>
          <w:color w:val="auto"/>
        </w:rPr>
        <w:t>.</w:t>
      </w:r>
      <w:r>
        <w:rPr>
          <w:color w:val="auto"/>
        </w:rPr>
        <w:t xml:space="preserve">  </w:t>
      </w:r>
      <w:r w:rsidRPr="00CB5ECE">
        <w:rPr>
          <w:rFonts w:eastAsia="Times New Roman"/>
        </w:rPr>
        <w:t>T</w:t>
      </w:r>
      <w:r w:rsidRPr="00CB5ECE">
        <w:rPr>
          <w:rFonts w:eastAsia="SimSun"/>
          <w:lang w:eastAsia="zh-CN"/>
        </w:rPr>
        <w:t>his estimate accounts for costs from the following areas:</w:t>
      </w:r>
    </w:p>
    <w:p w:rsidR="00CB5ECE" w:rsidRPr="00CB5ECE" w:rsidP="00CB5ECE" w14:paraId="6A792E67" w14:textId="77777777">
      <w:pPr>
        <w:spacing w:after="0" w:line="240" w:lineRule="auto"/>
        <w:ind w:left="1440"/>
        <w:rPr>
          <w:rFonts w:ascii="Times New Roman" w:eastAsia="SimSun" w:hAnsi="Times New Roman"/>
          <w:sz w:val="24"/>
          <w:szCs w:val="24"/>
          <w:lang w:eastAsia="zh-CN"/>
        </w:rPr>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29"/>
        <w:gridCol w:w="3689"/>
        <w:gridCol w:w="2612"/>
      </w:tblGrid>
      <w:tr w14:paraId="724037C7" w14:textId="77777777" w:rsidTr="00CB5ECE">
        <w:tblPrEx>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4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45F61CC7" w14:textId="77777777">
            <w:pPr>
              <w:spacing w:after="0" w:line="240" w:lineRule="auto"/>
              <w:rPr>
                <w:rFonts w:ascii="Times New Roman" w:hAnsi="Times New Roman"/>
                <w:b/>
                <w:bCs/>
                <w:color w:val="000000"/>
                <w:sz w:val="24"/>
                <w:szCs w:val="24"/>
              </w:rPr>
            </w:pPr>
            <w:r w:rsidRPr="00CB5ECE">
              <w:rPr>
                <w:rFonts w:ascii="Times New Roman" w:hAnsi="Times New Roman"/>
                <w:b/>
                <w:bCs/>
                <w:color w:val="000000"/>
                <w:sz w:val="24"/>
                <w:szCs w:val="24"/>
              </w:rPr>
              <w:t>Description of Cost Factor</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0DBAE5B3" w14:textId="77777777">
            <w:pPr>
              <w:spacing w:after="0" w:line="240" w:lineRule="auto"/>
              <w:rPr>
                <w:rFonts w:ascii="Times New Roman" w:hAnsi="Times New Roman"/>
                <w:b/>
                <w:bCs/>
                <w:color w:val="000000"/>
                <w:sz w:val="24"/>
                <w:szCs w:val="24"/>
              </w:rPr>
            </w:pPr>
            <w:r w:rsidRPr="00CB5ECE">
              <w:rPr>
                <w:rFonts w:ascii="Times New Roman" w:hAnsi="Times New Roman"/>
                <w:b/>
                <w:bCs/>
                <w:color w:val="000000"/>
                <w:sz w:val="24"/>
                <w:szCs w:val="24"/>
              </w:rPr>
              <w:t>Methodology for Estimating Cost</w:t>
            </w:r>
          </w:p>
        </w:tc>
        <w:tc>
          <w:tcPr>
            <w:tcW w:w="2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560AAA9D" w14:textId="77777777">
            <w:pPr>
              <w:spacing w:after="0" w:line="240" w:lineRule="auto"/>
              <w:rPr>
                <w:rFonts w:ascii="Times New Roman" w:hAnsi="Times New Roman"/>
                <w:b/>
                <w:bCs/>
                <w:color w:val="000000"/>
                <w:sz w:val="24"/>
                <w:szCs w:val="24"/>
              </w:rPr>
            </w:pPr>
            <w:r w:rsidRPr="00CB5ECE">
              <w:rPr>
                <w:rFonts w:ascii="Times New Roman" w:hAnsi="Times New Roman"/>
                <w:b/>
                <w:bCs/>
                <w:color w:val="000000"/>
                <w:sz w:val="24"/>
                <w:szCs w:val="24"/>
              </w:rPr>
              <w:t>Cost in Dollars*</w:t>
            </w:r>
          </w:p>
        </w:tc>
      </w:tr>
      <w:tr w14:paraId="284A096A" w14:textId="77777777" w:rsidTr="00CB5ECE">
        <w:tblPrEx>
          <w:tblW w:w="10530" w:type="dxa"/>
          <w:tblInd w:w="-10" w:type="dxa"/>
          <w:tblCellMar>
            <w:left w:w="0" w:type="dxa"/>
            <w:right w:w="0" w:type="dxa"/>
          </w:tblCellMar>
          <w:tblLook w:val="04A0"/>
        </w:tblPrEx>
        <w:tc>
          <w:tcPr>
            <w:tcW w:w="4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24A8B8F8"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Designing and Printing the Form</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77CCB651"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Design Cost + Printing Cost</w:t>
            </w:r>
          </w:p>
        </w:tc>
        <w:tc>
          <w:tcPr>
            <w:tcW w:w="2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037B326C" w14:textId="7A9E3316">
            <w:pPr>
              <w:spacing w:after="0" w:line="240" w:lineRule="auto"/>
              <w:jc w:val="right"/>
              <w:rPr>
                <w:rFonts w:ascii="Times New Roman" w:hAnsi="Times New Roman"/>
                <w:color w:val="000000"/>
                <w:sz w:val="24"/>
                <w:szCs w:val="24"/>
              </w:rPr>
            </w:pPr>
            <w:r w:rsidRPr="00CB5ECE">
              <w:rPr>
                <w:rFonts w:ascii="Times New Roman" w:hAnsi="Times New Roman"/>
                <w:color w:val="000000"/>
                <w:sz w:val="24"/>
                <w:szCs w:val="24"/>
              </w:rPr>
              <w:t>$</w:t>
            </w:r>
            <w:r>
              <w:rPr>
                <w:rFonts w:ascii="Times New Roman" w:hAnsi="Times New Roman"/>
                <w:color w:val="000000"/>
                <w:sz w:val="24"/>
                <w:szCs w:val="24"/>
              </w:rPr>
              <w:t>275</w:t>
            </w:r>
          </w:p>
        </w:tc>
      </w:tr>
      <w:tr w14:paraId="2E00E50D" w14:textId="77777777" w:rsidTr="00CB5ECE">
        <w:tblPrEx>
          <w:tblW w:w="10530" w:type="dxa"/>
          <w:tblInd w:w="-10" w:type="dxa"/>
          <w:tblCellMar>
            <w:left w:w="0" w:type="dxa"/>
            <w:right w:w="0" w:type="dxa"/>
          </w:tblCellMar>
          <w:tblLook w:val="04A0"/>
        </w:tblPrEx>
        <w:tc>
          <w:tcPr>
            <w:tcW w:w="4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3B57F97B"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Distributing, Shipping, and Material Costs for the Form</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390AB295"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Distribution + Shipping + Material Cost</w:t>
            </w:r>
          </w:p>
        </w:tc>
        <w:tc>
          <w:tcPr>
            <w:tcW w:w="2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6A71E23B" w14:textId="76ACF041">
            <w:pPr>
              <w:spacing w:after="0" w:line="240" w:lineRule="auto"/>
              <w:jc w:val="right"/>
              <w:rPr>
                <w:rFonts w:ascii="Times New Roman" w:hAnsi="Times New Roman"/>
                <w:color w:val="000000"/>
                <w:sz w:val="24"/>
                <w:szCs w:val="24"/>
              </w:rPr>
            </w:pPr>
            <w:r w:rsidRPr="00CB5ECE">
              <w:rPr>
                <w:rFonts w:ascii="Times New Roman" w:hAnsi="Times New Roman"/>
                <w:color w:val="000000"/>
                <w:sz w:val="24"/>
                <w:szCs w:val="24"/>
              </w:rPr>
              <w:t>$</w:t>
            </w:r>
            <w:r>
              <w:rPr>
                <w:rFonts w:ascii="Times New Roman" w:hAnsi="Times New Roman"/>
                <w:color w:val="000000"/>
                <w:sz w:val="24"/>
                <w:szCs w:val="24"/>
              </w:rPr>
              <w:t>0</w:t>
            </w:r>
            <w:r w:rsidR="003C60BD">
              <w:rPr>
                <w:rFonts w:ascii="Times New Roman" w:hAnsi="Times New Roman"/>
                <w:color w:val="000000"/>
                <w:sz w:val="24"/>
                <w:szCs w:val="24"/>
              </w:rPr>
              <w:t>*</w:t>
            </w:r>
          </w:p>
        </w:tc>
      </w:tr>
      <w:tr w14:paraId="04A7B3A8" w14:textId="77777777" w:rsidTr="00CB5ECE">
        <w:tblPrEx>
          <w:tblW w:w="10530" w:type="dxa"/>
          <w:tblInd w:w="-10" w:type="dxa"/>
          <w:tblCellMar>
            <w:left w:w="0" w:type="dxa"/>
            <w:right w:w="0" w:type="dxa"/>
          </w:tblCellMar>
          <w:tblLook w:val="04A0"/>
        </w:tblPrEx>
        <w:tc>
          <w:tcPr>
            <w:tcW w:w="4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735FE19C"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SSA Employee (e.g., field office, 800 number, DDS staff) Information Collection and Processing Time</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405F1F39"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GS-9 employee x # of responses x processing time</w:t>
            </w:r>
          </w:p>
        </w:tc>
        <w:tc>
          <w:tcPr>
            <w:tcW w:w="2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1C3DA9CC" w14:textId="7DA080B8">
            <w:pPr>
              <w:spacing w:after="0" w:line="240" w:lineRule="auto"/>
              <w:jc w:val="right"/>
              <w:rPr>
                <w:rFonts w:ascii="Times New Roman" w:hAnsi="Times New Roman"/>
                <w:color w:val="000000"/>
                <w:sz w:val="24"/>
                <w:szCs w:val="24"/>
              </w:rPr>
            </w:pPr>
            <w:r w:rsidRPr="00CB5ECE">
              <w:rPr>
                <w:rFonts w:ascii="Times New Roman" w:hAnsi="Times New Roman"/>
                <w:color w:val="000000"/>
                <w:sz w:val="24"/>
                <w:szCs w:val="24"/>
              </w:rPr>
              <w:t>$</w:t>
            </w:r>
            <w:r>
              <w:rPr>
                <w:rFonts w:ascii="Times New Roman" w:hAnsi="Times New Roman"/>
                <w:color w:val="000000"/>
                <w:sz w:val="24"/>
                <w:szCs w:val="24"/>
              </w:rPr>
              <w:t>60,000</w:t>
            </w:r>
          </w:p>
        </w:tc>
      </w:tr>
      <w:tr w14:paraId="329EB8CF" w14:textId="77777777" w:rsidTr="00CB5ECE">
        <w:tblPrEx>
          <w:tblW w:w="10530" w:type="dxa"/>
          <w:tblInd w:w="-10" w:type="dxa"/>
          <w:tblCellMar>
            <w:left w:w="0" w:type="dxa"/>
            <w:right w:w="0" w:type="dxa"/>
          </w:tblCellMar>
          <w:tblLook w:val="04A0"/>
        </w:tblPrEx>
        <w:tc>
          <w:tcPr>
            <w:tcW w:w="4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30A3DE84"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Full-Time Equivalent Costs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199C476C"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Out of pocket costs + Other expenses for providing this service</w:t>
            </w:r>
          </w:p>
        </w:tc>
        <w:tc>
          <w:tcPr>
            <w:tcW w:w="2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1B6CA911" w14:textId="6389D4CA">
            <w:pPr>
              <w:spacing w:after="0" w:line="240" w:lineRule="auto"/>
              <w:jc w:val="right"/>
              <w:rPr>
                <w:rFonts w:ascii="Times New Roman" w:hAnsi="Times New Roman"/>
                <w:color w:val="000000"/>
                <w:sz w:val="24"/>
                <w:szCs w:val="24"/>
              </w:rPr>
            </w:pPr>
            <w:r w:rsidRPr="00CB5ECE">
              <w:rPr>
                <w:rFonts w:ascii="Times New Roman" w:hAnsi="Times New Roman"/>
                <w:color w:val="000000"/>
                <w:sz w:val="24"/>
                <w:szCs w:val="24"/>
              </w:rPr>
              <w:t>$0</w:t>
            </w:r>
            <w:r w:rsidR="003C60BD">
              <w:rPr>
                <w:rFonts w:ascii="Times New Roman" w:hAnsi="Times New Roman"/>
                <w:color w:val="000000"/>
                <w:sz w:val="24"/>
                <w:szCs w:val="24"/>
              </w:rPr>
              <w:t>*</w:t>
            </w:r>
          </w:p>
        </w:tc>
      </w:tr>
      <w:tr w14:paraId="4F7A3A4C" w14:textId="77777777" w:rsidTr="00CB5ECE">
        <w:tblPrEx>
          <w:tblW w:w="10530" w:type="dxa"/>
          <w:tblInd w:w="-10" w:type="dxa"/>
          <w:tblCellMar>
            <w:left w:w="0" w:type="dxa"/>
            <w:right w:w="0" w:type="dxa"/>
          </w:tblCellMar>
          <w:tblLook w:val="04A0"/>
        </w:tblPrEx>
        <w:tc>
          <w:tcPr>
            <w:tcW w:w="4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0E24A98E"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Systems Development, Updating, and Maintenance</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2F896396"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GS-9 employee x man hours for development, updating, maintenance</w:t>
            </w:r>
          </w:p>
        </w:tc>
        <w:tc>
          <w:tcPr>
            <w:tcW w:w="2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44BE3168" w14:textId="247D7888">
            <w:pPr>
              <w:spacing w:after="0" w:line="240" w:lineRule="auto"/>
              <w:jc w:val="right"/>
              <w:rPr>
                <w:rFonts w:ascii="Times New Roman" w:hAnsi="Times New Roman"/>
                <w:color w:val="000000"/>
                <w:sz w:val="24"/>
                <w:szCs w:val="24"/>
              </w:rPr>
            </w:pPr>
            <w:r w:rsidRPr="00CB5ECE">
              <w:rPr>
                <w:rFonts w:ascii="Times New Roman" w:hAnsi="Times New Roman"/>
                <w:color w:val="000000"/>
                <w:sz w:val="24"/>
                <w:szCs w:val="24"/>
              </w:rPr>
              <w:t>$</w:t>
            </w:r>
            <w:r>
              <w:rPr>
                <w:rFonts w:ascii="Times New Roman" w:hAnsi="Times New Roman"/>
                <w:color w:val="000000"/>
                <w:sz w:val="24"/>
                <w:szCs w:val="24"/>
              </w:rPr>
              <w:t>4,750</w:t>
            </w:r>
          </w:p>
        </w:tc>
      </w:tr>
      <w:tr w14:paraId="2F69B125" w14:textId="77777777" w:rsidTr="00CB5ECE">
        <w:tblPrEx>
          <w:tblW w:w="10530" w:type="dxa"/>
          <w:tblInd w:w="-10" w:type="dxa"/>
          <w:tblCellMar>
            <w:left w:w="0" w:type="dxa"/>
            <w:right w:w="0" w:type="dxa"/>
          </w:tblCellMar>
          <w:tblLook w:val="04A0"/>
        </w:tblPrEx>
        <w:tc>
          <w:tcPr>
            <w:tcW w:w="4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1F1B5572"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Quantifiable IT Costs</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76A9B61A"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Any additional IT costs</w:t>
            </w:r>
          </w:p>
        </w:tc>
        <w:tc>
          <w:tcPr>
            <w:tcW w:w="2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67BBEC6B" w14:textId="39B527DE">
            <w:pPr>
              <w:spacing w:after="0" w:line="240" w:lineRule="auto"/>
              <w:jc w:val="right"/>
              <w:rPr>
                <w:rFonts w:ascii="Times New Roman" w:hAnsi="Times New Roman"/>
                <w:color w:val="000000"/>
                <w:sz w:val="24"/>
                <w:szCs w:val="24"/>
              </w:rPr>
            </w:pPr>
            <w:r w:rsidRPr="00CB5ECE">
              <w:rPr>
                <w:rFonts w:ascii="Times New Roman" w:hAnsi="Times New Roman"/>
                <w:color w:val="000000"/>
                <w:sz w:val="24"/>
                <w:szCs w:val="24"/>
              </w:rPr>
              <w:t>$0</w:t>
            </w:r>
            <w:r w:rsidR="003C60BD">
              <w:rPr>
                <w:rFonts w:ascii="Times New Roman" w:hAnsi="Times New Roman"/>
                <w:color w:val="000000"/>
                <w:sz w:val="24"/>
                <w:szCs w:val="24"/>
              </w:rPr>
              <w:t>*</w:t>
            </w:r>
          </w:p>
        </w:tc>
      </w:tr>
      <w:tr w14:paraId="74B91034" w14:textId="77777777" w:rsidTr="00CB5ECE">
        <w:tblPrEx>
          <w:tblW w:w="10530" w:type="dxa"/>
          <w:tblInd w:w="-10" w:type="dxa"/>
          <w:tblCellMar>
            <w:left w:w="0" w:type="dxa"/>
            <w:right w:w="0" w:type="dxa"/>
          </w:tblCellMar>
          <w:tblLook w:val="04A0"/>
        </w:tblPrEx>
        <w:tc>
          <w:tcPr>
            <w:tcW w:w="4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04BD9DFB" w14:textId="77777777">
            <w:pPr>
              <w:spacing w:after="0" w:line="240" w:lineRule="auto"/>
              <w:rPr>
                <w:rFonts w:ascii="Times New Roman" w:hAnsi="Times New Roman"/>
                <w:b/>
                <w:color w:val="000000"/>
                <w:sz w:val="24"/>
                <w:szCs w:val="24"/>
              </w:rPr>
            </w:pPr>
            <w:r w:rsidRPr="00CB5ECE">
              <w:rPr>
                <w:rFonts w:ascii="Times New Roman" w:hAnsi="Times New Roman"/>
                <w:b/>
                <w:color w:val="000000"/>
                <w:sz w:val="24"/>
                <w:szCs w:val="24"/>
              </w:rPr>
              <w:t>Total</w:t>
            </w:r>
          </w:p>
        </w:tc>
        <w:tc>
          <w:tcPr>
            <w:tcW w:w="3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5ECE" w:rsidRPr="00CB5ECE" w:rsidP="00CB5ECE" w14:paraId="796248DF" w14:textId="77777777">
            <w:pPr>
              <w:spacing w:after="0" w:line="240" w:lineRule="auto"/>
              <w:rPr>
                <w:rFonts w:ascii="Times New Roman" w:hAnsi="Times New Roman"/>
                <w:b/>
                <w:color w:val="000000"/>
                <w:sz w:val="24"/>
                <w:szCs w:val="24"/>
              </w:rPr>
            </w:pPr>
          </w:p>
        </w:tc>
        <w:tc>
          <w:tcPr>
            <w:tcW w:w="2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5ECE" w:rsidRPr="00CB5ECE" w:rsidP="00CB5ECE" w14:paraId="4A929709" w14:textId="10C5A1B1">
            <w:pPr>
              <w:spacing w:after="0" w:line="240" w:lineRule="auto"/>
              <w:jc w:val="right"/>
              <w:rPr>
                <w:rFonts w:ascii="Times New Roman" w:hAnsi="Times New Roman"/>
                <w:b/>
                <w:color w:val="000000"/>
                <w:sz w:val="24"/>
                <w:szCs w:val="24"/>
              </w:rPr>
            </w:pPr>
            <w:r w:rsidRPr="00CB5ECE">
              <w:rPr>
                <w:rFonts w:ascii="Times New Roman" w:hAnsi="Times New Roman"/>
                <w:b/>
                <w:color w:val="000000"/>
                <w:sz w:val="24"/>
                <w:szCs w:val="24"/>
              </w:rPr>
              <w:t>$</w:t>
            </w:r>
            <w:r>
              <w:rPr>
                <w:rFonts w:ascii="Times New Roman" w:hAnsi="Times New Roman"/>
                <w:b/>
                <w:color w:val="000000"/>
                <w:sz w:val="24"/>
                <w:szCs w:val="24"/>
              </w:rPr>
              <w:t>65,025</w:t>
            </w:r>
          </w:p>
        </w:tc>
      </w:tr>
    </w:tbl>
    <w:p w:rsidR="00CB5ECE" w:rsidRPr="00CB5ECE" w:rsidP="00CB5ECE" w14:paraId="7AAF9638" w14:textId="18C0EBFD">
      <w:pPr>
        <w:spacing w:after="0" w:line="240" w:lineRule="auto"/>
        <w:ind w:left="1440"/>
        <w:contextualSpacing/>
        <w:rPr>
          <w:rFonts w:ascii="Times New Roman" w:hAnsi="Times New Roman"/>
          <w:sz w:val="24"/>
          <w:szCs w:val="24"/>
        </w:rPr>
      </w:pPr>
      <w:r w:rsidRPr="00CB5ECE">
        <w:rPr>
          <w:rFonts w:ascii="Times New Roman" w:hAnsi="Times New Roman"/>
          <w:sz w:val="24"/>
          <w:szCs w:val="24"/>
        </w:rPr>
        <w:t>* We have inserted a $0 amount for cost factors that do not apply to this collection.</w:t>
      </w:r>
    </w:p>
    <w:p w:rsidR="00CB5ECE" w:rsidRPr="00CB5ECE" w:rsidP="00CB5ECE" w14:paraId="3D22E1F2" w14:textId="77777777">
      <w:pPr>
        <w:spacing w:after="0" w:line="240" w:lineRule="auto"/>
        <w:ind w:left="1440"/>
        <w:contextualSpacing/>
        <w:rPr>
          <w:rFonts w:ascii="Times New Roman" w:hAnsi="Times New Roman"/>
          <w:sz w:val="24"/>
          <w:szCs w:val="24"/>
        </w:rPr>
      </w:pPr>
    </w:p>
    <w:p w:rsidR="00D66549" w:rsidP="00CB5ECE" w14:paraId="674298B6" w14:textId="7E42E7A3">
      <w:pPr>
        <w:pStyle w:val="Default"/>
        <w:tabs>
          <w:tab w:val="left" w:pos="1100"/>
        </w:tabs>
        <w:ind w:left="1440"/>
        <w:rPr>
          <w:b/>
        </w:rPr>
      </w:pPr>
      <w:r w:rsidRPr="00CB5ECE">
        <w:rPr>
          <w:rFonts w:eastAsia="Times New Roman"/>
          <w:color w:val="auto"/>
          <w:lang w:eastAsia="zh-CN"/>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CB5ECE">
        <w:rPr>
          <w:rFonts w:eastAsia="Times New Roman"/>
          <w:snapToGrid w:val="0"/>
        </w:rPr>
        <w:t>.</w:t>
      </w:r>
      <w:r>
        <w:rPr>
          <w:b/>
        </w:rPr>
        <w:tab/>
      </w:r>
    </w:p>
    <w:p w:rsidR="00CB5ECE" w:rsidRPr="00D66549" w:rsidP="00F9308A" w14:paraId="68CD3992" w14:textId="77777777">
      <w:pPr>
        <w:pStyle w:val="Default"/>
        <w:tabs>
          <w:tab w:val="left" w:pos="1100"/>
        </w:tabs>
        <w:ind w:left="1440"/>
        <w:rPr>
          <w:b/>
        </w:rPr>
      </w:pPr>
    </w:p>
    <w:p w:rsidR="00DD24A4" w:rsidRPr="00D66549" w:rsidP="00F9308A" w14:paraId="00E96719" w14:textId="77777777">
      <w:pPr>
        <w:pStyle w:val="Default"/>
        <w:numPr>
          <w:ilvl w:val="0"/>
          <w:numId w:val="8"/>
        </w:numPr>
        <w:ind w:left="1440" w:hanging="720"/>
        <w:rPr>
          <w:b/>
          <w:bCs/>
          <w:color w:val="auto"/>
          <w:u w:val="single"/>
        </w:rPr>
      </w:pPr>
      <w:r w:rsidRPr="00CF5000">
        <w:rPr>
          <w:b/>
        </w:rPr>
        <w:t>Program Changes or Adjustments to the Information Collection Request</w:t>
      </w:r>
    </w:p>
    <w:p w:rsidR="00D66549" w:rsidP="00F9308A" w14:paraId="1524C98E" w14:textId="5F2A1AC6">
      <w:pPr>
        <w:pStyle w:val="Default"/>
        <w:ind w:left="1440"/>
        <w:rPr>
          <w:iCs/>
        </w:rPr>
      </w:pPr>
      <w:r w:rsidRPr="00A2665B">
        <w:rPr>
          <w:iCs/>
        </w:rPr>
        <w:t>When we last cleared this IC in 201</w:t>
      </w:r>
      <w:r>
        <w:rPr>
          <w:iCs/>
        </w:rPr>
        <w:t>8</w:t>
      </w:r>
      <w:r w:rsidRPr="00A2665B">
        <w:rPr>
          <w:iCs/>
        </w:rPr>
        <w:t xml:space="preserve">, the burden was </w:t>
      </w:r>
      <w:r>
        <w:rPr>
          <w:iCs/>
        </w:rPr>
        <w:t>6,500</w:t>
      </w:r>
      <w:r w:rsidRPr="00A2665B">
        <w:rPr>
          <w:iCs/>
        </w:rPr>
        <w:t xml:space="preserve"> hours.  However, we are currently reporting a burden of </w:t>
      </w:r>
      <w:r>
        <w:rPr>
          <w:iCs/>
        </w:rPr>
        <w:t>10,617</w:t>
      </w:r>
      <w:r w:rsidRPr="00A2665B">
        <w:rPr>
          <w:iCs/>
        </w:rPr>
        <w:t xml:space="preserve"> hours.  This change stems </w:t>
      </w:r>
      <w:r>
        <w:rPr>
          <w:iCs/>
        </w:rPr>
        <w:t xml:space="preserve">from </w:t>
      </w:r>
      <w:r w:rsidRPr="00A2665B">
        <w:rPr>
          <w:iCs/>
        </w:rPr>
        <w:t>a</w:t>
      </w:r>
      <w:r>
        <w:rPr>
          <w:iCs/>
        </w:rPr>
        <w:t xml:space="preserve">n </w:t>
      </w:r>
      <w:r w:rsidRPr="00A2665B">
        <w:rPr>
          <w:iCs/>
        </w:rPr>
        <w:t xml:space="preserve">increase in the number of responses from </w:t>
      </w:r>
      <w:r>
        <w:rPr>
          <w:iCs/>
        </w:rPr>
        <w:t>30,000</w:t>
      </w:r>
      <w:r w:rsidRPr="00A2665B">
        <w:rPr>
          <w:iCs/>
        </w:rPr>
        <w:t xml:space="preserve"> to </w:t>
      </w:r>
      <w:r>
        <w:rPr>
          <w:iCs/>
        </w:rPr>
        <w:t>49,000</w:t>
      </w:r>
      <w:r w:rsidRPr="00A2665B">
        <w:rPr>
          <w:iCs/>
        </w:rPr>
        <w:t>.  There is no change to the burden time per response.  Although the number of responses changed, SSA did not take any actions to cause this change.  These figures represent current Management Information data</w:t>
      </w:r>
      <w:r w:rsidRPr="00A2665B">
        <w:rPr>
          <w:iCs/>
        </w:rPr>
        <w:t>.</w:t>
      </w:r>
    </w:p>
    <w:p w:rsidR="003C60BD" w:rsidP="00F9308A" w14:paraId="6D52154A" w14:textId="01079F4A">
      <w:pPr>
        <w:pStyle w:val="Default"/>
        <w:ind w:left="1440"/>
        <w:rPr>
          <w:iCs/>
        </w:rPr>
      </w:pPr>
    </w:p>
    <w:p w:rsidR="003C60BD" w:rsidRPr="003C60BD" w:rsidP="00F9308A" w14:paraId="1C768079" w14:textId="629C9A81">
      <w:pPr>
        <w:pStyle w:val="Default"/>
        <w:ind w:left="1440"/>
        <w:rPr>
          <w:bCs/>
          <w:iCs/>
        </w:rPr>
      </w:pPr>
      <w:r>
        <w:rPr>
          <w:bCs/>
          <w:iCs/>
        </w:rPr>
        <w:t>NOTE</w:t>
      </w:r>
      <w:r w:rsidRPr="003C60BD">
        <w:rPr>
          <w:bCs/>
          <w:iCs/>
        </w:rPr>
        <w:t xml:space="preserve">: </w:t>
      </w:r>
      <w:r>
        <w:rPr>
          <w:bCs/>
          <w:iCs/>
        </w:rPr>
        <w:t xml:space="preserve"> </w:t>
      </w:r>
      <w:r w:rsidRPr="003C60BD">
        <w:rPr>
          <w:bCs/>
          <w:iCs/>
        </w:rPr>
        <w:t xml:space="preserve">The total burden reflected in ROCIS is </w:t>
      </w:r>
      <w:r w:rsidRPr="003C60BD">
        <w:rPr>
          <w:b/>
          <w:iCs/>
        </w:rPr>
        <w:t>54,717</w:t>
      </w:r>
      <w:r w:rsidRPr="003C60BD">
        <w:rPr>
          <w:bCs/>
          <w:iCs/>
        </w:rPr>
        <w:t xml:space="preserve">, while the burden cited in #12 of the Supporting Statement is </w:t>
      </w:r>
      <w:r w:rsidRPr="003C60BD">
        <w:rPr>
          <w:b/>
          <w:iCs/>
        </w:rPr>
        <w:t>10,617</w:t>
      </w:r>
      <w:r w:rsidRPr="003C60BD">
        <w:rPr>
          <w:bCs/>
          <w:iCs/>
        </w:rPr>
        <w:t>.  This discrepancy is because the ROCIS burden reflects the following components:  field office waiting time + a rough estimate of a 30-minute, one-way, drive burden.  In contrast, the chart in #12 of the Supporting Statement reflects actual burden.</w:t>
      </w:r>
    </w:p>
    <w:p w:rsidR="00D66549" w:rsidP="00F9308A" w14:paraId="3F550B27" w14:textId="77777777">
      <w:pPr>
        <w:pStyle w:val="Default"/>
        <w:ind w:left="1440"/>
        <w:rPr>
          <w:b/>
          <w:bCs/>
          <w:color w:val="auto"/>
          <w:u w:val="single"/>
        </w:rPr>
      </w:pPr>
    </w:p>
    <w:p w:rsidR="00DD24A4" w:rsidRPr="00D66549" w:rsidP="00F9308A" w14:paraId="3C99AFD9" w14:textId="77777777">
      <w:pPr>
        <w:pStyle w:val="Default"/>
        <w:numPr>
          <w:ilvl w:val="0"/>
          <w:numId w:val="8"/>
        </w:numPr>
        <w:ind w:left="1440" w:hanging="720"/>
        <w:rPr>
          <w:b/>
          <w:bCs/>
          <w:color w:val="auto"/>
          <w:u w:val="single"/>
        </w:rPr>
      </w:pPr>
      <w:r w:rsidRPr="00CF5000">
        <w:rPr>
          <w:b/>
        </w:rPr>
        <w:t>Plans for Publication Information Collection Results</w:t>
      </w:r>
    </w:p>
    <w:p w:rsidR="00D66549" w:rsidP="00F9308A" w14:paraId="6EFBDD5D" w14:textId="77777777">
      <w:pPr>
        <w:pStyle w:val="Default"/>
        <w:ind w:left="1440"/>
        <w:rPr>
          <w:b/>
        </w:rPr>
      </w:pPr>
      <w:r w:rsidRPr="00CF5000">
        <w:t>SSA will not publish the results of the information</w:t>
      </w:r>
      <w:r>
        <w:t xml:space="preserve"> </w:t>
      </w:r>
      <w:r w:rsidRPr="00CF5000">
        <w:t>collection</w:t>
      </w:r>
      <w:r>
        <w:t>.</w:t>
      </w:r>
    </w:p>
    <w:p w:rsidR="00D66549" w:rsidP="00F9308A" w14:paraId="4F682834" w14:textId="77777777">
      <w:pPr>
        <w:pStyle w:val="Default"/>
        <w:ind w:left="1440"/>
        <w:rPr>
          <w:b/>
          <w:bCs/>
          <w:color w:val="auto"/>
          <w:u w:val="single"/>
        </w:rPr>
      </w:pPr>
    </w:p>
    <w:p w:rsidR="00DD24A4" w:rsidRPr="00D66549" w:rsidP="00F9308A" w14:paraId="69DB30A0" w14:textId="77777777">
      <w:pPr>
        <w:pStyle w:val="Default"/>
        <w:numPr>
          <w:ilvl w:val="0"/>
          <w:numId w:val="8"/>
        </w:numPr>
        <w:ind w:left="1440" w:hanging="720"/>
        <w:rPr>
          <w:b/>
          <w:bCs/>
          <w:color w:val="auto"/>
          <w:u w:val="single"/>
        </w:rPr>
      </w:pPr>
      <w:r w:rsidRPr="00CF5000">
        <w:rPr>
          <w:b/>
        </w:rPr>
        <w:t>Displaying the OMB Approval Expiration Date</w:t>
      </w:r>
    </w:p>
    <w:p w:rsidR="00D66549" w:rsidP="00F9308A" w14:paraId="18E54CE2" w14:textId="77777777">
      <w:pPr>
        <w:pStyle w:val="Default"/>
        <w:ind w:left="1440"/>
        <w:rPr>
          <w:b/>
        </w:rPr>
      </w:pPr>
      <w:r w:rsidRPr="00A25F38">
        <w:t xml:space="preserve">OMB granted SSA an exemption from the requirement to print the OMB expiration date on its program forms.  SSA produces millions of public-use forms with life cycles exceeding those of an OMB approval.  Since SSA does not </w:t>
      </w:r>
      <w:r w:rsidRPr="00A25F38">
        <w:t>periodically revise and reprint its public-use forms (e.g., on an annual basis), OMB granted this exemption so SSA would not have to destroy stocks of otherwise useable forms with expired OMB approval dates, avoiding Government waste</w:t>
      </w:r>
      <w:r>
        <w:t>.</w:t>
      </w:r>
    </w:p>
    <w:p w:rsidR="00D66549" w:rsidP="00F9308A" w14:paraId="2FC33D04" w14:textId="77777777">
      <w:pPr>
        <w:pStyle w:val="Default"/>
        <w:ind w:left="1440"/>
        <w:rPr>
          <w:b/>
          <w:bCs/>
          <w:color w:val="auto"/>
          <w:u w:val="single"/>
        </w:rPr>
      </w:pPr>
    </w:p>
    <w:p w:rsidR="00DD24A4" w:rsidRPr="00D66549" w:rsidP="00F9308A" w14:paraId="70087DCB" w14:textId="77777777">
      <w:pPr>
        <w:pStyle w:val="Default"/>
        <w:numPr>
          <w:ilvl w:val="0"/>
          <w:numId w:val="8"/>
        </w:numPr>
        <w:ind w:left="1440" w:hanging="720"/>
        <w:rPr>
          <w:b/>
          <w:bCs/>
          <w:color w:val="auto"/>
          <w:u w:val="single"/>
        </w:rPr>
      </w:pPr>
      <w:r w:rsidRPr="008505D2">
        <w:rPr>
          <w:rFonts w:eastAsia="Arial Unicode MS"/>
          <w:b/>
        </w:rPr>
        <w:t>Exceptions to Certification Statement</w:t>
      </w:r>
    </w:p>
    <w:p w:rsidR="00D66549" w:rsidP="00F9308A" w14:paraId="10CECF8F" w14:textId="77777777">
      <w:pPr>
        <w:pStyle w:val="Default"/>
        <w:ind w:left="1440"/>
        <w:rPr>
          <w:rFonts w:eastAsia="Arial Unicode MS"/>
          <w:b/>
        </w:rPr>
      </w:pPr>
      <w:r w:rsidRPr="007D344A">
        <w:t xml:space="preserve">SSA is not requesting an exception to the certification requirements at </w:t>
      </w:r>
      <w:r w:rsidRPr="007D344A">
        <w:rPr>
          <w:i/>
        </w:rPr>
        <w:t xml:space="preserve">5 CFR 1320.9 </w:t>
      </w:r>
      <w:r w:rsidRPr="007D344A">
        <w:t>and related provisions at</w:t>
      </w:r>
      <w:r w:rsidRPr="007D344A">
        <w:rPr>
          <w:i/>
        </w:rPr>
        <w:t xml:space="preserve"> 5 CFR 1320.8(b)(3)</w:t>
      </w:r>
      <w:r>
        <w:rPr>
          <w:i/>
        </w:rPr>
        <w:t>.</w:t>
      </w:r>
    </w:p>
    <w:p w:rsidR="00DD24A4" w:rsidP="00D66549" w14:paraId="68FD4955" w14:textId="77777777">
      <w:pPr>
        <w:pStyle w:val="Default"/>
        <w:rPr>
          <w:b/>
          <w:bCs/>
          <w:color w:val="auto"/>
          <w:u w:val="single"/>
        </w:rPr>
      </w:pPr>
    </w:p>
    <w:p w:rsidR="00D66549" w:rsidP="00F9308A" w14:paraId="57F33E69" w14:textId="47F12FEB">
      <w:pPr>
        <w:pStyle w:val="Default"/>
        <w:numPr>
          <w:ilvl w:val="0"/>
          <w:numId w:val="7"/>
        </w:numPr>
        <w:ind w:left="720" w:hanging="540"/>
        <w:rPr>
          <w:b/>
          <w:bCs/>
          <w:color w:val="auto"/>
          <w:u w:val="single"/>
        </w:rPr>
      </w:pPr>
      <w:r w:rsidRPr="00D66549">
        <w:rPr>
          <w:b/>
          <w:bCs/>
          <w:color w:val="auto"/>
          <w:u w:val="single"/>
        </w:rPr>
        <w:t xml:space="preserve">Collections of Information Employing Statistical Methods </w:t>
      </w:r>
    </w:p>
    <w:p w:rsidR="00F9308A" w:rsidP="00F9308A" w14:paraId="0AC82DBB" w14:textId="77777777">
      <w:pPr>
        <w:pStyle w:val="Default"/>
        <w:ind w:left="720"/>
        <w:rPr>
          <w:b/>
          <w:bCs/>
          <w:color w:val="auto"/>
          <w:u w:val="single"/>
        </w:rPr>
      </w:pPr>
    </w:p>
    <w:p w:rsidR="004E0448" w:rsidRPr="00726653" w:rsidP="00904217" w14:paraId="45D2FB1A" w14:textId="6A1A15F4">
      <w:pPr>
        <w:pStyle w:val="Default"/>
        <w:ind w:left="1440"/>
      </w:pPr>
      <w:r w:rsidRPr="00CF5000">
        <w:t xml:space="preserve">SSA </w:t>
      </w:r>
      <w:r w:rsidRPr="00CF5000" w:rsidR="006A1C8A">
        <w:t>does not use statistical methods for this information collection.</w:t>
      </w:r>
    </w:p>
    <w:sectPr w:rsidSect="00F93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A4E8DDDA"/>
    <w:lvl w:ilvl="0">
      <w:start w:val="18"/>
      <w:numFmt w:val="decimal"/>
      <w:lvlText w:val="%1."/>
      <w:lvlJc w:val="left"/>
      <w:pPr>
        <w:tabs>
          <w:tab w:val="num" w:pos="900"/>
        </w:tabs>
        <w:ind w:left="900" w:hanging="720"/>
      </w:pPr>
      <w:rPr>
        <w:rFonts w:hint="default"/>
        <w:b w:val="0"/>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28050B78"/>
    <w:multiLevelType w:val="hybridMultilevel"/>
    <w:tmpl w:val="AB7094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38F30F0"/>
    <w:multiLevelType w:val="hybridMultilevel"/>
    <w:tmpl w:val="1E388DEE"/>
    <w:lvl w:ilvl="0">
      <w:start w:val="404"/>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8462FC"/>
    <w:multiLevelType w:val="hybridMultilevel"/>
    <w:tmpl w:val="46F8E6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303C85"/>
    <w:multiLevelType w:val="hybridMultilevel"/>
    <w:tmpl w:val="92C28CD6"/>
    <w:lvl w:ilvl="0">
      <w:start w:val="404"/>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6">
    <w:nsid w:val="5ED55D51"/>
    <w:multiLevelType w:val="multilevel"/>
    <w:tmpl w:val="E7CACE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eastAsia="Calibri" w:hAnsi="Calibri" w:cs="Times New Roman"/>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616F329C"/>
    <w:multiLevelType w:val="hybridMultilevel"/>
    <w:tmpl w:val="651ECCC2"/>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67D64BAE"/>
    <w:multiLevelType w:val="hybridMultilevel"/>
    <w:tmpl w:val="362C9F18"/>
    <w:lvl w:ilvl="0">
      <w:start w:val="1"/>
      <w:numFmt w:val="upperLetter"/>
      <w:lvlText w:val="%1."/>
      <w:lvlJc w:val="left"/>
      <w:pPr>
        <w:ind w:left="90" w:hanging="360"/>
      </w:pPr>
      <w:rPr>
        <w:rFonts w:hint="default"/>
        <w:u w:val="none"/>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9">
    <w:nsid w:val="6BE16CA0"/>
    <w:multiLevelType w:val="hybridMultilevel"/>
    <w:tmpl w:val="EAD6C010"/>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1">
    <w:nsid w:val="76D50D43"/>
    <w:multiLevelType w:val="hybridMultilevel"/>
    <w:tmpl w:val="AF10734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7866410B"/>
    <w:multiLevelType w:val="singleLevel"/>
    <w:tmpl w:val="7924D970"/>
    <w:lvl w:ilvl="0">
      <w:start w:val="2"/>
      <w:numFmt w:val="decimal"/>
      <w:lvlText w:val="%1."/>
      <w:lvlJc w:val="left"/>
      <w:pPr>
        <w:tabs>
          <w:tab w:val="num" w:pos="720"/>
        </w:tabs>
        <w:ind w:left="720" w:hanging="720"/>
      </w:pPr>
      <w:rPr>
        <w:rFonts w:hint="default"/>
        <w:b w:val="0"/>
        <w:sz w:val="24"/>
        <w:szCs w:val="24"/>
      </w:rPr>
    </w:lvl>
  </w:abstractNum>
  <w:abstractNum w:abstractNumId="13">
    <w:nsid w:val="7950536D"/>
    <w:multiLevelType w:val="multilevel"/>
    <w:tmpl w:val="AA06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628632088">
    <w:abstractNumId w:val="7"/>
  </w:num>
  <w:num w:numId="2" w16cid:durableId="1272083816">
    <w:abstractNumId w:val="12"/>
  </w:num>
  <w:num w:numId="3" w16cid:durableId="1454472531">
    <w:abstractNumId w:val="5"/>
  </w:num>
  <w:num w:numId="4" w16cid:durableId="2029594628">
    <w:abstractNumId w:val="14"/>
  </w:num>
  <w:num w:numId="5" w16cid:durableId="685982919">
    <w:abstractNumId w:val="10"/>
  </w:num>
  <w:num w:numId="6" w16cid:durableId="1333413486">
    <w:abstractNumId w:val="0"/>
  </w:num>
  <w:num w:numId="7" w16cid:durableId="1458573435">
    <w:abstractNumId w:val="8"/>
  </w:num>
  <w:num w:numId="8" w16cid:durableId="1880898426">
    <w:abstractNumId w:val="9"/>
  </w:num>
  <w:num w:numId="9" w16cid:durableId="410738156">
    <w:abstractNumId w:val="6"/>
  </w:num>
  <w:num w:numId="10" w16cid:durableId="1512254572">
    <w:abstractNumId w:val="13"/>
  </w:num>
  <w:num w:numId="11" w16cid:durableId="1405179572">
    <w:abstractNumId w:val="3"/>
  </w:num>
  <w:num w:numId="12" w16cid:durableId="905528705">
    <w:abstractNumId w:val="4"/>
  </w:num>
  <w:num w:numId="13" w16cid:durableId="1132553915">
    <w:abstractNumId w:val="2"/>
  </w:num>
  <w:num w:numId="14" w16cid:durableId="970088566">
    <w:abstractNumId w:val="11"/>
  </w:num>
  <w:num w:numId="15" w16cid:durableId="179459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37"/>
    <w:rsid w:val="00001C08"/>
    <w:rsid w:val="0000232E"/>
    <w:rsid w:val="00006857"/>
    <w:rsid w:val="00006F1D"/>
    <w:rsid w:val="00007D1C"/>
    <w:rsid w:val="00010056"/>
    <w:rsid w:val="000111DD"/>
    <w:rsid w:val="00012AD2"/>
    <w:rsid w:val="000136F5"/>
    <w:rsid w:val="00013A4E"/>
    <w:rsid w:val="00022536"/>
    <w:rsid w:val="0002536D"/>
    <w:rsid w:val="000273F3"/>
    <w:rsid w:val="0004512B"/>
    <w:rsid w:val="0004537C"/>
    <w:rsid w:val="00047ADF"/>
    <w:rsid w:val="00054DF3"/>
    <w:rsid w:val="000655CB"/>
    <w:rsid w:val="00065D52"/>
    <w:rsid w:val="00073639"/>
    <w:rsid w:val="00075AE3"/>
    <w:rsid w:val="00076A26"/>
    <w:rsid w:val="000814FB"/>
    <w:rsid w:val="00083D2A"/>
    <w:rsid w:val="00090F91"/>
    <w:rsid w:val="00091E19"/>
    <w:rsid w:val="00092581"/>
    <w:rsid w:val="00092FA6"/>
    <w:rsid w:val="00093189"/>
    <w:rsid w:val="00095D22"/>
    <w:rsid w:val="000A1A39"/>
    <w:rsid w:val="000A3390"/>
    <w:rsid w:val="000A45D4"/>
    <w:rsid w:val="000A520A"/>
    <w:rsid w:val="000B48FC"/>
    <w:rsid w:val="000B4AC1"/>
    <w:rsid w:val="000B507B"/>
    <w:rsid w:val="000B5D2C"/>
    <w:rsid w:val="000B5E3E"/>
    <w:rsid w:val="000B5F9C"/>
    <w:rsid w:val="000D76A8"/>
    <w:rsid w:val="000E24FC"/>
    <w:rsid w:val="000E331B"/>
    <w:rsid w:val="000E3D7B"/>
    <w:rsid w:val="000E4A74"/>
    <w:rsid w:val="000E50EA"/>
    <w:rsid w:val="000E7602"/>
    <w:rsid w:val="000F0163"/>
    <w:rsid w:val="000F0E96"/>
    <w:rsid w:val="000F7782"/>
    <w:rsid w:val="00112A24"/>
    <w:rsid w:val="00113CA5"/>
    <w:rsid w:val="0011587B"/>
    <w:rsid w:val="00116588"/>
    <w:rsid w:val="00117A16"/>
    <w:rsid w:val="001352DF"/>
    <w:rsid w:val="00136C49"/>
    <w:rsid w:val="00140F48"/>
    <w:rsid w:val="00143ABC"/>
    <w:rsid w:val="0014588B"/>
    <w:rsid w:val="00151F9D"/>
    <w:rsid w:val="00153367"/>
    <w:rsid w:val="00154575"/>
    <w:rsid w:val="001627DE"/>
    <w:rsid w:val="00163E34"/>
    <w:rsid w:val="001729CD"/>
    <w:rsid w:val="001768D3"/>
    <w:rsid w:val="00180400"/>
    <w:rsid w:val="001812FB"/>
    <w:rsid w:val="00183C4C"/>
    <w:rsid w:val="001874F9"/>
    <w:rsid w:val="0019115B"/>
    <w:rsid w:val="00191DF7"/>
    <w:rsid w:val="00195101"/>
    <w:rsid w:val="001A0178"/>
    <w:rsid w:val="001A0A0D"/>
    <w:rsid w:val="001A283D"/>
    <w:rsid w:val="001A40DC"/>
    <w:rsid w:val="001A4622"/>
    <w:rsid w:val="001A63FC"/>
    <w:rsid w:val="001A7876"/>
    <w:rsid w:val="001B0570"/>
    <w:rsid w:val="001B103A"/>
    <w:rsid w:val="001C3198"/>
    <w:rsid w:val="001C7664"/>
    <w:rsid w:val="001D09E7"/>
    <w:rsid w:val="001E08CB"/>
    <w:rsid w:val="001E5170"/>
    <w:rsid w:val="001E6648"/>
    <w:rsid w:val="001F011E"/>
    <w:rsid w:val="001F0E7A"/>
    <w:rsid w:val="001F31DA"/>
    <w:rsid w:val="001F5008"/>
    <w:rsid w:val="0020046B"/>
    <w:rsid w:val="0020224B"/>
    <w:rsid w:val="00203DFF"/>
    <w:rsid w:val="00206F59"/>
    <w:rsid w:val="002131BD"/>
    <w:rsid w:val="00214B73"/>
    <w:rsid w:val="00215191"/>
    <w:rsid w:val="0021534F"/>
    <w:rsid w:val="00215A18"/>
    <w:rsid w:val="002206B7"/>
    <w:rsid w:val="002217F8"/>
    <w:rsid w:val="0023017A"/>
    <w:rsid w:val="0023042B"/>
    <w:rsid w:val="0023154A"/>
    <w:rsid w:val="0023278C"/>
    <w:rsid w:val="00235136"/>
    <w:rsid w:val="00250A5E"/>
    <w:rsid w:val="00250C27"/>
    <w:rsid w:val="0025459F"/>
    <w:rsid w:val="0025521C"/>
    <w:rsid w:val="00257820"/>
    <w:rsid w:val="00272726"/>
    <w:rsid w:val="00274A0A"/>
    <w:rsid w:val="00274E83"/>
    <w:rsid w:val="00281F9F"/>
    <w:rsid w:val="0028265E"/>
    <w:rsid w:val="0028535F"/>
    <w:rsid w:val="00290A08"/>
    <w:rsid w:val="00292898"/>
    <w:rsid w:val="00293F92"/>
    <w:rsid w:val="00295812"/>
    <w:rsid w:val="00295A50"/>
    <w:rsid w:val="00297D60"/>
    <w:rsid w:val="002A41F3"/>
    <w:rsid w:val="002A66DA"/>
    <w:rsid w:val="002A7687"/>
    <w:rsid w:val="002A79F6"/>
    <w:rsid w:val="002B3A42"/>
    <w:rsid w:val="002C6867"/>
    <w:rsid w:val="002C7A6B"/>
    <w:rsid w:val="002D1200"/>
    <w:rsid w:val="002D30A9"/>
    <w:rsid w:val="002E79AD"/>
    <w:rsid w:val="00305FF6"/>
    <w:rsid w:val="0030646C"/>
    <w:rsid w:val="00306ACE"/>
    <w:rsid w:val="00306BB1"/>
    <w:rsid w:val="00307315"/>
    <w:rsid w:val="00310AB5"/>
    <w:rsid w:val="0031398C"/>
    <w:rsid w:val="0031435E"/>
    <w:rsid w:val="0032215D"/>
    <w:rsid w:val="0032398A"/>
    <w:rsid w:val="00324D41"/>
    <w:rsid w:val="00330C1D"/>
    <w:rsid w:val="003320E1"/>
    <w:rsid w:val="00334D35"/>
    <w:rsid w:val="0033563D"/>
    <w:rsid w:val="0033646C"/>
    <w:rsid w:val="00337EC0"/>
    <w:rsid w:val="0034113E"/>
    <w:rsid w:val="00341F7F"/>
    <w:rsid w:val="00342164"/>
    <w:rsid w:val="00342907"/>
    <w:rsid w:val="00342FA6"/>
    <w:rsid w:val="0034479D"/>
    <w:rsid w:val="00346136"/>
    <w:rsid w:val="00351297"/>
    <w:rsid w:val="00353EE7"/>
    <w:rsid w:val="00355665"/>
    <w:rsid w:val="00356ECD"/>
    <w:rsid w:val="00357A59"/>
    <w:rsid w:val="00364BB7"/>
    <w:rsid w:val="00364C02"/>
    <w:rsid w:val="003736C1"/>
    <w:rsid w:val="00380BB7"/>
    <w:rsid w:val="0038240C"/>
    <w:rsid w:val="00387E27"/>
    <w:rsid w:val="00393254"/>
    <w:rsid w:val="00393280"/>
    <w:rsid w:val="00393E5C"/>
    <w:rsid w:val="00396E32"/>
    <w:rsid w:val="003A08A7"/>
    <w:rsid w:val="003A62D2"/>
    <w:rsid w:val="003B53C5"/>
    <w:rsid w:val="003C068D"/>
    <w:rsid w:val="003C1CEA"/>
    <w:rsid w:val="003C4837"/>
    <w:rsid w:val="003C6009"/>
    <w:rsid w:val="003C60BD"/>
    <w:rsid w:val="003D22C9"/>
    <w:rsid w:val="003D40EA"/>
    <w:rsid w:val="003D5B1F"/>
    <w:rsid w:val="003D6F09"/>
    <w:rsid w:val="003E110C"/>
    <w:rsid w:val="003F6B96"/>
    <w:rsid w:val="00402F99"/>
    <w:rsid w:val="00406791"/>
    <w:rsid w:val="00420D2E"/>
    <w:rsid w:val="004231B4"/>
    <w:rsid w:val="0042405A"/>
    <w:rsid w:val="00424905"/>
    <w:rsid w:val="00424AC8"/>
    <w:rsid w:val="0042524D"/>
    <w:rsid w:val="0042626F"/>
    <w:rsid w:val="00430E95"/>
    <w:rsid w:val="004336DD"/>
    <w:rsid w:val="00436184"/>
    <w:rsid w:val="00437F8B"/>
    <w:rsid w:val="00450B75"/>
    <w:rsid w:val="0045367D"/>
    <w:rsid w:val="00455BF7"/>
    <w:rsid w:val="0046077C"/>
    <w:rsid w:val="00462157"/>
    <w:rsid w:val="0046586A"/>
    <w:rsid w:val="00465967"/>
    <w:rsid w:val="00471622"/>
    <w:rsid w:val="0047394F"/>
    <w:rsid w:val="00474276"/>
    <w:rsid w:val="004759C7"/>
    <w:rsid w:val="00481998"/>
    <w:rsid w:val="00482F76"/>
    <w:rsid w:val="00486195"/>
    <w:rsid w:val="00486564"/>
    <w:rsid w:val="004902FB"/>
    <w:rsid w:val="00493A13"/>
    <w:rsid w:val="004A4056"/>
    <w:rsid w:val="004B27FC"/>
    <w:rsid w:val="004B282C"/>
    <w:rsid w:val="004C7D4F"/>
    <w:rsid w:val="004D0417"/>
    <w:rsid w:val="004D33D6"/>
    <w:rsid w:val="004E0448"/>
    <w:rsid w:val="004E0AFA"/>
    <w:rsid w:val="004E196C"/>
    <w:rsid w:val="004E1B8A"/>
    <w:rsid w:val="004E3BF9"/>
    <w:rsid w:val="004E5977"/>
    <w:rsid w:val="004E60C7"/>
    <w:rsid w:val="004F0769"/>
    <w:rsid w:val="004F0F26"/>
    <w:rsid w:val="004F7B7D"/>
    <w:rsid w:val="00500371"/>
    <w:rsid w:val="00505A76"/>
    <w:rsid w:val="00516EFE"/>
    <w:rsid w:val="0052024F"/>
    <w:rsid w:val="00527548"/>
    <w:rsid w:val="00527D89"/>
    <w:rsid w:val="00530A6D"/>
    <w:rsid w:val="00534604"/>
    <w:rsid w:val="00536E92"/>
    <w:rsid w:val="00542492"/>
    <w:rsid w:val="00552F55"/>
    <w:rsid w:val="00557E1C"/>
    <w:rsid w:val="005603C6"/>
    <w:rsid w:val="00561277"/>
    <w:rsid w:val="00563649"/>
    <w:rsid w:val="00567534"/>
    <w:rsid w:val="00567723"/>
    <w:rsid w:val="00571E23"/>
    <w:rsid w:val="00572E1A"/>
    <w:rsid w:val="0057357C"/>
    <w:rsid w:val="00576660"/>
    <w:rsid w:val="00576E95"/>
    <w:rsid w:val="00580DF0"/>
    <w:rsid w:val="00585772"/>
    <w:rsid w:val="005923F6"/>
    <w:rsid w:val="005950A7"/>
    <w:rsid w:val="00595E9C"/>
    <w:rsid w:val="00597552"/>
    <w:rsid w:val="0059797F"/>
    <w:rsid w:val="005C2B36"/>
    <w:rsid w:val="005C2B46"/>
    <w:rsid w:val="005C46F5"/>
    <w:rsid w:val="005D1EFA"/>
    <w:rsid w:val="005D3DE1"/>
    <w:rsid w:val="005D6886"/>
    <w:rsid w:val="005D6A61"/>
    <w:rsid w:val="005E2884"/>
    <w:rsid w:val="005E44C0"/>
    <w:rsid w:val="005E6D57"/>
    <w:rsid w:val="005E715F"/>
    <w:rsid w:val="005E7B48"/>
    <w:rsid w:val="005E7C2D"/>
    <w:rsid w:val="005F0FEA"/>
    <w:rsid w:val="005F3A87"/>
    <w:rsid w:val="006147F6"/>
    <w:rsid w:val="00624E49"/>
    <w:rsid w:val="0062665F"/>
    <w:rsid w:val="006269B4"/>
    <w:rsid w:val="006309CE"/>
    <w:rsid w:val="00631427"/>
    <w:rsid w:val="00636123"/>
    <w:rsid w:val="00636CC6"/>
    <w:rsid w:val="00641441"/>
    <w:rsid w:val="00643B9A"/>
    <w:rsid w:val="006446F6"/>
    <w:rsid w:val="0064690E"/>
    <w:rsid w:val="00646CA4"/>
    <w:rsid w:val="00650A4E"/>
    <w:rsid w:val="0065257B"/>
    <w:rsid w:val="00661338"/>
    <w:rsid w:val="00663337"/>
    <w:rsid w:val="00666C43"/>
    <w:rsid w:val="006679B1"/>
    <w:rsid w:val="00675277"/>
    <w:rsid w:val="006763F4"/>
    <w:rsid w:val="00680070"/>
    <w:rsid w:val="00680C6B"/>
    <w:rsid w:val="00685ACB"/>
    <w:rsid w:val="0068644F"/>
    <w:rsid w:val="00686CA9"/>
    <w:rsid w:val="006879C0"/>
    <w:rsid w:val="00687EF1"/>
    <w:rsid w:val="00692DCC"/>
    <w:rsid w:val="00692F00"/>
    <w:rsid w:val="00694AFF"/>
    <w:rsid w:val="00696B06"/>
    <w:rsid w:val="006A1C3E"/>
    <w:rsid w:val="006A1C8A"/>
    <w:rsid w:val="006A1DE6"/>
    <w:rsid w:val="006A2E06"/>
    <w:rsid w:val="006A3F54"/>
    <w:rsid w:val="006A7731"/>
    <w:rsid w:val="006B3D2B"/>
    <w:rsid w:val="006B423D"/>
    <w:rsid w:val="006B5CAB"/>
    <w:rsid w:val="006B7420"/>
    <w:rsid w:val="006C208C"/>
    <w:rsid w:val="006C22A1"/>
    <w:rsid w:val="006C30AC"/>
    <w:rsid w:val="006C5846"/>
    <w:rsid w:val="006D0222"/>
    <w:rsid w:val="006E2DA3"/>
    <w:rsid w:val="006E3773"/>
    <w:rsid w:val="006E4883"/>
    <w:rsid w:val="006F1C89"/>
    <w:rsid w:val="006F26D7"/>
    <w:rsid w:val="007017CD"/>
    <w:rsid w:val="00703B05"/>
    <w:rsid w:val="00703CC8"/>
    <w:rsid w:val="007048C0"/>
    <w:rsid w:val="00707D68"/>
    <w:rsid w:val="007101CE"/>
    <w:rsid w:val="0071134A"/>
    <w:rsid w:val="007119D5"/>
    <w:rsid w:val="007143DE"/>
    <w:rsid w:val="00714E26"/>
    <w:rsid w:val="00715DA9"/>
    <w:rsid w:val="00717243"/>
    <w:rsid w:val="00724235"/>
    <w:rsid w:val="00724BE9"/>
    <w:rsid w:val="00726653"/>
    <w:rsid w:val="0073367F"/>
    <w:rsid w:val="00733BB8"/>
    <w:rsid w:val="00733F39"/>
    <w:rsid w:val="007340A9"/>
    <w:rsid w:val="007400CF"/>
    <w:rsid w:val="00743166"/>
    <w:rsid w:val="007437E3"/>
    <w:rsid w:val="00750273"/>
    <w:rsid w:val="007503E9"/>
    <w:rsid w:val="00752651"/>
    <w:rsid w:val="00753242"/>
    <w:rsid w:val="00756294"/>
    <w:rsid w:val="007567DE"/>
    <w:rsid w:val="00760ABF"/>
    <w:rsid w:val="007621F5"/>
    <w:rsid w:val="00762470"/>
    <w:rsid w:val="00762596"/>
    <w:rsid w:val="00762B88"/>
    <w:rsid w:val="00762BE8"/>
    <w:rsid w:val="00763A31"/>
    <w:rsid w:val="00785060"/>
    <w:rsid w:val="007854BA"/>
    <w:rsid w:val="00790E5C"/>
    <w:rsid w:val="007A19A0"/>
    <w:rsid w:val="007A49F6"/>
    <w:rsid w:val="007A57B5"/>
    <w:rsid w:val="007A7791"/>
    <w:rsid w:val="007B1326"/>
    <w:rsid w:val="007B3EA3"/>
    <w:rsid w:val="007C2757"/>
    <w:rsid w:val="007C5A1D"/>
    <w:rsid w:val="007C7898"/>
    <w:rsid w:val="007C7E76"/>
    <w:rsid w:val="007D1D27"/>
    <w:rsid w:val="007D344A"/>
    <w:rsid w:val="007D60AA"/>
    <w:rsid w:val="007F055B"/>
    <w:rsid w:val="007F3C9C"/>
    <w:rsid w:val="007F4D6B"/>
    <w:rsid w:val="008009D3"/>
    <w:rsid w:val="00806528"/>
    <w:rsid w:val="00822D13"/>
    <w:rsid w:val="00823F26"/>
    <w:rsid w:val="008240FF"/>
    <w:rsid w:val="008248E2"/>
    <w:rsid w:val="00827228"/>
    <w:rsid w:val="00831363"/>
    <w:rsid w:val="00834C6C"/>
    <w:rsid w:val="0083575A"/>
    <w:rsid w:val="008366C6"/>
    <w:rsid w:val="0084285C"/>
    <w:rsid w:val="008433CA"/>
    <w:rsid w:val="00844558"/>
    <w:rsid w:val="00845086"/>
    <w:rsid w:val="008505D2"/>
    <w:rsid w:val="00852588"/>
    <w:rsid w:val="0085343D"/>
    <w:rsid w:val="0085618C"/>
    <w:rsid w:val="00856D2A"/>
    <w:rsid w:val="008613A0"/>
    <w:rsid w:val="00861756"/>
    <w:rsid w:val="008647EB"/>
    <w:rsid w:val="00877E52"/>
    <w:rsid w:val="00885AAB"/>
    <w:rsid w:val="00886FC5"/>
    <w:rsid w:val="00896156"/>
    <w:rsid w:val="008A311C"/>
    <w:rsid w:val="008A48AD"/>
    <w:rsid w:val="008B059D"/>
    <w:rsid w:val="008B3173"/>
    <w:rsid w:val="008B3E42"/>
    <w:rsid w:val="008B44BA"/>
    <w:rsid w:val="008C312A"/>
    <w:rsid w:val="008C5972"/>
    <w:rsid w:val="008E552C"/>
    <w:rsid w:val="008E73CE"/>
    <w:rsid w:val="008E7F46"/>
    <w:rsid w:val="009014BC"/>
    <w:rsid w:val="0090387E"/>
    <w:rsid w:val="00904217"/>
    <w:rsid w:val="00905B9F"/>
    <w:rsid w:val="00906024"/>
    <w:rsid w:val="009062F9"/>
    <w:rsid w:val="00920E2F"/>
    <w:rsid w:val="00922FB1"/>
    <w:rsid w:val="0093002C"/>
    <w:rsid w:val="00932CF3"/>
    <w:rsid w:val="00941C8C"/>
    <w:rsid w:val="00941CF2"/>
    <w:rsid w:val="00942807"/>
    <w:rsid w:val="009431BE"/>
    <w:rsid w:val="009444F0"/>
    <w:rsid w:val="00947435"/>
    <w:rsid w:val="009605F4"/>
    <w:rsid w:val="0096635F"/>
    <w:rsid w:val="009663FF"/>
    <w:rsid w:val="0097004A"/>
    <w:rsid w:val="009840F7"/>
    <w:rsid w:val="00992744"/>
    <w:rsid w:val="00994209"/>
    <w:rsid w:val="009A0F39"/>
    <w:rsid w:val="009A1606"/>
    <w:rsid w:val="009A57D4"/>
    <w:rsid w:val="009B647A"/>
    <w:rsid w:val="009B6C2E"/>
    <w:rsid w:val="009C14B8"/>
    <w:rsid w:val="009C4F46"/>
    <w:rsid w:val="009D6DBE"/>
    <w:rsid w:val="009E15FE"/>
    <w:rsid w:val="009E3E57"/>
    <w:rsid w:val="009E6A96"/>
    <w:rsid w:val="009E7FA4"/>
    <w:rsid w:val="009F0205"/>
    <w:rsid w:val="009F4B26"/>
    <w:rsid w:val="009F5426"/>
    <w:rsid w:val="009F762D"/>
    <w:rsid w:val="00A051D7"/>
    <w:rsid w:val="00A058D2"/>
    <w:rsid w:val="00A07701"/>
    <w:rsid w:val="00A12B4E"/>
    <w:rsid w:val="00A13903"/>
    <w:rsid w:val="00A208D4"/>
    <w:rsid w:val="00A21FA1"/>
    <w:rsid w:val="00A222FE"/>
    <w:rsid w:val="00A22E73"/>
    <w:rsid w:val="00A2311B"/>
    <w:rsid w:val="00A23BF2"/>
    <w:rsid w:val="00A25BF6"/>
    <w:rsid w:val="00A25F38"/>
    <w:rsid w:val="00A2665B"/>
    <w:rsid w:val="00A30BBB"/>
    <w:rsid w:val="00A31AF9"/>
    <w:rsid w:val="00A37527"/>
    <w:rsid w:val="00A4118B"/>
    <w:rsid w:val="00A43883"/>
    <w:rsid w:val="00A52460"/>
    <w:rsid w:val="00A55892"/>
    <w:rsid w:val="00A6040B"/>
    <w:rsid w:val="00A62222"/>
    <w:rsid w:val="00A62FBA"/>
    <w:rsid w:val="00A63A82"/>
    <w:rsid w:val="00A722C3"/>
    <w:rsid w:val="00A73648"/>
    <w:rsid w:val="00A75305"/>
    <w:rsid w:val="00A80596"/>
    <w:rsid w:val="00A80F9E"/>
    <w:rsid w:val="00A81362"/>
    <w:rsid w:val="00A8354E"/>
    <w:rsid w:val="00A84778"/>
    <w:rsid w:val="00A87585"/>
    <w:rsid w:val="00A87D87"/>
    <w:rsid w:val="00A93B64"/>
    <w:rsid w:val="00A95A90"/>
    <w:rsid w:val="00A964C7"/>
    <w:rsid w:val="00A96E7B"/>
    <w:rsid w:val="00A97A70"/>
    <w:rsid w:val="00A97C3B"/>
    <w:rsid w:val="00AA16AA"/>
    <w:rsid w:val="00AA4752"/>
    <w:rsid w:val="00AA49E6"/>
    <w:rsid w:val="00AC0B97"/>
    <w:rsid w:val="00AC0CC9"/>
    <w:rsid w:val="00AC18D4"/>
    <w:rsid w:val="00AC2E51"/>
    <w:rsid w:val="00AC730E"/>
    <w:rsid w:val="00AD1D24"/>
    <w:rsid w:val="00AD40D7"/>
    <w:rsid w:val="00AD6C13"/>
    <w:rsid w:val="00AE2323"/>
    <w:rsid w:val="00AE2D67"/>
    <w:rsid w:val="00AE2FB8"/>
    <w:rsid w:val="00AF1D12"/>
    <w:rsid w:val="00AF3320"/>
    <w:rsid w:val="00AF7B9C"/>
    <w:rsid w:val="00B0318F"/>
    <w:rsid w:val="00B05A4B"/>
    <w:rsid w:val="00B06FAE"/>
    <w:rsid w:val="00B10665"/>
    <w:rsid w:val="00B112F3"/>
    <w:rsid w:val="00B15A50"/>
    <w:rsid w:val="00B33B8D"/>
    <w:rsid w:val="00B341C5"/>
    <w:rsid w:val="00B35940"/>
    <w:rsid w:val="00B36681"/>
    <w:rsid w:val="00B4028A"/>
    <w:rsid w:val="00B43973"/>
    <w:rsid w:val="00B43FC3"/>
    <w:rsid w:val="00B45E54"/>
    <w:rsid w:val="00B46D13"/>
    <w:rsid w:val="00B5100E"/>
    <w:rsid w:val="00B54B85"/>
    <w:rsid w:val="00B72D62"/>
    <w:rsid w:val="00B755CE"/>
    <w:rsid w:val="00B7630E"/>
    <w:rsid w:val="00B77271"/>
    <w:rsid w:val="00B77B2E"/>
    <w:rsid w:val="00B77DFA"/>
    <w:rsid w:val="00B82EA0"/>
    <w:rsid w:val="00B917C0"/>
    <w:rsid w:val="00B930B3"/>
    <w:rsid w:val="00B93CCA"/>
    <w:rsid w:val="00B94351"/>
    <w:rsid w:val="00B971ED"/>
    <w:rsid w:val="00BA5245"/>
    <w:rsid w:val="00BA6527"/>
    <w:rsid w:val="00BB0E35"/>
    <w:rsid w:val="00BB0E70"/>
    <w:rsid w:val="00BB4D17"/>
    <w:rsid w:val="00BB51F0"/>
    <w:rsid w:val="00BB5667"/>
    <w:rsid w:val="00BC162A"/>
    <w:rsid w:val="00BC25D6"/>
    <w:rsid w:val="00BC7AFA"/>
    <w:rsid w:val="00BD0899"/>
    <w:rsid w:val="00BD578A"/>
    <w:rsid w:val="00BD76D6"/>
    <w:rsid w:val="00BD78D8"/>
    <w:rsid w:val="00BE71AE"/>
    <w:rsid w:val="00BF2366"/>
    <w:rsid w:val="00BF283C"/>
    <w:rsid w:val="00C057E5"/>
    <w:rsid w:val="00C06B3F"/>
    <w:rsid w:val="00C10A47"/>
    <w:rsid w:val="00C10B72"/>
    <w:rsid w:val="00C2199D"/>
    <w:rsid w:val="00C23A31"/>
    <w:rsid w:val="00C24AF3"/>
    <w:rsid w:val="00C3109A"/>
    <w:rsid w:val="00C31848"/>
    <w:rsid w:val="00C327A5"/>
    <w:rsid w:val="00C35ADE"/>
    <w:rsid w:val="00C360A3"/>
    <w:rsid w:val="00C36384"/>
    <w:rsid w:val="00C40E62"/>
    <w:rsid w:val="00C521AC"/>
    <w:rsid w:val="00C543FE"/>
    <w:rsid w:val="00C556CF"/>
    <w:rsid w:val="00C62E24"/>
    <w:rsid w:val="00C6697B"/>
    <w:rsid w:val="00C71C71"/>
    <w:rsid w:val="00C72417"/>
    <w:rsid w:val="00C74C52"/>
    <w:rsid w:val="00C75F34"/>
    <w:rsid w:val="00C8454D"/>
    <w:rsid w:val="00C87583"/>
    <w:rsid w:val="00CB5ECE"/>
    <w:rsid w:val="00CC0061"/>
    <w:rsid w:val="00CC1B87"/>
    <w:rsid w:val="00CC39C8"/>
    <w:rsid w:val="00CC70ED"/>
    <w:rsid w:val="00CC71B5"/>
    <w:rsid w:val="00CD18A7"/>
    <w:rsid w:val="00CD3EBE"/>
    <w:rsid w:val="00CD4E9C"/>
    <w:rsid w:val="00CE0641"/>
    <w:rsid w:val="00CE1ED1"/>
    <w:rsid w:val="00CE57BA"/>
    <w:rsid w:val="00CE6157"/>
    <w:rsid w:val="00CE786A"/>
    <w:rsid w:val="00CE78EF"/>
    <w:rsid w:val="00CF064B"/>
    <w:rsid w:val="00CF07B1"/>
    <w:rsid w:val="00CF3931"/>
    <w:rsid w:val="00CF45A0"/>
    <w:rsid w:val="00CF5000"/>
    <w:rsid w:val="00CF73A0"/>
    <w:rsid w:val="00D0296B"/>
    <w:rsid w:val="00D043E9"/>
    <w:rsid w:val="00D07694"/>
    <w:rsid w:val="00D11806"/>
    <w:rsid w:val="00D124CC"/>
    <w:rsid w:val="00D1428D"/>
    <w:rsid w:val="00D16375"/>
    <w:rsid w:val="00D166A3"/>
    <w:rsid w:val="00D16C19"/>
    <w:rsid w:val="00D206DF"/>
    <w:rsid w:val="00D20923"/>
    <w:rsid w:val="00D220FC"/>
    <w:rsid w:val="00D22A71"/>
    <w:rsid w:val="00D23ADC"/>
    <w:rsid w:val="00D249FD"/>
    <w:rsid w:val="00D24C4B"/>
    <w:rsid w:val="00D3020C"/>
    <w:rsid w:val="00D35A1B"/>
    <w:rsid w:val="00D46ABE"/>
    <w:rsid w:val="00D52130"/>
    <w:rsid w:val="00D52D41"/>
    <w:rsid w:val="00D547E6"/>
    <w:rsid w:val="00D55D36"/>
    <w:rsid w:val="00D56D05"/>
    <w:rsid w:val="00D61863"/>
    <w:rsid w:val="00D63B24"/>
    <w:rsid w:val="00D65D1D"/>
    <w:rsid w:val="00D66549"/>
    <w:rsid w:val="00D676A0"/>
    <w:rsid w:val="00D70DD9"/>
    <w:rsid w:val="00D75E7E"/>
    <w:rsid w:val="00D80324"/>
    <w:rsid w:val="00D80BFC"/>
    <w:rsid w:val="00D812CF"/>
    <w:rsid w:val="00D8240D"/>
    <w:rsid w:val="00D829C7"/>
    <w:rsid w:val="00D82A6C"/>
    <w:rsid w:val="00D83289"/>
    <w:rsid w:val="00D854ED"/>
    <w:rsid w:val="00D86605"/>
    <w:rsid w:val="00D867E3"/>
    <w:rsid w:val="00D900EB"/>
    <w:rsid w:val="00D901A6"/>
    <w:rsid w:val="00D905E3"/>
    <w:rsid w:val="00D94D58"/>
    <w:rsid w:val="00DA3265"/>
    <w:rsid w:val="00DB2B32"/>
    <w:rsid w:val="00DC34C3"/>
    <w:rsid w:val="00DC6615"/>
    <w:rsid w:val="00DD24A4"/>
    <w:rsid w:val="00DD30A3"/>
    <w:rsid w:val="00DD5FD5"/>
    <w:rsid w:val="00DE5108"/>
    <w:rsid w:val="00DE5FB0"/>
    <w:rsid w:val="00E00519"/>
    <w:rsid w:val="00E0199A"/>
    <w:rsid w:val="00E05FDD"/>
    <w:rsid w:val="00E07BD0"/>
    <w:rsid w:val="00E102ED"/>
    <w:rsid w:val="00E118B8"/>
    <w:rsid w:val="00E15C96"/>
    <w:rsid w:val="00E17F34"/>
    <w:rsid w:val="00E214C7"/>
    <w:rsid w:val="00E26414"/>
    <w:rsid w:val="00E308D5"/>
    <w:rsid w:val="00E312CD"/>
    <w:rsid w:val="00E36B30"/>
    <w:rsid w:val="00E400B2"/>
    <w:rsid w:val="00E40E75"/>
    <w:rsid w:val="00E40F57"/>
    <w:rsid w:val="00E4483D"/>
    <w:rsid w:val="00E456FB"/>
    <w:rsid w:val="00E46362"/>
    <w:rsid w:val="00E47A3E"/>
    <w:rsid w:val="00E55846"/>
    <w:rsid w:val="00E55AB0"/>
    <w:rsid w:val="00E56C02"/>
    <w:rsid w:val="00E578D1"/>
    <w:rsid w:val="00E5794C"/>
    <w:rsid w:val="00E60930"/>
    <w:rsid w:val="00E66171"/>
    <w:rsid w:val="00E674C1"/>
    <w:rsid w:val="00E72735"/>
    <w:rsid w:val="00E72B8E"/>
    <w:rsid w:val="00E74800"/>
    <w:rsid w:val="00E770D3"/>
    <w:rsid w:val="00E80735"/>
    <w:rsid w:val="00E85F0C"/>
    <w:rsid w:val="00E8651F"/>
    <w:rsid w:val="00E86724"/>
    <w:rsid w:val="00E940DF"/>
    <w:rsid w:val="00E94263"/>
    <w:rsid w:val="00EA4FE6"/>
    <w:rsid w:val="00EB05C8"/>
    <w:rsid w:val="00EB0B78"/>
    <w:rsid w:val="00EB65B2"/>
    <w:rsid w:val="00EC1659"/>
    <w:rsid w:val="00ED06D2"/>
    <w:rsid w:val="00ED21A5"/>
    <w:rsid w:val="00ED7847"/>
    <w:rsid w:val="00EE109A"/>
    <w:rsid w:val="00EF131B"/>
    <w:rsid w:val="00EF3AA2"/>
    <w:rsid w:val="00F33479"/>
    <w:rsid w:val="00F33592"/>
    <w:rsid w:val="00F358C8"/>
    <w:rsid w:val="00F403F6"/>
    <w:rsid w:val="00F40AA1"/>
    <w:rsid w:val="00F41EC7"/>
    <w:rsid w:val="00F44E42"/>
    <w:rsid w:val="00F51D31"/>
    <w:rsid w:val="00F53B06"/>
    <w:rsid w:val="00F54997"/>
    <w:rsid w:val="00F61DD7"/>
    <w:rsid w:val="00F622D9"/>
    <w:rsid w:val="00F70779"/>
    <w:rsid w:val="00F76617"/>
    <w:rsid w:val="00F80F61"/>
    <w:rsid w:val="00F835CE"/>
    <w:rsid w:val="00F84793"/>
    <w:rsid w:val="00F85E59"/>
    <w:rsid w:val="00F8602A"/>
    <w:rsid w:val="00F90B28"/>
    <w:rsid w:val="00F92832"/>
    <w:rsid w:val="00F9308A"/>
    <w:rsid w:val="00F9511C"/>
    <w:rsid w:val="00F9681A"/>
    <w:rsid w:val="00F97E6D"/>
    <w:rsid w:val="00FA02EC"/>
    <w:rsid w:val="00FA49C6"/>
    <w:rsid w:val="00FA4EA7"/>
    <w:rsid w:val="00FA6012"/>
    <w:rsid w:val="00FA6156"/>
    <w:rsid w:val="00FB324B"/>
    <w:rsid w:val="00FB3624"/>
    <w:rsid w:val="00FB3A11"/>
    <w:rsid w:val="00FB6D47"/>
    <w:rsid w:val="00FC1403"/>
    <w:rsid w:val="00FC6F84"/>
    <w:rsid w:val="00FD011F"/>
    <w:rsid w:val="00FD1139"/>
    <w:rsid w:val="00FD480F"/>
    <w:rsid w:val="00FD4CD5"/>
    <w:rsid w:val="00FD506F"/>
    <w:rsid w:val="00FD5C7F"/>
    <w:rsid w:val="00FE14B4"/>
    <w:rsid w:val="00FE1BB3"/>
    <w:rsid w:val="00FE5260"/>
    <w:rsid w:val="00FF27E6"/>
    <w:rsid w:val="00FF5765"/>
    <w:rsid w:val="00FF5F67"/>
    <w:rsid w:val="00FF7486"/>
    <w:rsid w:val="00FF7B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419413"/>
  <w15:chartTrackingRefBased/>
  <w15:docId w15:val="{65EBD333-4092-4C45-AE6E-073D8EE2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DF0"/>
    <w:pPr>
      <w:spacing w:after="200" w:line="276" w:lineRule="auto"/>
    </w:pPr>
    <w:rPr>
      <w:sz w:val="22"/>
      <w:szCs w:val="22"/>
    </w:rPr>
  </w:style>
  <w:style w:type="paragraph" w:styleId="Heading1">
    <w:name w:val="heading 1"/>
    <w:basedOn w:val="Normal"/>
    <w:link w:val="Heading1Char"/>
    <w:uiPriority w:val="9"/>
    <w:qFormat/>
    <w:rsid w:val="00AE2FB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3337"/>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rsid w:val="00F951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lang w:val="x-none" w:eastAsia="x-none"/>
    </w:rPr>
  </w:style>
  <w:style w:type="character" w:customStyle="1" w:styleId="BodyText2Char">
    <w:name w:val="Body Text 2 Char"/>
    <w:link w:val="BodyText2"/>
    <w:rsid w:val="00F9511C"/>
    <w:rPr>
      <w:rFonts w:ascii="Courier" w:eastAsia="Times New Roman" w:hAnsi="Courier"/>
      <w:b/>
      <w:bCs/>
      <w:i/>
      <w:iCs/>
      <w:snapToGrid w:val="0"/>
      <w:sz w:val="24"/>
      <w:szCs w:val="24"/>
    </w:rPr>
  </w:style>
  <w:style w:type="paragraph" w:styleId="HTMLPreformatted">
    <w:name w:val="HTML Preformatted"/>
    <w:basedOn w:val="Normal"/>
    <w:link w:val="HTMLPreformattedChar"/>
    <w:rsid w:val="00D80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sz w:val="20"/>
      <w:szCs w:val="20"/>
      <w:lang w:val="x-none" w:eastAsia="ar-SA"/>
    </w:rPr>
  </w:style>
  <w:style w:type="character" w:customStyle="1" w:styleId="HTMLPreformattedChar">
    <w:name w:val="HTML Preformatted Char"/>
    <w:link w:val="HTMLPreformatted"/>
    <w:rsid w:val="00D80BFC"/>
    <w:rPr>
      <w:rFonts w:ascii="Courier New" w:eastAsia="SimSun" w:hAnsi="Courier New" w:cs="Courier New"/>
      <w:lang w:eastAsia="ar-SA"/>
    </w:rPr>
  </w:style>
  <w:style w:type="paragraph" w:styleId="NoSpacing">
    <w:name w:val="No Spacing"/>
    <w:qFormat/>
    <w:rsid w:val="00C057E5"/>
    <w:rPr>
      <w:rFonts w:ascii="Times New Roman" w:eastAsia="Times New Roman" w:hAnsi="Times New Roman"/>
      <w:sz w:val="24"/>
      <w:szCs w:val="24"/>
      <w:lang w:bidi="en-US"/>
    </w:rPr>
  </w:style>
  <w:style w:type="paragraph" w:styleId="BalloonText">
    <w:name w:val="Balloon Text"/>
    <w:basedOn w:val="Normal"/>
    <w:link w:val="BalloonTextChar"/>
    <w:uiPriority w:val="99"/>
    <w:semiHidden/>
    <w:unhideWhenUsed/>
    <w:rsid w:val="002D30A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D30A9"/>
    <w:rPr>
      <w:rFonts w:ascii="Tahoma" w:hAnsi="Tahoma" w:cs="Tahoma"/>
      <w:sz w:val="16"/>
      <w:szCs w:val="16"/>
    </w:rPr>
  </w:style>
  <w:style w:type="character" w:styleId="CommentReference">
    <w:name w:val="annotation reference"/>
    <w:uiPriority w:val="99"/>
    <w:semiHidden/>
    <w:unhideWhenUsed/>
    <w:rsid w:val="001627DE"/>
    <w:rPr>
      <w:sz w:val="16"/>
      <w:szCs w:val="16"/>
    </w:rPr>
  </w:style>
  <w:style w:type="paragraph" w:styleId="CommentText">
    <w:name w:val="annotation text"/>
    <w:basedOn w:val="Normal"/>
    <w:link w:val="CommentTextChar"/>
    <w:uiPriority w:val="99"/>
    <w:unhideWhenUsed/>
    <w:rsid w:val="001627DE"/>
    <w:rPr>
      <w:sz w:val="20"/>
      <w:szCs w:val="20"/>
    </w:rPr>
  </w:style>
  <w:style w:type="character" w:customStyle="1" w:styleId="CommentTextChar">
    <w:name w:val="Comment Text Char"/>
    <w:basedOn w:val="DefaultParagraphFont"/>
    <w:link w:val="CommentText"/>
    <w:uiPriority w:val="99"/>
    <w:rsid w:val="001627DE"/>
  </w:style>
  <w:style w:type="paragraph" w:styleId="CommentSubject">
    <w:name w:val="annotation subject"/>
    <w:basedOn w:val="CommentText"/>
    <w:next w:val="CommentText"/>
    <w:link w:val="CommentSubjectChar"/>
    <w:uiPriority w:val="99"/>
    <w:semiHidden/>
    <w:unhideWhenUsed/>
    <w:rsid w:val="001627DE"/>
    <w:rPr>
      <w:b/>
      <w:bCs/>
      <w:lang w:val="x-none" w:eastAsia="x-none"/>
    </w:rPr>
  </w:style>
  <w:style w:type="character" w:customStyle="1" w:styleId="CommentSubjectChar">
    <w:name w:val="Comment Subject Char"/>
    <w:link w:val="CommentSubject"/>
    <w:uiPriority w:val="99"/>
    <w:semiHidden/>
    <w:rsid w:val="001627DE"/>
    <w:rPr>
      <w:b/>
      <w:bCs/>
    </w:rPr>
  </w:style>
  <w:style w:type="table" w:styleId="TableGrid">
    <w:name w:val="Table Grid"/>
    <w:basedOn w:val="TableNormal"/>
    <w:uiPriority w:val="59"/>
    <w:rsid w:val="00D66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40E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30E"/>
    <w:pPr>
      <w:spacing w:after="0" w:line="240" w:lineRule="auto"/>
      <w:ind w:left="720"/>
      <w:contextualSpacing/>
    </w:pPr>
    <w:rPr>
      <w:rFonts w:ascii="Times New Roman" w:eastAsia="Times New Roman" w:hAnsi="Times New Roman"/>
      <w:sz w:val="24"/>
      <w:szCs w:val="24"/>
    </w:rPr>
  </w:style>
  <w:style w:type="paragraph" w:customStyle="1" w:styleId="Style1">
    <w:name w:val="Style 1"/>
    <w:basedOn w:val="Normal"/>
    <w:rsid w:val="00AC730E"/>
    <w:pPr>
      <w:widowControl w:val="0"/>
      <w:tabs>
        <w:tab w:val="left" w:pos="1440"/>
      </w:tabs>
      <w:spacing w:after="0" w:line="240" w:lineRule="exact"/>
      <w:ind w:left="1368" w:hanging="720"/>
    </w:pPr>
    <w:rPr>
      <w:rFonts w:ascii="Times New Roman" w:eastAsia="Times New Roman" w:hAnsi="Times New Roman"/>
      <w:noProof/>
      <w:color w:val="000000"/>
      <w:sz w:val="20"/>
      <w:szCs w:val="20"/>
      <w:lang w:eastAsia="zh-CN"/>
    </w:rPr>
  </w:style>
  <w:style w:type="character" w:customStyle="1" w:styleId="Heading1Char">
    <w:name w:val="Heading 1 Char"/>
    <w:basedOn w:val="DefaultParagraphFont"/>
    <w:link w:val="Heading1"/>
    <w:uiPriority w:val="9"/>
    <w:rsid w:val="00AE2FB8"/>
    <w:rPr>
      <w:rFonts w:ascii="Times New Roman" w:eastAsia="Times New Roman" w:hAnsi="Times New Roman"/>
      <w:b/>
      <w:bCs/>
      <w:kern w:val="36"/>
      <w:sz w:val="48"/>
      <w:szCs w:val="48"/>
    </w:rPr>
  </w:style>
  <w:style w:type="character" w:customStyle="1" w:styleId="cfrsechead">
    <w:name w:val="cfrsechead"/>
    <w:basedOn w:val="DefaultParagraphFont"/>
    <w:rsid w:val="00AE2FB8"/>
  </w:style>
  <w:style w:type="paragraph" w:customStyle="1" w:styleId="cfrpara">
    <w:name w:val="cfrpara"/>
    <w:basedOn w:val="Normal"/>
    <w:rsid w:val="00AE2FB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AE2FB8"/>
    <w:rPr>
      <w:i/>
      <w:iCs/>
    </w:rPr>
  </w:style>
  <w:style w:type="character" w:styleId="Hyperlink">
    <w:name w:val="Hyperlink"/>
    <w:basedOn w:val="DefaultParagraphFont"/>
    <w:uiPriority w:val="99"/>
    <w:unhideWhenUsed/>
    <w:rsid w:val="00AE2FB8"/>
    <w:rPr>
      <w:color w:val="0000FF"/>
      <w:u w:val="single"/>
    </w:rPr>
  </w:style>
  <w:style w:type="character" w:customStyle="1" w:styleId="UnresolvedMention1">
    <w:name w:val="Unresolved Mention1"/>
    <w:basedOn w:val="DefaultParagraphFont"/>
    <w:uiPriority w:val="99"/>
    <w:semiHidden/>
    <w:unhideWhenUsed/>
    <w:rsid w:val="00450B75"/>
    <w:rPr>
      <w:color w:val="605E5C"/>
      <w:shd w:val="clear" w:color="auto" w:fill="E1DFDD"/>
    </w:rPr>
  </w:style>
  <w:style w:type="character" w:customStyle="1" w:styleId="poms-underline">
    <w:name w:val="poms-underline"/>
    <w:basedOn w:val="DefaultParagraphFont"/>
    <w:rsid w:val="009F0205"/>
  </w:style>
  <w:style w:type="paragraph" w:customStyle="1" w:styleId="poms-li">
    <w:name w:val="poms-li"/>
    <w:basedOn w:val="Normal"/>
    <w:rsid w:val="0059797F"/>
    <w:pPr>
      <w:spacing w:before="100" w:beforeAutospacing="1" w:after="100" w:afterAutospacing="1" w:line="240" w:lineRule="auto"/>
    </w:pPr>
    <w:rPr>
      <w:rFonts w:ascii="Times New Roman" w:eastAsia="Times New Roman" w:hAnsi="Times New Roman"/>
      <w:sz w:val="24"/>
      <w:szCs w:val="24"/>
    </w:rPr>
  </w:style>
  <w:style w:type="paragraph" w:customStyle="1" w:styleId="listing">
    <w:name w:val="listing"/>
    <w:basedOn w:val="Normal"/>
    <w:rsid w:val="0059797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942807"/>
    <w:rPr>
      <w:color w:val="954F72" w:themeColor="followedHyperlink"/>
      <w:u w:val="single"/>
    </w:rPr>
  </w:style>
  <w:style w:type="paragraph" w:styleId="Revision">
    <w:name w:val="Revision"/>
    <w:hidden/>
    <w:uiPriority w:val="99"/>
    <w:semiHidden/>
    <w:rsid w:val="0031398C"/>
    <w:rPr>
      <w:sz w:val="22"/>
      <w:szCs w:val="22"/>
    </w:rPr>
  </w:style>
  <w:style w:type="character" w:styleId="UnresolvedMention">
    <w:name w:val="Unresolved Mention"/>
    <w:basedOn w:val="DefaultParagraphFont"/>
    <w:uiPriority w:val="99"/>
    <w:semiHidden/>
    <w:unhideWhenUsed/>
    <w:rsid w:val="0025459F"/>
    <w:rPr>
      <w:color w:val="605E5C"/>
      <w:shd w:val="clear" w:color="auto" w:fill="E1DFDD"/>
    </w:rPr>
  </w:style>
  <w:style w:type="table" w:customStyle="1" w:styleId="TableGrid2">
    <w:name w:val="Table Grid2"/>
    <w:basedOn w:val="TableNormal"/>
    <w:next w:val="TableGrid"/>
    <w:rsid w:val="004E60C7"/>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1FactSheet.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DB01-496D-486F-9F65-DB2CFB57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 Sandra</dc:creator>
  <cp:lastModifiedBy>Naomi Sipple</cp:lastModifiedBy>
  <cp:revision>2</cp:revision>
  <dcterms:created xsi:type="dcterms:W3CDTF">2024-05-15T18:47:00Z</dcterms:created>
  <dcterms:modified xsi:type="dcterms:W3CDTF">2024-05-15T18:47:00Z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36958590</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Passbacks for 0960-0349</vt:lpwstr>
  </property>
  <property fmtid="{D5CDD505-2E9C-101B-9397-08002B2CF9AE}" pid="6" name="_NewReviewCycle">
    <vt:lpwstr/>
  </property>
  <property fmtid="{D5CDD505-2E9C-101B-9397-08002B2CF9AE}" pid="7" name="_PreviousAdHocReviewCycleID">
    <vt:i4>-758389771</vt:i4>
  </property>
  <property fmtid="{D5CDD505-2E9C-101B-9397-08002B2CF9AE}" pid="8" name="_ReviewingToolsShownOnce">
    <vt:lpwstr/>
  </property>
</Properties>
</file>