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4040" w:type="dxa"/>
        <w:tblInd w:w="-455" w:type="dxa"/>
        <w:tblLook w:val="04A0"/>
      </w:tblPr>
      <w:tblGrid>
        <w:gridCol w:w="1710"/>
        <w:gridCol w:w="1800"/>
        <w:gridCol w:w="5220"/>
        <w:gridCol w:w="5310"/>
      </w:tblGrid>
      <w:tr w:rsidTr="009E3104">
        <w:tblPrEx>
          <w:tblW w:w="14040" w:type="dxa"/>
          <w:tblInd w:w="-455" w:type="dxa"/>
          <w:tblLook w:val="04A0"/>
        </w:tblPrEx>
        <w:trPr>
          <w:tblHeader/>
        </w:trPr>
        <w:tc>
          <w:tcPr>
            <w:tcW w:w="1710" w:type="dxa"/>
          </w:tcPr>
          <w:p w:rsidR="00212E2E" w:rsidRPr="00212E2E" w:rsidP="00044675">
            <w:pPr>
              <w:pStyle w:val="BodyText"/>
              <w:spacing w:line="247" w:lineRule="auto"/>
              <w:ind w:right="-14"/>
              <w:rPr>
                <w:b/>
              </w:rPr>
            </w:pPr>
            <w:r>
              <w:rPr>
                <w:b/>
              </w:rPr>
              <w:t>CMS 381 New</w:t>
            </w:r>
            <w:r>
              <w:rPr>
                <w:b/>
              </w:rPr>
              <w:t xml:space="preserve"> Form </w:t>
            </w:r>
            <w:r w:rsidRPr="00212E2E">
              <w:rPr>
                <w:b/>
              </w:rPr>
              <w:t>Section</w:t>
            </w:r>
          </w:p>
        </w:tc>
        <w:tc>
          <w:tcPr>
            <w:tcW w:w="1800" w:type="dxa"/>
          </w:tcPr>
          <w:p w:rsidR="00212E2E" w:rsidRPr="00212E2E" w:rsidP="00044675">
            <w:pPr>
              <w:pStyle w:val="BodyText"/>
              <w:spacing w:line="247" w:lineRule="auto"/>
              <w:ind w:right="73"/>
              <w:rPr>
                <w:b/>
              </w:rPr>
            </w:pPr>
            <w:r>
              <w:rPr>
                <w:b/>
              </w:rPr>
              <w:t xml:space="preserve">From which </w:t>
            </w:r>
            <w:r w:rsidRPr="00212E2E">
              <w:rPr>
                <w:b/>
              </w:rPr>
              <w:t>Original Form</w:t>
            </w:r>
          </w:p>
        </w:tc>
        <w:tc>
          <w:tcPr>
            <w:tcW w:w="5220" w:type="dxa"/>
          </w:tcPr>
          <w:p w:rsidR="00212E2E" w:rsidRPr="00212E2E" w:rsidP="00212E2E">
            <w:pPr>
              <w:pStyle w:val="BodyText"/>
              <w:spacing w:line="247" w:lineRule="auto"/>
              <w:ind w:right="682"/>
              <w:rPr>
                <w:b/>
              </w:rPr>
            </w:pPr>
            <w:r w:rsidRPr="00212E2E">
              <w:rPr>
                <w:b/>
              </w:rPr>
              <w:t>Updates Made</w:t>
            </w:r>
          </w:p>
        </w:tc>
        <w:tc>
          <w:tcPr>
            <w:tcW w:w="5310" w:type="dxa"/>
          </w:tcPr>
          <w:p w:rsidR="00212E2E" w:rsidRPr="00212E2E" w:rsidP="00212E2E">
            <w:pPr>
              <w:pStyle w:val="BodyText"/>
              <w:spacing w:line="247" w:lineRule="auto"/>
              <w:ind w:right="682"/>
              <w:rPr>
                <w:b/>
              </w:rPr>
            </w:pPr>
            <w:r w:rsidRPr="00212E2E">
              <w:rPr>
                <w:b/>
              </w:rPr>
              <w:t>Notes</w:t>
            </w:r>
            <w:r w:rsidR="00044675">
              <w:rPr>
                <w:b/>
              </w:rPr>
              <w:t>- Justification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212E2E" w:rsidP="009E13D9">
            <w:pPr>
              <w:pStyle w:val="BodyText"/>
              <w:spacing w:line="247" w:lineRule="auto"/>
              <w:ind w:right="72"/>
            </w:pPr>
            <w:r>
              <w:t>Part I</w:t>
            </w:r>
            <w:r w:rsidR="003059EE">
              <w:t>- A</w:t>
            </w:r>
          </w:p>
        </w:tc>
        <w:tc>
          <w:tcPr>
            <w:tcW w:w="1800" w:type="dxa"/>
          </w:tcPr>
          <w:p w:rsidR="00212E2E" w:rsidP="00044675">
            <w:pPr>
              <w:pStyle w:val="BodyText"/>
              <w:spacing w:line="247" w:lineRule="auto"/>
              <w:ind w:right="343"/>
            </w:pPr>
            <w:r>
              <w:t>CMS-1856</w:t>
            </w:r>
          </w:p>
        </w:tc>
        <w:tc>
          <w:tcPr>
            <w:tcW w:w="5220" w:type="dxa"/>
          </w:tcPr>
          <w:p w:rsidR="00212E2E" w:rsidP="003059EE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Added s</w:t>
            </w:r>
            <w:r w:rsidR="003059EE">
              <w:t>election if the OPT is requesting deemed status</w:t>
            </w:r>
          </w:p>
          <w:p w:rsidR="003059EE" w:rsidP="003059EE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Added n</w:t>
            </w:r>
            <w:r>
              <w:t>ame of Accrediting Organization</w:t>
            </w:r>
          </w:p>
          <w:p w:rsidR="009E3104" w:rsidP="003059EE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Remaining information is the same as on the current 1856 form</w:t>
            </w:r>
          </w:p>
        </w:tc>
        <w:tc>
          <w:tcPr>
            <w:tcW w:w="5310" w:type="dxa"/>
          </w:tcPr>
          <w:p w:rsidR="00212E2E" w:rsidP="003059EE">
            <w:pPr>
              <w:pStyle w:val="BodyText"/>
              <w:numPr>
                <w:ilvl w:val="0"/>
                <w:numId w:val="1"/>
              </w:numPr>
              <w:spacing w:line="247" w:lineRule="auto"/>
              <w:ind w:left="447" w:right="70"/>
            </w:pPr>
            <w:r>
              <w:t xml:space="preserve">Aligns with </w:t>
            </w:r>
            <w:hyperlink r:id="rId4" w:history="1">
              <w:r w:rsidRPr="00503557">
                <w:rPr>
                  <w:rStyle w:val="Hyperlink"/>
                </w:rPr>
                <w:t>Admin Info 22-02</w:t>
              </w:r>
            </w:hyperlink>
            <w:r>
              <w:t xml:space="preserve"> transition instructions. </w:t>
            </w:r>
          </w:p>
          <w:p w:rsidR="003059EE" w:rsidP="003059EE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Greater clarity for the MACs processing</w:t>
            </w:r>
            <w:r w:rsidR="009E3104">
              <w:t xml:space="preserve"> of initial or extension site requests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044675" w:rsidP="009E13D9">
            <w:pPr>
              <w:pStyle w:val="BodyText"/>
              <w:spacing w:line="247" w:lineRule="auto"/>
              <w:ind w:right="72"/>
            </w:pPr>
            <w:r>
              <w:t>Part I- B</w:t>
            </w:r>
          </w:p>
        </w:tc>
        <w:tc>
          <w:tcPr>
            <w:tcW w:w="1800" w:type="dxa"/>
          </w:tcPr>
          <w:p w:rsidR="00044675" w:rsidP="00044675">
            <w:pPr>
              <w:pStyle w:val="BodyText"/>
              <w:spacing w:line="247" w:lineRule="auto"/>
              <w:ind w:right="343"/>
            </w:pPr>
            <w:r>
              <w:t>NA</w:t>
            </w:r>
          </w:p>
        </w:tc>
        <w:tc>
          <w:tcPr>
            <w:tcW w:w="5220" w:type="dxa"/>
          </w:tcPr>
          <w:p w:rsidR="00044675" w:rsidP="00044675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 xml:space="preserve">Added new </w:t>
            </w:r>
            <w:r w:rsidR="009E3104">
              <w:t xml:space="preserve">for request of an extension site, however, </w:t>
            </w:r>
            <w:r>
              <w:t>context is based on the CMS-381 form</w:t>
            </w:r>
            <w:r w:rsidR="009E3104">
              <w:t xml:space="preserve"> and as a result of combining the two forms</w:t>
            </w:r>
          </w:p>
        </w:tc>
        <w:tc>
          <w:tcPr>
            <w:tcW w:w="5310" w:type="dxa"/>
          </w:tcPr>
          <w:p w:rsidR="00044675" w:rsidP="00044675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Greater clarity for the MACs processing of request for certification</w:t>
            </w:r>
            <w:r w:rsidR="009E3104">
              <w:t xml:space="preserve"> activity.</w:t>
            </w:r>
          </w:p>
          <w:p w:rsidR="009E3104" w:rsidP="00044675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Outlines upfront the request being submitted.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044675" w:rsidP="009E13D9">
            <w:pPr>
              <w:pStyle w:val="BodyText"/>
              <w:spacing w:line="247" w:lineRule="auto"/>
              <w:ind w:right="72"/>
            </w:pPr>
            <w:r>
              <w:t>Part II- I to V</w:t>
            </w:r>
          </w:p>
        </w:tc>
        <w:tc>
          <w:tcPr>
            <w:tcW w:w="1800" w:type="dxa"/>
          </w:tcPr>
          <w:p w:rsidR="00044675" w:rsidP="00686514">
            <w:pPr>
              <w:pStyle w:val="BodyText"/>
              <w:spacing w:line="247" w:lineRule="auto"/>
              <w:ind w:right="343"/>
            </w:pPr>
            <w:r>
              <w:t xml:space="preserve">CMS-1856 </w:t>
            </w:r>
          </w:p>
        </w:tc>
        <w:tc>
          <w:tcPr>
            <w:tcW w:w="5220" w:type="dxa"/>
          </w:tcPr>
          <w:p w:rsidR="009E3104" w:rsidP="00686514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Added in DBA field</w:t>
            </w:r>
            <w:r>
              <w:t xml:space="preserve"> </w:t>
            </w:r>
          </w:p>
          <w:p w:rsidR="00044675" w:rsidP="009E3104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Remainder of i</w:t>
            </w:r>
            <w:r>
              <w:t>nformation pulled from 1856 form</w:t>
            </w:r>
            <w:r>
              <w:t xml:space="preserve"> without change</w:t>
            </w:r>
          </w:p>
        </w:tc>
        <w:tc>
          <w:tcPr>
            <w:tcW w:w="5310" w:type="dxa"/>
          </w:tcPr>
          <w:p w:rsidR="00044675" w:rsidP="00686514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 xml:space="preserve">DBA added for MAC’s </w:t>
            </w:r>
            <w:r w:rsidR="00503557">
              <w:t>clarification</w:t>
            </w:r>
            <w:r w:rsidR="009E3104">
              <w:t xml:space="preserve"> per MAC request</w:t>
            </w:r>
          </w:p>
          <w:p w:rsidR="009E3104" w:rsidP="00686514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 xml:space="preserve">Avoids inconsistencies in enrollment 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503557" w:rsidP="009E13D9">
            <w:pPr>
              <w:pStyle w:val="BodyText"/>
              <w:spacing w:line="247" w:lineRule="auto"/>
              <w:ind w:right="72"/>
            </w:pPr>
            <w:r>
              <w:t>Part II- VI</w:t>
            </w:r>
          </w:p>
        </w:tc>
        <w:tc>
          <w:tcPr>
            <w:tcW w:w="1800" w:type="dxa"/>
          </w:tcPr>
          <w:p w:rsidR="00503557" w:rsidP="00503557">
            <w:pPr>
              <w:pStyle w:val="BodyText"/>
              <w:spacing w:line="247" w:lineRule="auto"/>
              <w:ind w:right="253"/>
            </w:pPr>
            <w:r>
              <w:t>CMS-381</w:t>
            </w:r>
          </w:p>
        </w:tc>
        <w:tc>
          <w:tcPr>
            <w:tcW w:w="5220" w:type="dxa"/>
          </w:tcPr>
          <w:p w:rsidR="009E3104" w:rsidP="00503557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>Added hours/information from CMS 381 form to be identified for both primary and extension site locations.</w:t>
            </w:r>
          </w:p>
          <w:p w:rsidR="00503557" w:rsidP="009E3104">
            <w:pPr>
              <w:pStyle w:val="BodyText"/>
              <w:spacing w:line="247" w:lineRule="auto"/>
              <w:ind w:left="347" w:right="216"/>
            </w:pPr>
          </w:p>
        </w:tc>
        <w:tc>
          <w:tcPr>
            <w:tcW w:w="5310" w:type="dxa"/>
          </w:tcPr>
          <w:p w:rsidR="00503557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 xml:space="preserve">Needed info by SA/AOs for </w:t>
            </w:r>
            <w:r w:rsidR="009E3104">
              <w:t xml:space="preserve">both </w:t>
            </w:r>
            <w:r>
              <w:t>primary and extension sites</w:t>
            </w:r>
          </w:p>
          <w:p w:rsidR="009E3104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Ensures SA/AO knowledge if unannounced survey needs to be scheduled.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9E3104" w:rsidP="009E13D9">
            <w:pPr>
              <w:pStyle w:val="BodyText"/>
              <w:spacing w:line="247" w:lineRule="auto"/>
              <w:ind w:right="72"/>
            </w:pPr>
            <w:r>
              <w:t>Part II-VII</w:t>
            </w:r>
          </w:p>
        </w:tc>
        <w:tc>
          <w:tcPr>
            <w:tcW w:w="1800" w:type="dxa"/>
          </w:tcPr>
          <w:p w:rsidR="009E3104" w:rsidP="00503557">
            <w:pPr>
              <w:pStyle w:val="BodyText"/>
              <w:spacing w:line="247" w:lineRule="auto"/>
              <w:ind w:right="253"/>
            </w:pPr>
            <w:r>
              <w:t>CMS-1856</w:t>
            </w:r>
          </w:p>
        </w:tc>
        <w:tc>
          <w:tcPr>
            <w:tcW w:w="5220" w:type="dxa"/>
          </w:tcPr>
          <w:p w:rsidR="009E3104" w:rsidP="009E3104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 xml:space="preserve">No change in content, pulled from CMS-1856 form </w:t>
            </w:r>
            <w:r>
              <w:t>and as a result of combining the two forms</w:t>
            </w:r>
          </w:p>
        </w:tc>
        <w:tc>
          <w:tcPr>
            <w:tcW w:w="5310" w:type="dxa"/>
          </w:tcPr>
          <w:p w:rsidR="009E3104" w:rsidP="009E3104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Needed info by SA/AOs for both primary and extension sites</w:t>
            </w:r>
          </w:p>
          <w:p w:rsidR="009E3104" w:rsidP="009E3104">
            <w:pPr>
              <w:pStyle w:val="BodyText"/>
              <w:spacing w:line="247" w:lineRule="auto"/>
              <w:ind w:left="447" w:right="70"/>
            </w:pP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503557" w:rsidP="009E13D9">
            <w:pPr>
              <w:pStyle w:val="BodyText"/>
              <w:spacing w:line="247" w:lineRule="auto"/>
              <w:ind w:right="72"/>
            </w:pPr>
            <w:r>
              <w:t>Part III- I &amp; II</w:t>
            </w:r>
          </w:p>
        </w:tc>
        <w:tc>
          <w:tcPr>
            <w:tcW w:w="1800" w:type="dxa"/>
          </w:tcPr>
          <w:p w:rsidR="00503557" w:rsidP="00503557">
            <w:pPr>
              <w:pStyle w:val="BodyText"/>
              <w:spacing w:line="247" w:lineRule="auto"/>
              <w:ind w:right="682"/>
            </w:pPr>
            <w:r>
              <w:t>CMS-1856</w:t>
            </w:r>
          </w:p>
        </w:tc>
        <w:tc>
          <w:tcPr>
            <w:tcW w:w="5220" w:type="dxa"/>
          </w:tcPr>
          <w:p w:rsidR="00503557" w:rsidP="00503557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 xml:space="preserve">Information pulled from 1856 form, but adjusted </w:t>
            </w:r>
            <w:r w:rsidR="009E3104">
              <w:t xml:space="preserve">this </w:t>
            </w:r>
            <w:r>
              <w:t>as needed for primary sites as well as extension sites</w:t>
            </w:r>
          </w:p>
        </w:tc>
        <w:tc>
          <w:tcPr>
            <w:tcW w:w="5310" w:type="dxa"/>
          </w:tcPr>
          <w:p w:rsidR="00503557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Needed info by SA/AOs for primary and extension sites</w:t>
            </w:r>
          </w:p>
          <w:p w:rsidR="009E3104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Ensures SA/AO knowledge if unannounced survey needs to be scheduled.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9E3104" w:rsidP="009E3104">
            <w:pPr>
              <w:pStyle w:val="BodyText"/>
              <w:spacing w:line="247" w:lineRule="auto"/>
              <w:ind w:right="72"/>
            </w:pPr>
            <w:r>
              <w:t>Part III- III</w:t>
            </w:r>
          </w:p>
        </w:tc>
        <w:tc>
          <w:tcPr>
            <w:tcW w:w="1800" w:type="dxa"/>
          </w:tcPr>
          <w:p w:rsidR="009E3104" w:rsidP="009E3104">
            <w:pPr>
              <w:pStyle w:val="BodyText"/>
              <w:spacing w:line="247" w:lineRule="auto"/>
              <w:ind w:right="253"/>
            </w:pPr>
            <w:r>
              <w:t>CMS-381</w:t>
            </w:r>
          </w:p>
        </w:tc>
        <w:tc>
          <w:tcPr>
            <w:tcW w:w="5220" w:type="dxa"/>
          </w:tcPr>
          <w:p w:rsidR="009E3104" w:rsidP="009E3104">
            <w:pPr>
              <w:pStyle w:val="BodyText"/>
              <w:numPr>
                <w:ilvl w:val="0"/>
                <w:numId w:val="1"/>
              </w:numPr>
              <w:spacing w:line="247" w:lineRule="auto"/>
              <w:ind w:left="347" w:right="216"/>
            </w:pPr>
            <w:r>
              <w:t xml:space="preserve">Added hours/information from CMS 381 form to be identified for both primary and </w:t>
            </w:r>
            <w:r>
              <w:t>extension site locations.</w:t>
            </w:r>
          </w:p>
          <w:p w:rsidR="009E3104" w:rsidP="009E3104">
            <w:pPr>
              <w:pStyle w:val="BodyText"/>
              <w:spacing w:line="247" w:lineRule="auto"/>
              <w:ind w:left="347" w:right="216"/>
            </w:pPr>
          </w:p>
        </w:tc>
        <w:tc>
          <w:tcPr>
            <w:tcW w:w="5310" w:type="dxa"/>
          </w:tcPr>
          <w:p w:rsidR="009E3104" w:rsidP="009E3104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Needed info by SA/AOs for both primary and extension sites</w:t>
            </w:r>
          </w:p>
          <w:p w:rsidR="009E3104" w:rsidP="009E3104">
            <w:pPr>
              <w:pStyle w:val="BodyText"/>
              <w:numPr>
                <w:ilvl w:val="0"/>
                <w:numId w:val="2"/>
              </w:numPr>
              <w:spacing w:line="247" w:lineRule="auto"/>
              <w:ind w:left="447" w:right="70"/>
            </w:pPr>
            <w:r>
              <w:t>Ensures SA/AO knowledge if unannounced survey needs to be scheduled.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503557" w:rsidP="009E13D9">
            <w:pPr>
              <w:pStyle w:val="BodyText"/>
              <w:spacing w:line="247" w:lineRule="auto"/>
              <w:ind w:right="72"/>
            </w:pPr>
            <w:r>
              <w:t>Part IV</w:t>
            </w:r>
          </w:p>
        </w:tc>
        <w:tc>
          <w:tcPr>
            <w:tcW w:w="1800" w:type="dxa"/>
          </w:tcPr>
          <w:p w:rsidR="00503557" w:rsidP="00503557">
            <w:pPr>
              <w:pStyle w:val="BodyText"/>
              <w:spacing w:line="247" w:lineRule="auto"/>
              <w:ind w:right="682"/>
            </w:pPr>
            <w:r>
              <w:t>NA</w:t>
            </w:r>
          </w:p>
        </w:tc>
        <w:tc>
          <w:tcPr>
            <w:tcW w:w="5220" w:type="dxa"/>
          </w:tcPr>
          <w:p w:rsidR="00503557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347" w:right="682"/>
            </w:pPr>
            <w:r>
              <w:t>Added new for greater clarification for processing</w:t>
            </w:r>
          </w:p>
        </w:tc>
        <w:tc>
          <w:tcPr>
            <w:tcW w:w="5310" w:type="dxa"/>
          </w:tcPr>
          <w:p w:rsidR="00503557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70"/>
            </w:pPr>
            <w:r>
              <w:t xml:space="preserve">Aligns with </w:t>
            </w:r>
            <w:hyperlink r:id="rId4" w:history="1">
              <w:r w:rsidRPr="00503557">
                <w:rPr>
                  <w:rStyle w:val="Hyperlink"/>
                </w:rPr>
                <w:t>Admin Info 22-02</w:t>
              </w:r>
            </w:hyperlink>
            <w:r>
              <w:t xml:space="preserve"> transition instructions. </w:t>
            </w:r>
          </w:p>
          <w:p w:rsidR="00503557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682"/>
            </w:pPr>
            <w:r>
              <w:t>Greater clarity for the MACs processing</w:t>
            </w:r>
            <w:r w:rsidR="009E3104">
              <w:t xml:space="preserve"> and identification of which action to take.</w:t>
            </w:r>
          </w:p>
          <w:p w:rsidR="009E3104" w:rsidP="00503557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682"/>
            </w:pPr>
            <w:r>
              <w:t>Ensures that if an extension site with different CCN (with identifier) is closed, the primary site and CCN is not inadvertently deleted/terminated.</w:t>
            </w:r>
          </w:p>
        </w:tc>
      </w:tr>
      <w:tr w:rsidTr="006E2AAC">
        <w:tblPrEx>
          <w:tblW w:w="14040" w:type="dxa"/>
          <w:tblInd w:w="-455" w:type="dxa"/>
          <w:tblLook w:val="04A0"/>
        </w:tblPrEx>
        <w:trPr>
          <w:trHeight w:val="1016"/>
        </w:trPr>
        <w:tc>
          <w:tcPr>
            <w:tcW w:w="1710" w:type="dxa"/>
          </w:tcPr>
          <w:p w:rsidR="009E13D9" w:rsidP="009E13D9">
            <w:pPr>
              <w:pStyle w:val="BodyText"/>
              <w:spacing w:line="247" w:lineRule="auto"/>
              <w:ind w:right="72"/>
            </w:pPr>
            <w:r>
              <w:t>Part V</w:t>
            </w:r>
          </w:p>
        </w:tc>
        <w:tc>
          <w:tcPr>
            <w:tcW w:w="1800" w:type="dxa"/>
          </w:tcPr>
          <w:p w:rsidR="009E13D9" w:rsidP="009E13D9">
            <w:pPr>
              <w:pStyle w:val="BodyText"/>
              <w:spacing w:line="247" w:lineRule="auto"/>
              <w:ind w:right="682"/>
            </w:pPr>
            <w:r>
              <w:t>NA</w:t>
            </w:r>
          </w:p>
        </w:tc>
        <w:tc>
          <w:tcPr>
            <w:tcW w:w="5220" w:type="dxa"/>
          </w:tcPr>
          <w:p w:rsidR="006E2AAC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47" w:right="682"/>
            </w:pPr>
            <w:r>
              <w:t>Added new to identify if there is a conversion occurring</w:t>
            </w:r>
          </w:p>
          <w:p w:rsidR="009E13D9" w:rsidP="006E2AAC">
            <w:pPr>
              <w:pStyle w:val="BodyText"/>
              <w:spacing w:line="247" w:lineRule="auto"/>
              <w:ind w:left="347" w:right="682"/>
            </w:pPr>
          </w:p>
        </w:tc>
        <w:tc>
          <w:tcPr>
            <w:tcW w:w="5310" w:type="dxa"/>
          </w:tcPr>
          <w:p w:rsidR="009E13D9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70"/>
            </w:pPr>
            <w:r>
              <w:t xml:space="preserve">Aligns with </w:t>
            </w:r>
            <w:hyperlink r:id="rId4" w:history="1">
              <w:r w:rsidRPr="00503557">
                <w:rPr>
                  <w:rStyle w:val="Hyperlink"/>
                </w:rPr>
                <w:t>Admin Info 22-02</w:t>
              </w:r>
            </w:hyperlink>
            <w:r>
              <w:t xml:space="preserve"> transition instructions. </w:t>
            </w:r>
          </w:p>
          <w:p w:rsidR="006E2AAC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682"/>
            </w:pPr>
            <w:r>
              <w:t>Greater clarity for the MACs processing.</w:t>
            </w:r>
          </w:p>
          <w:p w:rsidR="009E13D9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682"/>
            </w:pPr>
            <w:r>
              <w:t>Added new for greater clarification for processing by the SA or AO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9E13D9" w:rsidP="009E13D9">
            <w:pPr>
              <w:pStyle w:val="BodyText"/>
              <w:spacing w:line="247" w:lineRule="auto"/>
              <w:ind w:right="72"/>
            </w:pPr>
            <w:r>
              <w:t>Part VI</w:t>
            </w:r>
          </w:p>
        </w:tc>
        <w:tc>
          <w:tcPr>
            <w:tcW w:w="1800" w:type="dxa"/>
          </w:tcPr>
          <w:p w:rsidR="009E13D9" w:rsidP="009E13D9">
            <w:pPr>
              <w:pStyle w:val="BodyText"/>
              <w:spacing w:line="247" w:lineRule="auto"/>
              <w:ind w:right="-21"/>
            </w:pPr>
            <w:r>
              <w:t>CMS-381</w:t>
            </w:r>
          </w:p>
        </w:tc>
        <w:tc>
          <w:tcPr>
            <w:tcW w:w="5220" w:type="dxa"/>
          </w:tcPr>
          <w:p w:rsidR="009E13D9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47" w:right="682"/>
            </w:pPr>
            <w:r>
              <w:t>Added additional areas as c</w:t>
            </w:r>
            <w:r>
              <w:t xml:space="preserve">urrent 381 requests organizations to submit a </w:t>
            </w:r>
            <w:r>
              <w:t>supplementary sheet with extension sites</w:t>
            </w:r>
          </w:p>
        </w:tc>
        <w:tc>
          <w:tcPr>
            <w:tcW w:w="5310" w:type="dxa"/>
          </w:tcPr>
          <w:p w:rsidR="009E13D9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70"/>
            </w:pPr>
            <w:r>
              <w:t>Cleaned up for ease of use</w:t>
            </w:r>
            <w:r w:rsidR="006E2AAC">
              <w:t xml:space="preserve"> by the provider</w:t>
            </w:r>
          </w:p>
          <w:p w:rsidR="006E2AAC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73" w:right="70"/>
            </w:pPr>
            <w:r>
              <w:t>Assists in organization at SA/AO level</w:t>
            </w:r>
          </w:p>
        </w:tc>
      </w:tr>
      <w:tr w:rsidTr="009E13D9">
        <w:tblPrEx>
          <w:tblW w:w="14040" w:type="dxa"/>
          <w:tblInd w:w="-455" w:type="dxa"/>
          <w:tblLook w:val="04A0"/>
        </w:tblPrEx>
        <w:tc>
          <w:tcPr>
            <w:tcW w:w="1710" w:type="dxa"/>
          </w:tcPr>
          <w:p w:rsidR="009E13D9" w:rsidP="009E13D9">
            <w:pPr>
              <w:pStyle w:val="BodyText"/>
              <w:spacing w:line="247" w:lineRule="auto"/>
              <w:ind w:right="72"/>
            </w:pPr>
            <w:r>
              <w:t>Part VII</w:t>
            </w:r>
          </w:p>
        </w:tc>
        <w:tc>
          <w:tcPr>
            <w:tcW w:w="1800" w:type="dxa"/>
          </w:tcPr>
          <w:p w:rsidR="009E13D9" w:rsidP="009E13D9">
            <w:pPr>
              <w:pStyle w:val="BodyText"/>
              <w:spacing w:line="247" w:lineRule="auto"/>
              <w:ind w:right="-21"/>
            </w:pPr>
            <w:r>
              <w:t xml:space="preserve">CMS-381 </w:t>
            </w:r>
          </w:p>
        </w:tc>
        <w:tc>
          <w:tcPr>
            <w:tcW w:w="5220" w:type="dxa"/>
          </w:tcPr>
          <w:p w:rsidR="009E13D9" w:rsidP="009E13D9">
            <w:pPr>
              <w:pStyle w:val="BodyText"/>
              <w:numPr>
                <w:ilvl w:val="0"/>
                <w:numId w:val="2"/>
              </w:numPr>
              <w:spacing w:line="247" w:lineRule="auto"/>
              <w:ind w:left="347" w:right="682"/>
            </w:pPr>
            <w:r>
              <w:t>No change, info pulled from 381 form</w:t>
            </w:r>
          </w:p>
        </w:tc>
        <w:tc>
          <w:tcPr>
            <w:tcW w:w="5310" w:type="dxa"/>
          </w:tcPr>
          <w:p w:rsidR="009E13D9" w:rsidP="006E2AAC">
            <w:pPr>
              <w:pStyle w:val="BodyText"/>
              <w:numPr>
                <w:ilvl w:val="0"/>
                <w:numId w:val="2"/>
              </w:numPr>
              <w:spacing w:line="247" w:lineRule="auto"/>
              <w:ind w:left="433" w:right="70"/>
            </w:pPr>
            <w:r>
              <w:t>Signature information does not require changes and should still be required on the forms.</w:t>
            </w:r>
            <w:bookmarkStart w:id="0" w:name="_GoBack"/>
            <w:bookmarkEnd w:id="0"/>
          </w:p>
        </w:tc>
      </w:tr>
    </w:tbl>
    <w:p w:rsidR="009C407D"/>
    <w:sectPr w:rsidSect="009E13D9">
      <w:head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13D9" w:rsidRPr="00CC3FDE" w:rsidP="009E13D9">
    <w:pPr>
      <w:pStyle w:val="Heading1"/>
      <w:spacing w:before="92"/>
      <w:ind w:left="0" w:right="0"/>
      <w:rPr>
        <w:rFonts w:ascii="Times New Roman" w:hAnsi="Times New Roman" w:cs="Times New Roman"/>
        <w:b w:val="0"/>
      </w:rPr>
    </w:pPr>
    <w:r w:rsidRPr="00CC3FDE">
      <w:rPr>
        <w:rFonts w:ascii="Times New Roman" w:hAnsi="Times New Roman" w:cs="Times New Roman"/>
        <w:b w:val="0"/>
        <w:color w:val="231F20"/>
      </w:rPr>
      <w:t>REQUEST FOR CERTIFICATION IN THE MEDICARE AND/OR MEDICAID PROGRAM</w:t>
    </w:r>
  </w:p>
  <w:p w:rsidR="009E13D9" w:rsidP="009E13D9">
    <w:pPr>
      <w:spacing w:before="12"/>
      <w:jc w:val="center"/>
    </w:pPr>
    <w:r w:rsidRPr="00CC3FDE">
      <w:rPr>
        <w:color w:val="231F20"/>
        <w:sz w:val="24"/>
      </w:rPr>
      <w:t>TO PROVIDE OUTPATIENT PHYSICAL THERAPY (OPT) AND/OR SPEECH PATHOLOGY SERVICES (OSP)- INITIAL AND EXTENSION SITE REQUESTS</w:t>
    </w:r>
  </w:p>
  <w:p w:rsidR="009E13D9" w:rsidP="009E13D9">
    <w:pPr>
      <w:pStyle w:val="BodyText"/>
      <w:spacing w:line="247" w:lineRule="auto"/>
      <w:ind w:left="682" w:right="682"/>
      <w:jc w:val="center"/>
    </w:pPr>
    <w:r>
      <w:t xml:space="preserve"> (CMS-381)</w:t>
    </w:r>
  </w:p>
  <w:p w:rsidR="009E13D9" w:rsidP="009E13D9">
    <w:pPr>
      <w:pStyle w:val="BodyText"/>
      <w:spacing w:line="247" w:lineRule="auto"/>
      <w:ind w:left="682" w:right="682"/>
      <w:jc w:val="center"/>
    </w:pPr>
  </w:p>
  <w:p w:rsidR="009E13D9" w:rsidP="009E13D9">
    <w:pPr>
      <w:pStyle w:val="BodyText"/>
      <w:spacing w:line="247" w:lineRule="auto"/>
      <w:ind w:left="682" w:right="682"/>
      <w:jc w:val="center"/>
    </w:pPr>
    <w:r>
      <w:t>CROSSWALK OF UPDATES</w:t>
    </w:r>
  </w:p>
  <w:p w:rsidR="009E1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840843"/>
    <w:multiLevelType w:val="hybridMultilevel"/>
    <w:tmpl w:val="AE186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E05C4"/>
    <w:multiLevelType w:val="hybridMultilevel"/>
    <w:tmpl w:val="5CF21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2E"/>
    <w:rsid w:val="00044675"/>
    <w:rsid w:val="00212E2E"/>
    <w:rsid w:val="003059EE"/>
    <w:rsid w:val="00503557"/>
    <w:rsid w:val="00686514"/>
    <w:rsid w:val="006E2AAC"/>
    <w:rsid w:val="009C407D"/>
    <w:rsid w:val="009E13D9"/>
    <w:rsid w:val="009E3104"/>
    <w:rsid w:val="00CC3F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FF9DBB"/>
  <w15:chartTrackingRefBased/>
  <w15:docId w15:val="{D01E3C54-2BE1-434F-92CA-10211F2D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12E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12E2E"/>
    <w:pPr>
      <w:spacing w:before="12"/>
      <w:ind w:left="2387" w:right="240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2E2E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2E2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2E2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5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1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3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E1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3D9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1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ms.gov/files/document/admin-info-22-02-all-revised-11072022.pdf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Caecilia Blondiaux</dc:creator>
  <cp:lastModifiedBy>Caecilia Blondiaux</cp:lastModifiedBy>
  <cp:revision>4</cp:revision>
  <dcterms:created xsi:type="dcterms:W3CDTF">2023-04-25T17:42:00Z</dcterms:created>
  <dcterms:modified xsi:type="dcterms:W3CDTF">2023-04-25T18:46:00Z</dcterms:modified>
</cp:coreProperties>
</file>