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2EE6" w:rsidRPr="00667688" w:rsidP="00667688" w14:paraId="6217D10D" w14:textId="46BBCF5E">
      <w:pPr>
        <w:spacing w:after="0" w:line="240" w:lineRule="auto"/>
        <w:jc w:val="center"/>
        <w:outlineLvl w:val="0"/>
        <w:rPr>
          <w:rFonts w:ascii="Times New Roman" w:hAnsi="Times New Roman"/>
          <w:bCs/>
          <w:sz w:val="24"/>
          <w:szCs w:val="24"/>
        </w:rPr>
      </w:pPr>
      <w:r w:rsidRPr="00667688">
        <w:rPr>
          <w:rFonts w:ascii="Times New Roman" w:hAnsi="Times New Roman"/>
          <w:bCs/>
          <w:sz w:val="24"/>
          <w:szCs w:val="24"/>
        </w:rPr>
        <w:t>U.S. Food and Drug Administration</w:t>
      </w:r>
    </w:p>
    <w:p w:rsidR="001356DD" w:rsidRPr="00667688" w:rsidP="00667688" w14:paraId="59463199" w14:textId="77777777">
      <w:pPr>
        <w:spacing w:after="0" w:line="240" w:lineRule="auto"/>
        <w:jc w:val="center"/>
        <w:outlineLvl w:val="0"/>
        <w:rPr>
          <w:rFonts w:ascii="Times New Roman" w:hAnsi="Times New Roman"/>
          <w:bCs/>
          <w:sz w:val="24"/>
          <w:szCs w:val="24"/>
        </w:rPr>
      </w:pPr>
      <w:r w:rsidRPr="00667688">
        <w:rPr>
          <w:rFonts w:ascii="Times New Roman" w:hAnsi="Times New Roman"/>
          <w:bCs/>
          <w:sz w:val="24"/>
          <w:szCs w:val="24"/>
        </w:rPr>
        <w:t xml:space="preserve">Generic Clearance for the Collection of Qualitative </w:t>
      </w:r>
      <w:r w:rsidRPr="00667688" w:rsidR="009060B9">
        <w:rPr>
          <w:rFonts w:ascii="Times New Roman" w:hAnsi="Times New Roman"/>
          <w:bCs/>
          <w:sz w:val="24"/>
          <w:szCs w:val="24"/>
        </w:rPr>
        <w:t>Data</w:t>
      </w:r>
      <w:r w:rsidRPr="00667688" w:rsidR="00FA3CC5">
        <w:rPr>
          <w:rFonts w:ascii="Times New Roman" w:hAnsi="Times New Roman"/>
          <w:bCs/>
          <w:sz w:val="24"/>
          <w:szCs w:val="24"/>
        </w:rPr>
        <w:t xml:space="preserve"> on Tobacco Products and Communications</w:t>
      </w:r>
    </w:p>
    <w:p w:rsidR="004A3F45" w:rsidRPr="00667688" w:rsidP="00667688" w14:paraId="74E98E33" w14:textId="2E0F155A">
      <w:pPr>
        <w:spacing w:before="100" w:beforeAutospacing="1" w:after="100" w:afterAutospacing="1" w:line="240" w:lineRule="auto"/>
        <w:jc w:val="center"/>
        <w:outlineLvl w:val="0"/>
        <w:rPr>
          <w:rFonts w:ascii="Times New Roman" w:hAnsi="Times New Roman"/>
          <w:bCs/>
          <w:sz w:val="24"/>
          <w:szCs w:val="24"/>
        </w:rPr>
      </w:pPr>
      <w:r w:rsidRPr="00667688">
        <w:rPr>
          <w:rFonts w:ascii="Times New Roman" w:hAnsi="Times New Roman"/>
          <w:bCs/>
          <w:sz w:val="24"/>
          <w:szCs w:val="24"/>
        </w:rPr>
        <w:t xml:space="preserve">OMB Control No. </w:t>
      </w:r>
      <w:r w:rsidRPr="00667688" w:rsidR="001665B8">
        <w:rPr>
          <w:rFonts w:ascii="Times New Roman" w:hAnsi="Times New Roman"/>
          <w:bCs/>
          <w:sz w:val="24"/>
          <w:szCs w:val="24"/>
        </w:rPr>
        <w:t>0910-0796</w:t>
      </w:r>
    </w:p>
    <w:p w:rsidR="00A2421E" w:rsidRPr="00667688" w:rsidP="00667688" w14:paraId="3F012FA4" w14:textId="30405EF5">
      <w:pPr>
        <w:spacing w:before="100" w:beforeAutospacing="1" w:after="100" w:afterAutospacing="1" w:line="240" w:lineRule="auto"/>
        <w:jc w:val="center"/>
        <w:rPr>
          <w:rFonts w:ascii="Times New Roman" w:hAnsi="Times New Roman"/>
          <w:bCs/>
          <w:sz w:val="24"/>
          <w:szCs w:val="24"/>
        </w:rPr>
      </w:pPr>
      <w:r w:rsidRPr="00667688">
        <w:rPr>
          <w:rFonts w:ascii="Times New Roman" w:hAnsi="Times New Roman"/>
          <w:bCs/>
          <w:sz w:val="24"/>
          <w:szCs w:val="24"/>
        </w:rPr>
        <w:t xml:space="preserve">Supporting </w:t>
      </w:r>
      <w:r w:rsidRPr="00667688" w:rsidR="001356DD">
        <w:rPr>
          <w:rFonts w:ascii="Times New Roman" w:hAnsi="Times New Roman"/>
          <w:bCs/>
          <w:sz w:val="24"/>
          <w:szCs w:val="24"/>
        </w:rPr>
        <w:t>Statement</w:t>
      </w:r>
      <w:r w:rsidRPr="00667688" w:rsidR="00B228C5">
        <w:rPr>
          <w:rFonts w:ascii="Times New Roman" w:hAnsi="Times New Roman"/>
          <w:bCs/>
          <w:sz w:val="24"/>
          <w:szCs w:val="24"/>
        </w:rPr>
        <w:t xml:space="preserve"> </w:t>
      </w:r>
      <w:r w:rsidRPr="00667688" w:rsidR="00B228C5">
        <w:rPr>
          <w:rFonts w:ascii="Times New Roman" w:hAnsi="Times New Roman"/>
          <w:bCs/>
          <w:sz w:val="24"/>
          <w:szCs w:val="24"/>
        </w:rPr>
        <w:t>Part</w:t>
      </w:r>
      <w:r w:rsidRPr="00667688" w:rsidR="00B228C5">
        <w:rPr>
          <w:rFonts w:ascii="Times New Roman" w:hAnsi="Times New Roman"/>
          <w:bCs/>
          <w:sz w:val="24"/>
          <w:szCs w:val="24"/>
        </w:rPr>
        <w:t xml:space="preserve"> A</w:t>
      </w:r>
    </w:p>
    <w:p w:rsidR="00A12BAD" w:rsidRPr="00667688" w:rsidP="00667688" w14:paraId="2B8D7CD2" w14:textId="77777777">
      <w:pPr>
        <w:pStyle w:val="ListParagraph"/>
        <w:numPr>
          <w:ilvl w:val="0"/>
          <w:numId w:val="1"/>
        </w:numPr>
        <w:spacing w:before="100" w:beforeAutospacing="1" w:after="100" w:afterAutospacing="1" w:line="240" w:lineRule="auto"/>
        <w:ind w:left="0"/>
        <w:rPr>
          <w:rFonts w:ascii="Times New Roman" w:hAnsi="Times New Roman"/>
          <w:bCs/>
          <w:sz w:val="24"/>
          <w:szCs w:val="24"/>
        </w:rPr>
      </w:pPr>
      <w:r w:rsidRPr="00667688">
        <w:rPr>
          <w:rFonts w:ascii="Times New Roman" w:hAnsi="Times New Roman"/>
          <w:bCs/>
          <w:sz w:val="24"/>
          <w:szCs w:val="24"/>
        </w:rPr>
        <w:t>JUSTIFICATION</w:t>
      </w:r>
    </w:p>
    <w:p w:rsidR="00A12BAD" w:rsidRPr="00667688" w:rsidP="00667688" w14:paraId="6DFA60C0" w14:textId="77777777">
      <w:pPr>
        <w:pStyle w:val="ListParagraph"/>
        <w:spacing w:before="100" w:beforeAutospacing="1" w:after="100" w:afterAutospacing="1" w:line="240" w:lineRule="auto"/>
        <w:ind w:left="0"/>
        <w:rPr>
          <w:rFonts w:ascii="Times New Roman" w:hAnsi="Times New Roman"/>
          <w:bCs/>
          <w:sz w:val="24"/>
          <w:szCs w:val="24"/>
        </w:rPr>
      </w:pPr>
    </w:p>
    <w:p w:rsidR="00A12BAD" w:rsidRPr="00667688" w:rsidP="00667688" w14:paraId="395E8522" w14:textId="77777777">
      <w:pPr>
        <w:pStyle w:val="ListParagraph"/>
        <w:numPr>
          <w:ilvl w:val="0"/>
          <w:numId w:val="2"/>
        </w:numPr>
        <w:spacing w:before="100" w:beforeAutospacing="1" w:after="100" w:afterAutospacing="1" w:line="240" w:lineRule="auto"/>
        <w:ind w:left="0"/>
        <w:rPr>
          <w:rFonts w:ascii="Times New Roman" w:hAnsi="Times New Roman"/>
          <w:bCs/>
          <w:sz w:val="24"/>
          <w:szCs w:val="24"/>
          <w:u w:val="single"/>
        </w:rPr>
      </w:pPr>
      <w:r w:rsidRPr="00667688">
        <w:rPr>
          <w:rFonts w:ascii="Times New Roman" w:hAnsi="Times New Roman"/>
          <w:bCs/>
          <w:sz w:val="24"/>
          <w:szCs w:val="24"/>
          <w:u w:val="single"/>
        </w:rPr>
        <w:t>Circumstances Making the Collection of Information Necessary</w:t>
      </w:r>
    </w:p>
    <w:p w:rsidR="002159DB" w:rsidRPr="00667688" w:rsidP="00B10FAC" w14:paraId="7A264C07" w14:textId="0961A073">
      <w:pPr>
        <w:pStyle w:val="BodyTextIndent"/>
        <w:spacing w:after="0"/>
        <w:ind w:left="0"/>
      </w:pPr>
      <w:r w:rsidRPr="00667688">
        <w:t xml:space="preserve">FDA’s Center for Tobacco Products </w:t>
      </w:r>
      <w:r w:rsidR="00667688">
        <w:t xml:space="preserve">(CTP) </w:t>
      </w:r>
      <w:r w:rsidRPr="00667688">
        <w:t xml:space="preserve">oversees implementation of the Family Smoking Prevention and Tobacco Control Act, also known as the Tobacco Control Act, signed into law on June 22, 2009. </w:t>
      </w:r>
      <w:r w:rsidR="004C6B06">
        <w:t>S</w:t>
      </w:r>
      <w:r w:rsidRPr="00667688">
        <w:t xml:space="preserve">ection 505 of the Federal Food, Drug, and Cosmetic Act (the </w:t>
      </w:r>
      <w:r w:rsidRPr="00667688" w:rsidR="004A3F45">
        <w:t>FD&amp;C A</w:t>
      </w:r>
      <w:r w:rsidRPr="00667688">
        <w:t xml:space="preserve">ct) (21 U.S.C. 355) provides that FDA may take appropriate action to protect the public health when necessary. </w:t>
      </w:r>
      <w:r w:rsidR="003D05B1">
        <w:rPr>
          <w:color w:val="000000" w:themeColor="text1"/>
        </w:rPr>
        <w:t>As part of this authorization,</w:t>
      </w:r>
      <w:r w:rsidRPr="00667688">
        <w:t xml:space="preserve"> </w:t>
      </w:r>
      <w:r w:rsidR="003D05B1">
        <w:t xml:space="preserve">the </w:t>
      </w:r>
      <w:r w:rsidRPr="00667688">
        <w:t>Center for Tobacco Products also conducts studies to inform regulatory actions and communicates with the public on the health risks of tobacco use.</w:t>
      </w:r>
    </w:p>
    <w:p w:rsidR="009E495C" w:rsidP="00667688" w14:paraId="28FFE5E4" w14:textId="77777777">
      <w:pPr>
        <w:pStyle w:val="BodyTextIndent"/>
        <w:ind w:left="0"/>
      </w:pPr>
    </w:p>
    <w:p w:rsidR="00BA7BA9" w:rsidP="00667688" w14:paraId="732C00A4" w14:textId="52214750">
      <w:pPr>
        <w:pStyle w:val="BodyTextIndent"/>
        <w:ind w:left="0"/>
      </w:pPr>
      <w:r w:rsidRPr="00667688">
        <w:t xml:space="preserve">To ensure that regulatory actions and communications activities have the highest potential to be received, understood, and accepted by </w:t>
      </w:r>
      <w:r w:rsidR="003C6C55">
        <w:t>various audiences</w:t>
      </w:r>
      <w:r w:rsidRPr="00667688">
        <w:t xml:space="preserve">, </w:t>
      </w:r>
      <w:r w:rsidR="00667688">
        <w:t xml:space="preserve">CTP </w:t>
      </w:r>
      <w:r w:rsidRPr="00667688">
        <w:t xml:space="preserve">will conduct research studies relating to the control and prevention of disease as authorized by </w:t>
      </w:r>
      <w:r w:rsidRPr="00667688" w:rsidR="004A3F45">
        <w:t>s</w:t>
      </w:r>
      <w:r w:rsidRPr="00667688">
        <w:t xml:space="preserve">ection 301 of the Public Health Service Act (42 U.S.C 241(a)). </w:t>
      </w:r>
      <w:r w:rsidRPr="00667688" w:rsidR="006423F8">
        <w:t>Since this collection was approved originally, FDA now has authority per the deeming rule over many newly regulated products. Therefore, FDA may need to gather more</w:t>
      </w:r>
      <w:r w:rsidRPr="00667688" w:rsidR="00434F8E">
        <w:t xml:space="preserve"> foundational and</w:t>
      </w:r>
      <w:r w:rsidRPr="00667688" w:rsidR="006423F8">
        <w:t xml:space="preserve"> formative research on these newly deemed tobacco products</w:t>
      </w:r>
      <w:r w:rsidR="004E0B9F">
        <w:t xml:space="preserve"> to inform </w:t>
      </w:r>
      <w:r w:rsidR="00441A71">
        <w:t xml:space="preserve">comprehensive </w:t>
      </w:r>
      <w:r w:rsidR="0017326E">
        <w:t xml:space="preserve">and accessible communications </w:t>
      </w:r>
      <w:r w:rsidR="00F86C33">
        <w:t xml:space="preserve">that describe CTP regulatory actions </w:t>
      </w:r>
      <w:r w:rsidR="009C6C75">
        <w:t>to the public and other CTP stakeholders</w:t>
      </w:r>
      <w:r w:rsidR="00FD3AAF">
        <w:t>,</w:t>
      </w:r>
      <w:r w:rsidR="00096FBC">
        <w:t xml:space="preserve"> </w:t>
      </w:r>
      <w:r w:rsidR="00B81B36">
        <w:t>aligned with CTP’s Strategic Plan (Goal 1: Develop, Advance, and Communicate Comprehensive and Impactful Tobacco Regulations and Guidance) as data gathered from information collections</w:t>
      </w:r>
      <w:r w:rsidR="00865A4D">
        <w:t xml:space="preserve"> under this generic</w:t>
      </w:r>
      <w:r w:rsidR="007C02EB">
        <w:t xml:space="preserve"> clearance</w:t>
      </w:r>
      <w:r w:rsidR="00B81B36">
        <w:t xml:space="preserve"> </w:t>
      </w:r>
      <w:r w:rsidR="00D077B3">
        <w:t xml:space="preserve">will </w:t>
      </w:r>
      <w:r w:rsidR="00392E88">
        <w:t xml:space="preserve">facilitate </w:t>
      </w:r>
      <w:r w:rsidR="00E47BD1">
        <w:t xml:space="preserve">development of </w:t>
      </w:r>
      <w:r w:rsidR="00392E88">
        <w:t>clear and accessible CTP</w:t>
      </w:r>
      <w:r w:rsidR="00B81B36">
        <w:t xml:space="preserve"> public statements</w:t>
      </w:r>
      <w:r w:rsidR="00917157">
        <w:t xml:space="preserve"> and communications.</w:t>
      </w:r>
      <w:r w:rsidRPr="007E33CE" w:rsidR="007E33CE">
        <w:t xml:space="preserve"> </w:t>
      </w:r>
      <w:r w:rsidR="007E33CE">
        <w:t>Aligned with CTP’s Strategic Plan (Goal 4: Enhance Knowledge and Understanding of the Risks Associated with Tobacco Product Use), t</w:t>
      </w:r>
      <w:r w:rsidRPr="00667688" w:rsidR="007E33CE">
        <w:t xml:space="preserve">his information </w:t>
      </w:r>
      <w:r w:rsidR="007E33CE">
        <w:t xml:space="preserve">will </w:t>
      </w:r>
      <w:r>
        <w:t xml:space="preserve">also </w:t>
      </w:r>
      <w:r w:rsidR="007E33CE">
        <w:t>aid CTP’s strategy and development of</w:t>
      </w:r>
      <w:r w:rsidRPr="00667688" w:rsidR="007E33CE">
        <w:t xml:space="preserve"> communication messag</w:t>
      </w:r>
      <w:r w:rsidR="007E33CE">
        <w:t>ing</w:t>
      </w:r>
      <w:r w:rsidRPr="00667688" w:rsidR="007E33CE">
        <w:t xml:space="preserve"> and educational initiatives related to public healt</w:t>
      </w:r>
      <w:r w:rsidR="007E33CE">
        <w:t>h (i.e., educating youth about the risks of tobacco product use; educating people who use tobacco products about the benefits of cessation; educating adults who smoke about the relative risks of tobacco products).</w:t>
      </w:r>
      <w:r>
        <w:t xml:space="preserve"> </w:t>
      </w:r>
    </w:p>
    <w:p w:rsidR="00B10FAC" w:rsidP="00667688" w14:paraId="44C05DD1" w14:textId="77777777">
      <w:pPr>
        <w:autoSpaceDE w:val="0"/>
        <w:autoSpaceDN w:val="0"/>
        <w:adjustRightInd w:val="0"/>
        <w:spacing w:after="0" w:line="240" w:lineRule="auto"/>
        <w:rPr>
          <w:rFonts w:ascii="Times New Roman" w:hAnsi="Times New Roman"/>
          <w:sz w:val="24"/>
          <w:szCs w:val="24"/>
        </w:rPr>
      </w:pPr>
    </w:p>
    <w:p w:rsidR="002159DB" w:rsidRPr="00667688" w:rsidP="00667688" w14:paraId="687E4A71" w14:textId="26673AC5">
      <w:pPr>
        <w:autoSpaceDE w:val="0"/>
        <w:autoSpaceDN w:val="0"/>
        <w:adjustRightInd w:val="0"/>
        <w:spacing w:after="0" w:line="240" w:lineRule="auto"/>
        <w:rPr>
          <w:rFonts w:ascii="Times New Roman" w:hAnsi="Times New Roman"/>
          <w:sz w:val="24"/>
          <w:szCs w:val="24"/>
        </w:rPr>
      </w:pPr>
      <w:r w:rsidRPr="009E495C">
        <w:rPr>
          <w:rFonts w:ascii="Times New Roman" w:hAnsi="Times New Roman"/>
          <w:sz w:val="24"/>
          <w:szCs w:val="24"/>
        </w:rPr>
        <w:t>This information</w:t>
      </w:r>
      <w:r w:rsidRPr="009E495C" w:rsidR="00096FBC">
        <w:rPr>
          <w:rFonts w:ascii="Times New Roman" w:hAnsi="Times New Roman"/>
          <w:sz w:val="24"/>
          <w:szCs w:val="24"/>
        </w:rPr>
        <w:t xml:space="preserve"> collections under this generic clearance</w:t>
      </w:r>
      <w:r w:rsidRPr="009E495C">
        <w:rPr>
          <w:rFonts w:ascii="Times New Roman" w:hAnsi="Times New Roman"/>
          <w:sz w:val="24"/>
          <w:szCs w:val="24"/>
        </w:rPr>
        <w:t xml:space="preserve"> will be used </w:t>
      </w:r>
      <w:r w:rsidRPr="009E495C" w:rsidR="00612794">
        <w:rPr>
          <w:rFonts w:ascii="Times New Roman" w:hAnsi="Times New Roman"/>
          <w:sz w:val="24"/>
          <w:szCs w:val="24"/>
        </w:rPr>
        <w:t xml:space="preserve">to </w:t>
      </w:r>
      <w:r w:rsidRPr="009E495C" w:rsidR="00EB26AC">
        <w:rPr>
          <w:rFonts w:ascii="Times New Roman" w:hAnsi="Times New Roman"/>
          <w:sz w:val="24"/>
          <w:szCs w:val="24"/>
        </w:rPr>
        <w:t>inform</w:t>
      </w:r>
      <w:r w:rsidRPr="009E495C" w:rsidR="00612794">
        <w:rPr>
          <w:rFonts w:ascii="Times New Roman" w:hAnsi="Times New Roman"/>
          <w:sz w:val="24"/>
          <w:szCs w:val="24"/>
        </w:rPr>
        <w:t xml:space="preserve"> the regulatory science </w:t>
      </w:r>
      <w:r w:rsidRPr="009E495C" w:rsidR="00E27770">
        <w:rPr>
          <w:rFonts w:ascii="Times New Roman" w:hAnsi="Times New Roman"/>
          <w:sz w:val="24"/>
          <w:szCs w:val="24"/>
        </w:rPr>
        <w:t xml:space="preserve">and health communication </w:t>
      </w:r>
      <w:r w:rsidRPr="009E495C" w:rsidR="00612794">
        <w:rPr>
          <w:rFonts w:ascii="Times New Roman" w:hAnsi="Times New Roman"/>
          <w:sz w:val="24"/>
          <w:szCs w:val="24"/>
        </w:rPr>
        <w:t>knowledge base</w:t>
      </w:r>
      <w:r w:rsidRPr="009E495C" w:rsidR="00EB26AC">
        <w:rPr>
          <w:rFonts w:ascii="Times New Roman" w:hAnsi="Times New Roman"/>
          <w:sz w:val="24"/>
          <w:szCs w:val="24"/>
        </w:rPr>
        <w:t>,</w:t>
      </w:r>
      <w:r w:rsidRPr="009E495C" w:rsidR="00612794">
        <w:rPr>
          <w:rFonts w:ascii="Times New Roman" w:hAnsi="Times New Roman"/>
          <w:sz w:val="24"/>
          <w:szCs w:val="24"/>
        </w:rPr>
        <w:t xml:space="preserve"> as well </w:t>
      </w:r>
      <w:r w:rsidRPr="009E495C" w:rsidR="00242F78">
        <w:rPr>
          <w:rFonts w:ascii="Times New Roman" w:hAnsi="Times New Roman"/>
          <w:sz w:val="24"/>
          <w:szCs w:val="24"/>
        </w:rPr>
        <w:t>as to</w:t>
      </w:r>
      <w:r w:rsidRPr="009E495C">
        <w:rPr>
          <w:rFonts w:ascii="Times New Roman" w:hAnsi="Times New Roman"/>
          <w:sz w:val="24"/>
          <w:szCs w:val="24"/>
        </w:rPr>
        <w:t xml:space="preserve"> explore concepts of interest and assist in the development of quantitative study proposals, complementing other important research efforts in the agency. </w:t>
      </w:r>
      <w:r w:rsidRPr="009E495C" w:rsidR="007F7EC1">
        <w:rPr>
          <w:rFonts w:ascii="Times New Roman" w:hAnsi="Times New Roman"/>
          <w:sz w:val="24"/>
          <w:szCs w:val="24"/>
        </w:rPr>
        <w:t>FDA is requesting approval of this extension for collecting information using qualitative methods (e.g., individual in-depth interviews (IDIs), focus group discussions, cognitive interviews, and asynchronous qualitative discussions</w:t>
      </w:r>
      <w:r w:rsidRPr="009E495C" w:rsidR="009E495C">
        <w:rPr>
          <w:rFonts w:ascii="Times New Roman" w:hAnsi="Times New Roman"/>
          <w:sz w:val="24"/>
          <w:szCs w:val="24"/>
        </w:rPr>
        <w:t xml:space="preserve">, </w:t>
      </w:r>
      <w:r w:rsidRPr="009E495C" w:rsidR="007F7EC1">
        <w:rPr>
          <w:rFonts w:ascii="Times New Roman" w:hAnsi="Times New Roman"/>
          <w:sz w:val="24"/>
          <w:szCs w:val="24"/>
        </w:rPr>
        <w:t xml:space="preserve">naturalistic observation, and ethnographic studies) for studies about tobacco products. Qualitative studies play an important role in exploring areas of research and gathering information because the studies allow for an in-depth understanding of individuals’ attitudes, beliefs, motivations, </w:t>
      </w:r>
      <w:r w:rsidRPr="009E495C" w:rsidR="007F7EC1">
        <w:rPr>
          <w:rFonts w:ascii="Times New Roman" w:hAnsi="Times New Roman"/>
          <w:sz w:val="24"/>
          <w:szCs w:val="24"/>
        </w:rPr>
        <w:t>feelings, and behaviors</w:t>
      </w:r>
      <w:r w:rsidRPr="009E495C" w:rsidR="00A22396">
        <w:rPr>
          <w:rFonts w:ascii="Times New Roman" w:hAnsi="Times New Roman"/>
          <w:sz w:val="24"/>
          <w:szCs w:val="24"/>
        </w:rPr>
        <w:t>.</w:t>
      </w:r>
      <w:r w:rsidRPr="009E495C" w:rsidR="00B10FAC">
        <w:rPr>
          <w:rFonts w:ascii="Times New Roman" w:hAnsi="Times New Roman"/>
          <w:sz w:val="24"/>
          <w:szCs w:val="24"/>
        </w:rPr>
        <w:t xml:space="preserve"> </w:t>
      </w:r>
      <w:r w:rsidRPr="009E495C">
        <w:rPr>
          <w:rFonts w:ascii="Times New Roman" w:hAnsi="Times New Roman"/>
          <w:sz w:val="24"/>
          <w:szCs w:val="24"/>
        </w:rPr>
        <w:t>FDA will submit individual collections under this</w:t>
      </w:r>
      <w:r w:rsidRPr="00667688">
        <w:rPr>
          <w:rFonts w:ascii="Times New Roman" w:hAnsi="Times New Roman"/>
          <w:sz w:val="24"/>
          <w:szCs w:val="24"/>
        </w:rPr>
        <w:t xml:space="preserve"> generic clearance to </w:t>
      </w:r>
      <w:r w:rsidRPr="00667688" w:rsidR="004A3F45">
        <w:rPr>
          <w:rFonts w:ascii="Times New Roman" w:hAnsi="Times New Roman"/>
          <w:sz w:val="24"/>
          <w:szCs w:val="24"/>
        </w:rPr>
        <w:t>the Office of Management and Budget (</w:t>
      </w:r>
      <w:r w:rsidRPr="00667688">
        <w:rPr>
          <w:rFonts w:ascii="Times New Roman" w:hAnsi="Times New Roman"/>
          <w:sz w:val="24"/>
          <w:szCs w:val="24"/>
        </w:rPr>
        <w:t>OMB</w:t>
      </w:r>
      <w:r w:rsidRPr="00667688" w:rsidR="004A3F45">
        <w:rPr>
          <w:rFonts w:ascii="Times New Roman" w:hAnsi="Times New Roman"/>
          <w:sz w:val="24"/>
          <w:szCs w:val="24"/>
        </w:rPr>
        <w:t>)</w:t>
      </w:r>
      <w:r w:rsidRPr="00667688">
        <w:rPr>
          <w:rFonts w:ascii="Times New Roman" w:hAnsi="Times New Roman"/>
          <w:sz w:val="24"/>
          <w:szCs w:val="24"/>
        </w:rPr>
        <w:t>.  Before submi</w:t>
      </w:r>
      <w:r w:rsidRPr="00667688" w:rsidR="004A3F45">
        <w:rPr>
          <w:rFonts w:ascii="Times New Roman" w:hAnsi="Times New Roman"/>
          <w:sz w:val="24"/>
          <w:szCs w:val="24"/>
        </w:rPr>
        <w:t>ssion</w:t>
      </w:r>
      <w:r w:rsidRPr="00667688">
        <w:rPr>
          <w:rFonts w:ascii="Times New Roman" w:hAnsi="Times New Roman"/>
          <w:sz w:val="24"/>
          <w:szCs w:val="24"/>
        </w:rPr>
        <w:t xml:space="preserve"> to OMB, individual collections will undergo review by FDA’s </w:t>
      </w:r>
      <w:r w:rsidRPr="00667688" w:rsidR="00EA0638">
        <w:rPr>
          <w:rFonts w:ascii="Times New Roman" w:hAnsi="Times New Roman"/>
          <w:sz w:val="24"/>
          <w:szCs w:val="24"/>
        </w:rPr>
        <w:t>Institutional Review Board (FDA IRB)</w:t>
      </w:r>
      <w:r w:rsidRPr="00667688" w:rsidR="00AE3CE4">
        <w:rPr>
          <w:rFonts w:ascii="Times New Roman" w:hAnsi="Times New Roman"/>
          <w:sz w:val="24"/>
          <w:szCs w:val="24"/>
        </w:rPr>
        <w:t xml:space="preserve"> and/or defer to the contractor’s Institutional Review Board (IRB)</w:t>
      </w:r>
      <w:r w:rsidRPr="00667688">
        <w:rPr>
          <w:rFonts w:ascii="Times New Roman" w:hAnsi="Times New Roman"/>
          <w:sz w:val="24"/>
          <w:szCs w:val="24"/>
        </w:rPr>
        <w:t xml:space="preserve">, senior leadership in </w:t>
      </w:r>
      <w:r w:rsidR="00A06799">
        <w:rPr>
          <w:rFonts w:ascii="Times New Roman" w:hAnsi="Times New Roman"/>
          <w:sz w:val="24"/>
          <w:szCs w:val="24"/>
        </w:rPr>
        <w:t>CTP</w:t>
      </w:r>
      <w:r w:rsidRPr="00667688">
        <w:rPr>
          <w:rFonts w:ascii="Times New Roman" w:hAnsi="Times New Roman"/>
          <w:sz w:val="24"/>
          <w:szCs w:val="24"/>
        </w:rPr>
        <w:t xml:space="preserve">, and Paperwork Reduction Act </w:t>
      </w:r>
      <w:r w:rsidRPr="00667688" w:rsidR="004A3F45">
        <w:rPr>
          <w:rFonts w:ascii="Times New Roman" w:hAnsi="Times New Roman"/>
          <w:sz w:val="24"/>
          <w:szCs w:val="24"/>
        </w:rPr>
        <w:t>(PRA) s</w:t>
      </w:r>
      <w:r w:rsidRPr="00667688">
        <w:rPr>
          <w:rFonts w:ascii="Times New Roman" w:hAnsi="Times New Roman"/>
          <w:sz w:val="24"/>
          <w:szCs w:val="24"/>
        </w:rPr>
        <w:t xml:space="preserve">pecialists.  FDA will </w:t>
      </w:r>
      <w:r w:rsidRPr="00667688" w:rsidR="00E411C1">
        <w:rPr>
          <w:rFonts w:ascii="Times New Roman" w:hAnsi="Times New Roman"/>
          <w:sz w:val="24"/>
          <w:szCs w:val="24"/>
        </w:rPr>
        <w:t xml:space="preserve">prepare a report </w:t>
      </w:r>
      <w:r w:rsidRPr="00667688" w:rsidR="009450AA">
        <w:rPr>
          <w:rFonts w:ascii="Times New Roman" w:hAnsi="Times New Roman"/>
          <w:sz w:val="24"/>
          <w:szCs w:val="24"/>
        </w:rPr>
        <w:t>during the</w:t>
      </w:r>
      <w:r w:rsidRPr="00667688">
        <w:rPr>
          <w:rFonts w:ascii="Times New Roman" w:hAnsi="Times New Roman"/>
          <w:sz w:val="24"/>
          <w:szCs w:val="24"/>
        </w:rPr>
        <w:t xml:space="preserve"> </w:t>
      </w:r>
      <w:r w:rsidRPr="00667688" w:rsidR="00E75B0D">
        <w:rPr>
          <w:rFonts w:ascii="Times New Roman" w:hAnsi="Times New Roman"/>
          <w:sz w:val="24"/>
          <w:szCs w:val="24"/>
        </w:rPr>
        <w:t>OMB collection renewal</w:t>
      </w:r>
      <w:r w:rsidRPr="00667688">
        <w:rPr>
          <w:rFonts w:ascii="Times New Roman" w:hAnsi="Times New Roman"/>
          <w:sz w:val="24"/>
          <w:szCs w:val="24"/>
        </w:rPr>
        <w:t xml:space="preserve"> summarizing the number of hours used, as well as the nature and results of the activities </w:t>
      </w:r>
      <w:r w:rsidRPr="00667688" w:rsidR="00890733">
        <w:rPr>
          <w:rFonts w:ascii="Times New Roman" w:hAnsi="Times New Roman"/>
          <w:sz w:val="24"/>
          <w:szCs w:val="24"/>
        </w:rPr>
        <w:t>completed under this clearance.</w:t>
      </w:r>
    </w:p>
    <w:p w:rsidR="00A12BAD" w:rsidRPr="00667688" w:rsidP="00667688" w14:paraId="4FFACB7C" w14:textId="77777777">
      <w:pPr>
        <w:pStyle w:val="ListParagraph"/>
        <w:numPr>
          <w:ilvl w:val="0"/>
          <w:numId w:val="2"/>
        </w:numPr>
        <w:spacing w:before="100" w:beforeAutospacing="1" w:after="100" w:afterAutospacing="1" w:line="240" w:lineRule="auto"/>
        <w:ind w:left="0"/>
        <w:rPr>
          <w:rFonts w:ascii="Times New Roman" w:hAnsi="Times New Roman"/>
          <w:bCs/>
          <w:sz w:val="24"/>
          <w:szCs w:val="24"/>
          <w:u w:val="single"/>
        </w:rPr>
      </w:pPr>
      <w:r w:rsidRPr="00667688">
        <w:rPr>
          <w:rFonts w:ascii="Times New Roman" w:hAnsi="Times New Roman"/>
          <w:bCs/>
          <w:sz w:val="24"/>
          <w:szCs w:val="24"/>
          <w:u w:val="single"/>
        </w:rPr>
        <w:t>Purpose and Use of the Information Collection</w:t>
      </w:r>
    </w:p>
    <w:p w:rsidR="009060B9" w:rsidRPr="00667688" w:rsidP="3A0C7210" w14:paraId="6B4B09D3" w14:textId="35B907A6">
      <w:pPr>
        <w:spacing w:line="240" w:lineRule="auto"/>
        <w:rPr>
          <w:rFonts w:ascii="Times New Roman" w:hAnsi="Times New Roman"/>
          <w:sz w:val="24"/>
          <w:szCs w:val="24"/>
        </w:rPr>
      </w:pPr>
      <w:r w:rsidRPr="3A0C7210">
        <w:rPr>
          <w:rFonts w:ascii="Times New Roman" w:hAnsi="Times New Roman"/>
          <w:sz w:val="24"/>
          <w:szCs w:val="24"/>
        </w:rPr>
        <w:t xml:space="preserve">In conducting studies relating to the control and prevention of </w:t>
      </w:r>
      <w:r w:rsidRPr="3A0C7210" w:rsidR="0084015F">
        <w:rPr>
          <w:rFonts w:ascii="Times New Roman" w:hAnsi="Times New Roman"/>
          <w:sz w:val="24"/>
          <w:szCs w:val="24"/>
        </w:rPr>
        <w:t>tobacco</w:t>
      </w:r>
      <w:r w:rsidRPr="3A0C7210" w:rsidR="00874C20">
        <w:rPr>
          <w:rFonts w:ascii="Times New Roman" w:hAnsi="Times New Roman"/>
          <w:sz w:val="24"/>
          <w:szCs w:val="24"/>
        </w:rPr>
        <w:t>-</w:t>
      </w:r>
      <w:r w:rsidRPr="3A0C7210" w:rsidR="0084015F">
        <w:rPr>
          <w:rFonts w:ascii="Times New Roman" w:hAnsi="Times New Roman"/>
          <w:sz w:val="24"/>
          <w:szCs w:val="24"/>
        </w:rPr>
        <w:t xml:space="preserve">related </w:t>
      </w:r>
      <w:r w:rsidRPr="3A0C7210">
        <w:rPr>
          <w:rFonts w:ascii="Times New Roman" w:hAnsi="Times New Roman"/>
          <w:sz w:val="24"/>
          <w:szCs w:val="24"/>
        </w:rPr>
        <w:t xml:space="preserve">disease, FDA </w:t>
      </w:r>
      <w:r w:rsidRPr="3A0C7210" w:rsidR="08330741">
        <w:rPr>
          <w:rFonts w:ascii="Times New Roman" w:hAnsi="Times New Roman"/>
          <w:sz w:val="24"/>
          <w:szCs w:val="24"/>
        </w:rPr>
        <w:t xml:space="preserve">has employed </w:t>
      </w:r>
      <w:r w:rsidRPr="3A0C7210">
        <w:rPr>
          <w:rFonts w:ascii="Times New Roman" w:hAnsi="Times New Roman"/>
          <w:sz w:val="24"/>
          <w:szCs w:val="24"/>
        </w:rPr>
        <w:t>qualitative research</w:t>
      </w:r>
      <w:r w:rsidRPr="3A0C7210" w:rsidR="00874C20">
        <w:rPr>
          <w:rFonts w:ascii="Times New Roman" w:hAnsi="Times New Roman"/>
          <w:sz w:val="24"/>
          <w:szCs w:val="24"/>
        </w:rPr>
        <w:t>,</w:t>
      </w:r>
      <w:r w:rsidRPr="3A0C7210">
        <w:rPr>
          <w:rFonts w:ascii="Times New Roman" w:hAnsi="Times New Roman"/>
          <w:sz w:val="24"/>
          <w:szCs w:val="24"/>
        </w:rPr>
        <w:t xml:space="preserve"> </w:t>
      </w:r>
      <w:r w:rsidRPr="3A0C7210" w:rsidR="37A0C92F">
        <w:rPr>
          <w:rFonts w:ascii="Times New Roman" w:hAnsi="Times New Roman"/>
          <w:sz w:val="24"/>
          <w:szCs w:val="24"/>
        </w:rPr>
        <w:t xml:space="preserve">such as </w:t>
      </w:r>
      <w:r w:rsidRPr="3A0C7210" w:rsidR="00D3195D">
        <w:rPr>
          <w:rFonts w:ascii="Times New Roman" w:hAnsi="Times New Roman"/>
          <w:sz w:val="24"/>
          <w:szCs w:val="24"/>
        </w:rPr>
        <w:t>individual in-depth interviews (IDIs), focus group</w:t>
      </w:r>
      <w:r w:rsidRPr="3A0C7210" w:rsidR="581A52CE">
        <w:rPr>
          <w:rFonts w:ascii="Times New Roman" w:hAnsi="Times New Roman"/>
          <w:sz w:val="24"/>
          <w:szCs w:val="24"/>
        </w:rPr>
        <w:t xml:space="preserve"> discussion</w:t>
      </w:r>
      <w:r w:rsidRPr="3A0C7210" w:rsidR="00D3195D">
        <w:rPr>
          <w:rFonts w:ascii="Times New Roman" w:hAnsi="Times New Roman"/>
          <w:sz w:val="24"/>
          <w:szCs w:val="24"/>
        </w:rPr>
        <w:t>s</w:t>
      </w:r>
      <w:r w:rsidRPr="3A0C7210" w:rsidR="79FE152B">
        <w:rPr>
          <w:rFonts w:ascii="Times New Roman" w:hAnsi="Times New Roman"/>
          <w:sz w:val="24"/>
          <w:szCs w:val="24"/>
        </w:rPr>
        <w:t>,</w:t>
      </w:r>
      <w:r w:rsidRPr="3A0C7210" w:rsidR="11BAFFAE">
        <w:rPr>
          <w:rFonts w:ascii="Times New Roman" w:hAnsi="Times New Roman"/>
          <w:sz w:val="24"/>
          <w:szCs w:val="24"/>
        </w:rPr>
        <w:t xml:space="preserve"> and</w:t>
      </w:r>
      <w:r w:rsidRPr="3A0C7210" w:rsidR="00A06799">
        <w:rPr>
          <w:rFonts w:ascii="Times New Roman" w:hAnsi="Times New Roman"/>
          <w:sz w:val="24"/>
          <w:szCs w:val="24"/>
        </w:rPr>
        <w:t xml:space="preserve"> cognitive</w:t>
      </w:r>
      <w:r w:rsidRPr="3A0C7210" w:rsidR="1159D582">
        <w:rPr>
          <w:rFonts w:ascii="Times New Roman" w:hAnsi="Times New Roman"/>
          <w:sz w:val="24"/>
          <w:szCs w:val="24"/>
        </w:rPr>
        <w:t xml:space="preserve"> interviews</w:t>
      </w:r>
      <w:r w:rsidRPr="3A0C7210" w:rsidR="76100593">
        <w:rPr>
          <w:rFonts w:ascii="Times New Roman" w:hAnsi="Times New Roman"/>
          <w:sz w:val="24"/>
          <w:szCs w:val="24"/>
        </w:rPr>
        <w:t xml:space="preserve"> both online and in person</w:t>
      </w:r>
      <w:r w:rsidRPr="3A0C7210" w:rsidR="1159D582">
        <w:rPr>
          <w:rFonts w:ascii="Times New Roman" w:hAnsi="Times New Roman"/>
          <w:sz w:val="24"/>
          <w:szCs w:val="24"/>
        </w:rPr>
        <w:t xml:space="preserve"> </w:t>
      </w:r>
      <w:r w:rsidRPr="3A0C7210" w:rsidR="6E04F3AE">
        <w:rPr>
          <w:rFonts w:ascii="Times New Roman" w:hAnsi="Times New Roman"/>
          <w:sz w:val="24"/>
          <w:szCs w:val="24"/>
        </w:rPr>
        <w:t xml:space="preserve">to better understand characteristics of </w:t>
      </w:r>
      <w:r w:rsidR="0053215F">
        <w:rPr>
          <w:rFonts w:ascii="Times New Roman" w:hAnsi="Times New Roman"/>
          <w:sz w:val="24"/>
          <w:szCs w:val="24"/>
        </w:rPr>
        <w:t>various</w:t>
      </w:r>
      <w:r w:rsidRPr="3A0C7210" w:rsidR="6E04F3AE">
        <w:rPr>
          <w:rFonts w:ascii="Times New Roman" w:hAnsi="Times New Roman"/>
          <w:sz w:val="24"/>
          <w:szCs w:val="24"/>
        </w:rPr>
        <w:t xml:space="preserve"> audiences </w:t>
      </w:r>
      <w:r w:rsidR="007D0091">
        <w:rPr>
          <w:rFonts w:ascii="Times New Roman" w:hAnsi="Times New Roman"/>
          <w:sz w:val="24"/>
          <w:szCs w:val="24"/>
        </w:rPr>
        <w:t>(</w:t>
      </w:r>
      <w:r w:rsidRPr="3A0C7210" w:rsidR="6E04F3AE">
        <w:rPr>
          <w:rFonts w:ascii="Times New Roman" w:hAnsi="Times New Roman"/>
          <w:sz w:val="24"/>
          <w:szCs w:val="24"/>
        </w:rPr>
        <w:t xml:space="preserve">including </w:t>
      </w:r>
      <w:r w:rsidR="007A0AE3">
        <w:rPr>
          <w:rFonts w:ascii="Times New Roman" w:hAnsi="Times New Roman"/>
          <w:sz w:val="24"/>
          <w:szCs w:val="24"/>
        </w:rPr>
        <w:t>the</w:t>
      </w:r>
      <w:r w:rsidR="006A1380">
        <w:rPr>
          <w:rFonts w:ascii="Times New Roman" w:hAnsi="Times New Roman"/>
          <w:sz w:val="24"/>
          <w:szCs w:val="24"/>
        </w:rPr>
        <w:t>ir</w:t>
      </w:r>
      <w:r w:rsidR="007A0AE3">
        <w:rPr>
          <w:rFonts w:ascii="Times New Roman" w:hAnsi="Times New Roman"/>
          <w:sz w:val="24"/>
          <w:szCs w:val="24"/>
        </w:rPr>
        <w:t xml:space="preserve"> </w:t>
      </w:r>
      <w:r w:rsidRPr="3A0C7210" w:rsidR="6E04F3AE">
        <w:rPr>
          <w:rFonts w:ascii="Times New Roman" w:hAnsi="Times New Roman"/>
          <w:sz w:val="24"/>
          <w:szCs w:val="24"/>
        </w:rPr>
        <w:t>perceptions, knowledge, attitudes, beliefs, and behaviors</w:t>
      </w:r>
      <w:r w:rsidR="007D0091">
        <w:rPr>
          <w:rFonts w:ascii="Times New Roman" w:hAnsi="Times New Roman"/>
          <w:sz w:val="24"/>
          <w:szCs w:val="24"/>
        </w:rPr>
        <w:t>)</w:t>
      </w:r>
      <w:r w:rsidRPr="3A0C7210" w:rsidR="6E04F3AE">
        <w:rPr>
          <w:rFonts w:ascii="Times New Roman" w:hAnsi="Times New Roman"/>
          <w:sz w:val="24"/>
          <w:szCs w:val="24"/>
        </w:rPr>
        <w:t xml:space="preserve"> as well as to </w:t>
      </w:r>
      <w:r w:rsidR="007F0132">
        <w:rPr>
          <w:rFonts w:ascii="Times New Roman" w:hAnsi="Times New Roman"/>
          <w:sz w:val="24"/>
          <w:szCs w:val="24"/>
        </w:rPr>
        <w:t xml:space="preserve">assess audience responses and reactions to </w:t>
      </w:r>
      <w:r w:rsidRPr="3A0C7210" w:rsidR="6E04F3AE">
        <w:rPr>
          <w:rFonts w:ascii="Times New Roman" w:hAnsi="Times New Roman"/>
          <w:sz w:val="24"/>
          <w:szCs w:val="24"/>
        </w:rPr>
        <w:t>messaging and other stimuli</w:t>
      </w:r>
      <w:r w:rsidRPr="3A0C7210" w:rsidR="28B7A112">
        <w:rPr>
          <w:rFonts w:ascii="Times New Roman" w:hAnsi="Times New Roman"/>
          <w:sz w:val="24"/>
          <w:szCs w:val="24"/>
        </w:rPr>
        <w:t xml:space="preserve">. </w:t>
      </w:r>
      <w:r w:rsidRPr="3A0C7210" w:rsidR="13731407">
        <w:rPr>
          <w:rFonts w:ascii="Times New Roman" w:hAnsi="Times New Roman"/>
          <w:sz w:val="24"/>
          <w:szCs w:val="24"/>
        </w:rPr>
        <w:t xml:space="preserve">The information collected through these studies has helped </w:t>
      </w:r>
      <w:r w:rsidR="008770F6">
        <w:rPr>
          <w:rFonts w:ascii="Times New Roman" w:hAnsi="Times New Roman"/>
          <w:sz w:val="24"/>
          <w:szCs w:val="24"/>
        </w:rPr>
        <w:t xml:space="preserve">informed </w:t>
      </w:r>
      <w:r w:rsidRPr="3A0C7210" w:rsidR="13731407">
        <w:rPr>
          <w:rFonts w:ascii="Times New Roman" w:hAnsi="Times New Roman"/>
          <w:sz w:val="24"/>
          <w:szCs w:val="24"/>
        </w:rPr>
        <w:t>survey</w:t>
      </w:r>
      <w:r w:rsidR="008770F6">
        <w:rPr>
          <w:rFonts w:ascii="Times New Roman" w:hAnsi="Times New Roman"/>
          <w:sz w:val="24"/>
          <w:szCs w:val="24"/>
        </w:rPr>
        <w:t xml:space="preserve"> items and instruments, </w:t>
      </w:r>
      <w:r w:rsidR="00EA2059">
        <w:rPr>
          <w:rFonts w:ascii="Times New Roman" w:hAnsi="Times New Roman"/>
          <w:sz w:val="24"/>
          <w:szCs w:val="24"/>
        </w:rPr>
        <w:t xml:space="preserve">study </w:t>
      </w:r>
      <w:r w:rsidRPr="3A0C7210" w:rsidR="13731407">
        <w:rPr>
          <w:rFonts w:ascii="Times New Roman" w:hAnsi="Times New Roman"/>
          <w:sz w:val="24"/>
          <w:szCs w:val="24"/>
        </w:rPr>
        <w:t>stimuli</w:t>
      </w:r>
      <w:r w:rsidR="00552649">
        <w:rPr>
          <w:rFonts w:ascii="Times New Roman" w:hAnsi="Times New Roman"/>
          <w:sz w:val="24"/>
          <w:szCs w:val="24"/>
        </w:rPr>
        <w:t xml:space="preserve">, </w:t>
      </w:r>
      <w:r w:rsidRPr="3A0C7210" w:rsidR="13731407">
        <w:rPr>
          <w:rFonts w:ascii="Times New Roman" w:hAnsi="Times New Roman"/>
          <w:sz w:val="24"/>
          <w:szCs w:val="24"/>
        </w:rPr>
        <w:t>and communication messages directed at consumers.</w:t>
      </w:r>
    </w:p>
    <w:p w:rsidR="009060B9" w:rsidRPr="00667688" w:rsidP="3A0C7210" w14:paraId="635D263E" w14:textId="2CA33F48">
      <w:pPr>
        <w:spacing w:line="240" w:lineRule="auto"/>
        <w:rPr>
          <w:rFonts w:ascii="Times New Roman" w:hAnsi="Times New Roman"/>
          <w:sz w:val="24"/>
          <w:szCs w:val="24"/>
        </w:rPr>
      </w:pPr>
      <w:r w:rsidRPr="3A0C7210">
        <w:rPr>
          <w:rFonts w:ascii="Times New Roman" w:hAnsi="Times New Roman"/>
          <w:sz w:val="24"/>
          <w:szCs w:val="24"/>
        </w:rPr>
        <w:t xml:space="preserve">Moving forward, we </w:t>
      </w:r>
      <w:r w:rsidR="00470518">
        <w:rPr>
          <w:rFonts w:ascii="Times New Roman" w:hAnsi="Times New Roman"/>
          <w:sz w:val="24"/>
          <w:szCs w:val="24"/>
        </w:rPr>
        <w:t>will</w:t>
      </w:r>
      <w:r w:rsidRPr="3A0C7210">
        <w:rPr>
          <w:rFonts w:ascii="Times New Roman" w:hAnsi="Times New Roman"/>
          <w:sz w:val="24"/>
          <w:szCs w:val="24"/>
        </w:rPr>
        <w:t xml:space="preserve"> continue to </w:t>
      </w:r>
      <w:r w:rsidRPr="3A0C7210" w:rsidR="4BE850F4">
        <w:rPr>
          <w:rFonts w:ascii="Times New Roman" w:hAnsi="Times New Roman"/>
          <w:sz w:val="24"/>
          <w:szCs w:val="24"/>
        </w:rPr>
        <w:t xml:space="preserve">conduct </w:t>
      </w:r>
      <w:r w:rsidR="00951B2F">
        <w:rPr>
          <w:rFonts w:ascii="Times New Roman" w:hAnsi="Times New Roman"/>
          <w:sz w:val="24"/>
          <w:szCs w:val="24"/>
        </w:rPr>
        <w:t xml:space="preserve">qualitative </w:t>
      </w:r>
      <w:r w:rsidRPr="3A0C7210" w:rsidR="4BE850F4">
        <w:rPr>
          <w:rFonts w:ascii="Times New Roman" w:hAnsi="Times New Roman"/>
          <w:sz w:val="24"/>
          <w:szCs w:val="24"/>
        </w:rPr>
        <w:t>research</w:t>
      </w:r>
      <w:r w:rsidR="00261E8C">
        <w:rPr>
          <w:rFonts w:ascii="Times New Roman" w:hAnsi="Times New Roman"/>
          <w:sz w:val="24"/>
          <w:szCs w:val="24"/>
        </w:rPr>
        <w:t xml:space="preserve">, </w:t>
      </w:r>
      <w:r w:rsidR="00926747">
        <w:rPr>
          <w:rFonts w:ascii="Times New Roman" w:hAnsi="Times New Roman"/>
          <w:sz w:val="24"/>
          <w:szCs w:val="24"/>
        </w:rPr>
        <w:t>such as IDIs, focus group discussions, and cognitive interviews</w:t>
      </w:r>
      <w:r w:rsidRPr="3A0C7210" w:rsidR="4BE850F4">
        <w:rPr>
          <w:rFonts w:ascii="Times New Roman" w:hAnsi="Times New Roman"/>
          <w:sz w:val="24"/>
          <w:szCs w:val="24"/>
        </w:rPr>
        <w:t xml:space="preserve"> to inform our messaging and materials</w:t>
      </w:r>
      <w:r w:rsidR="00261E8C">
        <w:rPr>
          <w:rFonts w:ascii="Times New Roman" w:hAnsi="Times New Roman"/>
          <w:sz w:val="24"/>
          <w:szCs w:val="24"/>
        </w:rPr>
        <w:t>. Additionally, we will</w:t>
      </w:r>
      <w:r w:rsidR="00A22498">
        <w:rPr>
          <w:rFonts w:ascii="Times New Roman" w:hAnsi="Times New Roman"/>
          <w:sz w:val="24"/>
          <w:szCs w:val="24"/>
        </w:rPr>
        <w:t xml:space="preserve"> be</w:t>
      </w:r>
      <w:r w:rsidR="00261E8C">
        <w:rPr>
          <w:rFonts w:ascii="Times New Roman" w:hAnsi="Times New Roman"/>
          <w:sz w:val="24"/>
          <w:szCs w:val="24"/>
        </w:rPr>
        <w:t xml:space="preserve"> </w:t>
      </w:r>
      <w:r w:rsidRPr="3A0C7210" w:rsidR="4BE850F4">
        <w:rPr>
          <w:rFonts w:ascii="Times New Roman" w:hAnsi="Times New Roman"/>
          <w:sz w:val="24"/>
          <w:szCs w:val="24"/>
        </w:rPr>
        <w:t>including additional methodologies such as</w:t>
      </w:r>
      <w:r w:rsidRPr="3A0C7210" w:rsidR="1159D582">
        <w:rPr>
          <w:rFonts w:ascii="Times New Roman" w:hAnsi="Times New Roman"/>
          <w:sz w:val="24"/>
          <w:szCs w:val="24"/>
        </w:rPr>
        <w:t xml:space="preserve"> asynchronous qualitative discussions (e.g.</w:t>
      </w:r>
      <w:r w:rsidR="009E495C">
        <w:rPr>
          <w:rFonts w:ascii="Times New Roman" w:hAnsi="Times New Roman"/>
          <w:sz w:val="24"/>
          <w:szCs w:val="24"/>
        </w:rPr>
        <w:t>,</w:t>
      </w:r>
      <w:r w:rsidRPr="3A0C7210" w:rsidR="1159D582">
        <w:rPr>
          <w:rFonts w:ascii="Times New Roman" w:hAnsi="Times New Roman"/>
          <w:sz w:val="24"/>
          <w:szCs w:val="24"/>
        </w:rPr>
        <w:t xml:space="preserve"> online journaling or web-based discussion boards</w:t>
      </w:r>
      <w:r w:rsidRPr="3A0C7210" w:rsidR="44C4A63B">
        <w:rPr>
          <w:rFonts w:ascii="Times New Roman" w:hAnsi="Times New Roman"/>
          <w:sz w:val="24"/>
          <w:szCs w:val="24"/>
        </w:rPr>
        <w:t>)</w:t>
      </w:r>
      <w:r w:rsidRPr="3A0C7210" w:rsidR="00264458">
        <w:rPr>
          <w:rFonts w:ascii="Times New Roman" w:hAnsi="Times New Roman"/>
          <w:sz w:val="24"/>
          <w:szCs w:val="24"/>
        </w:rPr>
        <w:t xml:space="preserve">, </w:t>
      </w:r>
      <w:r w:rsidRPr="3A0C7210" w:rsidR="00886E20">
        <w:rPr>
          <w:rFonts w:ascii="Times New Roman" w:hAnsi="Times New Roman"/>
          <w:sz w:val="24"/>
          <w:szCs w:val="24"/>
        </w:rPr>
        <w:t>user experience study</w:t>
      </w:r>
      <w:r w:rsidRPr="3A0C7210" w:rsidR="003516E9">
        <w:rPr>
          <w:rFonts w:ascii="Times New Roman" w:hAnsi="Times New Roman"/>
          <w:sz w:val="24"/>
          <w:szCs w:val="24"/>
        </w:rPr>
        <w:t>, usability testing</w:t>
      </w:r>
      <w:r w:rsidRPr="3A0C7210" w:rsidR="0016308F">
        <w:rPr>
          <w:rFonts w:ascii="Times New Roman" w:hAnsi="Times New Roman"/>
          <w:sz w:val="24"/>
          <w:szCs w:val="24"/>
        </w:rPr>
        <w:t xml:space="preserve">, </w:t>
      </w:r>
      <w:r w:rsidRPr="3A0C7210" w:rsidR="00264458">
        <w:rPr>
          <w:rFonts w:ascii="Times New Roman" w:hAnsi="Times New Roman"/>
          <w:sz w:val="24"/>
          <w:szCs w:val="24"/>
        </w:rPr>
        <w:t>and</w:t>
      </w:r>
      <w:r w:rsidRPr="3A0C7210" w:rsidR="00264458">
        <w:rPr>
          <w:rFonts w:ascii="Times New Roman" w:hAnsi="Times New Roman"/>
          <w:sz w:val="24"/>
          <w:szCs w:val="24"/>
          <w:u w:val="single"/>
        </w:rPr>
        <w:t xml:space="preserve"> </w:t>
      </w:r>
      <w:r w:rsidRPr="3A0C7210" w:rsidR="00264458">
        <w:rPr>
          <w:rFonts w:ascii="Times New Roman" w:hAnsi="Times New Roman"/>
          <w:sz w:val="24"/>
          <w:szCs w:val="24"/>
        </w:rPr>
        <w:t>naturalistic observation and ethnographic studies</w:t>
      </w:r>
      <w:r w:rsidRPr="3A0C7210" w:rsidR="105619B9">
        <w:rPr>
          <w:rFonts w:ascii="Times New Roman" w:hAnsi="Times New Roman"/>
          <w:sz w:val="24"/>
          <w:szCs w:val="24"/>
        </w:rPr>
        <w:t xml:space="preserve">. These tools can help us further </w:t>
      </w:r>
      <w:r w:rsidRPr="3A0C7210">
        <w:rPr>
          <w:rFonts w:ascii="Times New Roman" w:hAnsi="Times New Roman"/>
          <w:sz w:val="24"/>
          <w:szCs w:val="24"/>
        </w:rPr>
        <w:t>assess knowledge and perceptions about tobacco</w:t>
      </w:r>
      <w:r w:rsidRPr="3A0C7210" w:rsidR="00D3195D">
        <w:rPr>
          <w:rFonts w:ascii="Times New Roman" w:hAnsi="Times New Roman"/>
          <w:sz w:val="24"/>
          <w:szCs w:val="24"/>
        </w:rPr>
        <w:t>-</w:t>
      </w:r>
      <w:r w:rsidRPr="3A0C7210">
        <w:rPr>
          <w:rFonts w:ascii="Times New Roman" w:hAnsi="Times New Roman"/>
          <w:sz w:val="24"/>
          <w:szCs w:val="24"/>
        </w:rPr>
        <w:t>related topics with specific</w:t>
      </w:r>
      <w:r w:rsidR="00BB0BB8">
        <w:rPr>
          <w:rFonts w:ascii="Times New Roman" w:hAnsi="Times New Roman"/>
          <w:sz w:val="24"/>
          <w:szCs w:val="24"/>
        </w:rPr>
        <w:t xml:space="preserve"> </w:t>
      </w:r>
      <w:r w:rsidRPr="3A0C7210">
        <w:rPr>
          <w:rFonts w:ascii="Times New Roman" w:hAnsi="Times New Roman"/>
          <w:sz w:val="24"/>
          <w:szCs w:val="24"/>
        </w:rPr>
        <w:t>audiences</w:t>
      </w:r>
      <w:r w:rsidRPr="3A0C7210" w:rsidR="00490626">
        <w:rPr>
          <w:rFonts w:ascii="Times New Roman" w:hAnsi="Times New Roman"/>
          <w:sz w:val="24"/>
          <w:szCs w:val="24"/>
        </w:rPr>
        <w:t>, employing both online and in-person data collection methods</w:t>
      </w:r>
      <w:r w:rsidRPr="3A0C7210" w:rsidR="00A06799">
        <w:rPr>
          <w:rFonts w:ascii="Times New Roman" w:hAnsi="Times New Roman"/>
          <w:sz w:val="24"/>
          <w:szCs w:val="24"/>
        </w:rPr>
        <w:t>.</w:t>
      </w:r>
      <w:r w:rsidRPr="3A0C7210" w:rsidR="42D9FC4F">
        <w:rPr>
          <w:rFonts w:ascii="Times New Roman" w:hAnsi="Times New Roman"/>
          <w:sz w:val="24"/>
          <w:szCs w:val="24"/>
        </w:rPr>
        <w:t xml:space="preserve"> A more expansive set of </w:t>
      </w:r>
      <w:r w:rsidRPr="3A0C7210" w:rsidR="00D3195D">
        <w:rPr>
          <w:rFonts w:ascii="Times New Roman" w:hAnsi="Times New Roman"/>
          <w:sz w:val="24"/>
          <w:szCs w:val="24"/>
        </w:rPr>
        <w:t xml:space="preserve">qualitative </w:t>
      </w:r>
      <w:r w:rsidRPr="3A0C7210" w:rsidR="00063319">
        <w:rPr>
          <w:rFonts w:ascii="Times New Roman" w:hAnsi="Times New Roman"/>
          <w:sz w:val="24"/>
          <w:szCs w:val="24"/>
        </w:rPr>
        <w:t xml:space="preserve">data collection </w:t>
      </w:r>
      <w:r w:rsidRPr="3A0C7210" w:rsidR="00D3195D">
        <w:rPr>
          <w:rFonts w:ascii="Times New Roman" w:hAnsi="Times New Roman"/>
          <w:sz w:val="24"/>
          <w:szCs w:val="24"/>
        </w:rPr>
        <w:t xml:space="preserve">methods </w:t>
      </w:r>
      <w:r w:rsidRPr="3A0C7210">
        <w:rPr>
          <w:rFonts w:ascii="Times New Roman" w:hAnsi="Times New Roman"/>
          <w:sz w:val="24"/>
          <w:szCs w:val="24"/>
        </w:rPr>
        <w:t xml:space="preserve">will allow FDA to </w:t>
      </w:r>
      <w:r w:rsidRPr="3A0C7210" w:rsidR="00874C20">
        <w:rPr>
          <w:rFonts w:ascii="Times New Roman" w:hAnsi="Times New Roman"/>
          <w:sz w:val="24"/>
          <w:szCs w:val="24"/>
        </w:rPr>
        <w:t xml:space="preserve">generate exploratory data on a given research topic or area of research, and to inform </w:t>
      </w:r>
      <w:r w:rsidRPr="3A0C7210">
        <w:rPr>
          <w:rFonts w:ascii="Times New Roman" w:hAnsi="Times New Roman"/>
          <w:sz w:val="24"/>
          <w:szCs w:val="24"/>
        </w:rPr>
        <w:t xml:space="preserve">survey/research questions and study stimuli. </w:t>
      </w:r>
      <w:r w:rsidRPr="3A0C7210" w:rsidR="00937DB0">
        <w:rPr>
          <w:rFonts w:ascii="Times New Roman" w:hAnsi="Times New Roman"/>
          <w:sz w:val="24"/>
          <w:szCs w:val="24"/>
        </w:rPr>
        <w:t>FDA will collect, analyze, and interpret information gathered through this generic clearance</w:t>
      </w:r>
      <w:r w:rsidRPr="3A0C7210" w:rsidR="00AC6782">
        <w:rPr>
          <w:rFonts w:ascii="Times New Roman" w:hAnsi="Times New Roman"/>
          <w:sz w:val="24"/>
          <w:szCs w:val="24"/>
        </w:rPr>
        <w:t xml:space="preserve"> in order to </w:t>
      </w:r>
      <w:r w:rsidRPr="3A0C7210" w:rsidR="004A3F45">
        <w:rPr>
          <w:rFonts w:ascii="Times New Roman" w:hAnsi="Times New Roman"/>
          <w:sz w:val="24"/>
          <w:szCs w:val="24"/>
        </w:rPr>
        <w:t>(</w:t>
      </w:r>
      <w:r w:rsidRPr="3A0C7210">
        <w:rPr>
          <w:rFonts w:ascii="Times New Roman" w:hAnsi="Times New Roman"/>
          <w:sz w:val="24"/>
          <w:szCs w:val="24"/>
        </w:rPr>
        <w:t xml:space="preserve">1) better understand characteristics of </w:t>
      </w:r>
      <w:r w:rsidR="00BB0BB8">
        <w:rPr>
          <w:rFonts w:ascii="Times New Roman" w:hAnsi="Times New Roman"/>
          <w:sz w:val="24"/>
          <w:szCs w:val="24"/>
        </w:rPr>
        <w:t>various</w:t>
      </w:r>
      <w:r w:rsidRPr="3A0C7210" w:rsidR="00BB0BB8">
        <w:rPr>
          <w:rFonts w:ascii="Times New Roman" w:hAnsi="Times New Roman"/>
          <w:sz w:val="24"/>
          <w:szCs w:val="24"/>
        </w:rPr>
        <w:t xml:space="preserve"> </w:t>
      </w:r>
      <w:r w:rsidRPr="3A0C7210">
        <w:rPr>
          <w:rFonts w:ascii="Times New Roman" w:hAnsi="Times New Roman"/>
          <w:sz w:val="24"/>
          <w:szCs w:val="24"/>
        </w:rPr>
        <w:t>audience</w:t>
      </w:r>
      <w:r w:rsidR="00BB0BB8">
        <w:rPr>
          <w:rFonts w:ascii="Times New Roman" w:hAnsi="Times New Roman"/>
          <w:sz w:val="24"/>
          <w:szCs w:val="24"/>
        </w:rPr>
        <w:t>s</w:t>
      </w:r>
      <w:r w:rsidR="003D33BE">
        <w:rPr>
          <w:rFonts w:ascii="Times New Roman" w:hAnsi="Times New Roman"/>
          <w:sz w:val="24"/>
          <w:szCs w:val="24"/>
        </w:rPr>
        <w:t>, including the</w:t>
      </w:r>
      <w:r w:rsidR="006A1380">
        <w:rPr>
          <w:rFonts w:ascii="Times New Roman" w:hAnsi="Times New Roman"/>
          <w:sz w:val="24"/>
          <w:szCs w:val="24"/>
        </w:rPr>
        <w:t>ir</w:t>
      </w:r>
      <w:r w:rsidR="003D33BE">
        <w:rPr>
          <w:rFonts w:ascii="Times New Roman" w:hAnsi="Times New Roman"/>
          <w:sz w:val="24"/>
          <w:szCs w:val="24"/>
        </w:rPr>
        <w:t xml:space="preserve"> </w:t>
      </w:r>
      <w:r w:rsidRPr="3A0C7210">
        <w:rPr>
          <w:rFonts w:ascii="Times New Roman" w:hAnsi="Times New Roman"/>
          <w:sz w:val="24"/>
          <w:szCs w:val="24"/>
        </w:rPr>
        <w:t>perceptions, knowledge, attitudes, beliefs, and behaviors</w:t>
      </w:r>
      <w:r w:rsidRPr="3A0C7210" w:rsidR="004A3F45">
        <w:rPr>
          <w:rFonts w:ascii="Times New Roman" w:hAnsi="Times New Roman"/>
          <w:sz w:val="24"/>
          <w:szCs w:val="24"/>
        </w:rPr>
        <w:t>—</w:t>
      </w:r>
      <w:r w:rsidRPr="3A0C7210">
        <w:rPr>
          <w:rFonts w:ascii="Times New Roman" w:hAnsi="Times New Roman"/>
          <w:sz w:val="24"/>
          <w:szCs w:val="24"/>
        </w:rPr>
        <w:t>and use these in the development of appropriate survey/research questions</w:t>
      </w:r>
      <w:r w:rsidRPr="3A0C7210" w:rsidR="00F52341">
        <w:rPr>
          <w:rFonts w:ascii="Times New Roman" w:hAnsi="Times New Roman"/>
          <w:sz w:val="24"/>
          <w:szCs w:val="24"/>
        </w:rPr>
        <w:t xml:space="preserve">, </w:t>
      </w:r>
      <w:r w:rsidRPr="3A0C7210">
        <w:rPr>
          <w:rFonts w:ascii="Times New Roman" w:hAnsi="Times New Roman"/>
          <w:sz w:val="24"/>
          <w:szCs w:val="24"/>
        </w:rPr>
        <w:t>study stimuli</w:t>
      </w:r>
      <w:r w:rsidRPr="3A0C7210" w:rsidR="004A3F45">
        <w:rPr>
          <w:rFonts w:ascii="Times New Roman" w:hAnsi="Times New Roman"/>
          <w:sz w:val="24"/>
          <w:szCs w:val="24"/>
        </w:rPr>
        <w:t>,</w:t>
      </w:r>
      <w:r w:rsidRPr="3A0C7210" w:rsidR="00F52341">
        <w:rPr>
          <w:rFonts w:ascii="Times New Roman" w:hAnsi="Times New Roman"/>
          <w:sz w:val="24"/>
          <w:szCs w:val="24"/>
        </w:rPr>
        <w:t xml:space="preserve"> and materials directed to consumers</w:t>
      </w:r>
      <w:r w:rsidRPr="3A0C7210">
        <w:rPr>
          <w:rFonts w:ascii="Times New Roman" w:hAnsi="Times New Roman"/>
          <w:sz w:val="24"/>
          <w:szCs w:val="24"/>
        </w:rPr>
        <w:t xml:space="preserve">; </w:t>
      </w:r>
      <w:r w:rsidRPr="3A0C7210" w:rsidR="004A3F45">
        <w:rPr>
          <w:rFonts w:ascii="Times New Roman" w:hAnsi="Times New Roman"/>
          <w:sz w:val="24"/>
          <w:szCs w:val="24"/>
        </w:rPr>
        <w:t>(</w:t>
      </w:r>
      <w:r w:rsidRPr="3A0C7210">
        <w:rPr>
          <w:rFonts w:ascii="Times New Roman" w:hAnsi="Times New Roman"/>
          <w:sz w:val="24"/>
          <w:szCs w:val="24"/>
        </w:rPr>
        <w:t xml:space="preserve">2) more efficiently and effectively design survey/research questions and study stimuli; </w:t>
      </w:r>
      <w:r w:rsidRPr="3A0C7210" w:rsidR="004A3F45">
        <w:rPr>
          <w:rFonts w:ascii="Times New Roman" w:hAnsi="Times New Roman"/>
          <w:sz w:val="24"/>
          <w:szCs w:val="24"/>
        </w:rPr>
        <w:t>(</w:t>
      </w:r>
      <w:r w:rsidRPr="3A0C7210">
        <w:rPr>
          <w:rFonts w:ascii="Times New Roman" w:hAnsi="Times New Roman"/>
          <w:sz w:val="24"/>
          <w:szCs w:val="24"/>
        </w:rPr>
        <w:t>3) more efficiently and effectively design experimental studies</w:t>
      </w:r>
      <w:r w:rsidRPr="3A0C7210" w:rsidR="00F52341">
        <w:rPr>
          <w:rFonts w:ascii="Times New Roman" w:hAnsi="Times New Roman"/>
          <w:sz w:val="24"/>
          <w:szCs w:val="24"/>
        </w:rPr>
        <w:t xml:space="preserve">; and </w:t>
      </w:r>
      <w:r w:rsidRPr="3A0C7210" w:rsidR="004A3F45">
        <w:rPr>
          <w:rFonts w:ascii="Times New Roman" w:hAnsi="Times New Roman"/>
          <w:sz w:val="24"/>
          <w:szCs w:val="24"/>
        </w:rPr>
        <w:t>(</w:t>
      </w:r>
      <w:r w:rsidRPr="3A0C7210" w:rsidR="00F52341">
        <w:rPr>
          <w:rFonts w:ascii="Times New Roman" w:hAnsi="Times New Roman"/>
          <w:sz w:val="24"/>
          <w:szCs w:val="24"/>
        </w:rPr>
        <w:t>4) gain an in</w:t>
      </w:r>
      <w:r w:rsidRPr="3A0C7210" w:rsidR="00550935">
        <w:rPr>
          <w:rFonts w:ascii="Times New Roman" w:hAnsi="Times New Roman"/>
          <w:sz w:val="24"/>
          <w:szCs w:val="24"/>
        </w:rPr>
        <w:t>-</w:t>
      </w:r>
      <w:r w:rsidRPr="3A0C7210" w:rsidR="00F52341">
        <w:rPr>
          <w:rFonts w:ascii="Times New Roman" w:hAnsi="Times New Roman"/>
          <w:sz w:val="24"/>
          <w:szCs w:val="24"/>
        </w:rPr>
        <w:t>depth understanding of a pertinent research area and topic.</w:t>
      </w:r>
    </w:p>
    <w:p w:rsidR="00A12BAD" w:rsidRPr="00667688" w:rsidP="00667688" w14:paraId="0790FC55" w14:textId="575D4A5C">
      <w:pPr>
        <w:spacing w:before="100" w:beforeAutospacing="1" w:after="100" w:afterAutospacing="1" w:line="240" w:lineRule="auto"/>
        <w:rPr>
          <w:rFonts w:ascii="Times New Roman" w:hAnsi="Times New Roman"/>
          <w:sz w:val="24"/>
          <w:szCs w:val="24"/>
        </w:rPr>
      </w:pPr>
      <w:r w:rsidRPr="00667688">
        <w:rPr>
          <w:rFonts w:ascii="Times New Roman" w:hAnsi="Times New Roman"/>
          <w:sz w:val="24"/>
          <w:szCs w:val="24"/>
        </w:rPr>
        <w:t>FDA</w:t>
      </w:r>
      <w:r w:rsidRPr="00667688">
        <w:rPr>
          <w:rFonts w:ascii="Times New Roman" w:hAnsi="Times New Roman"/>
          <w:sz w:val="24"/>
          <w:szCs w:val="24"/>
        </w:rPr>
        <w:t xml:space="preserve"> will only submit a collection for approval under this generic clearance if it meets the following conditions:   </w:t>
      </w:r>
    </w:p>
    <w:p w:rsidR="00A12BAD" w:rsidRPr="00667688" w:rsidP="00667688" w14:paraId="602CFA41" w14:textId="77777777">
      <w:pPr>
        <w:pStyle w:val="ListParagraph"/>
        <w:numPr>
          <w:ilvl w:val="0"/>
          <w:numId w:val="9"/>
        </w:numPr>
        <w:spacing w:before="100" w:beforeAutospacing="1" w:after="100" w:afterAutospacing="1" w:line="240" w:lineRule="auto"/>
        <w:rPr>
          <w:rFonts w:ascii="Times New Roman" w:hAnsi="Times New Roman"/>
          <w:sz w:val="24"/>
          <w:szCs w:val="24"/>
        </w:rPr>
      </w:pPr>
      <w:r w:rsidRPr="00667688">
        <w:rPr>
          <w:rFonts w:ascii="Times New Roman" w:hAnsi="Times New Roman"/>
          <w:sz w:val="24"/>
          <w:szCs w:val="24"/>
        </w:rPr>
        <w:t xml:space="preserve">The collections are </w:t>
      </w:r>
      <w:r w:rsidRPr="00667688">
        <w:rPr>
          <w:rFonts w:ascii="Times New Roman" w:hAnsi="Times New Roman"/>
          <w:sz w:val="24"/>
          <w:szCs w:val="24"/>
        </w:rPr>
        <w:t>voluntary;</w:t>
      </w:r>
    </w:p>
    <w:p w:rsidR="00A12BAD" w:rsidRPr="00667688" w:rsidP="00667688" w14:paraId="3889845A" w14:textId="77777777">
      <w:pPr>
        <w:pStyle w:val="ListParagraph"/>
        <w:numPr>
          <w:ilvl w:val="0"/>
          <w:numId w:val="9"/>
        </w:numPr>
        <w:spacing w:before="100" w:beforeAutospacing="1" w:after="100" w:afterAutospacing="1" w:line="240" w:lineRule="auto"/>
        <w:rPr>
          <w:rFonts w:ascii="Times New Roman" w:hAnsi="Times New Roman"/>
          <w:sz w:val="24"/>
          <w:szCs w:val="24"/>
        </w:rPr>
      </w:pPr>
      <w:r w:rsidRPr="00667688">
        <w:rPr>
          <w:rFonts w:ascii="Times New Roman" w:hAnsi="Times New Roman"/>
          <w:sz w:val="24"/>
          <w:szCs w:val="24"/>
        </w:rPr>
        <w:t>The collections are low</w:t>
      </w:r>
      <w:r w:rsidRPr="00667688" w:rsidR="004A3F45">
        <w:rPr>
          <w:rFonts w:ascii="Times New Roman" w:hAnsi="Times New Roman"/>
          <w:sz w:val="24"/>
          <w:szCs w:val="24"/>
        </w:rPr>
        <w:t xml:space="preserve"> </w:t>
      </w:r>
      <w:r w:rsidRPr="00667688">
        <w:rPr>
          <w:rFonts w:ascii="Times New Roman" w:hAnsi="Times New Roman"/>
          <w:sz w:val="24"/>
          <w:szCs w:val="24"/>
        </w:rPr>
        <w:t>burden for respondents (based on considerations of total burden hours, total number of respondents, or burden</w:t>
      </w:r>
      <w:r w:rsidRPr="00667688" w:rsidR="001356DD">
        <w:rPr>
          <w:rFonts w:ascii="Times New Roman" w:hAnsi="Times New Roman"/>
          <w:sz w:val="24"/>
          <w:szCs w:val="24"/>
        </w:rPr>
        <w:t xml:space="preserve"> </w:t>
      </w:r>
      <w:r w:rsidRPr="00667688">
        <w:rPr>
          <w:rFonts w:ascii="Times New Roman" w:hAnsi="Times New Roman"/>
          <w:sz w:val="24"/>
          <w:szCs w:val="24"/>
        </w:rPr>
        <w:t>hours per respondent) and are low</w:t>
      </w:r>
      <w:r w:rsidRPr="00667688" w:rsidR="004A3F45">
        <w:rPr>
          <w:rFonts w:ascii="Times New Roman" w:hAnsi="Times New Roman"/>
          <w:sz w:val="24"/>
          <w:szCs w:val="24"/>
        </w:rPr>
        <w:t xml:space="preserve"> </w:t>
      </w:r>
      <w:r w:rsidRPr="00667688">
        <w:rPr>
          <w:rFonts w:ascii="Times New Roman" w:hAnsi="Times New Roman"/>
          <w:sz w:val="24"/>
          <w:szCs w:val="24"/>
        </w:rPr>
        <w:t xml:space="preserve">cost for both the respondents and the Federal </w:t>
      </w:r>
      <w:r w:rsidRPr="00667688">
        <w:rPr>
          <w:rFonts w:ascii="Times New Roman" w:hAnsi="Times New Roman"/>
          <w:sz w:val="24"/>
          <w:szCs w:val="24"/>
        </w:rPr>
        <w:t>Government;</w:t>
      </w:r>
    </w:p>
    <w:p w:rsidR="005D309E" w:rsidRPr="00667688" w:rsidP="00667688" w14:paraId="0EA74A63" w14:textId="77777777">
      <w:pPr>
        <w:pStyle w:val="ListParagraph"/>
        <w:numPr>
          <w:ilvl w:val="0"/>
          <w:numId w:val="9"/>
        </w:numPr>
        <w:spacing w:before="100" w:beforeAutospacing="1" w:after="100" w:afterAutospacing="1" w:line="240" w:lineRule="auto"/>
        <w:rPr>
          <w:rFonts w:ascii="Times New Roman" w:hAnsi="Times New Roman"/>
          <w:sz w:val="24"/>
          <w:szCs w:val="24"/>
        </w:rPr>
      </w:pPr>
      <w:r w:rsidRPr="00667688">
        <w:rPr>
          <w:rFonts w:ascii="Times New Roman" w:hAnsi="Times New Roman"/>
          <w:sz w:val="24"/>
          <w:szCs w:val="24"/>
        </w:rPr>
        <w:t xml:space="preserve">The collections are </w:t>
      </w:r>
      <w:r w:rsidRPr="00667688">
        <w:rPr>
          <w:rFonts w:ascii="Times New Roman" w:hAnsi="Times New Roman"/>
          <w:sz w:val="24"/>
          <w:szCs w:val="24"/>
        </w:rPr>
        <w:t>noncontroversial</w:t>
      </w:r>
      <w:r w:rsidRPr="00667688" w:rsidR="004E3487">
        <w:rPr>
          <w:rFonts w:ascii="Times New Roman" w:hAnsi="Times New Roman"/>
          <w:sz w:val="24"/>
          <w:szCs w:val="24"/>
        </w:rPr>
        <w:t>;</w:t>
      </w:r>
      <w:r w:rsidRPr="00667688" w:rsidR="004E3487">
        <w:rPr>
          <w:rFonts w:ascii="Times New Roman" w:hAnsi="Times New Roman"/>
          <w:sz w:val="24"/>
          <w:szCs w:val="24"/>
        </w:rPr>
        <w:t xml:space="preserve"> </w:t>
      </w:r>
    </w:p>
    <w:p w:rsidR="00A12BAD" w:rsidRPr="00667688" w:rsidP="00667688" w14:paraId="42DD7BB3" w14:textId="41EA55CD">
      <w:pPr>
        <w:pStyle w:val="ListParagraph"/>
        <w:numPr>
          <w:ilvl w:val="0"/>
          <w:numId w:val="9"/>
        </w:numPr>
        <w:spacing w:before="100" w:beforeAutospacing="1" w:after="100" w:afterAutospacing="1" w:line="240" w:lineRule="auto"/>
        <w:rPr>
          <w:rFonts w:ascii="Times New Roman" w:hAnsi="Times New Roman"/>
          <w:sz w:val="24"/>
          <w:szCs w:val="24"/>
        </w:rPr>
      </w:pPr>
      <w:r w:rsidRPr="00667688">
        <w:rPr>
          <w:rFonts w:ascii="Times New Roman" w:hAnsi="Times New Roman"/>
          <w:sz w:val="24"/>
          <w:szCs w:val="24"/>
        </w:rPr>
        <w:t>Personal identifiable information (PII) is collected only to the extent necessary</w:t>
      </w:r>
      <w:r>
        <w:rPr>
          <w:rStyle w:val="FootnoteReference"/>
          <w:rFonts w:ascii="Times New Roman" w:hAnsi="Times New Roman"/>
          <w:sz w:val="24"/>
          <w:szCs w:val="24"/>
        </w:rPr>
        <w:footnoteReference w:id="3"/>
      </w:r>
      <w:r w:rsidRPr="00667688">
        <w:rPr>
          <w:rFonts w:ascii="Times New Roman" w:hAnsi="Times New Roman"/>
          <w:sz w:val="24"/>
          <w:szCs w:val="24"/>
        </w:rPr>
        <w:t xml:space="preserve"> and is not retained</w:t>
      </w:r>
      <w:r w:rsidRPr="00667688" w:rsidR="000B3D02">
        <w:rPr>
          <w:rFonts w:ascii="Times New Roman" w:hAnsi="Times New Roman"/>
          <w:sz w:val="24"/>
          <w:szCs w:val="24"/>
        </w:rPr>
        <w:t xml:space="preserve"> or submitted by contractors to </w:t>
      </w:r>
      <w:r w:rsidRPr="00667688" w:rsidR="000B3D02">
        <w:rPr>
          <w:rFonts w:ascii="Times New Roman" w:hAnsi="Times New Roman"/>
          <w:sz w:val="24"/>
          <w:szCs w:val="24"/>
        </w:rPr>
        <w:t>FDA</w:t>
      </w:r>
      <w:r w:rsidRPr="00667688">
        <w:rPr>
          <w:rFonts w:ascii="Times New Roman" w:hAnsi="Times New Roman"/>
          <w:sz w:val="24"/>
          <w:szCs w:val="24"/>
        </w:rPr>
        <w:t>;</w:t>
      </w:r>
    </w:p>
    <w:p w:rsidR="00A12BAD" w:rsidRPr="00667688" w:rsidP="00667688" w14:paraId="25FF17DF" w14:textId="39E89BE6">
      <w:pPr>
        <w:pStyle w:val="ListParagraph"/>
        <w:numPr>
          <w:ilvl w:val="0"/>
          <w:numId w:val="9"/>
        </w:numPr>
        <w:spacing w:before="100" w:beforeAutospacing="1" w:after="100" w:afterAutospacing="1" w:line="240" w:lineRule="auto"/>
        <w:rPr>
          <w:rFonts w:ascii="Times New Roman" w:hAnsi="Times New Roman"/>
          <w:sz w:val="24"/>
          <w:szCs w:val="24"/>
        </w:rPr>
      </w:pPr>
      <w:r w:rsidRPr="00667688">
        <w:rPr>
          <w:rFonts w:ascii="Times New Roman" w:hAnsi="Times New Roman"/>
          <w:sz w:val="24"/>
          <w:szCs w:val="24"/>
        </w:rPr>
        <w:t>Information gathered will not be used for the purpose of substantially informing influential policy decisions</w:t>
      </w:r>
      <w:r w:rsidRPr="00667688" w:rsidR="008A7DF2">
        <w:rPr>
          <w:rFonts w:ascii="Times New Roman" w:hAnsi="Times New Roman"/>
          <w:sz w:val="24"/>
          <w:szCs w:val="24"/>
        </w:rPr>
        <w:t xml:space="preserve"> or communications</w:t>
      </w:r>
      <w:r w:rsidRPr="00667688" w:rsidR="004A3F45">
        <w:rPr>
          <w:rFonts w:ascii="Times New Roman" w:hAnsi="Times New Roman"/>
          <w:sz w:val="24"/>
          <w:szCs w:val="24"/>
        </w:rPr>
        <w:t>;</w:t>
      </w:r>
      <w:r>
        <w:rPr>
          <w:rStyle w:val="FootnoteReference"/>
          <w:rFonts w:ascii="Times New Roman" w:hAnsi="Times New Roman"/>
          <w:sz w:val="24"/>
          <w:szCs w:val="24"/>
        </w:rPr>
        <w:footnoteReference w:id="4"/>
      </w:r>
      <w:r w:rsidRPr="00667688" w:rsidR="247B0865">
        <w:rPr>
          <w:rFonts w:ascii="Times New Roman" w:hAnsi="Times New Roman"/>
          <w:sz w:val="24"/>
          <w:szCs w:val="24"/>
        </w:rPr>
        <w:t>Information gathered will yield qualitative information</w:t>
      </w:r>
      <w:r w:rsidRPr="00667688" w:rsidR="4ACFFBAC">
        <w:rPr>
          <w:rFonts w:ascii="Times New Roman" w:hAnsi="Times New Roman"/>
          <w:sz w:val="24"/>
          <w:szCs w:val="24"/>
        </w:rPr>
        <w:t>. While study designs may</w:t>
      </w:r>
      <w:r w:rsidRPr="00667688" w:rsidR="0852149A">
        <w:rPr>
          <w:rFonts w:ascii="Times New Roman" w:hAnsi="Times New Roman"/>
          <w:sz w:val="24"/>
          <w:szCs w:val="24"/>
        </w:rPr>
        <w:t xml:space="preserve"> additionally</w:t>
      </w:r>
      <w:r w:rsidRPr="00667688" w:rsidR="4ACFFBAC">
        <w:rPr>
          <w:rFonts w:ascii="Times New Roman" w:hAnsi="Times New Roman"/>
          <w:sz w:val="24"/>
          <w:szCs w:val="24"/>
        </w:rPr>
        <w:t xml:space="preserve"> include </w:t>
      </w:r>
      <w:r w:rsidRPr="00667688" w:rsidR="06B64439">
        <w:rPr>
          <w:rFonts w:ascii="Times New Roman" w:hAnsi="Times New Roman"/>
          <w:sz w:val="24"/>
          <w:szCs w:val="24"/>
        </w:rPr>
        <w:t xml:space="preserve">collection of individual level quantitative or </w:t>
      </w:r>
      <w:r w:rsidRPr="00667688" w:rsidR="613613B9">
        <w:rPr>
          <w:rFonts w:ascii="Times New Roman" w:hAnsi="Times New Roman"/>
          <w:sz w:val="24"/>
          <w:szCs w:val="24"/>
        </w:rPr>
        <w:t>p</w:t>
      </w:r>
      <w:r w:rsidRPr="00667688" w:rsidR="3748FA3F">
        <w:rPr>
          <w:rFonts w:ascii="Times New Roman" w:hAnsi="Times New Roman"/>
          <w:sz w:val="24"/>
          <w:szCs w:val="24"/>
        </w:rPr>
        <w:t>sycho</w:t>
      </w:r>
      <w:r w:rsidRPr="00667688" w:rsidR="613613B9">
        <w:rPr>
          <w:rFonts w:ascii="Times New Roman" w:hAnsi="Times New Roman"/>
          <w:sz w:val="24"/>
          <w:szCs w:val="24"/>
        </w:rPr>
        <w:t>metric</w:t>
      </w:r>
      <w:r w:rsidRPr="00667688" w:rsidR="1098944B">
        <w:rPr>
          <w:rFonts w:ascii="Times New Roman" w:hAnsi="Times New Roman"/>
          <w:sz w:val="24"/>
          <w:szCs w:val="24"/>
        </w:rPr>
        <w:t xml:space="preserve"> data (e.g.</w:t>
      </w:r>
      <w:r w:rsidR="00A06799">
        <w:rPr>
          <w:rFonts w:ascii="Times New Roman" w:hAnsi="Times New Roman"/>
          <w:sz w:val="24"/>
          <w:szCs w:val="24"/>
        </w:rPr>
        <w:t>,</w:t>
      </w:r>
      <w:r w:rsidRPr="00667688" w:rsidR="613613B9">
        <w:rPr>
          <w:rFonts w:ascii="Times New Roman" w:hAnsi="Times New Roman"/>
          <w:sz w:val="24"/>
          <w:szCs w:val="24"/>
        </w:rPr>
        <w:t xml:space="preserve"> </w:t>
      </w:r>
      <w:r w:rsidRPr="00667688" w:rsidR="00881623">
        <w:rPr>
          <w:rFonts w:ascii="Times New Roman" w:hAnsi="Times New Roman"/>
          <w:sz w:val="24"/>
          <w:szCs w:val="24"/>
        </w:rPr>
        <w:t>eye tracking</w:t>
      </w:r>
      <w:r w:rsidRPr="00667688" w:rsidR="613613B9">
        <w:rPr>
          <w:rFonts w:ascii="Times New Roman" w:hAnsi="Times New Roman"/>
          <w:sz w:val="24"/>
          <w:szCs w:val="24"/>
        </w:rPr>
        <w:t xml:space="preserve"> data</w:t>
      </w:r>
      <w:r w:rsidRPr="00667688" w:rsidR="37E4F247">
        <w:rPr>
          <w:rFonts w:ascii="Times New Roman" w:hAnsi="Times New Roman"/>
          <w:sz w:val="24"/>
          <w:szCs w:val="24"/>
        </w:rPr>
        <w:t>)</w:t>
      </w:r>
      <w:r w:rsidRPr="00667688" w:rsidR="5AA2F8AB">
        <w:rPr>
          <w:rFonts w:ascii="Times New Roman" w:hAnsi="Times New Roman"/>
          <w:sz w:val="24"/>
          <w:szCs w:val="24"/>
        </w:rPr>
        <w:t xml:space="preserve"> </w:t>
      </w:r>
      <w:r w:rsidRPr="00667688" w:rsidR="414F31C7">
        <w:rPr>
          <w:rFonts w:ascii="Times New Roman" w:hAnsi="Times New Roman"/>
          <w:sz w:val="24"/>
          <w:szCs w:val="24"/>
        </w:rPr>
        <w:t>t</w:t>
      </w:r>
      <w:r w:rsidRPr="00667688" w:rsidR="5CBF3857">
        <w:rPr>
          <w:rFonts w:ascii="Times New Roman" w:hAnsi="Times New Roman"/>
          <w:sz w:val="24"/>
          <w:szCs w:val="24"/>
        </w:rPr>
        <w:t xml:space="preserve">o </w:t>
      </w:r>
      <w:r w:rsidRPr="00667688" w:rsidR="000A5B18">
        <w:rPr>
          <w:rFonts w:ascii="Times New Roman" w:hAnsi="Times New Roman"/>
          <w:sz w:val="24"/>
          <w:szCs w:val="24"/>
        </w:rPr>
        <w:t>complement</w:t>
      </w:r>
      <w:r w:rsidRPr="00667688" w:rsidR="5CBF3857">
        <w:rPr>
          <w:rFonts w:ascii="Times New Roman" w:hAnsi="Times New Roman"/>
          <w:sz w:val="24"/>
          <w:szCs w:val="24"/>
        </w:rPr>
        <w:t xml:space="preserve"> and enhance data from</w:t>
      </w:r>
      <w:r w:rsidRPr="00667688" w:rsidR="5AA2F8AB">
        <w:rPr>
          <w:rFonts w:ascii="Times New Roman" w:hAnsi="Times New Roman"/>
          <w:sz w:val="24"/>
          <w:szCs w:val="24"/>
        </w:rPr>
        <w:t xml:space="preserve"> </w:t>
      </w:r>
      <w:r w:rsidRPr="00667688" w:rsidR="6499F0EB">
        <w:rPr>
          <w:rFonts w:ascii="Times New Roman" w:hAnsi="Times New Roman"/>
          <w:sz w:val="24"/>
          <w:szCs w:val="24"/>
        </w:rPr>
        <w:t xml:space="preserve">the </w:t>
      </w:r>
      <w:r w:rsidRPr="00667688" w:rsidR="5AA2F8AB">
        <w:rPr>
          <w:rFonts w:ascii="Times New Roman" w:hAnsi="Times New Roman"/>
          <w:sz w:val="24"/>
          <w:szCs w:val="24"/>
        </w:rPr>
        <w:t>interviews or discussions</w:t>
      </w:r>
      <w:r w:rsidRPr="00667688" w:rsidR="4ACFFBAC">
        <w:rPr>
          <w:rFonts w:ascii="Times New Roman" w:hAnsi="Times New Roman"/>
          <w:sz w:val="24"/>
          <w:szCs w:val="24"/>
        </w:rPr>
        <w:t>,</w:t>
      </w:r>
      <w:r w:rsidRPr="00667688" w:rsidR="247B0865">
        <w:rPr>
          <w:rFonts w:ascii="Times New Roman" w:hAnsi="Times New Roman"/>
          <w:sz w:val="24"/>
          <w:szCs w:val="24"/>
        </w:rPr>
        <w:t xml:space="preserve"> the collections will not be designed or expected to yield statistically reliable results or used as though the results are generalizable to the population of study.  </w:t>
      </w:r>
    </w:p>
    <w:p w:rsidR="00A12BAD" w:rsidRPr="00667688" w:rsidP="00667688" w14:paraId="464398CF" w14:textId="063C996B">
      <w:pPr>
        <w:spacing w:before="100" w:beforeAutospacing="1" w:after="100" w:afterAutospacing="1" w:line="240" w:lineRule="auto"/>
        <w:rPr>
          <w:rFonts w:ascii="Times New Roman" w:hAnsi="Times New Roman"/>
          <w:sz w:val="24"/>
          <w:szCs w:val="24"/>
        </w:rPr>
      </w:pPr>
      <w:r w:rsidRPr="00667688">
        <w:rPr>
          <w:rFonts w:ascii="Times New Roman" w:hAnsi="Times New Roman"/>
          <w:sz w:val="24"/>
          <w:szCs w:val="24"/>
        </w:rPr>
        <w:t xml:space="preserve">If these conditions are not met, </w:t>
      </w:r>
      <w:r w:rsidRPr="00667688" w:rsidR="00C243D2">
        <w:rPr>
          <w:rFonts w:ascii="Times New Roman" w:hAnsi="Times New Roman"/>
          <w:sz w:val="24"/>
          <w:szCs w:val="24"/>
        </w:rPr>
        <w:t>FDA</w:t>
      </w:r>
      <w:r w:rsidRPr="00667688">
        <w:rPr>
          <w:rFonts w:ascii="Times New Roman" w:hAnsi="Times New Roman"/>
          <w:sz w:val="24"/>
          <w:szCs w:val="24"/>
        </w:rPr>
        <w:t xml:space="preserve"> will submit an </w:t>
      </w:r>
      <w:r w:rsidRPr="00667688" w:rsidR="00CF0E3F">
        <w:rPr>
          <w:rFonts w:ascii="Times New Roman" w:hAnsi="Times New Roman"/>
          <w:sz w:val="24"/>
          <w:szCs w:val="24"/>
        </w:rPr>
        <w:t>I</w:t>
      </w:r>
      <w:r w:rsidRPr="00667688">
        <w:rPr>
          <w:rFonts w:ascii="Times New Roman" w:hAnsi="Times New Roman"/>
          <w:sz w:val="24"/>
          <w:szCs w:val="24"/>
        </w:rPr>
        <w:t xml:space="preserve">nformation </w:t>
      </w:r>
      <w:r w:rsidRPr="00667688" w:rsidR="00CF0E3F">
        <w:rPr>
          <w:rFonts w:ascii="Times New Roman" w:hAnsi="Times New Roman"/>
          <w:sz w:val="24"/>
          <w:szCs w:val="24"/>
        </w:rPr>
        <w:t>C</w:t>
      </w:r>
      <w:r w:rsidRPr="00667688">
        <w:rPr>
          <w:rFonts w:ascii="Times New Roman" w:hAnsi="Times New Roman"/>
          <w:sz w:val="24"/>
          <w:szCs w:val="24"/>
        </w:rPr>
        <w:t xml:space="preserve">ollection </w:t>
      </w:r>
      <w:r w:rsidRPr="00667688" w:rsidR="00CF0E3F">
        <w:rPr>
          <w:rFonts w:ascii="Times New Roman" w:hAnsi="Times New Roman"/>
          <w:sz w:val="24"/>
          <w:szCs w:val="24"/>
        </w:rPr>
        <w:t>R</w:t>
      </w:r>
      <w:r w:rsidRPr="00667688">
        <w:rPr>
          <w:rFonts w:ascii="Times New Roman" w:hAnsi="Times New Roman"/>
          <w:sz w:val="24"/>
          <w:szCs w:val="24"/>
        </w:rPr>
        <w:t xml:space="preserve">equest to OMB for approval through the normal PRA process.  </w:t>
      </w:r>
    </w:p>
    <w:p w:rsidR="00A12BAD" w:rsidRPr="00667688" w:rsidP="00667688" w14:paraId="2A4A0C07" w14:textId="22F9BA29">
      <w:pPr>
        <w:spacing w:before="100" w:beforeAutospacing="1" w:after="100" w:afterAutospacing="1" w:line="240" w:lineRule="auto"/>
        <w:rPr>
          <w:rFonts w:ascii="Times New Roman" w:hAnsi="Times New Roman"/>
          <w:sz w:val="24"/>
          <w:szCs w:val="24"/>
        </w:rPr>
      </w:pPr>
      <w:r w:rsidRPr="00667688">
        <w:rPr>
          <w:rFonts w:ascii="Times New Roman" w:hAnsi="Times New Roman"/>
          <w:sz w:val="24"/>
          <w:szCs w:val="24"/>
        </w:rPr>
        <w:t>To obtain approval for a collection that meets the conditions of this generic clearance, a</w:t>
      </w:r>
      <w:r w:rsidRPr="00667688" w:rsidR="00D3195D">
        <w:rPr>
          <w:rFonts w:ascii="Times New Roman" w:hAnsi="Times New Roman"/>
          <w:sz w:val="24"/>
          <w:szCs w:val="24"/>
        </w:rPr>
        <w:t>n abbreviated</w:t>
      </w:r>
      <w:r w:rsidRPr="00667688">
        <w:rPr>
          <w:rFonts w:ascii="Times New Roman" w:hAnsi="Times New Roman"/>
          <w:sz w:val="24"/>
          <w:szCs w:val="24"/>
        </w:rPr>
        <w:t xml:space="preserve"> </w:t>
      </w:r>
      <w:r w:rsidRPr="00667688" w:rsidR="00D3195D">
        <w:rPr>
          <w:rFonts w:ascii="Times New Roman" w:hAnsi="Times New Roman"/>
          <w:sz w:val="24"/>
          <w:szCs w:val="24"/>
        </w:rPr>
        <w:t xml:space="preserve">supporting statement </w:t>
      </w:r>
      <w:r w:rsidRPr="00667688">
        <w:rPr>
          <w:rFonts w:ascii="Times New Roman" w:hAnsi="Times New Roman"/>
          <w:sz w:val="24"/>
          <w:szCs w:val="24"/>
        </w:rPr>
        <w:t xml:space="preserve">will be submitted to OMB along with supporting documentation (e.g., a copy of the </w:t>
      </w:r>
      <w:r w:rsidRPr="00667688" w:rsidR="00BF4123">
        <w:rPr>
          <w:rFonts w:ascii="Times New Roman" w:hAnsi="Times New Roman"/>
          <w:sz w:val="24"/>
          <w:szCs w:val="24"/>
        </w:rPr>
        <w:t xml:space="preserve">interview or </w:t>
      </w:r>
      <w:r w:rsidRPr="00667688" w:rsidR="00DE0145">
        <w:rPr>
          <w:rFonts w:ascii="Times New Roman" w:hAnsi="Times New Roman"/>
          <w:sz w:val="24"/>
          <w:szCs w:val="24"/>
        </w:rPr>
        <w:t>moderator guide</w:t>
      </w:r>
      <w:r w:rsidRPr="00667688" w:rsidR="00B061F9">
        <w:rPr>
          <w:rFonts w:ascii="Times New Roman" w:hAnsi="Times New Roman"/>
          <w:sz w:val="24"/>
          <w:szCs w:val="24"/>
        </w:rPr>
        <w:t xml:space="preserve">, </w:t>
      </w:r>
      <w:r w:rsidRPr="00667688" w:rsidR="00AC6782">
        <w:rPr>
          <w:rFonts w:ascii="Times New Roman" w:hAnsi="Times New Roman"/>
          <w:sz w:val="24"/>
          <w:szCs w:val="24"/>
        </w:rPr>
        <w:t xml:space="preserve">screening </w:t>
      </w:r>
      <w:r w:rsidRPr="00667688" w:rsidR="00E57B83">
        <w:rPr>
          <w:rFonts w:ascii="Times New Roman" w:hAnsi="Times New Roman"/>
          <w:sz w:val="24"/>
          <w:szCs w:val="24"/>
        </w:rPr>
        <w:t>questionnaire</w:t>
      </w:r>
      <w:r w:rsidRPr="00667688">
        <w:rPr>
          <w:rFonts w:ascii="Times New Roman" w:hAnsi="Times New Roman"/>
          <w:sz w:val="24"/>
          <w:szCs w:val="24"/>
        </w:rPr>
        <w:t>).</w:t>
      </w:r>
      <w:r w:rsidRPr="00667688" w:rsidR="009B5884">
        <w:rPr>
          <w:rFonts w:ascii="Times New Roman" w:hAnsi="Times New Roman"/>
          <w:sz w:val="24"/>
          <w:szCs w:val="24"/>
        </w:rPr>
        <w:t xml:space="preserve"> Before submi</w:t>
      </w:r>
      <w:r w:rsidRPr="00667688" w:rsidR="005407E4">
        <w:rPr>
          <w:rFonts w:ascii="Times New Roman" w:hAnsi="Times New Roman"/>
          <w:sz w:val="24"/>
          <w:szCs w:val="24"/>
        </w:rPr>
        <w:t>ssion</w:t>
      </w:r>
      <w:r w:rsidRPr="00667688" w:rsidR="009B5884">
        <w:rPr>
          <w:rFonts w:ascii="Times New Roman" w:hAnsi="Times New Roman"/>
          <w:sz w:val="24"/>
          <w:szCs w:val="24"/>
        </w:rPr>
        <w:t xml:space="preserve"> to OMB, individual collections will undergo review by </w:t>
      </w:r>
      <w:r w:rsidRPr="00667688" w:rsidR="00DE2C6F">
        <w:rPr>
          <w:rFonts w:ascii="Times New Roman" w:hAnsi="Times New Roman"/>
          <w:sz w:val="24"/>
          <w:szCs w:val="24"/>
        </w:rPr>
        <w:t xml:space="preserve">the </w:t>
      </w:r>
      <w:r w:rsidRPr="00667688" w:rsidR="00BE015E">
        <w:rPr>
          <w:rFonts w:ascii="Times New Roman" w:hAnsi="Times New Roman"/>
          <w:sz w:val="24"/>
          <w:szCs w:val="24"/>
        </w:rPr>
        <w:t>IRB</w:t>
      </w:r>
      <w:r w:rsidRPr="00667688" w:rsidR="00DE2C6F">
        <w:rPr>
          <w:rFonts w:ascii="Times New Roman" w:hAnsi="Times New Roman"/>
          <w:sz w:val="24"/>
          <w:szCs w:val="24"/>
        </w:rPr>
        <w:t xml:space="preserve"> of record</w:t>
      </w:r>
      <w:r w:rsidRPr="00667688" w:rsidR="009B5884">
        <w:rPr>
          <w:rFonts w:ascii="Times New Roman" w:hAnsi="Times New Roman"/>
          <w:sz w:val="24"/>
          <w:szCs w:val="24"/>
        </w:rPr>
        <w:t xml:space="preserve">, senior leadership in </w:t>
      </w:r>
      <w:r w:rsidR="00A06799">
        <w:rPr>
          <w:rFonts w:ascii="Times New Roman" w:hAnsi="Times New Roman"/>
          <w:sz w:val="24"/>
          <w:szCs w:val="24"/>
        </w:rPr>
        <w:t>CTP</w:t>
      </w:r>
      <w:r w:rsidRPr="00667688" w:rsidR="009B5884">
        <w:rPr>
          <w:rFonts w:ascii="Times New Roman" w:hAnsi="Times New Roman"/>
          <w:sz w:val="24"/>
          <w:szCs w:val="24"/>
        </w:rPr>
        <w:t xml:space="preserve">, and </w:t>
      </w:r>
      <w:r w:rsidRPr="00667688" w:rsidR="005407E4">
        <w:rPr>
          <w:rFonts w:ascii="Times New Roman" w:hAnsi="Times New Roman"/>
          <w:sz w:val="24"/>
          <w:szCs w:val="24"/>
        </w:rPr>
        <w:t>PRA</w:t>
      </w:r>
      <w:r w:rsidRPr="00667688" w:rsidR="009B5884">
        <w:rPr>
          <w:rFonts w:ascii="Times New Roman" w:hAnsi="Times New Roman"/>
          <w:sz w:val="24"/>
          <w:szCs w:val="24"/>
        </w:rPr>
        <w:t xml:space="preserve"> </w:t>
      </w:r>
      <w:r w:rsidRPr="00667688" w:rsidR="005407E4">
        <w:rPr>
          <w:rFonts w:ascii="Times New Roman" w:hAnsi="Times New Roman"/>
          <w:sz w:val="24"/>
          <w:szCs w:val="24"/>
        </w:rPr>
        <w:t>s</w:t>
      </w:r>
      <w:r w:rsidRPr="00667688" w:rsidR="009B5884">
        <w:rPr>
          <w:rFonts w:ascii="Times New Roman" w:hAnsi="Times New Roman"/>
          <w:sz w:val="24"/>
          <w:szCs w:val="24"/>
        </w:rPr>
        <w:t xml:space="preserve">pecialists.  </w:t>
      </w:r>
      <w:r w:rsidRPr="00667688">
        <w:rPr>
          <w:rFonts w:ascii="Times New Roman" w:hAnsi="Times New Roman"/>
          <w:sz w:val="24"/>
          <w:szCs w:val="24"/>
        </w:rPr>
        <w:t xml:space="preserve">  </w:t>
      </w:r>
    </w:p>
    <w:p w:rsidR="00A12BAD" w:rsidRPr="00667688" w:rsidP="00667688" w14:paraId="75BC1F50" w14:textId="6E1F131C">
      <w:pPr>
        <w:spacing w:before="100" w:beforeAutospacing="1" w:after="100" w:afterAutospacing="1" w:line="240" w:lineRule="auto"/>
        <w:rPr>
          <w:rFonts w:ascii="Times New Roman" w:hAnsi="Times New Roman"/>
          <w:sz w:val="24"/>
          <w:szCs w:val="24"/>
        </w:rPr>
      </w:pPr>
      <w:r w:rsidRPr="00667688">
        <w:rPr>
          <w:rFonts w:ascii="Times New Roman" w:hAnsi="Times New Roman"/>
          <w:sz w:val="24"/>
          <w:szCs w:val="24"/>
        </w:rPr>
        <w:t>The types of collections that this generic clearance covers</w:t>
      </w:r>
      <w:r w:rsidRPr="00667688" w:rsidR="22563ACC">
        <w:rPr>
          <w:rFonts w:ascii="Times New Roman" w:hAnsi="Times New Roman"/>
          <w:sz w:val="24"/>
          <w:szCs w:val="24"/>
        </w:rPr>
        <w:t xml:space="preserve"> may</w:t>
      </w:r>
      <w:r w:rsidRPr="00667688">
        <w:rPr>
          <w:rFonts w:ascii="Times New Roman" w:hAnsi="Times New Roman"/>
          <w:sz w:val="24"/>
          <w:szCs w:val="24"/>
        </w:rPr>
        <w:t xml:space="preserve"> include, but are not limited to:</w:t>
      </w:r>
    </w:p>
    <w:p w:rsidR="00A12BAD" w:rsidRPr="00667688" w:rsidP="00667688" w14:paraId="4D0A37CC" w14:textId="21268064">
      <w:pPr>
        <w:pStyle w:val="ListParagraph"/>
        <w:numPr>
          <w:ilvl w:val="0"/>
          <w:numId w:val="15"/>
        </w:numPr>
        <w:spacing w:before="100" w:beforeAutospacing="1" w:after="100" w:afterAutospacing="1" w:line="240" w:lineRule="auto"/>
        <w:rPr>
          <w:rFonts w:ascii="Times New Roman" w:hAnsi="Times New Roman"/>
          <w:sz w:val="24"/>
          <w:szCs w:val="24"/>
        </w:rPr>
      </w:pPr>
      <w:r w:rsidRPr="00667688">
        <w:rPr>
          <w:rFonts w:ascii="Times New Roman" w:hAnsi="Times New Roman"/>
          <w:sz w:val="24"/>
          <w:szCs w:val="24"/>
        </w:rPr>
        <w:t>Focus groups</w:t>
      </w:r>
      <w:r w:rsidRPr="00667688" w:rsidR="00D3195D">
        <w:rPr>
          <w:rFonts w:ascii="Times New Roman" w:hAnsi="Times New Roman"/>
          <w:sz w:val="24"/>
          <w:szCs w:val="24"/>
        </w:rPr>
        <w:t xml:space="preserve"> or small group discussion</w:t>
      </w:r>
      <w:r w:rsidRPr="00667688" w:rsidR="00C31D67">
        <w:rPr>
          <w:rFonts w:ascii="Times New Roman" w:hAnsi="Times New Roman"/>
          <w:sz w:val="24"/>
          <w:szCs w:val="24"/>
        </w:rPr>
        <w:t>s</w:t>
      </w:r>
      <w:r w:rsidRPr="00667688" w:rsidR="00FA3CC5">
        <w:rPr>
          <w:rFonts w:ascii="Times New Roman" w:hAnsi="Times New Roman"/>
          <w:sz w:val="24"/>
          <w:szCs w:val="24"/>
        </w:rPr>
        <w:t>, which may include 2 to 12 participants</w:t>
      </w:r>
      <w:r w:rsidRPr="00667688">
        <w:rPr>
          <w:rFonts w:ascii="Times New Roman" w:hAnsi="Times New Roman"/>
          <w:sz w:val="24"/>
          <w:szCs w:val="24"/>
        </w:rPr>
        <w:t xml:space="preserve"> </w:t>
      </w:r>
      <w:r w:rsidRPr="00667688" w:rsidR="04B62268">
        <w:rPr>
          <w:rFonts w:ascii="Times New Roman" w:hAnsi="Times New Roman"/>
          <w:sz w:val="24"/>
          <w:szCs w:val="24"/>
        </w:rPr>
        <w:t>each</w:t>
      </w:r>
    </w:p>
    <w:p w:rsidR="00D82A0A" w:rsidRPr="00667688" w:rsidP="00667688" w14:paraId="15486C70" w14:textId="646C4128">
      <w:pPr>
        <w:pStyle w:val="ListParagraph"/>
        <w:numPr>
          <w:ilvl w:val="0"/>
          <w:numId w:val="15"/>
        </w:numPr>
        <w:spacing w:before="100" w:beforeAutospacing="1" w:after="100" w:afterAutospacing="1" w:line="240" w:lineRule="auto"/>
        <w:rPr>
          <w:rFonts w:ascii="Times New Roman" w:hAnsi="Times New Roman"/>
          <w:sz w:val="24"/>
          <w:szCs w:val="24"/>
        </w:rPr>
      </w:pPr>
      <w:r w:rsidRPr="00667688">
        <w:rPr>
          <w:rFonts w:ascii="Times New Roman" w:hAnsi="Times New Roman"/>
          <w:sz w:val="24"/>
          <w:szCs w:val="24"/>
        </w:rPr>
        <w:t>Individual i</w:t>
      </w:r>
      <w:r w:rsidRPr="00667688" w:rsidR="009B053D">
        <w:rPr>
          <w:rFonts w:ascii="Times New Roman" w:hAnsi="Times New Roman"/>
          <w:sz w:val="24"/>
          <w:szCs w:val="24"/>
        </w:rPr>
        <w:t>n-</w:t>
      </w:r>
      <w:r w:rsidRPr="00667688" w:rsidR="00AC6782">
        <w:rPr>
          <w:rFonts w:ascii="Times New Roman" w:hAnsi="Times New Roman"/>
          <w:sz w:val="24"/>
          <w:szCs w:val="24"/>
        </w:rPr>
        <w:t>depth interviews (IDIs)</w:t>
      </w:r>
      <w:r w:rsidRPr="00667688" w:rsidR="63895421">
        <w:rPr>
          <w:rFonts w:ascii="Times New Roman" w:hAnsi="Times New Roman"/>
          <w:sz w:val="24"/>
          <w:szCs w:val="24"/>
        </w:rPr>
        <w:t>, including cognitive interviews</w:t>
      </w:r>
    </w:p>
    <w:p w:rsidR="63895421" w:rsidRPr="00667688" w:rsidP="00667688" w14:paraId="539D981F" w14:textId="112A07B0">
      <w:pPr>
        <w:pStyle w:val="ListParagraph"/>
        <w:numPr>
          <w:ilvl w:val="0"/>
          <w:numId w:val="15"/>
        </w:numPr>
        <w:spacing w:beforeAutospacing="1" w:afterAutospacing="1" w:line="240" w:lineRule="auto"/>
        <w:rPr>
          <w:rFonts w:ascii="Times New Roman" w:hAnsi="Times New Roman"/>
          <w:sz w:val="24"/>
          <w:szCs w:val="24"/>
        </w:rPr>
      </w:pPr>
      <w:r w:rsidRPr="00667688">
        <w:rPr>
          <w:rFonts w:ascii="Times New Roman" w:hAnsi="Times New Roman"/>
          <w:sz w:val="24"/>
          <w:szCs w:val="24"/>
        </w:rPr>
        <w:t xml:space="preserve">Asynchronous discussion boards </w:t>
      </w:r>
    </w:p>
    <w:p w:rsidR="00890733" w:rsidRPr="00667688" w:rsidP="00667688" w14:paraId="6B221FE1" w14:textId="54F3448A">
      <w:pPr>
        <w:pStyle w:val="ListParagraph"/>
        <w:numPr>
          <w:ilvl w:val="0"/>
          <w:numId w:val="15"/>
        </w:numPr>
        <w:spacing w:before="100" w:beforeAutospacing="1" w:after="100" w:afterAutospacing="1" w:line="240" w:lineRule="auto"/>
        <w:rPr>
          <w:rFonts w:ascii="Times New Roman" w:hAnsi="Times New Roman"/>
          <w:sz w:val="24"/>
          <w:szCs w:val="24"/>
        </w:rPr>
      </w:pPr>
      <w:r w:rsidRPr="00667688">
        <w:rPr>
          <w:rFonts w:ascii="Times New Roman" w:hAnsi="Times New Roman"/>
          <w:sz w:val="24"/>
          <w:szCs w:val="24"/>
        </w:rPr>
        <w:t>Usability</w:t>
      </w:r>
      <w:r w:rsidRPr="00667688" w:rsidR="08323B55">
        <w:rPr>
          <w:rFonts w:ascii="Times New Roman" w:hAnsi="Times New Roman"/>
          <w:sz w:val="24"/>
          <w:szCs w:val="24"/>
        </w:rPr>
        <w:t xml:space="preserve"> and/or psychometric</w:t>
      </w:r>
      <w:r w:rsidRPr="00667688">
        <w:rPr>
          <w:rFonts w:ascii="Times New Roman" w:hAnsi="Times New Roman"/>
          <w:sz w:val="24"/>
          <w:szCs w:val="24"/>
        </w:rPr>
        <w:t xml:space="preserve"> testing</w:t>
      </w:r>
      <w:r w:rsidRPr="00667688" w:rsidR="3468F371">
        <w:rPr>
          <w:rFonts w:ascii="Times New Roman" w:hAnsi="Times New Roman"/>
          <w:sz w:val="24"/>
          <w:szCs w:val="24"/>
        </w:rPr>
        <w:t xml:space="preserve"> (including </w:t>
      </w:r>
      <w:r w:rsidRPr="00667688" w:rsidR="00881623">
        <w:rPr>
          <w:rFonts w:ascii="Times New Roman" w:hAnsi="Times New Roman"/>
          <w:sz w:val="24"/>
          <w:szCs w:val="24"/>
        </w:rPr>
        <w:t>eye tracking</w:t>
      </w:r>
      <w:r w:rsidRPr="00667688" w:rsidR="3468F371">
        <w:rPr>
          <w:rFonts w:ascii="Times New Roman" w:hAnsi="Times New Roman"/>
          <w:sz w:val="24"/>
          <w:szCs w:val="24"/>
        </w:rPr>
        <w:t>)</w:t>
      </w:r>
    </w:p>
    <w:p w:rsidR="00890733" w:rsidRPr="00667688" w:rsidP="00667688" w14:paraId="7E00385B" w14:textId="0629D3B3">
      <w:pPr>
        <w:pStyle w:val="ListParagraph"/>
        <w:numPr>
          <w:ilvl w:val="0"/>
          <w:numId w:val="15"/>
        </w:numPr>
        <w:spacing w:before="100" w:beforeAutospacing="1" w:after="100" w:afterAutospacing="1" w:line="240" w:lineRule="auto"/>
        <w:rPr>
          <w:rFonts w:ascii="Times New Roman" w:hAnsi="Times New Roman"/>
          <w:sz w:val="24"/>
          <w:szCs w:val="24"/>
        </w:rPr>
      </w:pPr>
      <w:r w:rsidRPr="00667688">
        <w:rPr>
          <w:rFonts w:ascii="Times New Roman" w:hAnsi="Times New Roman"/>
          <w:sz w:val="24"/>
          <w:szCs w:val="24"/>
        </w:rPr>
        <w:t xml:space="preserve">Moderated, un-moderated, in-person, and/or </w:t>
      </w:r>
      <w:r w:rsidRPr="00667688" w:rsidR="00BF31DC">
        <w:rPr>
          <w:rFonts w:ascii="Times New Roman" w:hAnsi="Times New Roman"/>
          <w:sz w:val="24"/>
          <w:szCs w:val="24"/>
        </w:rPr>
        <w:t>virtual</w:t>
      </w:r>
      <w:r w:rsidRPr="00667688" w:rsidR="00537275">
        <w:rPr>
          <w:rFonts w:ascii="Times New Roman" w:hAnsi="Times New Roman"/>
          <w:sz w:val="24"/>
          <w:szCs w:val="24"/>
        </w:rPr>
        <w:t xml:space="preserve"> </w:t>
      </w:r>
      <w:r w:rsidRPr="00667688" w:rsidR="57BF9A5A">
        <w:rPr>
          <w:rFonts w:ascii="Times New Roman" w:hAnsi="Times New Roman"/>
          <w:sz w:val="24"/>
          <w:szCs w:val="24"/>
        </w:rPr>
        <w:t xml:space="preserve">(e.g., </w:t>
      </w:r>
      <w:r w:rsidRPr="00667688" w:rsidR="00BF31DC">
        <w:rPr>
          <w:rFonts w:ascii="Times New Roman" w:hAnsi="Times New Roman"/>
          <w:sz w:val="24"/>
          <w:szCs w:val="24"/>
        </w:rPr>
        <w:t>using webinar conferencing software</w:t>
      </w:r>
      <w:r w:rsidRPr="00667688" w:rsidR="5127D8C0">
        <w:rPr>
          <w:rFonts w:ascii="Times New Roman" w:hAnsi="Times New Roman"/>
          <w:sz w:val="24"/>
          <w:szCs w:val="24"/>
        </w:rPr>
        <w:t xml:space="preserve"> or </w:t>
      </w:r>
      <w:r w:rsidRPr="00667688" w:rsidR="006A3557">
        <w:rPr>
          <w:rFonts w:ascii="Times New Roman" w:hAnsi="Times New Roman"/>
          <w:sz w:val="24"/>
          <w:szCs w:val="24"/>
        </w:rPr>
        <w:t>asynchronous</w:t>
      </w:r>
      <w:r w:rsidRPr="00667688" w:rsidR="5127D8C0">
        <w:rPr>
          <w:rFonts w:ascii="Times New Roman" w:hAnsi="Times New Roman"/>
          <w:sz w:val="24"/>
          <w:szCs w:val="24"/>
        </w:rPr>
        <w:t xml:space="preserve"> qualitative research platform</w:t>
      </w:r>
      <w:r w:rsidRPr="00667688" w:rsidR="1709D613">
        <w:rPr>
          <w:rFonts w:ascii="Times New Roman" w:hAnsi="Times New Roman"/>
          <w:sz w:val="24"/>
          <w:szCs w:val="24"/>
        </w:rPr>
        <w:t>s</w:t>
      </w:r>
      <w:r w:rsidRPr="00667688" w:rsidR="50769D5C">
        <w:rPr>
          <w:rFonts w:ascii="Times New Roman" w:hAnsi="Times New Roman"/>
          <w:sz w:val="24"/>
          <w:szCs w:val="24"/>
        </w:rPr>
        <w:t>)</w:t>
      </w:r>
    </w:p>
    <w:p w:rsidR="00AC080A" w:rsidRPr="00667688" w:rsidP="00667688" w14:paraId="44AD8F93" w14:textId="3D811708">
      <w:pPr>
        <w:pStyle w:val="ListParagraph"/>
        <w:numPr>
          <w:ilvl w:val="0"/>
          <w:numId w:val="15"/>
        </w:numPr>
        <w:spacing w:before="100" w:beforeAutospacing="1" w:after="100" w:afterAutospacing="1" w:line="240" w:lineRule="auto"/>
        <w:rPr>
          <w:rFonts w:ascii="Times New Roman" w:hAnsi="Times New Roman"/>
          <w:sz w:val="24"/>
          <w:szCs w:val="24"/>
        </w:rPr>
      </w:pPr>
      <w:r w:rsidRPr="00667688">
        <w:rPr>
          <w:rFonts w:ascii="Times New Roman" w:hAnsi="Times New Roman"/>
          <w:sz w:val="24"/>
          <w:szCs w:val="24"/>
        </w:rPr>
        <w:t>Naturalistic</w:t>
      </w:r>
      <w:r w:rsidRPr="00667688">
        <w:rPr>
          <w:rFonts w:ascii="Times New Roman" w:hAnsi="Times New Roman"/>
          <w:sz w:val="24"/>
          <w:szCs w:val="24"/>
        </w:rPr>
        <w:t xml:space="preserve"> observation</w:t>
      </w:r>
      <w:r w:rsidRPr="00667688">
        <w:rPr>
          <w:rFonts w:ascii="Times New Roman" w:hAnsi="Times New Roman"/>
          <w:sz w:val="24"/>
          <w:szCs w:val="24"/>
        </w:rPr>
        <w:t xml:space="preserve"> </w:t>
      </w:r>
      <w:r w:rsidRPr="00667688" w:rsidR="006B67CB">
        <w:rPr>
          <w:rFonts w:ascii="Times New Roman" w:hAnsi="Times New Roman"/>
          <w:sz w:val="24"/>
          <w:szCs w:val="24"/>
        </w:rPr>
        <w:t>and</w:t>
      </w:r>
      <w:r w:rsidRPr="00667688">
        <w:rPr>
          <w:rFonts w:ascii="Times New Roman" w:hAnsi="Times New Roman"/>
          <w:sz w:val="24"/>
          <w:szCs w:val="24"/>
        </w:rPr>
        <w:t xml:space="preserve"> ethnographic studies</w:t>
      </w:r>
      <w:r w:rsidRPr="00667688" w:rsidR="0041073B">
        <w:rPr>
          <w:rFonts w:ascii="Times New Roman" w:hAnsi="Times New Roman"/>
          <w:sz w:val="24"/>
          <w:szCs w:val="24"/>
        </w:rPr>
        <w:t xml:space="preserve"> </w:t>
      </w:r>
      <w:r w:rsidRPr="00667688" w:rsidR="00A46C3C">
        <w:rPr>
          <w:rFonts w:ascii="Times New Roman" w:hAnsi="Times New Roman"/>
          <w:sz w:val="24"/>
          <w:szCs w:val="24"/>
        </w:rPr>
        <w:t>to observe participants or subjects in natural settings</w:t>
      </w:r>
      <w:r w:rsidRPr="00667688" w:rsidR="007146DB">
        <w:rPr>
          <w:rFonts w:ascii="Times New Roman" w:hAnsi="Times New Roman"/>
          <w:sz w:val="24"/>
          <w:szCs w:val="24"/>
        </w:rPr>
        <w:t xml:space="preserve"> and environments (including digital</w:t>
      </w:r>
      <w:r w:rsidRPr="00667688" w:rsidR="007A01D0">
        <w:rPr>
          <w:rFonts w:ascii="Times New Roman" w:hAnsi="Times New Roman"/>
          <w:sz w:val="24"/>
          <w:szCs w:val="24"/>
        </w:rPr>
        <w:t xml:space="preserve"> environments)</w:t>
      </w:r>
    </w:p>
    <w:p w:rsidR="00EC2AB4" w:rsidRPr="00667688" w:rsidP="00667688" w14:paraId="0D846CE1" w14:textId="77777777">
      <w:pPr>
        <w:pStyle w:val="ListParagraph"/>
        <w:spacing w:before="100" w:beforeAutospacing="1" w:after="100" w:afterAutospacing="1" w:line="240" w:lineRule="auto"/>
        <w:rPr>
          <w:rFonts w:ascii="Times New Roman" w:hAnsi="Times New Roman"/>
          <w:sz w:val="24"/>
          <w:szCs w:val="24"/>
        </w:rPr>
      </w:pPr>
    </w:p>
    <w:p w:rsidR="00A12BAD" w:rsidRPr="00667688" w:rsidP="00667688" w14:paraId="697F09CB" w14:textId="74B0A63F">
      <w:pPr>
        <w:pStyle w:val="ListParagraph"/>
        <w:numPr>
          <w:ilvl w:val="0"/>
          <w:numId w:val="2"/>
        </w:numPr>
        <w:spacing w:before="100" w:beforeAutospacing="1" w:after="100" w:afterAutospacing="1" w:line="240" w:lineRule="auto"/>
        <w:ind w:left="0"/>
        <w:rPr>
          <w:rFonts w:ascii="Times New Roman" w:hAnsi="Times New Roman"/>
          <w:bCs/>
          <w:sz w:val="24"/>
          <w:szCs w:val="24"/>
          <w:u w:val="single"/>
        </w:rPr>
      </w:pPr>
      <w:r w:rsidRPr="00667688">
        <w:rPr>
          <w:rFonts w:ascii="Times New Roman" w:hAnsi="Times New Roman"/>
          <w:bCs/>
          <w:sz w:val="24"/>
          <w:szCs w:val="24"/>
          <w:u w:val="single"/>
        </w:rPr>
        <w:t xml:space="preserve">Use of Improved </w:t>
      </w:r>
      <w:r w:rsidRPr="00667688">
        <w:rPr>
          <w:rFonts w:ascii="Times New Roman" w:hAnsi="Times New Roman"/>
          <w:bCs/>
          <w:sz w:val="24"/>
          <w:szCs w:val="24"/>
          <w:u w:val="single"/>
        </w:rPr>
        <w:t>Information Technology</w:t>
      </w:r>
      <w:r w:rsidRPr="00667688" w:rsidR="00076F71">
        <w:rPr>
          <w:rFonts w:ascii="Times New Roman" w:hAnsi="Times New Roman"/>
          <w:bCs/>
          <w:sz w:val="24"/>
          <w:szCs w:val="24"/>
          <w:u w:val="single"/>
        </w:rPr>
        <w:t xml:space="preserve"> and Burden Reduction</w:t>
      </w:r>
    </w:p>
    <w:p w:rsidR="00677FF9" w:rsidRPr="00667688" w:rsidP="3A0C7210" w14:paraId="7B4725CB" w14:textId="3823BCF3">
      <w:pPr>
        <w:spacing w:before="100" w:beforeAutospacing="1" w:after="100" w:afterAutospacing="1" w:line="240" w:lineRule="auto"/>
        <w:rPr>
          <w:rFonts w:ascii="Times New Roman" w:hAnsi="Times New Roman"/>
          <w:sz w:val="24"/>
          <w:szCs w:val="24"/>
        </w:rPr>
      </w:pPr>
      <w:r w:rsidRPr="3A0C7210">
        <w:rPr>
          <w:rFonts w:ascii="Times New Roman" w:hAnsi="Times New Roman"/>
          <w:sz w:val="24"/>
          <w:szCs w:val="24"/>
        </w:rPr>
        <w:t xml:space="preserve">Emphasis will be placed on </w:t>
      </w:r>
      <w:r w:rsidRPr="3A0C7210" w:rsidR="3BBDA7B2">
        <w:rPr>
          <w:rFonts w:ascii="Times New Roman" w:hAnsi="Times New Roman"/>
          <w:sz w:val="24"/>
          <w:szCs w:val="24"/>
        </w:rPr>
        <w:t>collect</w:t>
      </w:r>
      <w:r w:rsidRPr="3A0C7210" w:rsidR="0EAB1C4F">
        <w:rPr>
          <w:rFonts w:ascii="Times New Roman" w:hAnsi="Times New Roman"/>
          <w:sz w:val="24"/>
          <w:szCs w:val="24"/>
        </w:rPr>
        <w:t>ing</w:t>
      </w:r>
      <w:r w:rsidRPr="3A0C7210" w:rsidR="3BBDA7B2">
        <w:rPr>
          <w:rFonts w:ascii="Times New Roman" w:hAnsi="Times New Roman"/>
          <w:sz w:val="24"/>
          <w:szCs w:val="24"/>
        </w:rPr>
        <w:t xml:space="preserve"> information electronically us</w:t>
      </w:r>
      <w:r w:rsidRPr="3A0C7210" w:rsidR="0EAB1C4F">
        <w:rPr>
          <w:rFonts w:ascii="Times New Roman" w:hAnsi="Times New Roman"/>
          <w:sz w:val="24"/>
          <w:szCs w:val="24"/>
        </w:rPr>
        <w:t>ing</w:t>
      </w:r>
      <w:r w:rsidRPr="3A0C7210" w:rsidR="3BBDA7B2">
        <w:rPr>
          <w:rFonts w:ascii="Times New Roman" w:hAnsi="Times New Roman"/>
          <w:sz w:val="24"/>
          <w:szCs w:val="24"/>
        </w:rPr>
        <w:t xml:space="preserve"> online collaboration tools to reduce burden</w:t>
      </w:r>
      <w:r w:rsidRPr="3A0C7210" w:rsidR="6574716A">
        <w:rPr>
          <w:rFonts w:ascii="Times New Roman" w:hAnsi="Times New Roman"/>
          <w:sz w:val="24"/>
          <w:szCs w:val="24"/>
        </w:rPr>
        <w:t xml:space="preserve"> by allowing participants to participate in a location that is convenient to them and without the need for added travel/commuting</w:t>
      </w:r>
      <w:r w:rsidRPr="3A0C7210" w:rsidR="3BBDA7B2">
        <w:rPr>
          <w:rFonts w:ascii="Times New Roman" w:hAnsi="Times New Roman"/>
          <w:sz w:val="24"/>
          <w:szCs w:val="24"/>
        </w:rPr>
        <w:t>.</w:t>
      </w:r>
      <w:r w:rsidRPr="3A0C7210" w:rsidR="0EAB1C4F">
        <w:rPr>
          <w:rFonts w:ascii="Times New Roman" w:hAnsi="Times New Roman"/>
          <w:sz w:val="24"/>
          <w:szCs w:val="24"/>
        </w:rPr>
        <w:t xml:space="preserve"> </w:t>
      </w:r>
      <w:r w:rsidRPr="3A0C7210" w:rsidR="09CC5356">
        <w:rPr>
          <w:rFonts w:ascii="Times New Roman" w:hAnsi="Times New Roman"/>
          <w:sz w:val="24"/>
          <w:szCs w:val="24"/>
        </w:rPr>
        <w:t>At this time, w</w:t>
      </w:r>
      <w:r w:rsidRPr="3A0C7210" w:rsidR="5DB53DB3">
        <w:rPr>
          <w:rFonts w:ascii="Times New Roman" w:hAnsi="Times New Roman"/>
          <w:sz w:val="24"/>
          <w:szCs w:val="24"/>
        </w:rPr>
        <w:t xml:space="preserve">e expect </w:t>
      </w:r>
      <w:r w:rsidRPr="3A0C7210" w:rsidR="00565D4C">
        <w:rPr>
          <w:rFonts w:ascii="Times New Roman" w:hAnsi="Times New Roman"/>
          <w:sz w:val="24"/>
          <w:szCs w:val="24"/>
        </w:rPr>
        <w:t>at minimum, 80% of the information collections will be completed using online webinar, conferencing, and focus group software</w:t>
      </w:r>
      <w:r w:rsidRPr="3A0C7210" w:rsidR="00455F85">
        <w:rPr>
          <w:rFonts w:ascii="Times New Roman" w:hAnsi="Times New Roman"/>
          <w:sz w:val="24"/>
          <w:szCs w:val="24"/>
        </w:rPr>
        <w:t>.</w:t>
      </w:r>
      <w:r w:rsidRPr="3A0C7210" w:rsidR="00881623">
        <w:rPr>
          <w:rFonts w:ascii="Times New Roman" w:hAnsi="Times New Roman"/>
          <w:sz w:val="24"/>
          <w:szCs w:val="24"/>
        </w:rPr>
        <w:t xml:space="preserve"> </w:t>
      </w:r>
      <w:r w:rsidRPr="3A0C7210" w:rsidR="5DB53DB3">
        <w:rPr>
          <w:rFonts w:ascii="Times New Roman" w:hAnsi="Times New Roman"/>
          <w:sz w:val="24"/>
          <w:szCs w:val="24"/>
        </w:rPr>
        <w:t>Virtual interview and focus group participants will access an online platform such as Zoom</w:t>
      </w:r>
      <w:r w:rsidRPr="3A0C7210" w:rsidR="09CC5356">
        <w:rPr>
          <w:rFonts w:ascii="Times New Roman" w:hAnsi="Times New Roman"/>
          <w:sz w:val="24"/>
          <w:szCs w:val="24"/>
        </w:rPr>
        <w:t>,</w:t>
      </w:r>
      <w:r w:rsidRPr="3A0C7210" w:rsidR="006A3557">
        <w:rPr>
          <w:rFonts w:ascii="Times New Roman" w:hAnsi="Times New Roman"/>
          <w:sz w:val="24"/>
          <w:szCs w:val="24"/>
        </w:rPr>
        <w:t xml:space="preserve"> </w:t>
      </w:r>
      <w:r w:rsidRPr="3A0C7210" w:rsidR="5DB53DB3">
        <w:rPr>
          <w:rFonts w:ascii="Times New Roman" w:hAnsi="Times New Roman"/>
          <w:sz w:val="24"/>
          <w:szCs w:val="24"/>
        </w:rPr>
        <w:t>GoToWebinar</w:t>
      </w:r>
      <w:r w:rsidRPr="3A0C7210" w:rsidR="09CC5356">
        <w:rPr>
          <w:rFonts w:ascii="Times New Roman" w:hAnsi="Times New Roman"/>
          <w:sz w:val="24"/>
          <w:szCs w:val="24"/>
        </w:rPr>
        <w:t>, and other applications</w:t>
      </w:r>
      <w:r w:rsidRPr="3A0C7210" w:rsidR="5DB53DB3">
        <w:rPr>
          <w:rFonts w:ascii="Times New Roman" w:hAnsi="Times New Roman"/>
          <w:sz w:val="24"/>
          <w:szCs w:val="24"/>
        </w:rPr>
        <w:t>, which allow users to meet online</w:t>
      </w:r>
      <w:r w:rsidRPr="3A0C7210" w:rsidR="158E2D34">
        <w:rPr>
          <w:rFonts w:ascii="Times New Roman" w:hAnsi="Times New Roman"/>
          <w:sz w:val="24"/>
          <w:szCs w:val="24"/>
        </w:rPr>
        <w:t xml:space="preserve"> </w:t>
      </w:r>
      <w:r w:rsidRPr="3A0C7210" w:rsidR="5DB53DB3">
        <w:rPr>
          <w:rFonts w:ascii="Times New Roman" w:hAnsi="Times New Roman"/>
          <w:sz w:val="24"/>
          <w:szCs w:val="24"/>
        </w:rPr>
        <w:t xml:space="preserve">and can be accessed using a computer, tablet, or mobile device. </w:t>
      </w:r>
      <w:r w:rsidRPr="3A0C7210" w:rsidR="7E318DA2">
        <w:rPr>
          <w:rFonts w:ascii="Times New Roman" w:hAnsi="Times New Roman"/>
          <w:sz w:val="24"/>
          <w:szCs w:val="24"/>
        </w:rPr>
        <w:t xml:space="preserve">Asynchronous research participants would similarly access a web-based discussion board such as </w:t>
      </w:r>
      <w:r w:rsidRPr="3A0C7210" w:rsidR="7E318DA2">
        <w:rPr>
          <w:rFonts w:ascii="Times New Roman" w:hAnsi="Times New Roman"/>
          <w:sz w:val="24"/>
          <w:szCs w:val="24"/>
        </w:rPr>
        <w:t>QualBoard</w:t>
      </w:r>
      <w:r w:rsidRPr="3A0C7210" w:rsidR="7E318DA2">
        <w:rPr>
          <w:rFonts w:ascii="Times New Roman" w:hAnsi="Times New Roman"/>
          <w:sz w:val="24"/>
          <w:szCs w:val="24"/>
        </w:rPr>
        <w:t xml:space="preserve"> to provide</w:t>
      </w:r>
      <w:r w:rsidRPr="3A0C7210" w:rsidR="00537275">
        <w:rPr>
          <w:rFonts w:ascii="Times New Roman" w:hAnsi="Times New Roman"/>
          <w:sz w:val="24"/>
          <w:szCs w:val="24"/>
        </w:rPr>
        <w:t xml:space="preserve"> </w:t>
      </w:r>
      <w:r w:rsidRPr="3A0C7210" w:rsidR="7E318DA2">
        <w:rPr>
          <w:rFonts w:ascii="Times New Roman" w:hAnsi="Times New Roman"/>
          <w:sz w:val="24"/>
          <w:szCs w:val="24"/>
        </w:rPr>
        <w:t>written or audio responses to open ended questions</w:t>
      </w:r>
      <w:r w:rsidRPr="3A0C7210" w:rsidR="617BB976">
        <w:rPr>
          <w:rFonts w:ascii="Times New Roman" w:hAnsi="Times New Roman"/>
          <w:sz w:val="24"/>
          <w:szCs w:val="24"/>
        </w:rPr>
        <w:t xml:space="preserve"> from the study moderator</w:t>
      </w:r>
      <w:r w:rsidRPr="3A0C7210" w:rsidR="7E318DA2">
        <w:rPr>
          <w:rFonts w:ascii="Times New Roman" w:hAnsi="Times New Roman"/>
          <w:sz w:val="24"/>
          <w:szCs w:val="24"/>
        </w:rPr>
        <w:t>.</w:t>
      </w:r>
      <w:r w:rsidRPr="3A0C7210" w:rsidR="00537275">
        <w:rPr>
          <w:rFonts w:ascii="Times New Roman" w:hAnsi="Times New Roman"/>
          <w:sz w:val="24"/>
          <w:szCs w:val="24"/>
        </w:rPr>
        <w:t xml:space="preserve"> Webinar platforms include </w:t>
      </w:r>
      <w:r w:rsidRPr="3A0C7210" w:rsidR="00881623">
        <w:rPr>
          <w:rFonts w:ascii="Times New Roman" w:hAnsi="Times New Roman"/>
          <w:sz w:val="24"/>
          <w:szCs w:val="24"/>
        </w:rPr>
        <w:t>several</w:t>
      </w:r>
      <w:r w:rsidRPr="3A0C7210" w:rsidR="00537275">
        <w:rPr>
          <w:rFonts w:ascii="Times New Roman" w:hAnsi="Times New Roman"/>
          <w:sz w:val="24"/>
          <w:szCs w:val="24"/>
        </w:rPr>
        <w:t xml:space="preserve"> security protection features including, but not limited to, the ability to lock a meeting so no one else can join, restrict screen-sharing to the host only, enable a waiting room to restrict access to only those who should join, and remove a participant, if needed.</w:t>
      </w:r>
    </w:p>
    <w:p w:rsidR="00A12BAD" w:rsidRPr="00667688" w:rsidP="00667688" w14:paraId="41646A24" w14:textId="77777777">
      <w:pPr>
        <w:pStyle w:val="ListParagraph"/>
        <w:numPr>
          <w:ilvl w:val="0"/>
          <w:numId w:val="2"/>
        </w:numPr>
        <w:spacing w:before="100" w:beforeAutospacing="1" w:after="100" w:afterAutospacing="1" w:line="240" w:lineRule="auto"/>
        <w:ind w:left="0"/>
        <w:rPr>
          <w:rFonts w:ascii="Times New Roman" w:hAnsi="Times New Roman"/>
          <w:bCs/>
          <w:sz w:val="24"/>
          <w:szCs w:val="24"/>
          <w:u w:val="single"/>
        </w:rPr>
      </w:pPr>
      <w:r w:rsidRPr="00667688">
        <w:rPr>
          <w:rFonts w:ascii="Times New Roman" w:hAnsi="Times New Roman"/>
          <w:bCs/>
          <w:sz w:val="24"/>
          <w:szCs w:val="24"/>
        </w:rPr>
        <w:t xml:space="preserve"> </w:t>
      </w:r>
      <w:r w:rsidRPr="00667688" w:rsidR="00076F71">
        <w:rPr>
          <w:rFonts w:ascii="Times New Roman" w:hAnsi="Times New Roman"/>
          <w:bCs/>
          <w:sz w:val="24"/>
          <w:szCs w:val="24"/>
          <w:u w:val="single"/>
        </w:rPr>
        <w:t xml:space="preserve">Efforts to Identify </w:t>
      </w:r>
      <w:r w:rsidRPr="00667688">
        <w:rPr>
          <w:rFonts w:ascii="Times New Roman" w:hAnsi="Times New Roman"/>
          <w:bCs/>
          <w:sz w:val="24"/>
          <w:szCs w:val="24"/>
          <w:u w:val="single"/>
        </w:rPr>
        <w:t xml:space="preserve">Duplication </w:t>
      </w:r>
      <w:r w:rsidRPr="00667688" w:rsidR="00076F71">
        <w:rPr>
          <w:rFonts w:ascii="Times New Roman" w:hAnsi="Times New Roman"/>
          <w:bCs/>
          <w:sz w:val="24"/>
          <w:szCs w:val="24"/>
          <w:u w:val="single"/>
        </w:rPr>
        <w:t xml:space="preserve">and Use of Similar </w:t>
      </w:r>
      <w:r w:rsidRPr="00667688">
        <w:rPr>
          <w:rFonts w:ascii="Times New Roman" w:hAnsi="Times New Roman"/>
          <w:bCs/>
          <w:sz w:val="24"/>
          <w:szCs w:val="24"/>
          <w:u w:val="single"/>
        </w:rPr>
        <w:t>Information</w:t>
      </w:r>
    </w:p>
    <w:p w:rsidR="42070676" w:rsidRPr="00667688" w:rsidP="00667688" w14:paraId="36A9B90C" w14:textId="611749B3">
      <w:pPr>
        <w:spacing w:before="100" w:beforeAutospacing="1" w:after="100" w:afterAutospacing="1" w:line="240" w:lineRule="auto"/>
        <w:rPr>
          <w:rFonts w:ascii="Times New Roman" w:hAnsi="Times New Roman"/>
          <w:sz w:val="24"/>
          <w:szCs w:val="24"/>
        </w:rPr>
      </w:pPr>
      <w:r w:rsidRPr="00667688">
        <w:rPr>
          <w:rFonts w:ascii="Times New Roman" w:hAnsi="Times New Roman"/>
          <w:sz w:val="24"/>
          <w:szCs w:val="24"/>
        </w:rPr>
        <w:t xml:space="preserve">As each new research study is developed, FDA </w:t>
      </w:r>
      <w:r w:rsidRPr="00667688" w:rsidR="00550935">
        <w:rPr>
          <w:rFonts w:ascii="Times New Roman" w:hAnsi="Times New Roman"/>
          <w:sz w:val="24"/>
          <w:szCs w:val="24"/>
        </w:rPr>
        <w:t xml:space="preserve">will </w:t>
      </w:r>
      <w:r w:rsidRPr="00667688">
        <w:rPr>
          <w:rFonts w:ascii="Times New Roman" w:hAnsi="Times New Roman"/>
          <w:sz w:val="24"/>
          <w:szCs w:val="24"/>
        </w:rPr>
        <w:t xml:space="preserve">review existing literature and databases, including pretesting reports on existing messages and materials. FDA </w:t>
      </w:r>
      <w:r w:rsidRPr="00667688" w:rsidR="00550935">
        <w:rPr>
          <w:rFonts w:ascii="Times New Roman" w:hAnsi="Times New Roman"/>
          <w:sz w:val="24"/>
          <w:szCs w:val="24"/>
        </w:rPr>
        <w:t xml:space="preserve">will </w:t>
      </w:r>
      <w:r w:rsidRPr="00667688">
        <w:rPr>
          <w:rFonts w:ascii="Times New Roman" w:hAnsi="Times New Roman"/>
          <w:sz w:val="24"/>
          <w:szCs w:val="24"/>
        </w:rPr>
        <w:t>also consult with outside experts to evaluate available information on similar messages with comparable audiences.</w:t>
      </w:r>
      <w:r w:rsidRPr="00667688" w:rsidR="00242F78">
        <w:rPr>
          <w:rFonts w:ascii="Times New Roman" w:hAnsi="Times New Roman"/>
          <w:sz w:val="24"/>
          <w:szCs w:val="24"/>
        </w:rPr>
        <w:t xml:space="preserve"> F</w:t>
      </w:r>
      <w:r w:rsidRPr="00667688">
        <w:rPr>
          <w:rFonts w:ascii="Times New Roman" w:hAnsi="Times New Roman"/>
          <w:sz w:val="24"/>
          <w:szCs w:val="24"/>
        </w:rPr>
        <w:t>D</w:t>
      </w:r>
      <w:r w:rsidRPr="00667688" w:rsidR="00242F78">
        <w:rPr>
          <w:rFonts w:ascii="Times New Roman" w:hAnsi="Times New Roman"/>
          <w:sz w:val="24"/>
          <w:szCs w:val="24"/>
        </w:rPr>
        <w:t>A will work</w:t>
      </w:r>
      <w:r w:rsidRPr="00667688">
        <w:rPr>
          <w:rFonts w:ascii="Times New Roman" w:hAnsi="Times New Roman"/>
          <w:sz w:val="24"/>
          <w:szCs w:val="24"/>
        </w:rPr>
        <w:t xml:space="preserve"> with </w:t>
      </w:r>
      <w:r w:rsidRPr="00667688" w:rsidR="00242F78">
        <w:rPr>
          <w:rFonts w:ascii="Times New Roman" w:hAnsi="Times New Roman"/>
          <w:sz w:val="24"/>
          <w:szCs w:val="24"/>
        </w:rPr>
        <w:t>other HHS</w:t>
      </w:r>
      <w:r w:rsidRPr="00667688">
        <w:rPr>
          <w:rFonts w:ascii="Times New Roman" w:hAnsi="Times New Roman"/>
          <w:sz w:val="24"/>
          <w:szCs w:val="24"/>
        </w:rPr>
        <w:t xml:space="preserve"> agencies responsible for communicating about tobacco use with the </w:t>
      </w:r>
      <w:r w:rsidRPr="00667688">
        <w:rPr>
          <w:rFonts w:ascii="Times New Roman" w:hAnsi="Times New Roman"/>
          <w:sz w:val="24"/>
          <w:szCs w:val="24"/>
        </w:rPr>
        <w:t>general public</w:t>
      </w:r>
      <w:r w:rsidRPr="00667688">
        <w:rPr>
          <w:rFonts w:ascii="Times New Roman" w:hAnsi="Times New Roman"/>
          <w:sz w:val="24"/>
          <w:szCs w:val="24"/>
        </w:rPr>
        <w:t xml:space="preserve">. </w:t>
      </w:r>
    </w:p>
    <w:p w:rsidR="42070676" w:rsidRPr="00667688" w:rsidP="00667688" w14:paraId="283D649B" w14:textId="10330356">
      <w:pPr>
        <w:spacing w:before="100" w:beforeAutospacing="1" w:after="100" w:afterAutospacing="1" w:line="240" w:lineRule="auto"/>
        <w:rPr>
          <w:rFonts w:ascii="Times New Roman" w:hAnsi="Times New Roman"/>
          <w:sz w:val="24"/>
          <w:szCs w:val="24"/>
        </w:rPr>
      </w:pPr>
      <w:r w:rsidRPr="00667688">
        <w:rPr>
          <w:rFonts w:ascii="Times New Roman" w:hAnsi="Times New Roman"/>
          <w:sz w:val="24"/>
          <w:szCs w:val="24"/>
        </w:rPr>
        <w:t>However, because communications to consumers</w:t>
      </w:r>
      <w:r w:rsidRPr="00667688" w:rsidR="00242F78">
        <w:rPr>
          <w:rFonts w:ascii="Times New Roman" w:hAnsi="Times New Roman"/>
          <w:sz w:val="24"/>
          <w:szCs w:val="24"/>
        </w:rPr>
        <w:t>, surveys</w:t>
      </w:r>
      <w:r w:rsidRPr="00667688" w:rsidR="004A3F45">
        <w:rPr>
          <w:rFonts w:ascii="Times New Roman" w:hAnsi="Times New Roman"/>
          <w:sz w:val="24"/>
          <w:szCs w:val="24"/>
        </w:rPr>
        <w:t>,</w:t>
      </w:r>
      <w:r w:rsidRPr="00667688" w:rsidR="00242F78">
        <w:rPr>
          <w:rFonts w:ascii="Times New Roman" w:hAnsi="Times New Roman"/>
          <w:sz w:val="24"/>
          <w:szCs w:val="24"/>
        </w:rPr>
        <w:t xml:space="preserve"> and studies</w:t>
      </w:r>
      <w:r w:rsidRPr="00667688">
        <w:rPr>
          <w:rFonts w:ascii="Times New Roman" w:hAnsi="Times New Roman"/>
          <w:sz w:val="24"/>
          <w:szCs w:val="24"/>
        </w:rPr>
        <w:t xml:space="preserve"> on the use of tobacco will be diverse and vary by target audience, new data collection instruments generally will be prepared for each qualitative study.  </w:t>
      </w:r>
    </w:p>
    <w:p w:rsidR="0BACEC8B" w:rsidRPr="00667688" w:rsidP="00667688" w14:paraId="5B278306" w14:textId="55734725">
      <w:pPr>
        <w:spacing w:before="100" w:beforeAutospacing="1" w:after="100" w:afterAutospacing="1" w:line="240" w:lineRule="auto"/>
        <w:rPr>
          <w:rFonts w:ascii="Times New Roman" w:hAnsi="Times New Roman"/>
          <w:sz w:val="24"/>
          <w:szCs w:val="24"/>
        </w:rPr>
      </w:pPr>
      <w:r w:rsidRPr="00667688">
        <w:rPr>
          <w:rFonts w:ascii="Times New Roman" w:hAnsi="Times New Roman"/>
          <w:sz w:val="24"/>
          <w:szCs w:val="24"/>
        </w:rPr>
        <w:t>Therefore, d</w:t>
      </w:r>
      <w:r w:rsidRPr="00667688" w:rsidR="006702B8">
        <w:rPr>
          <w:rFonts w:ascii="Times New Roman" w:hAnsi="Times New Roman"/>
          <w:sz w:val="24"/>
          <w:szCs w:val="24"/>
        </w:rPr>
        <w:t>ata collected by</w:t>
      </w:r>
      <w:r w:rsidRPr="00667688" w:rsidR="000A350B">
        <w:rPr>
          <w:rFonts w:ascii="Times New Roman" w:hAnsi="Times New Roman"/>
          <w:sz w:val="24"/>
          <w:szCs w:val="24"/>
        </w:rPr>
        <w:t xml:space="preserve"> FDA is unique. Coordination with other agencies ensures that duplicative data is not being gathered. Further, n</w:t>
      </w:r>
      <w:r w:rsidRPr="00667688" w:rsidR="00B061F9">
        <w:rPr>
          <w:rFonts w:ascii="Times New Roman" w:hAnsi="Times New Roman"/>
          <w:sz w:val="24"/>
          <w:szCs w:val="24"/>
        </w:rPr>
        <w:t xml:space="preserve">o similar data are gathered or maintained </w:t>
      </w:r>
      <w:r w:rsidRPr="00667688" w:rsidR="006702B8">
        <w:rPr>
          <w:rFonts w:ascii="Times New Roman" w:hAnsi="Times New Roman"/>
          <w:sz w:val="24"/>
          <w:szCs w:val="24"/>
        </w:rPr>
        <w:t>by</w:t>
      </w:r>
      <w:r w:rsidRPr="00667688" w:rsidR="00B061F9">
        <w:rPr>
          <w:rFonts w:ascii="Times New Roman" w:hAnsi="Times New Roman"/>
          <w:sz w:val="24"/>
          <w:szCs w:val="24"/>
        </w:rPr>
        <w:t xml:space="preserve"> FDA or are available from</w:t>
      </w:r>
      <w:r w:rsidRPr="00667688" w:rsidR="006702B8">
        <w:rPr>
          <w:rFonts w:ascii="Times New Roman" w:hAnsi="Times New Roman"/>
          <w:sz w:val="24"/>
          <w:szCs w:val="24"/>
        </w:rPr>
        <w:t xml:space="preserve"> other sources known to </w:t>
      </w:r>
      <w:r w:rsidRPr="00667688" w:rsidR="000A350B">
        <w:rPr>
          <w:rFonts w:ascii="Times New Roman" w:hAnsi="Times New Roman"/>
          <w:sz w:val="24"/>
          <w:szCs w:val="24"/>
        </w:rPr>
        <w:t xml:space="preserve">FDA. </w:t>
      </w:r>
    </w:p>
    <w:p w:rsidR="00B061F9" w:rsidRPr="00667688" w:rsidP="00667688" w14:paraId="214EE2A9" w14:textId="77777777">
      <w:pPr>
        <w:pStyle w:val="ListParagraph"/>
        <w:numPr>
          <w:ilvl w:val="0"/>
          <w:numId w:val="2"/>
        </w:numPr>
        <w:spacing w:before="100" w:beforeAutospacing="1" w:after="100" w:afterAutospacing="1" w:line="240" w:lineRule="auto"/>
        <w:ind w:left="0"/>
        <w:rPr>
          <w:rFonts w:ascii="Times New Roman" w:hAnsi="Times New Roman"/>
          <w:bCs/>
          <w:sz w:val="24"/>
          <w:szCs w:val="24"/>
        </w:rPr>
      </w:pPr>
      <w:r w:rsidRPr="00667688">
        <w:rPr>
          <w:rFonts w:ascii="Times New Roman" w:hAnsi="Times New Roman"/>
          <w:bCs/>
          <w:sz w:val="24"/>
          <w:szCs w:val="24"/>
        </w:rPr>
        <w:t xml:space="preserve"> </w:t>
      </w:r>
      <w:r w:rsidRPr="00667688" w:rsidR="00076F71">
        <w:rPr>
          <w:rFonts w:ascii="Times New Roman" w:hAnsi="Times New Roman"/>
          <w:bCs/>
          <w:sz w:val="24"/>
          <w:szCs w:val="24"/>
          <w:u w:val="single"/>
        </w:rPr>
        <w:t xml:space="preserve">Impact on Small Businesses or Other </w:t>
      </w:r>
      <w:r w:rsidRPr="00667688">
        <w:rPr>
          <w:rFonts w:ascii="Times New Roman" w:hAnsi="Times New Roman"/>
          <w:bCs/>
          <w:sz w:val="24"/>
          <w:szCs w:val="24"/>
          <w:u w:val="single"/>
        </w:rPr>
        <w:t>Small Entities</w:t>
      </w:r>
    </w:p>
    <w:p w:rsidR="000A350B" w:rsidRPr="00667688" w:rsidP="00667688" w14:paraId="6A5A4223" w14:textId="77777777">
      <w:pPr>
        <w:pStyle w:val="ListParagraph"/>
        <w:spacing w:before="100" w:beforeAutospacing="1" w:after="100" w:afterAutospacing="1" w:line="240" w:lineRule="auto"/>
        <w:ind w:left="0"/>
        <w:rPr>
          <w:rFonts w:ascii="Times New Roman" w:hAnsi="Times New Roman"/>
          <w:sz w:val="24"/>
          <w:szCs w:val="24"/>
        </w:rPr>
      </w:pPr>
    </w:p>
    <w:p w:rsidR="008F5A8B" w:rsidRPr="00667688" w:rsidP="00667688" w14:paraId="23A82344" w14:textId="0C702BE2">
      <w:pPr>
        <w:pStyle w:val="ListParagraph"/>
        <w:spacing w:before="100" w:beforeAutospacing="1" w:after="100" w:afterAutospacing="1" w:line="240" w:lineRule="auto"/>
        <w:ind w:left="0"/>
        <w:rPr>
          <w:rFonts w:ascii="Times New Roman" w:hAnsi="Times New Roman"/>
          <w:sz w:val="24"/>
          <w:szCs w:val="24"/>
        </w:rPr>
      </w:pPr>
      <w:r w:rsidRPr="00667688">
        <w:rPr>
          <w:rFonts w:ascii="Times New Roman" w:hAnsi="Times New Roman"/>
          <w:sz w:val="24"/>
          <w:szCs w:val="24"/>
        </w:rPr>
        <w:t>Small businesses, or other small entities, may be involved in efforts related to collections of information approved under this clearance. However</w:t>
      </w:r>
      <w:r w:rsidRPr="00667688" w:rsidR="00EC2AB4">
        <w:rPr>
          <w:rFonts w:ascii="Times New Roman" w:hAnsi="Times New Roman"/>
          <w:sz w:val="24"/>
          <w:szCs w:val="24"/>
        </w:rPr>
        <w:t>,</w:t>
      </w:r>
      <w:r w:rsidRPr="00667688">
        <w:rPr>
          <w:rFonts w:ascii="Times New Roman" w:hAnsi="Times New Roman"/>
          <w:sz w:val="24"/>
          <w:szCs w:val="24"/>
        </w:rPr>
        <w:t xml:space="preserve"> FDA will minimize the effect and burden on them by sampling appropriately</w:t>
      </w:r>
      <w:r w:rsidRPr="00667688" w:rsidR="00794876">
        <w:rPr>
          <w:rFonts w:ascii="Times New Roman" w:hAnsi="Times New Roman"/>
          <w:sz w:val="24"/>
          <w:szCs w:val="24"/>
        </w:rPr>
        <w:t>.</w:t>
      </w:r>
    </w:p>
    <w:p w:rsidR="00794876" w:rsidRPr="00667688" w:rsidP="00667688" w14:paraId="46502C15" w14:textId="77777777">
      <w:pPr>
        <w:pStyle w:val="ListParagraph"/>
        <w:spacing w:before="100" w:beforeAutospacing="1" w:after="100" w:afterAutospacing="1" w:line="240" w:lineRule="auto"/>
        <w:ind w:left="0"/>
        <w:rPr>
          <w:rFonts w:ascii="Times New Roman" w:hAnsi="Times New Roman"/>
          <w:sz w:val="24"/>
          <w:szCs w:val="24"/>
        </w:rPr>
      </w:pPr>
    </w:p>
    <w:p w:rsidR="001A4A20" w:rsidRPr="00667688" w:rsidP="00667688" w14:paraId="045DA66C" w14:textId="77777777">
      <w:pPr>
        <w:pStyle w:val="ListParagraph"/>
        <w:numPr>
          <w:ilvl w:val="0"/>
          <w:numId w:val="2"/>
        </w:numPr>
        <w:spacing w:before="100" w:beforeAutospacing="1" w:after="100" w:afterAutospacing="1" w:line="240" w:lineRule="auto"/>
        <w:ind w:left="0"/>
        <w:rPr>
          <w:rFonts w:ascii="Times New Roman" w:hAnsi="Times New Roman"/>
          <w:bCs/>
          <w:sz w:val="24"/>
          <w:szCs w:val="24"/>
          <w:u w:val="single"/>
        </w:rPr>
      </w:pPr>
      <w:r w:rsidRPr="00667688">
        <w:rPr>
          <w:rFonts w:ascii="Times New Roman" w:hAnsi="Times New Roman"/>
          <w:bCs/>
          <w:sz w:val="24"/>
          <w:szCs w:val="24"/>
          <w:u w:val="single"/>
        </w:rPr>
        <w:t xml:space="preserve">Consequences of </w:t>
      </w:r>
      <w:r w:rsidRPr="00667688" w:rsidR="00076F71">
        <w:rPr>
          <w:rFonts w:ascii="Times New Roman" w:hAnsi="Times New Roman"/>
          <w:bCs/>
          <w:sz w:val="24"/>
          <w:szCs w:val="24"/>
          <w:u w:val="single"/>
        </w:rPr>
        <w:t>Collecting the Information Less Frequently</w:t>
      </w:r>
      <w:r w:rsidRPr="00667688">
        <w:rPr>
          <w:rFonts w:ascii="Times New Roman" w:hAnsi="Times New Roman"/>
          <w:bCs/>
          <w:sz w:val="24"/>
          <w:szCs w:val="24"/>
          <w:u w:val="single"/>
        </w:rPr>
        <w:t xml:space="preserve"> </w:t>
      </w:r>
    </w:p>
    <w:p w:rsidR="42070676" w:rsidRPr="00667688" w:rsidP="00667688" w14:paraId="2E4FC6D8" w14:textId="2191587B">
      <w:pPr>
        <w:spacing w:before="100" w:beforeAutospacing="1" w:after="100" w:afterAutospacing="1" w:line="240" w:lineRule="auto"/>
        <w:rPr>
          <w:rFonts w:ascii="Times New Roman" w:hAnsi="Times New Roman"/>
          <w:sz w:val="24"/>
          <w:szCs w:val="24"/>
        </w:rPr>
      </w:pPr>
      <w:r w:rsidRPr="00667688">
        <w:rPr>
          <w:rFonts w:ascii="Times New Roman" w:hAnsi="Times New Roman"/>
          <w:sz w:val="24"/>
          <w:szCs w:val="24"/>
        </w:rPr>
        <w:t>Often,</w:t>
      </w:r>
      <w:r w:rsidRPr="00667688" w:rsidR="007E39F1">
        <w:rPr>
          <w:rFonts w:ascii="Times New Roman" w:hAnsi="Times New Roman"/>
          <w:sz w:val="24"/>
          <w:szCs w:val="24"/>
        </w:rPr>
        <w:t xml:space="preserve"> this qualitative</w:t>
      </w:r>
      <w:r w:rsidR="003072A9">
        <w:rPr>
          <w:rFonts w:ascii="Times New Roman" w:hAnsi="Times New Roman"/>
          <w:sz w:val="24"/>
          <w:szCs w:val="24"/>
        </w:rPr>
        <w:t xml:space="preserve"> collection of</w:t>
      </w:r>
      <w:r w:rsidRPr="00667688" w:rsidR="007E39F1">
        <w:rPr>
          <w:rFonts w:ascii="Times New Roman" w:hAnsi="Times New Roman"/>
          <w:sz w:val="24"/>
          <w:szCs w:val="24"/>
        </w:rPr>
        <w:t xml:space="preserve"> information </w:t>
      </w:r>
      <w:r w:rsidRPr="00667688">
        <w:rPr>
          <w:rFonts w:ascii="Times New Roman" w:hAnsi="Times New Roman"/>
          <w:sz w:val="24"/>
          <w:szCs w:val="24"/>
        </w:rPr>
        <w:t>is</w:t>
      </w:r>
      <w:r w:rsidRPr="00667688" w:rsidR="007E39F1">
        <w:rPr>
          <w:rFonts w:ascii="Times New Roman" w:hAnsi="Times New Roman"/>
          <w:sz w:val="24"/>
          <w:szCs w:val="24"/>
        </w:rPr>
        <w:t xml:space="preserve"> used as a first step to explore concepts of interest and assist in the development of quantitative study proposals</w:t>
      </w:r>
      <w:r w:rsidRPr="00667688" w:rsidR="00863306">
        <w:rPr>
          <w:rFonts w:ascii="Times New Roman" w:hAnsi="Times New Roman"/>
          <w:sz w:val="24"/>
          <w:szCs w:val="24"/>
        </w:rPr>
        <w:t>. The</w:t>
      </w:r>
      <w:r w:rsidRPr="00667688" w:rsidR="007E39F1">
        <w:rPr>
          <w:rFonts w:ascii="Times New Roman" w:hAnsi="Times New Roman"/>
          <w:sz w:val="24"/>
          <w:szCs w:val="24"/>
        </w:rPr>
        <w:t xml:space="preserve"> collection of timely data will be important to the development and conduct of ongoing and future research efforts at the </w:t>
      </w:r>
      <w:r w:rsidRPr="00667688" w:rsidR="00863306">
        <w:rPr>
          <w:rFonts w:ascii="Times New Roman" w:hAnsi="Times New Roman"/>
          <w:sz w:val="24"/>
          <w:szCs w:val="24"/>
        </w:rPr>
        <w:t>a</w:t>
      </w:r>
      <w:r w:rsidRPr="00667688" w:rsidR="007E39F1">
        <w:rPr>
          <w:rFonts w:ascii="Times New Roman" w:hAnsi="Times New Roman"/>
          <w:sz w:val="24"/>
          <w:szCs w:val="24"/>
        </w:rPr>
        <w:t xml:space="preserve">gency. </w:t>
      </w:r>
      <w:r w:rsidRPr="00667688">
        <w:rPr>
          <w:rFonts w:ascii="Times New Roman" w:hAnsi="Times New Roman"/>
          <w:sz w:val="24"/>
          <w:szCs w:val="24"/>
        </w:rPr>
        <w:t>Without</w:t>
      </w:r>
      <w:r w:rsidRPr="00667688" w:rsidR="007E39F1">
        <w:rPr>
          <w:rFonts w:ascii="Times New Roman" w:hAnsi="Times New Roman"/>
          <w:sz w:val="24"/>
          <w:szCs w:val="24"/>
        </w:rPr>
        <w:t xml:space="preserve"> these types of feedback about consumer knowledge and perceptions, FDA will not have timely information to adjus</w:t>
      </w:r>
      <w:r w:rsidRPr="00667688" w:rsidR="00242F78">
        <w:rPr>
          <w:rFonts w:ascii="Times New Roman" w:hAnsi="Times New Roman"/>
          <w:sz w:val="24"/>
          <w:szCs w:val="24"/>
        </w:rPr>
        <w:t xml:space="preserve">t its survey/research questions, </w:t>
      </w:r>
      <w:r w:rsidRPr="00667688" w:rsidR="007E39F1">
        <w:rPr>
          <w:rFonts w:ascii="Times New Roman" w:hAnsi="Times New Roman"/>
          <w:sz w:val="24"/>
          <w:szCs w:val="24"/>
        </w:rPr>
        <w:t>study stimuli</w:t>
      </w:r>
      <w:r w:rsidRPr="00667688" w:rsidR="008A2090">
        <w:rPr>
          <w:rFonts w:ascii="Times New Roman" w:hAnsi="Times New Roman"/>
          <w:sz w:val="24"/>
          <w:szCs w:val="24"/>
        </w:rPr>
        <w:t>,</w:t>
      </w:r>
      <w:r w:rsidRPr="00667688" w:rsidR="00242F78">
        <w:rPr>
          <w:rFonts w:ascii="Times New Roman" w:hAnsi="Times New Roman"/>
          <w:sz w:val="24"/>
          <w:szCs w:val="24"/>
        </w:rPr>
        <w:t xml:space="preserve"> and draft communication messages</w:t>
      </w:r>
      <w:r w:rsidRPr="00667688" w:rsidR="008046DF">
        <w:rPr>
          <w:rFonts w:ascii="Times New Roman" w:hAnsi="Times New Roman"/>
          <w:sz w:val="24"/>
          <w:szCs w:val="24"/>
        </w:rPr>
        <w:t>.</w:t>
      </w:r>
    </w:p>
    <w:p w:rsidR="1E460A5E" w:rsidRPr="00667688" w:rsidP="00667688" w14:paraId="6546E5F5" w14:textId="7C8D4356">
      <w:pPr>
        <w:spacing w:before="100" w:beforeAutospacing="1" w:after="100" w:afterAutospacing="1" w:line="240" w:lineRule="auto"/>
        <w:rPr>
          <w:rFonts w:ascii="Times New Roman" w:hAnsi="Times New Roman"/>
          <w:sz w:val="24"/>
          <w:szCs w:val="24"/>
        </w:rPr>
      </w:pPr>
      <w:r w:rsidRPr="00667688">
        <w:rPr>
          <w:rFonts w:ascii="Times New Roman" w:hAnsi="Times New Roman"/>
          <w:sz w:val="24"/>
          <w:szCs w:val="24"/>
        </w:rPr>
        <w:t xml:space="preserve">This information may also be used to help develop </w:t>
      </w:r>
      <w:r w:rsidRPr="00667688" w:rsidR="000A350B">
        <w:rPr>
          <w:rFonts w:ascii="Times New Roman" w:hAnsi="Times New Roman"/>
          <w:sz w:val="24"/>
          <w:szCs w:val="24"/>
        </w:rPr>
        <w:t>materials directed at</w:t>
      </w:r>
      <w:r w:rsidRPr="00667688" w:rsidR="1D6515D9">
        <w:rPr>
          <w:rFonts w:ascii="Times New Roman" w:hAnsi="Times New Roman"/>
          <w:sz w:val="24"/>
          <w:szCs w:val="24"/>
        </w:rPr>
        <w:t xml:space="preserve"> the public and tobacco</w:t>
      </w:r>
      <w:r w:rsidRPr="00667688" w:rsidR="000A350B">
        <w:rPr>
          <w:rFonts w:ascii="Times New Roman" w:hAnsi="Times New Roman"/>
          <w:sz w:val="24"/>
          <w:szCs w:val="24"/>
        </w:rPr>
        <w:t xml:space="preserve"> consumers</w:t>
      </w:r>
      <w:r w:rsidRPr="00667688" w:rsidR="00BD76AD">
        <w:rPr>
          <w:rFonts w:ascii="Times New Roman" w:hAnsi="Times New Roman"/>
          <w:sz w:val="24"/>
          <w:szCs w:val="24"/>
        </w:rPr>
        <w:t xml:space="preserve"> for use prevention and education</w:t>
      </w:r>
      <w:r w:rsidRPr="00667688">
        <w:rPr>
          <w:rFonts w:ascii="Times New Roman" w:hAnsi="Times New Roman"/>
          <w:sz w:val="24"/>
          <w:szCs w:val="24"/>
        </w:rPr>
        <w:t xml:space="preserve">. </w:t>
      </w:r>
      <w:r w:rsidRPr="00667688" w:rsidR="003558CD">
        <w:rPr>
          <w:rFonts w:ascii="Times New Roman" w:hAnsi="Times New Roman"/>
          <w:sz w:val="24"/>
          <w:szCs w:val="24"/>
        </w:rPr>
        <w:t xml:space="preserve">FDA is using a variety of messages and materials to inform and educate the public about the risks of tobacco use. Communicating effectively about the risks of using tobacco products involves conveying complex concepts, and without </w:t>
      </w:r>
      <w:r w:rsidRPr="00667688">
        <w:rPr>
          <w:rFonts w:ascii="Times New Roman" w:hAnsi="Times New Roman"/>
          <w:sz w:val="24"/>
          <w:szCs w:val="24"/>
        </w:rPr>
        <w:t xml:space="preserve">detailed data from qualitative </w:t>
      </w:r>
      <w:r w:rsidRPr="00667688" w:rsidR="144C5834">
        <w:rPr>
          <w:rFonts w:ascii="Times New Roman" w:hAnsi="Times New Roman"/>
          <w:sz w:val="24"/>
          <w:szCs w:val="24"/>
        </w:rPr>
        <w:t>research</w:t>
      </w:r>
      <w:r w:rsidRPr="00667688" w:rsidR="003558CD">
        <w:rPr>
          <w:rFonts w:ascii="Times New Roman" w:hAnsi="Times New Roman"/>
          <w:sz w:val="24"/>
          <w:szCs w:val="24"/>
        </w:rPr>
        <w:t xml:space="preserve">, FDA cannot fully </w:t>
      </w:r>
      <w:r w:rsidRPr="00667688" w:rsidR="65CE30CA">
        <w:rPr>
          <w:rFonts w:ascii="Times New Roman" w:hAnsi="Times New Roman"/>
          <w:sz w:val="24"/>
          <w:szCs w:val="24"/>
        </w:rPr>
        <w:t xml:space="preserve">understand priority audiences and </w:t>
      </w:r>
      <w:r w:rsidRPr="00667688" w:rsidR="003558CD">
        <w:rPr>
          <w:rFonts w:ascii="Times New Roman" w:hAnsi="Times New Roman"/>
          <w:sz w:val="24"/>
          <w:szCs w:val="24"/>
        </w:rPr>
        <w:t xml:space="preserve">ensure that tobacco messages and materials directed at </w:t>
      </w:r>
      <w:r w:rsidRPr="00667688" w:rsidR="586F8DB9">
        <w:rPr>
          <w:rFonts w:ascii="Times New Roman" w:hAnsi="Times New Roman"/>
          <w:sz w:val="24"/>
          <w:szCs w:val="24"/>
        </w:rPr>
        <w:t>these audiences</w:t>
      </w:r>
      <w:r w:rsidRPr="00667688" w:rsidR="003558CD">
        <w:rPr>
          <w:rFonts w:ascii="Times New Roman" w:hAnsi="Times New Roman"/>
          <w:sz w:val="24"/>
          <w:szCs w:val="24"/>
        </w:rPr>
        <w:t xml:space="preserve"> are serving their intended purpose.  As a result, FDA could </w:t>
      </w:r>
      <w:r w:rsidRPr="00667688" w:rsidR="000A350B">
        <w:rPr>
          <w:rFonts w:ascii="Times New Roman" w:hAnsi="Times New Roman"/>
          <w:sz w:val="24"/>
          <w:szCs w:val="24"/>
        </w:rPr>
        <w:t xml:space="preserve">spend </w:t>
      </w:r>
      <w:r w:rsidRPr="00667688" w:rsidR="00FE2E6B">
        <w:rPr>
          <w:rFonts w:ascii="Times New Roman" w:hAnsi="Times New Roman"/>
          <w:sz w:val="24"/>
          <w:szCs w:val="24"/>
        </w:rPr>
        <w:t>a large amount of money</w:t>
      </w:r>
      <w:r w:rsidRPr="00667688" w:rsidR="003558CD">
        <w:rPr>
          <w:rFonts w:ascii="Times New Roman" w:hAnsi="Times New Roman"/>
          <w:sz w:val="24"/>
          <w:szCs w:val="24"/>
        </w:rPr>
        <w:t xml:space="preserve"> on communications</w:t>
      </w:r>
      <w:r w:rsidRPr="00667688" w:rsidR="00242F78">
        <w:rPr>
          <w:rFonts w:ascii="Times New Roman" w:hAnsi="Times New Roman"/>
          <w:sz w:val="24"/>
          <w:szCs w:val="24"/>
        </w:rPr>
        <w:t>, surveys</w:t>
      </w:r>
      <w:r w:rsidRPr="00667688" w:rsidR="00506995">
        <w:rPr>
          <w:rFonts w:ascii="Times New Roman" w:hAnsi="Times New Roman"/>
          <w:sz w:val="24"/>
          <w:szCs w:val="24"/>
        </w:rPr>
        <w:t>,</w:t>
      </w:r>
      <w:r w:rsidRPr="00667688" w:rsidR="00242F78">
        <w:rPr>
          <w:rFonts w:ascii="Times New Roman" w:hAnsi="Times New Roman"/>
          <w:sz w:val="24"/>
          <w:szCs w:val="24"/>
        </w:rPr>
        <w:t xml:space="preserve"> or other studies</w:t>
      </w:r>
      <w:r w:rsidRPr="00667688" w:rsidR="003558CD">
        <w:rPr>
          <w:rFonts w:ascii="Times New Roman" w:hAnsi="Times New Roman"/>
          <w:sz w:val="24"/>
          <w:szCs w:val="24"/>
        </w:rPr>
        <w:t xml:space="preserve"> that are ineffective in achieving the intended purpose of reducing tobacco-associated costs to people’s lives and to the government. </w:t>
      </w:r>
    </w:p>
    <w:p w:rsidR="00B10FAC" w14:paraId="08836B69" w14:textId="77777777">
      <w:pPr>
        <w:spacing w:after="0" w:line="240" w:lineRule="auto"/>
        <w:rPr>
          <w:rFonts w:ascii="Times New Roman" w:hAnsi="Times New Roman"/>
          <w:bCs/>
          <w:sz w:val="24"/>
          <w:szCs w:val="24"/>
          <w:u w:val="single"/>
        </w:rPr>
      </w:pPr>
      <w:r>
        <w:rPr>
          <w:rFonts w:ascii="Times New Roman" w:hAnsi="Times New Roman"/>
          <w:bCs/>
          <w:sz w:val="24"/>
          <w:szCs w:val="24"/>
          <w:u w:val="single"/>
        </w:rPr>
        <w:br w:type="page"/>
      </w:r>
    </w:p>
    <w:p w:rsidR="00A12BAD" w:rsidRPr="00667688" w:rsidP="00667688" w14:paraId="0ADE31EB" w14:textId="521EF3FF">
      <w:pPr>
        <w:pStyle w:val="ListParagraph"/>
        <w:numPr>
          <w:ilvl w:val="0"/>
          <w:numId w:val="2"/>
        </w:numPr>
        <w:spacing w:before="100" w:beforeAutospacing="1" w:after="100" w:afterAutospacing="1" w:line="240" w:lineRule="auto"/>
        <w:ind w:left="0"/>
        <w:rPr>
          <w:rFonts w:ascii="Times New Roman" w:hAnsi="Times New Roman"/>
          <w:bCs/>
          <w:sz w:val="24"/>
          <w:szCs w:val="24"/>
          <w:u w:val="single"/>
        </w:rPr>
      </w:pPr>
      <w:r w:rsidRPr="00667688">
        <w:rPr>
          <w:rFonts w:ascii="Times New Roman" w:hAnsi="Times New Roman"/>
          <w:bCs/>
          <w:sz w:val="24"/>
          <w:szCs w:val="24"/>
          <w:u w:val="single"/>
        </w:rPr>
        <w:t>Special Circumstances</w:t>
      </w:r>
      <w:r w:rsidRPr="00667688" w:rsidR="00076F71">
        <w:rPr>
          <w:rFonts w:ascii="Times New Roman" w:hAnsi="Times New Roman"/>
          <w:bCs/>
          <w:sz w:val="24"/>
          <w:szCs w:val="24"/>
          <w:u w:val="single"/>
        </w:rPr>
        <w:t xml:space="preserve"> Relating to the Guidelines of 5 CFR 1320.5</w:t>
      </w:r>
    </w:p>
    <w:p w:rsidR="1E460A5E" w:rsidRPr="00667688" w:rsidP="00667688" w14:paraId="3700B32A" w14:textId="2F1C5113">
      <w:pPr>
        <w:spacing w:before="100" w:beforeAutospacing="1" w:after="100" w:afterAutospacing="1" w:line="240" w:lineRule="auto"/>
        <w:rPr>
          <w:rFonts w:ascii="Times New Roman" w:hAnsi="Times New Roman"/>
          <w:sz w:val="24"/>
          <w:szCs w:val="24"/>
        </w:rPr>
      </w:pPr>
      <w:r w:rsidRPr="00667688">
        <w:rPr>
          <w:rFonts w:ascii="Times New Roman" w:hAnsi="Times New Roman"/>
          <w:sz w:val="24"/>
          <w:szCs w:val="24"/>
        </w:rPr>
        <w:t>There are no special circumstances</w:t>
      </w:r>
      <w:r w:rsidRPr="00667688" w:rsidR="003E7B06">
        <w:rPr>
          <w:rFonts w:ascii="Times New Roman" w:hAnsi="Times New Roman"/>
          <w:sz w:val="24"/>
          <w:szCs w:val="24"/>
        </w:rPr>
        <w:t xml:space="preserve"> for this collection of information</w:t>
      </w:r>
      <w:r w:rsidRPr="00667688">
        <w:rPr>
          <w:rFonts w:ascii="Times New Roman" w:hAnsi="Times New Roman"/>
          <w:sz w:val="24"/>
          <w:szCs w:val="24"/>
        </w:rPr>
        <w:t>. The information collected will be voluntary</w:t>
      </w:r>
      <w:r w:rsidRPr="00667688" w:rsidR="09008318">
        <w:rPr>
          <w:rFonts w:ascii="Times New Roman" w:hAnsi="Times New Roman"/>
          <w:sz w:val="24"/>
          <w:szCs w:val="24"/>
        </w:rPr>
        <w:t>.</w:t>
      </w:r>
    </w:p>
    <w:p w:rsidR="001D71C5" w:rsidRPr="00667688" w:rsidP="00667688" w14:paraId="39299A8F" w14:textId="43E55586">
      <w:pPr>
        <w:pStyle w:val="ListParagraph"/>
        <w:numPr>
          <w:ilvl w:val="0"/>
          <w:numId w:val="2"/>
        </w:numPr>
        <w:spacing w:before="100" w:beforeAutospacing="1" w:after="100" w:afterAutospacing="1" w:line="240" w:lineRule="auto"/>
        <w:ind w:left="0"/>
        <w:rPr>
          <w:rFonts w:ascii="Times New Roman" w:hAnsi="Times New Roman"/>
          <w:bCs/>
          <w:sz w:val="24"/>
          <w:szCs w:val="24"/>
        </w:rPr>
      </w:pPr>
      <w:r w:rsidRPr="00667688">
        <w:rPr>
          <w:rFonts w:ascii="Times New Roman" w:hAnsi="Times New Roman"/>
          <w:bCs/>
          <w:sz w:val="24"/>
          <w:szCs w:val="24"/>
          <w:u w:val="single"/>
        </w:rPr>
        <w:t xml:space="preserve">Comments in Response to the Federal Register Notice and Efforts to </w:t>
      </w:r>
      <w:r w:rsidRPr="00667688" w:rsidR="00A12BAD">
        <w:rPr>
          <w:rFonts w:ascii="Times New Roman" w:hAnsi="Times New Roman"/>
          <w:bCs/>
          <w:sz w:val="24"/>
          <w:szCs w:val="24"/>
          <w:u w:val="single"/>
        </w:rPr>
        <w:t>Consult</w:t>
      </w:r>
      <w:r w:rsidRPr="00667688">
        <w:rPr>
          <w:rFonts w:ascii="Times New Roman" w:hAnsi="Times New Roman"/>
          <w:bCs/>
          <w:sz w:val="24"/>
          <w:szCs w:val="24"/>
          <w:u w:val="single"/>
        </w:rPr>
        <w:t xml:space="preserve"> </w:t>
      </w:r>
      <w:r w:rsidRPr="00667688" w:rsidR="00A12BAD">
        <w:rPr>
          <w:rFonts w:ascii="Times New Roman" w:hAnsi="Times New Roman"/>
          <w:bCs/>
          <w:sz w:val="24"/>
          <w:szCs w:val="24"/>
          <w:u w:val="single"/>
        </w:rPr>
        <w:t xml:space="preserve">Outside </w:t>
      </w:r>
      <w:r w:rsidRPr="00667688">
        <w:rPr>
          <w:rFonts w:ascii="Times New Roman" w:hAnsi="Times New Roman"/>
          <w:bCs/>
          <w:sz w:val="24"/>
          <w:szCs w:val="24"/>
          <w:u w:val="single"/>
        </w:rPr>
        <w:t>the Agency</w:t>
      </w:r>
    </w:p>
    <w:p w:rsidR="001D71C5" w:rsidRPr="00667688" w:rsidP="00667688" w14:paraId="0C1B26E9" w14:textId="77777777">
      <w:pPr>
        <w:pStyle w:val="ListParagraph"/>
        <w:spacing w:before="100" w:beforeAutospacing="1" w:after="100" w:afterAutospacing="1" w:line="240" w:lineRule="auto"/>
        <w:ind w:left="0"/>
        <w:rPr>
          <w:rFonts w:ascii="Times New Roman" w:hAnsi="Times New Roman"/>
          <w:b/>
          <w:sz w:val="24"/>
          <w:szCs w:val="24"/>
          <w:u w:val="single"/>
        </w:rPr>
      </w:pPr>
    </w:p>
    <w:p w:rsidR="00336C57" w:rsidP="00667688" w14:paraId="1BFBAE7D" w14:textId="1E45F446">
      <w:pPr>
        <w:pStyle w:val="ListParagraph"/>
        <w:spacing w:before="100" w:beforeAutospacing="1" w:after="100" w:afterAutospacing="1" w:line="240" w:lineRule="auto"/>
        <w:ind w:left="0"/>
        <w:rPr>
          <w:rFonts w:ascii="Times New Roman" w:hAnsi="Times New Roman"/>
          <w:sz w:val="24"/>
          <w:szCs w:val="24"/>
        </w:rPr>
      </w:pPr>
      <w:r w:rsidRPr="00667688">
        <w:rPr>
          <w:rFonts w:ascii="Times New Roman" w:hAnsi="Times New Roman"/>
          <w:sz w:val="24"/>
          <w:szCs w:val="24"/>
        </w:rPr>
        <w:t>In accordance with 5 CFR 1320.8(d), FDA published a 60</w:t>
      </w:r>
      <w:r w:rsidRPr="00667688" w:rsidR="00506995">
        <w:rPr>
          <w:rFonts w:ascii="Times New Roman" w:hAnsi="Times New Roman"/>
          <w:sz w:val="24"/>
          <w:szCs w:val="24"/>
        </w:rPr>
        <w:t>-</w:t>
      </w:r>
      <w:r w:rsidRPr="00667688">
        <w:rPr>
          <w:rFonts w:ascii="Times New Roman" w:hAnsi="Times New Roman"/>
          <w:sz w:val="24"/>
          <w:szCs w:val="24"/>
        </w:rPr>
        <w:t xml:space="preserve">day notice for public comment </w:t>
      </w:r>
      <w:r w:rsidRPr="00667688" w:rsidR="00506995">
        <w:rPr>
          <w:rFonts w:ascii="Times New Roman" w:hAnsi="Times New Roman"/>
          <w:sz w:val="24"/>
          <w:szCs w:val="24"/>
        </w:rPr>
        <w:t xml:space="preserve">on the proposed collection of information </w:t>
      </w:r>
      <w:r w:rsidRPr="00667688">
        <w:rPr>
          <w:rFonts w:ascii="Times New Roman" w:hAnsi="Times New Roman"/>
          <w:sz w:val="24"/>
          <w:szCs w:val="24"/>
        </w:rPr>
        <w:t>in the FEDERAL REGISTER o</w:t>
      </w:r>
      <w:r w:rsidRPr="00667688" w:rsidR="00506995">
        <w:rPr>
          <w:rFonts w:ascii="Times New Roman" w:hAnsi="Times New Roman"/>
          <w:sz w:val="24"/>
          <w:szCs w:val="24"/>
        </w:rPr>
        <w:t>f</w:t>
      </w:r>
      <w:r w:rsidRPr="00667688">
        <w:rPr>
          <w:rFonts w:ascii="Times New Roman" w:hAnsi="Times New Roman"/>
          <w:sz w:val="24"/>
          <w:szCs w:val="24"/>
        </w:rPr>
        <w:t xml:space="preserve"> </w:t>
      </w:r>
      <w:r w:rsidRPr="00667688" w:rsidR="5043CD69">
        <w:rPr>
          <w:rFonts w:ascii="Times New Roman" w:hAnsi="Times New Roman"/>
          <w:sz w:val="24"/>
          <w:szCs w:val="24"/>
        </w:rPr>
        <w:t>January</w:t>
      </w:r>
      <w:r w:rsidRPr="00667688" w:rsidR="78F2C15C">
        <w:rPr>
          <w:rFonts w:ascii="Times New Roman" w:hAnsi="Times New Roman"/>
          <w:sz w:val="24"/>
          <w:szCs w:val="24"/>
        </w:rPr>
        <w:t xml:space="preserve"> </w:t>
      </w:r>
      <w:r w:rsidRPr="00667688" w:rsidR="00F927D2">
        <w:rPr>
          <w:rFonts w:ascii="Times New Roman" w:hAnsi="Times New Roman"/>
          <w:sz w:val="24"/>
          <w:szCs w:val="24"/>
        </w:rPr>
        <w:t>9, 202</w:t>
      </w:r>
      <w:r w:rsidRPr="00667688" w:rsidR="40480697">
        <w:rPr>
          <w:rFonts w:ascii="Times New Roman" w:hAnsi="Times New Roman"/>
          <w:sz w:val="24"/>
          <w:szCs w:val="24"/>
        </w:rPr>
        <w:t>4</w:t>
      </w:r>
      <w:r w:rsidRPr="00667688" w:rsidR="00F927D2">
        <w:rPr>
          <w:rFonts w:ascii="Times New Roman" w:hAnsi="Times New Roman"/>
          <w:sz w:val="24"/>
          <w:szCs w:val="24"/>
        </w:rPr>
        <w:t xml:space="preserve"> (8</w:t>
      </w:r>
      <w:r w:rsidRPr="00667688" w:rsidR="23031CCE">
        <w:rPr>
          <w:rFonts w:ascii="Times New Roman" w:hAnsi="Times New Roman"/>
          <w:sz w:val="24"/>
          <w:szCs w:val="24"/>
        </w:rPr>
        <w:t>9</w:t>
      </w:r>
      <w:r w:rsidRPr="00667688" w:rsidR="00F927D2">
        <w:rPr>
          <w:rFonts w:ascii="Times New Roman" w:hAnsi="Times New Roman"/>
          <w:sz w:val="24"/>
          <w:szCs w:val="24"/>
        </w:rPr>
        <w:t xml:space="preserve"> FR </w:t>
      </w:r>
      <w:r w:rsidRPr="00667688" w:rsidR="67E673E9">
        <w:rPr>
          <w:rFonts w:ascii="Times New Roman" w:hAnsi="Times New Roman"/>
          <w:sz w:val="24"/>
          <w:szCs w:val="24"/>
        </w:rPr>
        <w:t>1097</w:t>
      </w:r>
      <w:r w:rsidRPr="00667688" w:rsidR="00F927D2">
        <w:rPr>
          <w:rFonts w:ascii="Times New Roman" w:hAnsi="Times New Roman"/>
          <w:sz w:val="24"/>
          <w:szCs w:val="24"/>
        </w:rPr>
        <w:t xml:space="preserve">). </w:t>
      </w:r>
      <w:r w:rsidRPr="006C0BC2" w:rsidR="00F927D2">
        <w:rPr>
          <w:rFonts w:ascii="Times New Roman" w:hAnsi="Times New Roman"/>
          <w:sz w:val="24"/>
          <w:szCs w:val="24"/>
        </w:rPr>
        <w:t>FDA received</w:t>
      </w:r>
      <w:r w:rsidRPr="00667688" w:rsidR="00F927D2">
        <w:rPr>
          <w:rFonts w:ascii="Times New Roman" w:hAnsi="Times New Roman"/>
          <w:sz w:val="24"/>
          <w:szCs w:val="24"/>
        </w:rPr>
        <w:t xml:space="preserve"> </w:t>
      </w:r>
      <w:r w:rsidR="003D05B1">
        <w:rPr>
          <w:rFonts w:ascii="Times New Roman" w:hAnsi="Times New Roman"/>
          <w:sz w:val="24"/>
          <w:szCs w:val="24"/>
        </w:rPr>
        <w:t>two (2) PRA related comments.</w:t>
      </w:r>
    </w:p>
    <w:p w:rsidR="003D05B1" w:rsidP="00667688" w14:paraId="7CB8F4F9" w14:textId="02CADAED">
      <w:pPr>
        <w:pStyle w:val="ListParagraph"/>
        <w:spacing w:before="100" w:beforeAutospacing="1" w:after="100" w:afterAutospacing="1" w:line="240" w:lineRule="auto"/>
        <w:ind w:left="0"/>
        <w:rPr>
          <w:rFonts w:ascii="Times New Roman" w:hAnsi="Times New Roman"/>
          <w:sz w:val="24"/>
          <w:szCs w:val="24"/>
        </w:rPr>
      </w:pPr>
    </w:p>
    <w:p w:rsidR="003D05B1" w:rsidP="00667688" w14:paraId="7A45ACFE" w14:textId="67A71B93">
      <w:pPr>
        <w:pStyle w:val="ListParagraph"/>
        <w:spacing w:before="100" w:beforeAutospacing="1" w:after="100" w:afterAutospacing="1" w:line="240" w:lineRule="auto"/>
        <w:ind w:left="0"/>
        <w:rPr>
          <w:rFonts w:ascii="Times New Roman" w:hAnsi="Times New Roman"/>
          <w:sz w:val="24"/>
          <w:szCs w:val="24"/>
        </w:rPr>
      </w:pPr>
      <w:r>
        <w:rPr>
          <w:rFonts w:ascii="Times New Roman" w:hAnsi="Times New Roman"/>
          <w:sz w:val="24"/>
          <w:szCs w:val="24"/>
        </w:rPr>
        <w:t xml:space="preserve">(Comment) The comment expressed that the </w:t>
      </w:r>
      <w:r w:rsidRPr="003D05B1">
        <w:rPr>
          <w:rFonts w:ascii="Times New Roman" w:hAnsi="Times New Roman"/>
          <w:sz w:val="24"/>
          <w:szCs w:val="24"/>
        </w:rPr>
        <w:t xml:space="preserve">Paperwork Reduction Act </w:t>
      </w:r>
      <w:r w:rsidR="009E495C">
        <w:rPr>
          <w:rFonts w:ascii="Times New Roman" w:hAnsi="Times New Roman"/>
          <w:sz w:val="24"/>
          <w:szCs w:val="24"/>
        </w:rPr>
        <w:t xml:space="preserve">(PRA) </w:t>
      </w:r>
      <w:r w:rsidRPr="003D05B1">
        <w:rPr>
          <w:rFonts w:ascii="Times New Roman" w:hAnsi="Times New Roman"/>
          <w:sz w:val="24"/>
          <w:szCs w:val="24"/>
        </w:rPr>
        <w:t>was written to reduce burden on the public, but the overuse of surveys is encouraged generically, making it even easier to collect information with no need based.</w:t>
      </w:r>
      <w:r>
        <w:rPr>
          <w:rFonts w:ascii="Times New Roman" w:hAnsi="Times New Roman"/>
          <w:sz w:val="24"/>
          <w:szCs w:val="24"/>
        </w:rPr>
        <w:t xml:space="preserve"> </w:t>
      </w:r>
      <w:r w:rsidRPr="00F927D2">
        <w:rPr>
          <w:rFonts w:ascii="Times New Roman" w:hAnsi="Times New Roman"/>
          <w:sz w:val="24"/>
          <w:szCs w:val="24"/>
        </w:rPr>
        <w:t>The comment stated further that</w:t>
      </w:r>
      <w:r>
        <w:rPr>
          <w:rFonts w:ascii="Times New Roman" w:hAnsi="Times New Roman"/>
          <w:sz w:val="24"/>
          <w:szCs w:val="24"/>
        </w:rPr>
        <w:t xml:space="preserve"> “</w:t>
      </w:r>
      <w:r w:rsidRPr="003D05B1">
        <w:rPr>
          <w:rFonts w:ascii="Times New Roman" w:hAnsi="Times New Roman"/>
          <w:sz w:val="24"/>
          <w:szCs w:val="24"/>
        </w:rPr>
        <w:t>This seems to be counterintuitive to the purpose of the PRA and exactly what the Act was supposed to be protecting us from, another survey we do not have time or resources to complete buy you would like to give us with no specific goal. Overuse.</w:t>
      </w:r>
      <w:r>
        <w:rPr>
          <w:rFonts w:ascii="Times New Roman" w:hAnsi="Times New Roman"/>
          <w:sz w:val="24"/>
          <w:szCs w:val="24"/>
        </w:rPr>
        <w:t>”</w:t>
      </w:r>
    </w:p>
    <w:p w:rsidR="003D05B1" w:rsidP="00667688" w14:paraId="2938FF48" w14:textId="7DC96BCB">
      <w:pPr>
        <w:pStyle w:val="ListParagraph"/>
        <w:spacing w:before="100" w:beforeAutospacing="1" w:after="100" w:afterAutospacing="1" w:line="240" w:lineRule="auto"/>
        <w:ind w:left="0"/>
        <w:rPr>
          <w:rFonts w:ascii="Times New Roman" w:hAnsi="Times New Roman"/>
          <w:sz w:val="24"/>
          <w:szCs w:val="24"/>
        </w:rPr>
      </w:pPr>
    </w:p>
    <w:p w:rsidR="00205D2B" w:rsidP="004926A0" w14:paraId="6364FCC8" w14:textId="00D11CC2">
      <w:pPr>
        <w:pStyle w:val="ListParagraph"/>
        <w:spacing w:before="100" w:beforeAutospacing="1" w:after="100" w:afterAutospacing="1" w:line="240" w:lineRule="auto"/>
        <w:ind w:left="0"/>
        <w:rPr>
          <w:rFonts w:ascii="Times New Roman" w:hAnsi="Times New Roman"/>
          <w:sz w:val="24"/>
          <w:szCs w:val="24"/>
        </w:rPr>
      </w:pPr>
      <w:r>
        <w:rPr>
          <w:rFonts w:ascii="Times New Roman" w:hAnsi="Times New Roman"/>
          <w:sz w:val="24"/>
          <w:szCs w:val="24"/>
        </w:rPr>
        <w:t xml:space="preserve">(Response) </w:t>
      </w:r>
      <w:r w:rsidRPr="00F927D2">
        <w:rPr>
          <w:rFonts w:ascii="Times New Roman" w:hAnsi="Times New Roman"/>
          <w:sz w:val="24"/>
          <w:szCs w:val="24"/>
        </w:rPr>
        <w:t xml:space="preserve">FDA disagrees with the comment suggesting that </w:t>
      </w:r>
      <w:r w:rsidRPr="00205D2B">
        <w:rPr>
          <w:rFonts w:ascii="Times New Roman" w:hAnsi="Times New Roman"/>
          <w:sz w:val="24"/>
          <w:szCs w:val="24"/>
        </w:rPr>
        <w:t xml:space="preserve">the generic information collection process enables the overuse of surveys and undermines the </w:t>
      </w:r>
      <w:r w:rsidR="009E495C">
        <w:rPr>
          <w:rFonts w:ascii="Times New Roman" w:hAnsi="Times New Roman"/>
          <w:sz w:val="24"/>
          <w:szCs w:val="24"/>
        </w:rPr>
        <w:t>PRA</w:t>
      </w:r>
      <w:r w:rsidRPr="00205D2B">
        <w:rPr>
          <w:rFonts w:ascii="Times New Roman" w:hAnsi="Times New Roman"/>
          <w:sz w:val="24"/>
          <w:szCs w:val="24"/>
        </w:rPr>
        <w:t>.</w:t>
      </w:r>
      <w:r>
        <w:rPr>
          <w:rFonts w:ascii="Times New Roman" w:hAnsi="Times New Roman"/>
          <w:sz w:val="24"/>
          <w:szCs w:val="24"/>
        </w:rPr>
        <w:t xml:space="preserve"> </w:t>
      </w:r>
      <w:r w:rsidRPr="00205D2B">
        <w:rPr>
          <w:rFonts w:ascii="Times New Roman" w:hAnsi="Times New Roman"/>
          <w:sz w:val="24"/>
          <w:szCs w:val="24"/>
        </w:rPr>
        <w:t>In response to this co</w:t>
      </w:r>
      <w:r>
        <w:rPr>
          <w:rFonts w:ascii="Times New Roman" w:hAnsi="Times New Roman"/>
          <w:sz w:val="24"/>
          <w:szCs w:val="24"/>
        </w:rPr>
        <w:t>mment</w:t>
      </w:r>
      <w:r w:rsidRPr="00205D2B">
        <w:rPr>
          <w:rFonts w:ascii="Times New Roman" w:hAnsi="Times New Roman"/>
          <w:sz w:val="24"/>
          <w:szCs w:val="24"/>
        </w:rPr>
        <w:t>, FDA has updated Supporting Statement Part A to clarify the necessity of the information collected under this generic clearance for the proper performance of FDA CTP’s function and the practical utility of collecting such information. The information collected will support FDA CTP’s function by advancing CTP’s Strategic Plan and its specific goals: "Goal 1: Develop, Advance, and Communicate Comprehensive and Impactful Tobacco Regulations and Guidance" and "Goal 4: Enhance Knowledge and Understanding of the Risks Associated with Tobacco Product Use." The practical utility of the collected data is evidenced by its role in facilitating the development of clear and accessible CTP public statements and communications, such as web content, press releases, fact sheets, and retailer resources. Furthermore, the utility is demonstrated by CTP achieving the following objectives with specific audiences:</w:t>
      </w:r>
    </w:p>
    <w:p w:rsidR="00A22396" w:rsidRPr="00205D2B" w:rsidP="004926A0" w14:paraId="494158C4" w14:textId="77777777">
      <w:pPr>
        <w:pStyle w:val="ListParagraph"/>
        <w:spacing w:before="100" w:beforeAutospacing="1" w:after="100" w:afterAutospacing="1" w:line="240" w:lineRule="auto"/>
        <w:ind w:left="0"/>
        <w:rPr>
          <w:rFonts w:ascii="Times New Roman" w:hAnsi="Times New Roman"/>
          <w:sz w:val="24"/>
          <w:szCs w:val="24"/>
        </w:rPr>
      </w:pPr>
    </w:p>
    <w:p w:rsidR="00205D2B" w:rsidRPr="00205D2B" w:rsidP="00A22396" w14:paraId="34426624" w14:textId="7B9E2DE7">
      <w:pPr>
        <w:pStyle w:val="ListParagraph"/>
        <w:numPr>
          <w:ilvl w:val="0"/>
          <w:numId w:val="27"/>
        </w:numPr>
        <w:spacing w:before="100" w:beforeAutospacing="1" w:after="100" w:afterAutospacing="1" w:line="240" w:lineRule="auto"/>
        <w:rPr>
          <w:rFonts w:ascii="Times New Roman" w:hAnsi="Times New Roman"/>
          <w:sz w:val="24"/>
          <w:szCs w:val="24"/>
        </w:rPr>
      </w:pPr>
      <w:r w:rsidRPr="00205D2B">
        <w:rPr>
          <w:rFonts w:ascii="Times New Roman" w:hAnsi="Times New Roman"/>
          <w:sz w:val="24"/>
          <w:szCs w:val="24"/>
        </w:rPr>
        <w:t>Educating youth about the risks of tobacco product use.</w:t>
      </w:r>
    </w:p>
    <w:p w:rsidR="00205D2B" w:rsidRPr="00205D2B" w:rsidP="00A22396" w14:paraId="7255329D" w14:textId="47F220FA">
      <w:pPr>
        <w:pStyle w:val="ListParagraph"/>
        <w:numPr>
          <w:ilvl w:val="0"/>
          <w:numId w:val="27"/>
        </w:numPr>
        <w:spacing w:before="100" w:beforeAutospacing="1" w:after="100" w:afterAutospacing="1" w:line="240" w:lineRule="auto"/>
        <w:rPr>
          <w:rFonts w:ascii="Times New Roman" w:hAnsi="Times New Roman"/>
          <w:sz w:val="24"/>
          <w:szCs w:val="24"/>
        </w:rPr>
      </w:pPr>
      <w:r w:rsidRPr="00205D2B">
        <w:rPr>
          <w:rFonts w:ascii="Times New Roman" w:hAnsi="Times New Roman"/>
          <w:sz w:val="24"/>
          <w:szCs w:val="24"/>
        </w:rPr>
        <w:t>Educating people who use tobacco products about the benefits of cessation.</w:t>
      </w:r>
    </w:p>
    <w:p w:rsidR="00205D2B" w:rsidRPr="00205D2B" w:rsidP="00A22396" w14:paraId="4983B270" w14:textId="2EE7E9EB">
      <w:pPr>
        <w:pStyle w:val="ListParagraph"/>
        <w:numPr>
          <w:ilvl w:val="0"/>
          <w:numId w:val="27"/>
        </w:numPr>
        <w:spacing w:before="100" w:beforeAutospacing="1" w:after="100" w:afterAutospacing="1" w:line="240" w:lineRule="auto"/>
        <w:rPr>
          <w:rFonts w:ascii="Times New Roman" w:hAnsi="Times New Roman"/>
          <w:sz w:val="24"/>
          <w:szCs w:val="24"/>
        </w:rPr>
      </w:pPr>
      <w:r w:rsidRPr="00205D2B">
        <w:rPr>
          <w:rFonts w:ascii="Times New Roman" w:hAnsi="Times New Roman"/>
          <w:sz w:val="24"/>
          <w:szCs w:val="24"/>
        </w:rPr>
        <w:t>Educating adults who smoke about the relative risks of tobacco products.</w:t>
      </w:r>
    </w:p>
    <w:p w:rsidR="00205D2B" w:rsidRPr="00205D2B" w:rsidP="00205D2B" w14:paraId="5C6140D6" w14:textId="77777777">
      <w:pPr>
        <w:pStyle w:val="ListParagraph"/>
        <w:spacing w:before="100" w:beforeAutospacing="1" w:after="100" w:afterAutospacing="1" w:line="240" w:lineRule="auto"/>
        <w:rPr>
          <w:rFonts w:ascii="Times New Roman" w:hAnsi="Times New Roman"/>
          <w:sz w:val="24"/>
          <w:szCs w:val="24"/>
        </w:rPr>
      </w:pPr>
    </w:p>
    <w:p w:rsidR="003D05B1" w:rsidP="00205D2B" w14:paraId="333935E5" w14:textId="1A013CE4">
      <w:pPr>
        <w:pStyle w:val="ListParagraph"/>
        <w:spacing w:before="100" w:beforeAutospacing="1" w:after="100" w:afterAutospacing="1" w:line="240" w:lineRule="auto"/>
        <w:ind w:left="0"/>
        <w:rPr>
          <w:rFonts w:ascii="Times New Roman" w:hAnsi="Times New Roman"/>
          <w:sz w:val="24"/>
          <w:szCs w:val="24"/>
        </w:rPr>
      </w:pPr>
      <w:r w:rsidRPr="00205D2B">
        <w:rPr>
          <w:rFonts w:ascii="Times New Roman" w:hAnsi="Times New Roman"/>
          <w:sz w:val="24"/>
          <w:szCs w:val="24"/>
        </w:rPr>
        <w:t xml:space="preserve">This foundational research has helped FDA to understand audiences and inform message development and the testing of messages in communicating the risks of tobacco use, how to quit using tobacco products, and FDA’s role in regulating tobacco. Obtaining this information has allowed FDA to improve messages, </w:t>
      </w:r>
      <w:r w:rsidRPr="00205D2B">
        <w:rPr>
          <w:rFonts w:ascii="Times New Roman" w:hAnsi="Times New Roman"/>
          <w:sz w:val="24"/>
          <w:szCs w:val="24"/>
        </w:rPr>
        <w:t>materials</w:t>
      </w:r>
      <w:r w:rsidRPr="00205D2B">
        <w:rPr>
          <w:rFonts w:ascii="Times New Roman" w:hAnsi="Times New Roman"/>
          <w:sz w:val="24"/>
          <w:szCs w:val="24"/>
        </w:rPr>
        <w:t xml:space="preserve"> and implementation strategies while revisions are still affordable and possible.</w:t>
      </w:r>
    </w:p>
    <w:p w:rsidR="003D05B1" w:rsidP="00667688" w14:paraId="70F95AF0" w14:textId="3314EAA7">
      <w:pPr>
        <w:pStyle w:val="ListParagraph"/>
        <w:spacing w:before="100" w:beforeAutospacing="1" w:after="100" w:afterAutospacing="1" w:line="240" w:lineRule="auto"/>
        <w:ind w:left="0"/>
        <w:rPr>
          <w:rFonts w:ascii="Times New Roman" w:hAnsi="Times New Roman"/>
          <w:sz w:val="24"/>
          <w:szCs w:val="24"/>
        </w:rPr>
      </w:pPr>
    </w:p>
    <w:p w:rsidR="00205D2B" w:rsidP="004926A0" w14:paraId="447AD8EB" w14:textId="19022FB9">
      <w:pPr>
        <w:pStyle w:val="ListParagraph"/>
        <w:spacing w:before="100" w:beforeAutospacing="1" w:after="100" w:afterAutospacing="1" w:line="240" w:lineRule="auto"/>
        <w:ind w:left="0"/>
        <w:rPr>
          <w:rFonts w:ascii="Times New Roman" w:hAnsi="Times New Roman"/>
          <w:sz w:val="24"/>
          <w:szCs w:val="24"/>
        </w:rPr>
      </w:pPr>
      <w:r>
        <w:rPr>
          <w:rFonts w:ascii="Times New Roman" w:hAnsi="Times New Roman"/>
          <w:sz w:val="24"/>
          <w:szCs w:val="24"/>
        </w:rPr>
        <w:t xml:space="preserve">(Comment) </w:t>
      </w:r>
      <w:r w:rsidRPr="00205D2B">
        <w:rPr>
          <w:rFonts w:ascii="Times New Roman" w:hAnsi="Times New Roman"/>
          <w:sz w:val="24"/>
          <w:szCs w:val="24"/>
        </w:rPr>
        <w:t>The comment</w:t>
      </w:r>
      <w:r>
        <w:rPr>
          <w:rFonts w:ascii="Times New Roman" w:hAnsi="Times New Roman"/>
          <w:sz w:val="24"/>
          <w:szCs w:val="24"/>
        </w:rPr>
        <w:t xml:space="preserve"> expressed</w:t>
      </w:r>
      <w:r w:rsidRPr="00205D2B">
        <w:rPr>
          <w:rFonts w:ascii="Times New Roman" w:hAnsi="Times New Roman"/>
          <w:sz w:val="24"/>
          <w:szCs w:val="24"/>
        </w:rPr>
        <w:t xml:space="preserve"> </w:t>
      </w:r>
      <w:r>
        <w:rPr>
          <w:rFonts w:ascii="Times New Roman" w:hAnsi="Times New Roman"/>
          <w:sz w:val="24"/>
          <w:szCs w:val="24"/>
        </w:rPr>
        <w:t xml:space="preserve">the </w:t>
      </w:r>
      <w:r w:rsidRPr="00205D2B">
        <w:rPr>
          <w:rFonts w:ascii="Times New Roman" w:hAnsi="Times New Roman"/>
          <w:sz w:val="24"/>
          <w:szCs w:val="24"/>
        </w:rPr>
        <w:t>lack</w:t>
      </w:r>
      <w:r>
        <w:rPr>
          <w:rFonts w:ascii="Times New Roman" w:hAnsi="Times New Roman"/>
          <w:sz w:val="24"/>
          <w:szCs w:val="24"/>
        </w:rPr>
        <w:t xml:space="preserve"> of </w:t>
      </w:r>
      <w:r w:rsidRPr="00205D2B">
        <w:rPr>
          <w:rFonts w:ascii="Times New Roman" w:hAnsi="Times New Roman"/>
          <w:sz w:val="24"/>
          <w:szCs w:val="24"/>
        </w:rPr>
        <w:t xml:space="preserve">specificity regarding FDA’s public education goals. Specifically, the comment notes that </w:t>
      </w:r>
      <w:r w:rsidR="004926A0">
        <w:rPr>
          <w:rFonts w:ascii="Times New Roman" w:hAnsi="Times New Roman"/>
          <w:sz w:val="24"/>
          <w:szCs w:val="24"/>
        </w:rPr>
        <w:t>FDA</w:t>
      </w:r>
      <w:r w:rsidRPr="00205D2B">
        <w:rPr>
          <w:rFonts w:ascii="Times New Roman" w:hAnsi="Times New Roman"/>
          <w:sz w:val="24"/>
          <w:szCs w:val="24"/>
        </w:rPr>
        <w:t xml:space="preserve"> vaguely states it will collect qualitative data to "explore concepts of interest and assist in the development of quantitative research proposals" and "help identify and develop communication messages, which may be used in education campaigns." </w:t>
      </w:r>
      <w:r w:rsidR="004926A0">
        <w:rPr>
          <w:rFonts w:ascii="Times New Roman" w:hAnsi="Times New Roman"/>
          <w:sz w:val="24"/>
          <w:szCs w:val="24"/>
        </w:rPr>
        <w:t xml:space="preserve">The comment stated further that they </w:t>
      </w:r>
      <w:r w:rsidRPr="004926A0" w:rsidR="004926A0">
        <w:rPr>
          <w:rFonts w:ascii="Times New Roman" w:hAnsi="Times New Roman"/>
          <w:sz w:val="24"/>
          <w:szCs w:val="24"/>
        </w:rPr>
        <w:t xml:space="preserve">encourage </w:t>
      </w:r>
      <w:r w:rsidR="004926A0">
        <w:rPr>
          <w:rFonts w:ascii="Times New Roman" w:hAnsi="Times New Roman"/>
          <w:sz w:val="24"/>
          <w:szCs w:val="24"/>
        </w:rPr>
        <w:t>“</w:t>
      </w:r>
      <w:r w:rsidRPr="004926A0" w:rsidR="004926A0">
        <w:rPr>
          <w:rFonts w:ascii="Times New Roman" w:hAnsi="Times New Roman"/>
          <w:sz w:val="24"/>
          <w:szCs w:val="24"/>
        </w:rPr>
        <w:t xml:space="preserve">FDA to prioritize educating </w:t>
      </w:r>
      <w:r w:rsidRPr="004926A0" w:rsidR="004926A0">
        <w:rPr>
          <w:rFonts w:ascii="Times New Roman" w:hAnsi="Times New Roman"/>
          <w:sz w:val="24"/>
          <w:szCs w:val="24"/>
        </w:rPr>
        <w:t>adults, particularly adult smokers and physicians and medical staff who advise adult smokers about tobacco</w:t>
      </w:r>
      <w:r w:rsidR="004926A0">
        <w:rPr>
          <w:rFonts w:ascii="Times New Roman" w:hAnsi="Times New Roman"/>
          <w:sz w:val="24"/>
          <w:szCs w:val="24"/>
        </w:rPr>
        <w:t xml:space="preserve"> </w:t>
      </w:r>
      <w:r w:rsidRPr="004926A0" w:rsidR="004926A0">
        <w:rPr>
          <w:rFonts w:ascii="Times New Roman" w:hAnsi="Times New Roman"/>
          <w:sz w:val="24"/>
          <w:szCs w:val="24"/>
        </w:rPr>
        <w:t xml:space="preserve">harm reduction. </w:t>
      </w:r>
      <w:r w:rsidR="004926A0">
        <w:rPr>
          <w:rFonts w:ascii="Times New Roman" w:hAnsi="Times New Roman"/>
          <w:sz w:val="24"/>
          <w:szCs w:val="24"/>
        </w:rPr>
        <w:t>[…]</w:t>
      </w:r>
      <w:r w:rsidRPr="004926A0" w:rsidR="004926A0">
        <w:rPr>
          <w:rFonts w:ascii="Times New Roman" w:hAnsi="Times New Roman"/>
          <w:sz w:val="24"/>
          <w:szCs w:val="24"/>
        </w:rPr>
        <w:t>, FDA’s public education campaigns should aim to improve understanding among adult smokers where there currently exists significant uncertainty and confusion about materially important issues that are detrimental to public-health efforts</w:t>
      </w:r>
      <w:r w:rsidR="004926A0">
        <w:rPr>
          <w:rFonts w:ascii="Times New Roman" w:hAnsi="Times New Roman"/>
          <w:sz w:val="24"/>
          <w:szCs w:val="24"/>
        </w:rPr>
        <w:t xml:space="preserve">. </w:t>
      </w:r>
      <w:r w:rsidRPr="004926A0" w:rsidR="004926A0">
        <w:rPr>
          <w:rFonts w:ascii="Times New Roman" w:hAnsi="Times New Roman"/>
          <w:sz w:val="24"/>
          <w:szCs w:val="24"/>
        </w:rPr>
        <w:t>These important issues include “educating the adult public, particularly adult smokers, about the continuum of risk, and where alternatives to combustible cigarettes fall on that</w:t>
      </w:r>
      <w:r w:rsidR="004926A0">
        <w:rPr>
          <w:rFonts w:ascii="Times New Roman" w:hAnsi="Times New Roman"/>
          <w:sz w:val="24"/>
          <w:szCs w:val="24"/>
        </w:rPr>
        <w:t xml:space="preserve"> </w:t>
      </w:r>
      <w:r w:rsidRPr="004926A0" w:rsidR="004926A0">
        <w:rPr>
          <w:rFonts w:ascii="Times New Roman" w:hAnsi="Times New Roman"/>
          <w:sz w:val="24"/>
          <w:szCs w:val="24"/>
        </w:rPr>
        <w:t xml:space="preserve">continuum,” and </w:t>
      </w:r>
      <w:r w:rsidR="009E495C">
        <w:rPr>
          <w:rFonts w:ascii="Times New Roman" w:hAnsi="Times New Roman"/>
          <w:sz w:val="24"/>
          <w:szCs w:val="24"/>
        </w:rPr>
        <w:t>‘</w:t>
      </w:r>
      <w:r w:rsidRPr="004926A0" w:rsidR="004926A0">
        <w:rPr>
          <w:rFonts w:ascii="Times New Roman" w:hAnsi="Times New Roman"/>
          <w:sz w:val="24"/>
          <w:szCs w:val="24"/>
        </w:rPr>
        <w:t>correcting misunderstandings about the absence of any direct causal link between nicotine and tobacco-related diseases.</w:t>
      </w:r>
      <w:r w:rsidR="009E495C">
        <w:rPr>
          <w:rFonts w:ascii="Times New Roman" w:hAnsi="Times New Roman"/>
          <w:sz w:val="24"/>
          <w:szCs w:val="24"/>
        </w:rPr>
        <w:t>’”</w:t>
      </w:r>
    </w:p>
    <w:p w:rsidR="00E53407" w:rsidP="00E53407" w14:paraId="0824B976" w14:textId="545E0EB0">
      <w:pPr>
        <w:pStyle w:val="pb-2"/>
      </w:pPr>
      <w:r>
        <w:t xml:space="preserve">(Response) </w:t>
      </w:r>
      <w:r w:rsidRPr="00F927D2">
        <w:t>FDA disagrees with the comment suggesting</w:t>
      </w:r>
      <w:r>
        <w:t xml:space="preserve"> that </w:t>
      </w:r>
      <w:r w:rsidRPr="004926A0">
        <w:t>an overarching purpose or plan for communications, information goals, or target audiences</w:t>
      </w:r>
      <w:r>
        <w:t xml:space="preserve"> was not provided</w:t>
      </w:r>
      <w:r w:rsidRPr="004926A0">
        <w:t>.</w:t>
      </w:r>
      <w:r>
        <w:t xml:space="preserve"> </w:t>
      </w:r>
      <w:r w:rsidRPr="00205D2B">
        <w:t>In response to this co</w:t>
      </w:r>
      <w:r>
        <w:t>mment</w:t>
      </w:r>
      <w:r w:rsidRPr="00205D2B">
        <w:t xml:space="preserve">, </w:t>
      </w:r>
      <w:r>
        <w:t xml:space="preserve">FDA </w:t>
      </w:r>
      <w:r w:rsidRPr="004926A0">
        <w:t>has updated Supporting Statement Part A to clarify that the information collected under this generic clearance is necessary for the proper performance of FDA CTP's function and will be of practical utility in advancing CTP's Strategic Plan and its specific goals.</w:t>
      </w:r>
      <w:r w:rsidR="00184475">
        <w:t xml:space="preserve"> T</w:t>
      </w:r>
      <w:r w:rsidRPr="00184475" w:rsidR="00184475">
        <w:t xml:space="preserve">he information collected under this generic clearance will advance CTP’s objectives to educate people who use tobacco products about the benefits of cessation and to educate adults who smoke about the relative risks of tobacco products. </w:t>
      </w:r>
      <w:r>
        <w:t>The following generic information collections were recently approved under 0910-0796. FDA has summarized how they address specific objectives such as educating adults about tobacco products' relative risks:</w:t>
      </w:r>
    </w:p>
    <w:p w:rsidR="00E53407" w:rsidRPr="00E53407" w:rsidP="00A22396" w14:paraId="112EA51E" w14:textId="1E66EABB">
      <w:pPr>
        <w:pStyle w:val="ListParagraph"/>
        <w:numPr>
          <w:ilvl w:val="2"/>
          <w:numId w:val="24"/>
        </w:numPr>
        <w:spacing w:before="100" w:beforeAutospacing="1" w:after="100" w:afterAutospacing="1" w:line="240" w:lineRule="auto"/>
        <w:ind w:left="720"/>
        <w:rPr>
          <w:rFonts w:ascii="Times New Roman" w:hAnsi="Times New Roman"/>
          <w:sz w:val="24"/>
          <w:szCs w:val="24"/>
        </w:rPr>
      </w:pPr>
      <w:r w:rsidRPr="00E53407">
        <w:rPr>
          <w:rFonts w:ascii="Times New Roman" w:hAnsi="Times New Roman"/>
          <w:sz w:val="24"/>
          <w:szCs w:val="24"/>
        </w:rPr>
        <w:t>“Consumer Perceptions of Cessation and Harm”:</w:t>
      </w:r>
      <w:r>
        <w:rPr>
          <w:rFonts w:ascii="Times New Roman" w:hAnsi="Times New Roman"/>
          <w:sz w:val="24"/>
          <w:szCs w:val="24"/>
        </w:rPr>
        <w:t xml:space="preserve"> </w:t>
      </w:r>
      <w:r w:rsidRPr="00E53407">
        <w:rPr>
          <w:rFonts w:ascii="Times New Roman" w:hAnsi="Times New Roman"/>
          <w:sz w:val="24"/>
          <w:szCs w:val="24"/>
        </w:rPr>
        <w:t>Focus group study with established cigarette smokers ages 25 and up. The objective is to learn about consumer perceptions (and misconceptions) regarding nicotine and tobacco products.</w:t>
      </w:r>
    </w:p>
    <w:p w:rsidR="00E53407" w:rsidRPr="00E53407" w:rsidP="00A22396" w14:paraId="45812CD1" w14:textId="77777777">
      <w:pPr>
        <w:pStyle w:val="ListParagraph"/>
        <w:spacing w:before="100" w:beforeAutospacing="1" w:after="100" w:afterAutospacing="1" w:line="240" w:lineRule="auto"/>
        <w:ind w:left="360"/>
        <w:rPr>
          <w:rFonts w:ascii="Times New Roman" w:hAnsi="Times New Roman"/>
          <w:sz w:val="24"/>
          <w:szCs w:val="24"/>
        </w:rPr>
      </w:pPr>
    </w:p>
    <w:p w:rsidR="00E53407" w:rsidRPr="00E53407" w:rsidP="00A22396" w14:paraId="5D056606" w14:textId="4ACC7770">
      <w:pPr>
        <w:pStyle w:val="ListParagraph"/>
        <w:numPr>
          <w:ilvl w:val="2"/>
          <w:numId w:val="24"/>
        </w:numPr>
        <w:spacing w:before="100" w:beforeAutospacing="1" w:after="100" w:afterAutospacing="1" w:line="240" w:lineRule="auto"/>
        <w:ind w:left="720"/>
        <w:rPr>
          <w:rFonts w:ascii="Times New Roman" w:hAnsi="Times New Roman"/>
          <w:sz w:val="24"/>
          <w:szCs w:val="24"/>
        </w:rPr>
      </w:pPr>
      <w:r w:rsidRPr="00E53407">
        <w:rPr>
          <w:rFonts w:ascii="Times New Roman" w:hAnsi="Times New Roman"/>
          <w:sz w:val="24"/>
          <w:szCs w:val="24"/>
        </w:rPr>
        <w:t>“Consumer Perceptions of Modified and Reduced Risk (MoRR)”</w:t>
      </w:r>
      <w:r>
        <w:rPr>
          <w:rFonts w:ascii="Times New Roman" w:hAnsi="Times New Roman"/>
          <w:sz w:val="24"/>
          <w:szCs w:val="24"/>
        </w:rPr>
        <w:t xml:space="preserve">: </w:t>
      </w:r>
      <w:r w:rsidRPr="00E53407">
        <w:rPr>
          <w:rFonts w:ascii="Times New Roman" w:hAnsi="Times New Roman"/>
          <w:sz w:val="24"/>
          <w:szCs w:val="24"/>
        </w:rPr>
        <w:t>Focus group study with current and established cigarette smokers ages 21 and older. The objective is to gain information to inform health communication materials dedicated to modified risk products and/or the continuum of risk. This may help reduce misperceptions and lack of awareness.</w:t>
      </w:r>
    </w:p>
    <w:p w:rsidR="00E53407" w:rsidRPr="00E53407" w:rsidP="00A22396" w14:paraId="3327D091" w14:textId="77777777">
      <w:pPr>
        <w:pStyle w:val="ListParagraph"/>
        <w:spacing w:before="100" w:beforeAutospacing="1" w:after="100" w:afterAutospacing="1" w:line="240" w:lineRule="auto"/>
        <w:ind w:left="360"/>
        <w:rPr>
          <w:rFonts w:ascii="Times New Roman" w:hAnsi="Times New Roman"/>
          <w:sz w:val="24"/>
          <w:szCs w:val="24"/>
        </w:rPr>
      </w:pPr>
    </w:p>
    <w:p w:rsidR="00E53407" w:rsidRPr="00E53407" w:rsidP="00A22396" w14:paraId="6929D097" w14:textId="210EF308">
      <w:pPr>
        <w:pStyle w:val="ListParagraph"/>
        <w:numPr>
          <w:ilvl w:val="2"/>
          <w:numId w:val="24"/>
        </w:numPr>
        <w:spacing w:before="100" w:beforeAutospacing="1" w:after="100" w:afterAutospacing="1" w:line="240" w:lineRule="auto"/>
        <w:ind w:left="720"/>
        <w:rPr>
          <w:rFonts w:ascii="Times New Roman" w:hAnsi="Times New Roman"/>
          <w:sz w:val="24"/>
          <w:szCs w:val="24"/>
        </w:rPr>
      </w:pPr>
      <w:r w:rsidRPr="00E53407">
        <w:rPr>
          <w:rFonts w:ascii="Times New Roman" w:hAnsi="Times New Roman"/>
          <w:sz w:val="24"/>
          <w:szCs w:val="24"/>
        </w:rPr>
        <w:t>“Menthol User Audience Research”</w:t>
      </w:r>
      <w:r>
        <w:rPr>
          <w:rFonts w:ascii="Times New Roman" w:hAnsi="Times New Roman"/>
          <w:sz w:val="24"/>
          <w:szCs w:val="24"/>
        </w:rPr>
        <w:t>: I</w:t>
      </w:r>
      <w:r w:rsidRPr="00E53407">
        <w:rPr>
          <w:rFonts w:ascii="Times New Roman" w:hAnsi="Times New Roman"/>
          <w:sz w:val="24"/>
          <w:szCs w:val="24"/>
        </w:rPr>
        <w:t>n-depth interviews conducted with adult menthol smokers ages 21 and older. The objective is to examine demographic, sociocultural, psychographic, and behavioral characteristics of adult menthol cigarette users; to identify segments that are most likely to adopt less harmful behaviors in response to targeted messaging; and to identify communication strategies to support menthol smokers in adopting less harmful behaviors.</w:t>
      </w:r>
    </w:p>
    <w:p w:rsidR="00E53407" w:rsidRPr="00E53407" w:rsidP="00A22396" w14:paraId="04341E54" w14:textId="77777777">
      <w:pPr>
        <w:pStyle w:val="ListParagraph"/>
        <w:spacing w:before="100" w:beforeAutospacing="1" w:after="100" w:afterAutospacing="1" w:line="240" w:lineRule="auto"/>
        <w:ind w:left="360"/>
        <w:rPr>
          <w:rFonts w:ascii="Times New Roman" w:hAnsi="Times New Roman"/>
          <w:sz w:val="24"/>
          <w:szCs w:val="24"/>
        </w:rPr>
      </w:pPr>
    </w:p>
    <w:p w:rsidR="00205D2B" w:rsidP="00A22396" w14:paraId="3737A54E" w14:textId="558E5099">
      <w:pPr>
        <w:pStyle w:val="ListParagraph"/>
        <w:numPr>
          <w:ilvl w:val="2"/>
          <w:numId w:val="24"/>
        </w:numPr>
        <w:spacing w:before="100" w:beforeAutospacing="1" w:after="100" w:afterAutospacing="1" w:line="240" w:lineRule="auto"/>
        <w:ind w:left="720"/>
        <w:rPr>
          <w:rFonts w:ascii="Times New Roman" w:hAnsi="Times New Roman"/>
          <w:sz w:val="24"/>
          <w:szCs w:val="24"/>
        </w:rPr>
      </w:pPr>
      <w:r w:rsidRPr="00E53407">
        <w:rPr>
          <w:rFonts w:ascii="Times New Roman" w:hAnsi="Times New Roman"/>
          <w:sz w:val="24"/>
          <w:szCs w:val="24"/>
        </w:rPr>
        <w:t>“Qualitative Study of Product Category Comparison Statements (MRTPs and HPHCs)”</w:t>
      </w:r>
      <w:r>
        <w:rPr>
          <w:rFonts w:ascii="Times New Roman" w:hAnsi="Times New Roman"/>
          <w:sz w:val="24"/>
          <w:szCs w:val="24"/>
        </w:rPr>
        <w:t>:</w:t>
      </w:r>
      <w:r w:rsidR="00B10FAC">
        <w:rPr>
          <w:rFonts w:ascii="Times New Roman" w:hAnsi="Times New Roman"/>
          <w:sz w:val="24"/>
          <w:szCs w:val="24"/>
        </w:rPr>
        <w:t xml:space="preserve"> </w:t>
      </w:r>
      <w:r w:rsidRPr="00E53407">
        <w:rPr>
          <w:rFonts w:ascii="Times New Roman" w:hAnsi="Times New Roman"/>
          <w:sz w:val="24"/>
          <w:szCs w:val="24"/>
        </w:rPr>
        <w:t xml:space="preserve">Focus group study with adult current and former cigarette smokers ages 18 and older. The objective is to understand participants’ knowledge, attitudes, beliefs, and perceptions about different tobacco products. This includes a stimulus-driven discussion of harmful and potentially harmful constituents </w:t>
      </w:r>
      <w:r>
        <w:rPr>
          <w:rFonts w:ascii="Times New Roman" w:hAnsi="Times New Roman"/>
          <w:sz w:val="24"/>
          <w:szCs w:val="24"/>
        </w:rPr>
        <w:t>(</w:t>
      </w:r>
      <w:r w:rsidRPr="00E53407">
        <w:rPr>
          <w:rFonts w:ascii="Times New Roman" w:hAnsi="Times New Roman"/>
          <w:sz w:val="24"/>
          <w:szCs w:val="24"/>
        </w:rPr>
        <w:t>HPHC</w:t>
      </w:r>
      <w:r>
        <w:rPr>
          <w:rFonts w:ascii="Times New Roman" w:hAnsi="Times New Roman"/>
          <w:sz w:val="24"/>
          <w:szCs w:val="24"/>
        </w:rPr>
        <w:t>)</w:t>
      </w:r>
      <w:r w:rsidRPr="00E53407">
        <w:rPr>
          <w:rFonts w:ascii="Times New Roman" w:hAnsi="Times New Roman"/>
          <w:sz w:val="24"/>
          <w:szCs w:val="24"/>
        </w:rPr>
        <w:t xml:space="preserve"> information and </w:t>
      </w:r>
      <w:r>
        <w:rPr>
          <w:rFonts w:ascii="Times New Roman" w:hAnsi="Times New Roman"/>
          <w:sz w:val="24"/>
          <w:szCs w:val="24"/>
        </w:rPr>
        <w:t>m</w:t>
      </w:r>
      <w:r w:rsidRPr="00E53407">
        <w:rPr>
          <w:rFonts w:ascii="Times New Roman" w:hAnsi="Times New Roman"/>
          <w:sz w:val="24"/>
          <w:szCs w:val="24"/>
        </w:rPr>
        <w:t xml:space="preserve">odified </w:t>
      </w:r>
      <w:r>
        <w:rPr>
          <w:rFonts w:ascii="Times New Roman" w:hAnsi="Times New Roman"/>
          <w:sz w:val="24"/>
          <w:szCs w:val="24"/>
        </w:rPr>
        <w:t>r</w:t>
      </w:r>
      <w:r w:rsidRPr="00E53407">
        <w:rPr>
          <w:rFonts w:ascii="Times New Roman" w:hAnsi="Times New Roman"/>
          <w:sz w:val="24"/>
          <w:szCs w:val="24"/>
        </w:rPr>
        <w:t xml:space="preserve">isk </w:t>
      </w:r>
      <w:r>
        <w:rPr>
          <w:rFonts w:ascii="Times New Roman" w:hAnsi="Times New Roman"/>
          <w:sz w:val="24"/>
          <w:szCs w:val="24"/>
        </w:rPr>
        <w:t>t</w:t>
      </w:r>
      <w:r w:rsidRPr="00E53407">
        <w:rPr>
          <w:rFonts w:ascii="Times New Roman" w:hAnsi="Times New Roman"/>
          <w:sz w:val="24"/>
          <w:szCs w:val="24"/>
        </w:rPr>
        <w:t xml:space="preserve">obacco </w:t>
      </w:r>
      <w:r>
        <w:rPr>
          <w:rFonts w:ascii="Times New Roman" w:hAnsi="Times New Roman"/>
          <w:sz w:val="24"/>
          <w:szCs w:val="24"/>
        </w:rPr>
        <w:t>p</w:t>
      </w:r>
      <w:r w:rsidRPr="00E53407">
        <w:rPr>
          <w:rFonts w:ascii="Times New Roman" w:hAnsi="Times New Roman"/>
          <w:sz w:val="24"/>
          <w:szCs w:val="24"/>
        </w:rPr>
        <w:t xml:space="preserve">roduct </w:t>
      </w:r>
      <w:r>
        <w:rPr>
          <w:rFonts w:ascii="Times New Roman" w:hAnsi="Times New Roman"/>
          <w:sz w:val="24"/>
          <w:szCs w:val="24"/>
        </w:rPr>
        <w:t xml:space="preserve">(MRTP) </w:t>
      </w:r>
      <w:r w:rsidRPr="00E53407">
        <w:rPr>
          <w:rFonts w:ascii="Times New Roman" w:hAnsi="Times New Roman"/>
          <w:sz w:val="24"/>
          <w:szCs w:val="24"/>
        </w:rPr>
        <w:t>claims.</w:t>
      </w:r>
    </w:p>
    <w:p w:rsidR="009458E5" w14:paraId="6DB762D9" w14:textId="09B93EAA">
      <w:pPr>
        <w:spacing w:after="0" w:line="240" w:lineRule="auto"/>
        <w:rPr>
          <w:rFonts w:ascii="Times New Roman" w:hAnsi="Times New Roman"/>
          <w:sz w:val="24"/>
          <w:szCs w:val="24"/>
        </w:rPr>
      </w:pPr>
    </w:p>
    <w:p w:rsidR="00406CFD" w:rsidRPr="00667688" w:rsidP="00667688" w14:paraId="78A0188C" w14:textId="77777777">
      <w:pPr>
        <w:pStyle w:val="ListParagraph"/>
        <w:spacing w:before="100" w:beforeAutospacing="1" w:after="100" w:afterAutospacing="1" w:line="240" w:lineRule="auto"/>
        <w:ind w:left="0"/>
        <w:rPr>
          <w:rFonts w:ascii="Times New Roman" w:hAnsi="Times New Roman"/>
          <w:sz w:val="24"/>
          <w:szCs w:val="24"/>
        </w:rPr>
      </w:pPr>
    </w:p>
    <w:p w:rsidR="00A12BAD" w:rsidRPr="00667688" w:rsidP="00667688" w14:paraId="5DA2F097" w14:textId="30FA7EF8">
      <w:pPr>
        <w:pStyle w:val="ListParagraph"/>
        <w:numPr>
          <w:ilvl w:val="0"/>
          <w:numId w:val="2"/>
        </w:numPr>
        <w:spacing w:before="100" w:beforeAutospacing="1" w:after="100" w:afterAutospacing="1" w:line="240" w:lineRule="auto"/>
        <w:ind w:left="0"/>
        <w:rPr>
          <w:rFonts w:ascii="Times New Roman" w:hAnsi="Times New Roman"/>
          <w:sz w:val="24"/>
          <w:szCs w:val="24"/>
          <w:u w:val="single"/>
        </w:rPr>
      </w:pPr>
      <w:r w:rsidRPr="00667688">
        <w:rPr>
          <w:rFonts w:ascii="Times New Roman" w:hAnsi="Times New Roman"/>
          <w:sz w:val="24"/>
          <w:szCs w:val="24"/>
          <w:u w:val="single"/>
        </w:rPr>
        <w:t xml:space="preserve">Explanation of Any </w:t>
      </w:r>
      <w:r w:rsidRPr="00667688">
        <w:rPr>
          <w:rFonts w:ascii="Times New Roman" w:hAnsi="Times New Roman"/>
          <w:sz w:val="24"/>
          <w:szCs w:val="24"/>
          <w:u w:val="single"/>
        </w:rPr>
        <w:t>Payment or Gift</w:t>
      </w:r>
      <w:r w:rsidRPr="00667688">
        <w:rPr>
          <w:rFonts w:ascii="Times New Roman" w:hAnsi="Times New Roman"/>
          <w:sz w:val="24"/>
          <w:szCs w:val="24"/>
          <w:u w:val="single"/>
        </w:rPr>
        <w:t xml:space="preserve"> to Respondent</w:t>
      </w:r>
      <w:r w:rsidRPr="00667688" w:rsidR="003E7B06">
        <w:rPr>
          <w:rFonts w:ascii="Times New Roman" w:hAnsi="Times New Roman"/>
          <w:sz w:val="24"/>
          <w:szCs w:val="24"/>
          <w:u w:val="single"/>
        </w:rPr>
        <w:t>s</w:t>
      </w:r>
    </w:p>
    <w:p w:rsidR="00E86324" w:rsidP="00DF4C76" w14:paraId="6BBC9A6F" w14:textId="58C141D5">
      <w:pPr>
        <w:spacing w:before="100" w:beforeAutospacing="1" w:after="100" w:afterAutospacing="1"/>
        <w:rPr>
          <w:rFonts w:ascii="Times New Roman" w:hAnsi="Times New Roman"/>
          <w:sz w:val="24"/>
          <w:szCs w:val="24"/>
        </w:rPr>
      </w:pPr>
      <w:r>
        <w:rPr>
          <w:rFonts w:ascii="Times New Roman" w:hAnsi="Times New Roman"/>
          <w:sz w:val="24"/>
          <w:szCs w:val="24"/>
        </w:rPr>
        <w:t>To align with</w:t>
      </w:r>
      <w:r w:rsidRPr="00E86324">
        <w:rPr>
          <w:rFonts w:ascii="Times New Roman" w:hAnsi="Times New Roman"/>
          <w:sz w:val="24"/>
          <w:szCs w:val="24"/>
        </w:rPr>
        <w:t xml:space="preserve"> standard practice in commercial market research</w:t>
      </w:r>
      <w:r w:rsidR="009A1E88">
        <w:rPr>
          <w:rFonts w:ascii="Times New Roman" w:hAnsi="Times New Roman"/>
          <w:sz w:val="24"/>
          <w:szCs w:val="24"/>
        </w:rPr>
        <w:t>,</w:t>
      </w:r>
      <w:r w:rsidRPr="00E86324">
        <w:rPr>
          <w:rFonts w:ascii="Times New Roman" w:hAnsi="Times New Roman"/>
          <w:sz w:val="24"/>
          <w:szCs w:val="24"/>
        </w:rPr>
        <w:t xml:space="preserve"> participants in interviews and focus groups may receive </w:t>
      </w:r>
      <w:r w:rsidRPr="00161560" w:rsidR="00550639">
        <w:rPr>
          <w:rFonts w:ascii="Times New Roman" w:hAnsi="Times New Roman"/>
          <w:sz w:val="24"/>
          <w:szCs w:val="24"/>
        </w:rPr>
        <w:t>some form of re</w:t>
      </w:r>
      <w:r w:rsidR="00550639">
        <w:rPr>
          <w:rFonts w:ascii="Times New Roman" w:hAnsi="Times New Roman"/>
          <w:sz w:val="24"/>
          <w:szCs w:val="24"/>
        </w:rPr>
        <w:t xml:space="preserve">numeration </w:t>
      </w:r>
      <w:r w:rsidR="00644E64">
        <w:rPr>
          <w:rFonts w:ascii="Times New Roman" w:hAnsi="Times New Roman"/>
          <w:sz w:val="24"/>
          <w:szCs w:val="24"/>
        </w:rPr>
        <w:t xml:space="preserve">as a token of appreciation </w:t>
      </w:r>
      <w:r w:rsidR="00550639">
        <w:rPr>
          <w:rFonts w:ascii="Times New Roman" w:hAnsi="Times New Roman"/>
          <w:sz w:val="24"/>
          <w:szCs w:val="24"/>
        </w:rPr>
        <w:t xml:space="preserve">for the </w:t>
      </w:r>
      <w:r w:rsidRPr="00161560" w:rsidR="00550639">
        <w:rPr>
          <w:rFonts w:ascii="Times New Roman" w:hAnsi="Times New Roman"/>
          <w:sz w:val="24"/>
          <w:szCs w:val="24"/>
        </w:rPr>
        <w:t>time they spend engaged in a</w:t>
      </w:r>
      <w:r w:rsidR="00550639">
        <w:rPr>
          <w:rFonts w:ascii="Times New Roman" w:hAnsi="Times New Roman"/>
          <w:sz w:val="24"/>
          <w:szCs w:val="24"/>
        </w:rPr>
        <w:t>n information collection</w:t>
      </w:r>
      <w:r w:rsidRPr="00161560" w:rsidR="00550639">
        <w:rPr>
          <w:rFonts w:ascii="Times New Roman" w:hAnsi="Times New Roman"/>
          <w:sz w:val="24"/>
          <w:szCs w:val="24"/>
        </w:rPr>
        <w:t xml:space="preserve"> activity</w:t>
      </w:r>
      <w:r w:rsidR="00550639">
        <w:rPr>
          <w:rFonts w:ascii="Times New Roman" w:hAnsi="Times New Roman"/>
          <w:sz w:val="24"/>
          <w:szCs w:val="24"/>
        </w:rPr>
        <w:t>.</w:t>
      </w:r>
      <w:r w:rsidRPr="00E86324">
        <w:rPr>
          <w:rFonts w:ascii="Times New Roman" w:hAnsi="Times New Roman"/>
          <w:sz w:val="24"/>
          <w:szCs w:val="24"/>
        </w:rPr>
        <w:t xml:space="preserve"> </w:t>
      </w:r>
      <w:r w:rsidRPr="00161560" w:rsidR="00701432">
        <w:rPr>
          <w:rFonts w:ascii="Times New Roman" w:hAnsi="Times New Roman"/>
          <w:sz w:val="24"/>
          <w:szCs w:val="24"/>
        </w:rPr>
        <w:t xml:space="preserve">Instances for offering a small </w:t>
      </w:r>
      <w:r w:rsidR="00644E64">
        <w:rPr>
          <w:rFonts w:ascii="Times New Roman" w:hAnsi="Times New Roman"/>
          <w:sz w:val="24"/>
          <w:szCs w:val="24"/>
        </w:rPr>
        <w:t>token of appreciation</w:t>
      </w:r>
      <w:r w:rsidRPr="00161560" w:rsidR="00701432">
        <w:rPr>
          <w:rFonts w:ascii="Times New Roman" w:hAnsi="Times New Roman"/>
          <w:sz w:val="24"/>
          <w:szCs w:val="24"/>
        </w:rPr>
        <w:t xml:space="preserve"> will be determined on a case-by-case basis (depending on the information collection design).</w:t>
      </w:r>
    </w:p>
    <w:p w:rsidR="00211F6C" w:rsidRPr="00241869" w:rsidP="00DF4C76" w14:paraId="3904C1D0" w14:textId="139DC162">
      <w:pPr>
        <w:spacing w:before="100" w:beforeAutospacing="1" w:after="100" w:afterAutospacing="1"/>
        <w:rPr>
          <w:rFonts w:ascii="Times New Roman" w:hAnsi="Times New Roman"/>
          <w:sz w:val="24"/>
          <w:szCs w:val="24"/>
        </w:rPr>
      </w:pPr>
      <w:r w:rsidRPr="002C53B6">
        <w:rPr>
          <w:rFonts w:ascii="Times New Roman" w:hAnsi="Times New Roman"/>
          <w:sz w:val="24"/>
          <w:szCs w:val="24"/>
        </w:rPr>
        <w:t xml:space="preserve">For adult participants recruited from the general population for </w:t>
      </w:r>
      <w:r w:rsidR="00550639">
        <w:rPr>
          <w:rFonts w:ascii="Times New Roman" w:hAnsi="Times New Roman"/>
          <w:sz w:val="24"/>
          <w:szCs w:val="24"/>
        </w:rPr>
        <w:t>qualitative</w:t>
      </w:r>
      <w:r w:rsidR="00550639">
        <w:rPr>
          <w:rFonts w:ascii="Times New Roman" w:hAnsi="Times New Roman"/>
          <w:sz w:val="24"/>
          <w:szCs w:val="24"/>
        </w:rPr>
        <w:t xml:space="preserve"> </w:t>
      </w:r>
      <w:r w:rsidR="00B8589D">
        <w:rPr>
          <w:rFonts w:ascii="Times New Roman" w:hAnsi="Times New Roman"/>
          <w:sz w:val="24"/>
          <w:szCs w:val="24"/>
        </w:rPr>
        <w:t>research</w:t>
      </w:r>
      <w:r w:rsidR="00933ADC">
        <w:rPr>
          <w:rFonts w:ascii="Times New Roman" w:hAnsi="Times New Roman"/>
          <w:sz w:val="24"/>
          <w:szCs w:val="24"/>
        </w:rPr>
        <w:t xml:space="preserve"> (e.g., focus groups or interviews)</w:t>
      </w:r>
      <w:r w:rsidRPr="00241869" w:rsidR="00993889">
        <w:rPr>
          <w:rFonts w:ascii="Times New Roman" w:hAnsi="Times New Roman"/>
          <w:sz w:val="24"/>
          <w:szCs w:val="24"/>
        </w:rPr>
        <w:t xml:space="preserve">, </w:t>
      </w:r>
      <w:r w:rsidRPr="00241869" w:rsidR="00C16869">
        <w:rPr>
          <w:rFonts w:ascii="Times New Roman" w:hAnsi="Times New Roman"/>
          <w:sz w:val="24"/>
          <w:szCs w:val="24"/>
        </w:rPr>
        <w:t>the following token of appreciation values will be offered</w:t>
      </w:r>
      <w:r w:rsidRPr="00241869" w:rsidR="00C74CB6">
        <w:rPr>
          <w:rFonts w:ascii="Times New Roman" w:hAnsi="Times New Roman"/>
          <w:sz w:val="24"/>
          <w:szCs w:val="24"/>
        </w:rPr>
        <w:t xml:space="preserve">: </w:t>
      </w:r>
      <w:r w:rsidRPr="00241869" w:rsidR="001179E1">
        <w:rPr>
          <w:rFonts w:ascii="Times New Roman" w:hAnsi="Times New Roman"/>
          <w:sz w:val="24"/>
          <w:szCs w:val="24"/>
        </w:rPr>
        <w:t xml:space="preserve">$50 (45-60 </w:t>
      </w:r>
      <w:r w:rsidRPr="00241869" w:rsidR="00395928">
        <w:rPr>
          <w:rFonts w:ascii="Times New Roman" w:hAnsi="Times New Roman"/>
          <w:sz w:val="24"/>
          <w:szCs w:val="24"/>
        </w:rPr>
        <w:t>minutes) and $75 (90 minutes)</w:t>
      </w:r>
      <w:r w:rsidRPr="00241869" w:rsidR="00A020DA">
        <w:rPr>
          <w:rFonts w:ascii="Times New Roman" w:hAnsi="Times New Roman"/>
          <w:sz w:val="24"/>
          <w:szCs w:val="24"/>
        </w:rPr>
        <w:t xml:space="preserve">. </w:t>
      </w:r>
    </w:p>
    <w:p w:rsidR="008B151D" w:rsidRPr="00241869" w:rsidP="000516D7" w14:paraId="0B0A20AE" w14:textId="2D0DC7E0">
      <w:pPr>
        <w:pStyle w:val="ListParagraph"/>
        <w:spacing w:before="100" w:beforeAutospacing="1" w:after="100" w:afterAutospacing="1"/>
        <w:ind w:left="0"/>
        <w:rPr>
          <w:rFonts w:ascii="Times New Roman" w:hAnsi="Times New Roman"/>
          <w:sz w:val="24"/>
          <w:szCs w:val="24"/>
        </w:rPr>
      </w:pPr>
      <w:r w:rsidRPr="007B2C2A">
        <w:rPr>
          <w:rFonts w:ascii="Times New Roman" w:hAnsi="Times New Roman"/>
          <w:sz w:val="24"/>
          <w:szCs w:val="24"/>
        </w:rPr>
        <w:t xml:space="preserve">For youth participants </w:t>
      </w:r>
      <w:r w:rsidR="00B8589D">
        <w:rPr>
          <w:rFonts w:ascii="Times New Roman" w:hAnsi="Times New Roman"/>
          <w:sz w:val="24"/>
          <w:szCs w:val="24"/>
        </w:rPr>
        <w:t xml:space="preserve">recruited </w:t>
      </w:r>
      <w:r w:rsidRPr="007B2C2A">
        <w:rPr>
          <w:rFonts w:ascii="Times New Roman" w:hAnsi="Times New Roman"/>
          <w:sz w:val="24"/>
          <w:szCs w:val="24"/>
        </w:rPr>
        <w:t>from the general population</w:t>
      </w:r>
      <w:r w:rsidR="00B8589D">
        <w:rPr>
          <w:rFonts w:ascii="Times New Roman" w:hAnsi="Times New Roman"/>
          <w:sz w:val="24"/>
          <w:szCs w:val="24"/>
        </w:rPr>
        <w:t xml:space="preserve"> for qualitative research</w:t>
      </w:r>
      <w:r w:rsidR="00933ADC">
        <w:rPr>
          <w:rFonts w:ascii="Times New Roman" w:hAnsi="Times New Roman"/>
          <w:sz w:val="24"/>
          <w:szCs w:val="24"/>
        </w:rPr>
        <w:t xml:space="preserve"> (e.g., focus groups or interviews)</w:t>
      </w:r>
      <w:r w:rsidRPr="00241869">
        <w:rPr>
          <w:rFonts w:ascii="Times New Roman" w:hAnsi="Times New Roman"/>
          <w:sz w:val="24"/>
          <w:szCs w:val="24"/>
        </w:rPr>
        <w:t xml:space="preserve"> the following token of appreciation values will be offered: $</w:t>
      </w:r>
      <w:r w:rsidRPr="00241869" w:rsidR="00581688">
        <w:rPr>
          <w:rFonts w:ascii="Times New Roman" w:hAnsi="Times New Roman"/>
          <w:sz w:val="24"/>
          <w:szCs w:val="24"/>
        </w:rPr>
        <w:t>30</w:t>
      </w:r>
      <w:r w:rsidRPr="00241869">
        <w:rPr>
          <w:rFonts w:ascii="Times New Roman" w:hAnsi="Times New Roman"/>
          <w:sz w:val="24"/>
          <w:szCs w:val="24"/>
        </w:rPr>
        <w:t xml:space="preserve"> (45-60 minutes) and $</w:t>
      </w:r>
      <w:r w:rsidRPr="00241869" w:rsidR="00055C3B">
        <w:rPr>
          <w:rFonts w:ascii="Times New Roman" w:hAnsi="Times New Roman"/>
          <w:sz w:val="24"/>
          <w:szCs w:val="24"/>
        </w:rPr>
        <w:t>50</w:t>
      </w:r>
      <w:r w:rsidRPr="00241869">
        <w:rPr>
          <w:rFonts w:ascii="Times New Roman" w:hAnsi="Times New Roman"/>
          <w:sz w:val="24"/>
          <w:szCs w:val="24"/>
        </w:rPr>
        <w:t xml:space="preserve"> (90 minutes).</w:t>
      </w:r>
      <w:r w:rsidRPr="00241869" w:rsidR="00470743">
        <w:rPr>
          <w:rFonts w:ascii="Times New Roman" w:hAnsi="Times New Roman"/>
          <w:sz w:val="24"/>
          <w:szCs w:val="24"/>
        </w:rPr>
        <w:t xml:space="preserve"> </w:t>
      </w:r>
      <w:r w:rsidR="007B22AB">
        <w:rPr>
          <w:rFonts w:ascii="Times New Roman" w:hAnsi="Times New Roman"/>
          <w:sz w:val="24"/>
          <w:szCs w:val="24"/>
        </w:rPr>
        <w:t>FDA</w:t>
      </w:r>
      <w:r w:rsidRPr="00241869" w:rsidR="000F2682">
        <w:rPr>
          <w:rFonts w:ascii="Times New Roman" w:hAnsi="Times New Roman"/>
          <w:sz w:val="24"/>
          <w:szCs w:val="24"/>
        </w:rPr>
        <w:t xml:space="preserve"> qualitative research for message testing </w:t>
      </w:r>
      <w:r w:rsidR="00EC3B5F">
        <w:rPr>
          <w:rFonts w:ascii="Times New Roman" w:hAnsi="Times New Roman"/>
          <w:sz w:val="24"/>
          <w:szCs w:val="24"/>
        </w:rPr>
        <w:t>may recruit</w:t>
      </w:r>
      <w:r w:rsidRPr="00241869" w:rsidR="000F2682">
        <w:rPr>
          <w:rFonts w:ascii="Times New Roman" w:hAnsi="Times New Roman"/>
          <w:sz w:val="24"/>
          <w:szCs w:val="24"/>
        </w:rPr>
        <w:t xml:space="preserve"> youth considered at risk for tobacco product use</w:t>
      </w:r>
      <w:r w:rsidR="00F27062">
        <w:rPr>
          <w:rFonts w:ascii="Times New Roman" w:hAnsi="Times New Roman"/>
          <w:sz w:val="24"/>
          <w:szCs w:val="24"/>
        </w:rPr>
        <w:t xml:space="preserve"> (e.g., youth who are susceptible to tobacco product use),</w:t>
      </w:r>
      <w:r w:rsidRPr="00241869" w:rsidR="000F2682">
        <w:rPr>
          <w:rFonts w:ascii="Times New Roman" w:hAnsi="Times New Roman"/>
          <w:sz w:val="24"/>
          <w:szCs w:val="24"/>
        </w:rPr>
        <w:t xml:space="preserve"> which poses challenges for recruitment due to lower representation of youth groups in research panels. </w:t>
      </w:r>
    </w:p>
    <w:p w:rsidR="008B151D" w:rsidRPr="00241869" w:rsidP="000516D7" w14:paraId="32FDBCD1" w14:textId="77777777">
      <w:pPr>
        <w:pStyle w:val="ListParagraph"/>
        <w:spacing w:before="100" w:beforeAutospacing="1" w:after="100" w:afterAutospacing="1"/>
        <w:ind w:left="0"/>
        <w:rPr>
          <w:rFonts w:ascii="Times New Roman" w:hAnsi="Times New Roman"/>
          <w:sz w:val="24"/>
          <w:szCs w:val="24"/>
        </w:rPr>
      </w:pPr>
    </w:p>
    <w:p w:rsidR="0065473C" w:rsidP="001D134D" w14:paraId="6C77EC09" w14:textId="207D89AA">
      <w:pPr>
        <w:pStyle w:val="ListParagraph"/>
        <w:spacing w:before="100" w:beforeAutospacing="1" w:after="100" w:afterAutospacing="1"/>
        <w:ind w:left="0"/>
        <w:rPr>
          <w:rFonts w:ascii="Times New Roman" w:hAnsi="Times New Roman"/>
          <w:sz w:val="24"/>
          <w:szCs w:val="24"/>
        </w:rPr>
      </w:pPr>
      <w:r w:rsidRPr="00241869">
        <w:rPr>
          <w:rFonts w:ascii="Times New Roman" w:hAnsi="Times New Roman"/>
          <w:sz w:val="24"/>
          <w:szCs w:val="24"/>
        </w:rPr>
        <w:t>For i</w:t>
      </w:r>
      <w:r w:rsidRPr="00241869" w:rsidR="005946D0">
        <w:rPr>
          <w:rFonts w:ascii="Times New Roman" w:hAnsi="Times New Roman"/>
          <w:sz w:val="24"/>
          <w:szCs w:val="24"/>
        </w:rPr>
        <w:t xml:space="preserve">nformation collections that recruit adults from geographically isolated </w:t>
      </w:r>
      <w:r w:rsidRPr="00241869" w:rsidR="00CB2160">
        <w:rPr>
          <w:rFonts w:ascii="Times New Roman" w:hAnsi="Times New Roman"/>
          <w:sz w:val="24"/>
          <w:szCs w:val="24"/>
        </w:rPr>
        <w:t xml:space="preserve">or rural hard-to-reach populations (e.g., American </w:t>
      </w:r>
      <w:r w:rsidRPr="00241869" w:rsidR="00CB2160">
        <w:rPr>
          <w:rFonts w:ascii="Times New Roman" w:hAnsi="Times New Roman"/>
          <w:sz w:val="24"/>
          <w:szCs w:val="24"/>
        </w:rPr>
        <w:t>Indian</w:t>
      </w:r>
      <w:r w:rsidRPr="00241869" w:rsidR="00CB2160">
        <w:rPr>
          <w:rFonts w:ascii="Times New Roman" w:hAnsi="Times New Roman"/>
          <w:sz w:val="24"/>
          <w:szCs w:val="24"/>
        </w:rPr>
        <w:t xml:space="preserve"> and Alaskan Native</w:t>
      </w:r>
      <w:r w:rsidRPr="00241869" w:rsidR="009E0D44">
        <w:rPr>
          <w:rFonts w:ascii="Times New Roman" w:hAnsi="Times New Roman"/>
          <w:sz w:val="24"/>
          <w:szCs w:val="24"/>
        </w:rPr>
        <w:t xml:space="preserve"> </w:t>
      </w:r>
      <w:r w:rsidRPr="00241869" w:rsidR="00FE2AFF">
        <w:rPr>
          <w:rFonts w:ascii="Times New Roman" w:hAnsi="Times New Roman"/>
          <w:sz w:val="24"/>
          <w:szCs w:val="24"/>
        </w:rPr>
        <w:t xml:space="preserve">or AI/AN </w:t>
      </w:r>
      <w:r w:rsidRPr="00241869" w:rsidR="009E0D44">
        <w:rPr>
          <w:rFonts w:ascii="Times New Roman" w:hAnsi="Times New Roman"/>
          <w:sz w:val="24"/>
          <w:szCs w:val="24"/>
        </w:rPr>
        <w:t>groups)</w:t>
      </w:r>
      <w:r w:rsidRPr="00241869" w:rsidR="00957D6C">
        <w:rPr>
          <w:rFonts w:ascii="Times New Roman" w:hAnsi="Times New Roman"/>
          <w:sz w:val="24"/>
          <w:szCs w:val="24"/>
        </w:rPr>
        <w:t>, the following tokens of appreciation values will be offered</w:t>
      </w:r>
      <w:r w:rsidRPr="00241869" w:rsidR="009E0D44">
        <w:rPr>
          <w:rFonts w:ascii="Times New Roman" w:hAnsi="Times New Roman"/>
          <w:sz w:val="24"/>
          <w:szCs w:val="24"/>
        </w:rPr>
        <w:t xml:space="preserve">: </w:t>
      </w:r>
      <w:r w:rsidRPr="00241869" w:rsidR="007441DB">
        <w:rPr>
          <w:rFonts w:ascii="Times New Roman" w:hAnsi="Times New Roman"/>
          <w:sz w:val="24"/>
          <w:szCs w:val="24"/>
        </w:rPr>
        <w:t>$1</w:t>
      </w:r>
      <w:r w:rsidRPr="00241869" w:rsidR="00466A65">
        <w:rPr>
          <w:rFonts w:ascii="Times New Roman" w:hAnsi="Times New Roman"/>
          <w:sz w:val="24"/>
          <w:szCs w:val="24"/>
        </w:rPr>
        <w:t>15</w:t>
      </w:r>
      <w:r w:rsidRPr="00241869" w:rsidR="007441DB">
        <w:rPr>
          <w:rFonts w:ascii="Times New Roman" w:hAnsi="Times New Roman"/>
          <w:sz w:val="24"/>
          <w:szCs w:val="24"/>
        </w:rPr>
        <w:t xml:space="preserve"> (45-60 minutes) and $</w:t>
      </w:r>
      <w:r w:rsidRPr="00241869" w:rsidR="00D35431">
        <w:rPr>
          <w:rFonts w:ascii="Times New Roman" w:hAnsi="Times New Roman"/>
          <w:sz w:val="24"/>
          <w:szCs w:val="24"/>
        </w:rPr>
        <w:t>1</w:t>
      </w:r>
      <w:r w:rsidRPr="00241869" w:rsidR="00466A65">
        <w:rPr>
          <w:rFonts w:ascii="Times New Roman" w:hAnsi="Times New Roman"/>
          <w:sz w:val="24"/>
          <w:szCs w:val="24"/>
        </w:rPr>
        <w:t>45</w:t>
      </w:r>
      <w:r w:rsidRPr="00241869" w:rsidR="00D35431">
        <w:rPr>
          <w:rFonts w:ascii="Times New Roman" w:hAnsi="Times New Roman"/>
          <w:sz w:val="24"/>
          <w:szCs w:val="24"/>
        </w:rPr>
        <w:t xml:space="preserve"> (</w:t>
      </w:r>
      <w:r w:rsidRPr="00241869" w:rsidR="007E2B8B">
        <w:rPr>
          <w:rFonts w:ascii="Times New Roman" w:hAnsi="Times New Roman"/>
          <w:sz w:val="24"/>
          <w:szCs w:val="24"/>
        </w:rPr>
        <w:t>90</w:t>
      </w:r>
      <w:r w:rsidRPr="00241869" w:rsidR="00943276">
        <w:rPr>
          <w:rFonts w:ascii="Times New Roman" w:hAnsi="Times New Roman"/>
          <w:sz w:val="24"/>
          <w:szCs w:val="24"/>
        </w:rPr>
        <w:t xml:space="preserve"> minutes). </w:t>
      </w:r>
      <w:r w:rsidRPr="00241869" w:rsidR="00AA6677">
        <w:rPr>
          <w:rFonts w:ascii="Times New Roman" w:hAnsi="Times New Roman"/>
          <w:sz w:val="24"/>
          <w:szCs w:val="24"/>
        </w:rPr>
        <w:t xml:space="preserve">For information collections that recruit youth from geographically isolated or rural hard-to-reach populations (e.g., American </w:t>
      </w:r>
      <w:r w:rsidRPr="00241869" w:rsidR="00AA6677">
        <w:rPr>
          <w:rFonts w:ascii="Times New Roman" w:hAnsi="Times New Roman"/>
          <w:sz w:val="24"/>
          <w:szCs w:val="24"/>
        </w:rPr>
        <w:t>Indian</w:t>
      </w:r>
      <w:r w:rsidRPr="00241869" w:rsidR="00AA6677">
        <w:rPr>
          <w:rFonts w:ascii="Times New Roman" w:hAnsi="Times New Roman"/>
          <w:sz w:val="24"/>
          <w:szCs w:val="24"/>
        </w:rPr>
        <w:t xml:space="preserve"> and Alaskan Native</w:t>
      </w:r>
      <w:r w:rsidRPr="00241869" w:rsidR="00FE2AFF">
        <w:rPr>
          <w:rFonts w:ascii="Times New Roman" w:hAnsi="Times New Roman"/>
          <w:sz w:val="24"/>
          <w:szCs w:val="24"/>
        </w:rPr>
        <w:t xml:space="preserve"> or AI/AN</w:t>
      </w:r>
      <w:r w:rsidRPr="00241869" w:rsidR="00AA6677">
        <w:rPr>
          <w:rFonts w:ascii="Times New Roman" w:hAnsi="Times New Roman"/>
          <w:sz w:val="24"/>
          <w:szCs w:val="24"/>
        </w:rPr>
        <w:t xml:space="preserve"> groups), the following tokens of appreciation values will be offered</w:t>
      </w:r>
      <w:r w:rsidRPr="00241869" w:rsidR="001D134D">
        <w:rPr>
          <w:rFonts w:ascii="Times New Roman" w:hAnsi="Times New Roman"/>
          <w:sz w:val="24"/>
          <w:szCs w:val="24"/>
        </w:rPr>
        <w:t>: $</w:t>
      </w:r>
      <w:r w:rsidRPr="00241869" w:rsidR="00103845">
        <w:rPr>
          <w:rFonts w:ascii="Times New Roman" w:hAnsi="Times New Roman"/>
          <w:sz w:val="24"/>
          <w:szCs w:val="24"/>
        </w:rPr>
        <w:t>50</w:t>
      </w:r>
      <w:r w:rsidRPr="00241869" w:rsidR="001D134D">
        <w:rPr>
          <w:rFonts w:ascii="Times New Roman" w:hAnsi="Times New Roman"/>
          <w:sz w:val="24"/>
          <w:szCs w:val="24"/>
        </w:rPr>
        <w:t xml:space="preserve"> (45-60 minutes) and $</w:t>
      </w:r>
      <w:r w:rsidRPr="00241869" w:rsidR="00103845">
        <w:rPr>
          <w:rFonts w:ascii="Times New Roman" w:hAnsi="Times New Roman"/>
          <w:sz w:val="24"/>
          <w:szCs w:val="24"/>
        </w:rPr>
        <w:t>75</w:t>
      </w:r>
      <w:r w:rsidRPr="00241869" w:rsidR="001D134D">
        <w:rPr>
          <w:rFonts w:ascii="Times New Roman" w:hAnsi="Times New Roman"/>
          <w:sz w:val="24"/>
          <w:szCs w:val="24"/>
        </w:rPr>
        <w:t xml:space="preserve"> (90 minutes).</w:t>
      </w:r>
      <w:r w:rsidRPr="00241869" w:rsidR="00DF4C76">
        <w:rPr>
          <w:rFonts w:ascii="Times New Roman" w:hAnsi="Times New Roman"/>
          <w:sz w:val="24"/>
          <w:szCs w:val="24"/>
        </w:rPr>
        <w:t xml:space="preserve"> While </w:t>
      </w:r>
      <w:r w:rsidR="001657D2">
        <w:rPr>
          <w:rFonts w:ascii="Times New Roman" w:hAnsi="Times New Roman"/>
          <w:sz w:val="24"/>
          <w:szCs w:val="24"/>
        </w:rPr>
        <w:t>FDA</w:t>
      </w:r>
      <w:r w:rsidRPr="00241869" w:rsidR="00DF4C76">
        <w:rPr>
          <w:rFonts w:ascii="Times New Roman" w:hAnsi="Times New Roman"/>
          <w:sz w:val="24"/>
          <w:szCs w:val="24"/>
        </w:rPr>
        <w:t xml:space="preserve"> has capabilities to conduct virtual research, studies involving </w:t>
      </w:r>
      <w:r w:rsidRPr="00241869" w:rsidR="00FE2AFF">
        <w:rPr>
          <w:rFonts w:ascii="Times New Roman" w:hAnsi="Times New Roman"/>
          <w:sz w:val="24"/>
          <w:szCs w:val="24"/>
        </w:rPr>
        <w:t>geographically isolated or rural hard-to-reach populations such as AI/AN groups</w:t>
      </w:r>
      <w:r w:rsidRPr="00241869" w:rsidR="00DF4C76">
        <w:rPr>
          <w:rFonts w:ascii="Times New Roman" w:hAnsi="Times New Roman"/>
          <w:sz w:val="24"/>
          <w:szCs w:val="24"/>
        </w:rPr>
        <w:t xml:space="preserve"> benefit from in-person data collection methods. A technological divide, particularly pronounced in rural areas and tribal lands, poses challenges for virtual research participation for some populations.</w:t>
      </w:r>
      <w:r>
        <w:rPr>
          <w:rStyle w:val="FootnoteReference"/>
          <w:rFonts w:ascii="Times New Roman" w:hAnsi="Times New Roman"/>
          <w:sz w:val="24"/>
          <w:szCs w:val="24"/>
        </w:rPr>
        <w:footnoteReference w:id="5"/>
      </w:r>
      <w:r w:rsidRPr="00241869" w:rsidR="00DF4C76">
        <w:rPr>
          <w:rFonts w:ascii="Times New Roman" w:hAnsi="Times New Roman"/>
          <w:sz w:val="24"/>
          <w:szCs w:val="24"/>
        </w:rPr>
        <w:t xml:space="preserve"> This digital disparity disproportionately affects </w:t>
      </w:r>
      <w:r w:rsidRPr="00241869" w:rsidR="00213568">
        <w:rPr>
          <w:rFonts w:ascii="Times New Roman" w:hAnsi="Times New Roman"/>
          <w:sz w:val="24"/>
          <w:szCs w:val="24"/>
        </w:rPr>
        <w:t xml:space="preserve">rural and </w:t>
      </w:r>
      <w:r w:rsidRPr="00241869" w:rsidR="00DF4C76">
        <w:rPr>
          <w:rFonts w:ascii="Times New Roman" w:hAnsi="Times New Roman"/>
          <w:sz w:val="24"/>
          <w:szCs w:val="24"/>
        </w:rPr>
        <w:t>tribal communities which are among the most underserved populations in terms of broadband internet access</w:t>
      </w:r>
      <w:r w:rsidR="003D0608">
        <w:rPr>
          <w:rFonts w:ascii="Times New Roman" w:hAnsi="Times New Roman"/>
          <w:sz w:val="24"/>
          <w:szCs w:val="24"/>
        </w:rPr>
        <w:t>.</w:t>
      </w:r>
      <w:r>
        <w:rPr>
          <w:rStyle w:val="FootnoteReference"/>
          <w:rFonts w:ascii="Times New Roman" w:hAnsi="Times New Roman"/>
          <w:sz w:val="24"/>
          <w:szCs w:val="24"/>
        </w:rPr>
        <w:footnoteReference w:id="6"/>
      </w:r>
      <w:r w:rsidRPr="00241869" w:rsidR="00DF4C76">
        <w:rPr>
          <w:rFonts w:ascii="Times New Roman" w:hAnsi="Times New Roman"/>
          <w:sz w:val="24"/>
          <w:szCs w:val="24"/>
        </w:rPr>
        <w:t xml:space="preserve"> In 2019, a substantial percentage of residents in rural areas (22%) and tribal lands (28%) lacked broadband internet coverage, compared to 1.5% of residents of US urban areas. Many residents of rural and/or tribal areas also lack reliable cell phone coverage.</w:t>
      </w:r>
      <w:r w:rsidRPr="00E11A51" w:rsidR="00E11A51">
        <w:rPr>
          <w:rFonts w:ascii="Times New Roman" w:hAnsi="Times New Roman"/>
          <w:sz w:val="24"/>
          <w:szCs w:val="24"/>
          <w:vertAlign w:val="superscript"/>
        </w:rPr>
        <w:t>3</w:t>
      </w:r>
      <w:r w:rsidRPr="00241869" w:rsidR="00DF4C76">
        <w:rPr>
          <w:rFonts w:ascii="Times New Roman" w:hAnsi="Times New Roman"/>
          <w:sz w:val="24"/>
          <w:szCs w:val="24"/>
        </w:rPr>
        <w:t xml:space="preserve"> Access to high-quality broadband internet and reliable high-quality cell phone coverage are essential to utilizing the video conferencing software needed to participate in virtual</w:t>
      </w:r>
      <w:r w:rsidR="000652B6">
        <w:rPr>
          <w:rFonts w:ascii="Times New Roman" w:hAnsi="Times New Roman"/>
          <w:sz w:val="24"/>
          <w:szCs w:val="24"/>
        </w:rPr>
        <w:t xml:space="preserve"> and </w:t>
      </w:r>
      <w:r w:rsidRPr="00241869" w:rsidR="00DF4C76">
        <w:rPr>
          <w:rFonts w:ascii="Times New Roman" w:hAnsi="Times New Roman"/>
          <w:sz w:val="24"/>
          <w:szCs w:val="24"/>
        </w:rPr>
        <w:t xml:space="preserve">online </w:t>
      </w:r>
      <w:r w:rsidRPr="00241869" w:rsidR="00DF4C76">
        <w:rPr>
          <w:rFonts w:ascii="Times New Roman" w:hAnsi="Times New Roman"/>
          <w:sz w:val="24"/>
          <w:szCs w:val="24"/>
        </w:rPr>
        <w:t>research. For those without access to broadband internet, participation may result in significant data usage on their internet plans, resulting in additional utility fees. Moreover, participation could impose financial or logistical barriers, especially if participants need to rent equipment or travel to access reliable internet connectivity.</w:t>
      </w:r>
      <w:r w:rsidRPr="00241869" w:rsidR="00501BD9">
        <w:rPr>
          <w:rFonts w:ascii="Times New Roman" w:hAnsi="Times New Roman"/>
          <w:sz w:val="24"/>
          <w:szCs w:val="24"/>
        </w:rPr>
        <w:t xml:space="preserve"> </w:t>
      </w:r>
    </w:p>
    <w:p w:rsidR="0065473C" w:rsidP="001D134D" w14:paraId="6D3513E6" w14:textId="77777777">
      <w:pPr>
        <w:pStyle w:val="ListParagraph"/>
        <w:spacing w:before="100" w:beforeAutospacing="1" w:after="100" w:afterAutospacing="1"/>
        <w:ind w:left="0"/>
        <w:rPr>
          <w:rFonts w:ascii="Times New Roman" w:hAnsi="Times New Roman"/>
          <w:sz w:val="24"/>
          <w:szCs w:val="24"/>
        </w:rPr>
      </w:pPr>
    </w:p>
    <w:p w:rsidR="001D134D" w:rsidRPr="00241869" w:rsidP="255BF788" w14:paraId="2DE76A49" w14:textId="65F8E1AF">
      <w:pPr>
        <w:pStyle w:val="ListParagraph"/>
        <w:spacing w:before="100" w:beforeAutospacing="1" w:after="100" w:afterAutospacing="1"/>
        <w:ind w:left="0"/>
        <w:rPr>
          <w:rFonts w:ascii="Times New Roman" w:hAnsi="Times New Roman"/>
          <w:sz w:val="24"/>
          <w:szCs w:val="24"/>
        </w:rPr>
      </w:pPr>
      <w:r w:rsidRPr="255BF788">
        <w:rPr>
          <w:rFonts w:ascii="Times New Roman" w:hAnsi="Times New Roman"/>
          <w:sz w:val="24"/>
          <w:szCs w:val="24"/>
        </w:rPr>
        <w:t xml:space="preserve">Community partners and </w:t>
      </w:r>
      <w:r w:rsidRPr="255BF788" w:rsidR="004B0225">
        <w:rPr>
          <w:rFonts w:ascii="Times New Roman" w:hAnsi="Times New Roman"/>
          <w:sz w:val="24"/>
          <w:szCs w:val="24"/>
        </w:rPr>
        <w:t xml:space="preserve">subject-matter-experts from geographically isolated and rural </w:t>
      </w:r>
      <w:r w:rsidRPr="255BF788" w:rsidR="00D435F7">
        <w:rPr>
          <w:rFonts w:ascii="Times New Roman" w:hAnsi="Times New Roman"/>
          <w:sz w:val="24"/>
          <w:szCs w:val="24"/>
        </w:rPr>
        <w:t>hard-to-reach populations have indicated t</w:t>
      </w:r>
      <w:r w:rsidRPr="255BF788" w:rsidR="001776F2">
        <w:rPr>
          <w:rFonts w:ascii="Times New Roman" w:hAnsi="Times New Roman"/>
          <w:sz w:val="24"/>
          <w:szCs w:val="24"/>
        </w:rPr>
        <w:t xml:space="preserve">hat sufficient levels of token of appreciation amounts are needed </w:t>
      </w:r>
      <w:r w:rsidRPr="255BF788" w:rsidR="00B232CF">
        <w:rPr>
          <w:rFonts w:ascii="Times New Roman" w:hAnsi="Times New Roman"/>
          <w:sz w:val="24"/>
          <w:szCs w:val="24"/>
        </w:rPr>
        <w:t xml:space="preserve">for successful </w:t>
      </w:r>
      <w:r w:rsidRPr="255BF788" w:rsidR="001776F2">
        <w:rPr>
          <w:rFonts w:ascii="Times New Roman" w:hAnsi="Times New Roman"/>
          <w:sz w:val="24"/>
          <w:szCs w:val="24"/>
        </w:rPr>
        <w:t>study recruitment</w:t>
      </w:r>
      <w:r w:rsidRPr="255BF788" w:rsidR="00B232CF">
        <w:rPr>
          <w:rFonts w:ascii="Times New Roman" w:hAnsi="Times New Roman"/>
          <w:sz w:val="24"/>
          <w:szCs w:val="24"/>
        </w:rPr>
        <w:t xml:space="preserve"> for these populations. </w:t>
      </w:r>
      <w:r w:rsidRPr="255BF788" w:rsidR="00DB7C7A">
        <w:rPr>
          <w:rFonts w:ascii="Times New Roman" w:hAnsi="Times New Roman"/>
          <w:sz w:val="24"/>
          <w:szCs w:val="24"/>
        </w:rPr>
        <w:t xml:space="preserve">These amounts are justified by </w:t>
      </w:r>
      <w:r w:rsidRPr="255BF788" w:rsidR="0D0FA040">
        <w:rPr>
          <w:rFonts w:ascii="Times New Roman" w:hAnsi="Times New Roman"/>
          <w:sz w:val="24"/>
          <w:szCs w:val="24"/>
        </w:rPr>
        <w:t xml:space="preserve">considering </w:t>
      </w:r>
      <w:r w:rsidRPr="255BF788" w:rsidR="00283DC9">
        <w:rPr>
          <w:rFonts w:ascii="Times New Roman" w:hAnsi="Times New Roman"/>
          <w:sz w:val="24"/>
          <w:szCs w:val="24"/>
        </w:rPr>
        <w:t xml:space="preserve">the distance to and the needed </w:t>
      </w:r>
      <w:r w:rsidRPr="255BF788" w:rsidR="00DB7C7A">
        <w:rPr>
          <w:rFonts w:ascii="Times New Roman" w:hAnsi="Times New Roman"/>
          <w:sz w:val="24"/>
          <w:szCs w:val="24"/>
        </w:rPr>
        <w:t>travel time to qualitative research sites</w:t>
      </w:r>
      <w:r w:rsidRPr="255BF788" w:rsidR="00283DC9">
        <w:rPr>
          <w:rFonts w:ascii="Times New Roman" w:hAnsi="Times New Roman"/>
          <w:sz w:val="24"/>
          <w:szCs w:val="24"/>
        </w:rPr>
        <w:t xml:space="preserve"> or a place that has connectivity and/or equipment </w:t>
      </w:r>
      <w:r w:rsidRPr="255BF788" w:rsidR="00C9543B">
        <w:rPr>
          <w:rFonts w:ascii="Times New Roman" w:hAnsi="Times New Roman"/>
          <w:sz w:val="24"/>
          <w:szCs w:val="24"/>
        </w:rPr>
        <w:t>to enable</w:t>
      </w:r>
      <w:r w:rsidRPr="255BF788" w:rsidR="00283DC9">
        <w:rPr>
          <w:rFonts w:ascii="Times New Roman" w:hAnsi="Times New Roman"/>
          <w:sz w:val="24"/>
          <w:szCs w:val="24"/>
        </w:rPr>
        <w:t xml:space="preserve"> participat</w:t>
      </w:r>
      <w:r w:rsidRPr="255BF788" w:rsidR="00C9543B">
        <w:rPr>
          <w:rFonts w:ascii="Times New Roman" w:hAnsi="Times New Roman"/>
          <w:sz w:val="24"/>
          <w:szCs w:val="24"/>
        </w:rPr>
        <w:t>ion</w:t>
      </w:r>
      <w:r w:rsidRPr="255BF788" w:rsidR="00283DC9">
        <w:rPr>
          <w:rFonts w:ascii="Times New Roman" w:hAnsi="Times New Roman"/>
          <w:sz w:val="24"/>
          <w:szCs w:val="24"/>
        </w:rPr>
        <w:t xml:space="preserve"> in virtual focus groups or interviews. </w:t>
      </w:r>
      <w:r w:rsidRPr="255BF788" w:rsidR="001D488D">
        <w:rPr>
          <w:rFonts w:ascii="Times New Roman" w:hAnsi="Times New Roman"/>
          <w:sz w:val="24"/>
          <w:szCs w:val="24"/>
        </w:rPr>
        <w:t xml:space="preserve">Based on </w:t>
      </w:r>
      <w:r w:rsidRPr="255BF788" w:rsidR="001C19B3">
        <w:rPr>
          <w:rFonts w:ascii="Times New Roman" w:hAnsi="Times New Roman"/>
          <w:sz w:val="24"/>
          <w:szCs w:val="24"/>
        </w:rPr>
        <w:t xml:space="preserve">input from </w:t>
      </w:r>
      <w:r w:rsidRPr="255BF788" w:rsidR="00307EAC">
        <w:rPr>
          <w:rFonts w:ascii="Times New Roman" w:hAnsi="Times New Roman"/>
          <w:sz w:val="24"/>
          <w:szCs w:val="24"/>
        </w:rPr>
        <w:t xml:space="preserve">FDA’s </w:t>
      </w:r>
      <w:r w:rsidRPr="255BF788" w:rsidR="001C19B3">
        <w:rPr>
          <w:rFonts w:ascii="Times New Roman" w:hAnsi="Times New Roman"/>
          <w:sz w:val="24"/>
          <w:szCs w:val="24"/>
        </w:rPr>
        <w:t>community partners and SMEs</w:t>
      </w:r>
      <w:r w:rsidRPr="255BF788" w:rsidR="003611C3">
        <w:rPr>
          <w:rFonts w:ascii="Times New Roman" w:hAnsi="Times New Roman"/>
          <w:sz w:val="24"/>
          <w:szCs w:val="24"/>
        </w:rPr>
        <w:t xml:space="preserve"> for</w:t>
      </w:r>
      <w:r w:rsidRPr="255BF788" w:rsidR="001C19B3">
        <w:rPr>
          <w:rFonts w:ascii="Times New Roman" w:hAnsi="Times New Roman"/>
          <w:sz w:val="24"/>
          <w:szCs w:val="24"/>
        </w:rPr>
        <w:t xml:space="preserve"> </w:t>
      </w:r>
      <w:r w:rsidRPr="255BF788" w:rsidR="00A3215F">
        <w:rPr>
          <w:rFonts w:ascii="Times New Roman" w:hAnsi="Times New Roman"/>
          <w:sz w:val="24"/>
          <w:szCs w:val="24"/>
        </w:rPr>
        <w:t xml:space="preserve">geographically isolated or rural hard-to-reach populations </w:t>
      </w:r>
      <w:r w:rsidRPr="255BF788" w:rsidR="00307EAC">
        <w:rPr>
          <w:rFonts w:ascii="Times New Roman" w:hAnsi="Times New Roman"/>
          <w:sz w:val="24"/>
          <w:szCs w:val="24"/>
        </w:rPr>
        <w:t>(</w:t>
      </w:r>
      <w:r w:rsidRPr="255BF788" w:rsidR="00E20EC5">
        <w:rPr>
          <w:rFonts w:ascii="Times New Roman" w:hAnsi="Times New Roman"/>
          <w:sz w:val="24"/>
          <w:szCs w:val="24"/>
        </w:rPr>
        <w:t>such as AI/AN groups</w:t>
      </w:r>
      <w:r w:rsidRPr="255BF788" w:rsidR="00307EAC">
        <w:rPr>
          <w:rFonts w:ascii="Times New Roman" w:hAnsi="Times New Roman"/>
          <w:sz w:val="24"/>
          <w:szCs w:val="24"/>
        </w:rPr>
        <w:t>)</w:t>
      </w:r>
      <w:r w:rsidRPr="255BF788" w:rsidR="0013604B">
        <w:rPr>
          <w:rFonts w:ascii="Times New Roman" w:hAnsi="Times New Roman"/>
          <w:sz w:val="24"/>
          <w:szCs w:val="24"/>
        </w:rPr>
        <w:t xml:space="preserve">, distances to the nearest community center </w:t>
      </w:r>
      <w:r w:rsidRPr="255BF788" w:rsidR="00AF3400">
        <w:rPr>
          <w:rFonts w:ascii="Times New Roman" w:hAnsi="Times New Roman"/>
          <w:sz w:val="24"/>
          <w:szCs w:val="24"/>
        </w:rPr>
        <w:t xml:space="preserve">for broadband access or to </w:t>
      </w:r>
      <w:r w:rsidRPr="255BF788" w:rsidR="008213AB">
        <w:rPr>
          <w:rFonts w:ascii="Times New Roman" w:hAnsi="Times New Roman"/>
          <w:sz w:val="24"/>
          <w:szCs w:val="24"/>
        </w:rPr>
        <w:t>qualitative research site</w:t>
      </w:r>
      <w:r w:rsidRPr="255BF788" w:rsidR="003611C3">
        <w:rPr>
          <w:rFonts w:ascii="Times New Roman" w:hAnsi="Times New Roman"/>
          <w:sz w:val="24"/>
          <w:szCs w:val="24"/>
        </w:rPr>
        <w:t>s</w:t>
      </w:r>
      <w:r w:rsidRPr="255BF788" w:rsidR="008213AB">
        <w:rPr>
          <w:rFonts w:ascii="Times New Roman" w:hAnsi="Times New Roman"/>
          <w:sz w:val="24"/>
          <w:szCs w:val="24"/>
        </w:rPr>
        <w:t xml:space="preserve"> </w:t>
      </w:r>
      <w:r w:rsidRPr="255BF788" w:rsidR="005208BC">
        <w:rPr>
          <w:rFonts w:ascii="Times New Roman" w:hAnsi="Times New Roman"/>
          <w:sz w:val="24"/>
          <w:szCs w:val="24"/>
        </w:rPr>
        <w:t xml:space="preserve">are variable but may </w:t>
      </w:r>
      <w:r w:rsidRPr="255BF788" w:rsidR="007861AF">
        <w:rPr>
          <w:rFonts w:ascii="Times New Roman" w:hAnsi="Times New Roman"/>
          <w:sz w:val="24"/>
          <w:szCs w:val="24"/>
        </w:rPr>
        <w:t>require</w:t>
      </w:r>
      <w:r w:rsidRPr="255BF788" w:rsidR="005208BC">
        <w:rPr>
          <w:rFonts w:ascii="Times New Roman" w:hAnsi="Times New Roman"/>
          <w:sz w:val="24"/>
          <w:szCs w:val="24"/>
        </w:rPr>
        <w:t xml:space="preserve"> traveling </w:t>
      </w:r>
      <w:r w:rsidRPr="255BF788" w:rsidR="00767098">
        <w:rPr>
          <w:rFonts w:ascii="Times New Roman" w:hAnsi="Times New Roman"/>
          <w:sz w:val="24"/>
          <w:szCs w:val="24"/>
        </w:rPr>
        <w:t xml:space="preserve">at minimum 50 miles one way. </w:t>
      </w:r>
      <w:r w:rsidRPr="255BF788" w:rsidR="00624A94">
        <w:rPr>
          <w:rFonts w:ascii="Times New Roman" w:hAnsi="Times New Roman"/>
          <w:sz w:val="24"/>
          <w:szCs w:val="24"/>
        </w:rPr>
        <w:t xml:space="preserve"> </w:t>
      </w:r>
      <w:r w:rsidRPr="255BF788" w:rsidR="007017DD">
        <w:rPr>
          <w:rFonts w:ascii="Times New Roman" w:hAnsi="Times New Roman"/>
          <w:sz w:val="24"/>
          <w:szCs w:val="24"/>
        </w:rPr>
        <w:t>To calculate cost of travel</w:t>
      </w:r>
      <w:r w:rsidRPr="255BF788" w:rsidR="00B71B14">
        <w:rPr>
          <w:rFonts w:ascii="Times New Roman" w:hAnsi="Times New Roman"/>
          <w:sz w:val="24"/>
          <w:szCs w:val="24"/>
        </w:rPr>
        <w:t>, we use t</w:t>
      </w:r>
      <w:r w:rsidRPr="255BF788" w:rsidR="00624A94">
        <w:rPr>
          <w:rFonts w:ascii="Times New Roman" w:hAnsi="Times New Roman"/>
          <w:sz w:val="24"/>
          <w:szCs w:val="24"/>
        </w:rPr>
        <w:t>he U.S. General Services Administration reimbursement of $0.67 per mile when taking a trip in a personally owned vehicle</w:t>
      </w:r>
      <w:r w:rsidRPr="255BF788" w:rsidR="0061512A">
        <w:rPr>
          <w:rFonts w:ascii="Times New Roman" w:hAnsi="Times New Roman"/>
          <w:sz w:val="24"/>
          <w:szCs w:val="24"/>
        </w:rPr>
        <w:t>.</w:t>
      </w:r>
      <w:r>
        <w:rPr>
          <w:rStyle w:val="FootnoteReference"/>
          <w:rFonts w:ascii="Times New Roman" w:hAnsi="Times New Roman"/>
          <w:sz w:val="24"/>
          <w:szCs w:val="24"/>
        </w:rPr>
        <w:footnoteReference w:id="7"/>
      </w:r>
      <w:r w:rsidRPr="255BF788" w:rsidR="00624A94">
        <w:rPr>
          <w:rFonts w:ascii="Times New Roman" w:hAnsi="Times New Roman"/>
          <w:sz w:val="24"/>
          <w:szCs w:val="24"/>
        </w:rPr>
        <w:t xml:space="preserve"> </w:t>
      </w:r>
      <w:r w:rsidRPr="255BF788" w:rsidR="0046066C">
        <w:rPr>
          <w:rFonts w:ascii="Times New Roman" w:hAnsi="Times New Roman"/>
          <w:sz w:val="24"/>
          <w:szCs w:val="24"/>
        </w:rPr>
        <w:t>This equates to $67 for round trip travel costs</w:t>
      </w:r>
      <w:r w:rsidRPr="255BF788" w:rsidR="00624A94">
        <w:rPr>
          <w:rFonts w:ascii="Times New Roman" w:hAnsi="Times New Roman"/>
          <w:sz w:val="24"/>
          <w:szCs w:val="24"/>
        </w:rPr>
        <w:t>.</w:t>
      </w:r>
      <w:r w:rsidRPr="255BF788" w:rsidR="00356B57">
        <w:rPr>
          <w:rFonts w:ascii="Times New Roman" w:hAnsi="Times New Roman"/>
          <w:sz w:val="24"/>
          <w:szCs w:val="24"/>
        </w:rPr>
        <w:t xml:space="preserve"> </w:t>
      </w:r>
      <w:r w:rsidRPr="255BF788" w:rsidR="00575728">
        <w:rPr>
          <w:rFonts w:ascii="Times New Roman" w:hAnsi="Times New Roman"/>
          <w:sz w:val="24"/>
          <w:szCs w:val="24"/>
        </w:rPr>
        <w:t>Adding these</w:t>
      </w:r>
      <w:r w:rsidRPr="255BF788" w:rsidR="00356B57">
        <w:rPr>
          <w:rFonts w:ascii="Times New Roman" w:hAnsi="Times New Roman"/>
          <w:sz w:val="24"/>
          <w:szCs w:val="24"/>
        </w:rPr>
        <w:t xml:space="preserve"> travel costs </w:t>
      </w:r>
      <w:r w:rsidRPr="255BF788" w:rsidR="00575728">
        <w:rPr>
          <w:rFonts w:ascii="Times New Roman" w:hAnsi="Times New Roman"/>
          <w:sz w:val="24"/>
          <w:szCs w:val="24"/>
        </w:rPr>
        <w:t>to the token of appreciation values</w:t>
      </w:r>
      <w:r w:rsidRPr="255BF788" w:rsidR="008C5562">
        <w:rPr>
          <w:rFonts w:ascii="Times New Roman" w:hAnsi="Times New Roman"/>
          <w:sz w:val="24"/>
          <w:szCs w:val="24"/>
        </w:rPr>
        <w:t xml:space="preserve"> </w:t>
      </w:r>
      <w:r w:rsidRPr="255BF788" w:rsidR="003D7908">
        <w:rPr>
          <w:rFonts w:ascii="Times New Roman" w:hAnsi="Times New Roman"/>
          <w:sz w:val="24"/>
          <w:szCs w:val="24"/>
        </w:rPr>
        <w:t xml:space="preserve">for the general populations leads to sufficient and equitable </w:t>
      </w:r>
      <w:r w:rsidRPr="255BF788" w:rsidR="00635B69">
        <w:rPr>
          <w:rFonts w:ascii="Times New Roman" w:hAnsi="Times New Roman"/>
          <w:sz w:val="24"/>
          <w:szCs w:val="24"/>
        </w:rPr>
        <w:t>values for participants from geographically isolated or rural hard-to-reach populations such as AI/AN groups</w:t>
      </w:r>
      <w:r w:rsidRPr="255BF788" w:rsidR="00147CBA">
        <w:rPr>
          <w:rFonts w:ascii="Times New Roman" w:hAnsi="Times New Roman"/>
          <w:sz w:val="24"/>
          <w:szCs w:val="24"/>
        </w:rPr>
        <w:t>.</w:t>
      </w:r>
    </w:p>
    <w:p w:rsidR="00BF01CC" w:rsidP="000516D7" w14:paraId="7A4B0D0F" w14:textId="7B48D663">
      <w:pPr>
        <w:pStyle w:val="ListParagraph"/>
        <w:spacing w:before="100" w:beforeAutospacing="1" w:after="100" w:afterAutospacing="1"/>
        <w:ind w:left="0"/>
        <w:rPr>
          <w:rFonts w:ascii="Times New Roman" w:hAnsi="Times New Roman"/>
          <w:sz w:val="24"/>
          <w:szCs w:val="24"/>
        </w:rPr>
      </w:pPr>
      <w:r w:rsidRPr="00FB3A00">
        <w:rPr>
          <w:rFonts w:ascii="Times New Roman" w:hAnsi="Times New Roman"/>
          <w:sz w:val="24"/>
          <w:szCs w:val="24"/>
        </w:rPr>
        <w:t xml:space="preserve">For information collections that recruit adults </w:t>
      </w:r>
      <w:r w:rsidR="001B28EE">
        <w:rPr>
          <w:rFonts w:ascii="Times New Roman" w:hAnsi="Times New Roman"/>
          <w:sz w:val="24"/>
          <w:szCs w:val="24"/>
        </w:rPr>
        <w:t>that are health</w:t>
      </w:r>
      <w:r w:rsidR="00B26B6D">
        <w:rPr>
          <w:rFonts w:ascii="Times New Roman" w:hAnsi="Times New Roman"/>
          <w:sz w:val="24"/>
          <w:szCs w:val="24"/>
        </w:rPr>
        <w:t>care profession</w:t>
      </w:r>
      <w:r w:rsidR="0037663F">
        <w:rPr>
          <w:rFonts w:ascii="Times New Roman" w:hAnsi="Times New Roman"/>
          <w:sz w:val="24"/>
          <w:szCs w:val="24"/>
        </w:rPr>
        <w:t>als or</w:t>
      </w:r>
      <w:r w:rsidR="001B28EE">
        <w:rPr>
          <w:rFonts w:ascii="Times New Roman" w:hAnsi="Times New Roman"/>
          <w:sz w:val="24"/>
          <w:szCs w:val="24"/>
        </w:rPr>
        <w:t xml:space="preserve"> pr</w:t>
      </w:r>
      <w:r w:rsidR="004A3737">
        <w:rPr>
          <w:rFonts w:ascii="Times New Roman" w:hAnsi="Times New Roman"/>
          <w:sz w:val="24"/>
          <w:szCs w:val="24"/>
        </w:rPr>
        <w:t>ovider</w:t>
      </w:r>
      <w:r w:rsidR="0037663F">
        <w:rPr>
          <w:rFonts w:ascii="Times New Roman" w:hAnsi="Times New Roman"/>
          <w:sz w:val="24"/>
          <w:szCs w:val="24"/>
        </w:rPr>
        <w:t>s (such as</w:t>
      </w:r>
      <w:r w:rsidR="004A3737">
        <w:rPr>
          <w:rFonts w:ascii="Times New Roman" w:hAnsi="Times New Roman"/>
          <w:sz w:val="24"/>
          <w:szCs w:val="24"/>
        </w:rPr>
        <w:t xml:space="preserve"> </w:t>
      </w:r>
      <w:r w:rsidR="00E76657">
        <w:rPr>
          <w:rFonts w:ascii="Times New Roman" w:hAnsi="Times New Roman"/>
          <w:sz w:val="24"/>
          <w:szCs w:val="24"/>
        </w:rPr>
        <w:t>primary care</w:t>
      </w:r>
      <w:r w:rsidR="004A3737">
        <w:rPr>
          <w:rFonts w:ascii="Times New Roman" w:hAnsi="Times New Roman"/>
          <w:sz w:val="24"/>
          <w:szCs w:val="24"/>
        </w:rPr>
        <w:t xml:space="preserve"> physicians</w:t>
      </w:r>
      <w:r w:rsidR="00EB0DA4">
        <w:rPr>
          <w:rFonts w:ascii="Times New Roman" w:hAnsi="Times New Roman"/>
          <w:sz w:val="24"/>
          <w:szCs w:val="24"/>
        </w:rPr>
        <w:t>, NP, or PAs</w:t>
      </w:r>
      <w:r w:rsidR="0037663F">
        <w:rPr>
          <w:rFonts w:ascii="Times New Roman" w:hAnsi="Times New Roman"/>
          <w:sz w:val="24"/>
          <w:szCs w:val="24"/>
        </w:rPr>
        <w:t>)</w:t>
      </w:r>
      <w:r w:rsidRPr="00FB3A00">
        <w:rPr>
          <w:rFonts w:ascii="Times New Roman" w:hAnsi="Times New Roman"/>
          <w:sz w:val="24"/>
          <w:szCs w:val="24"/>
        </w:rPr>
        <w:t xml:space="preserve"> for focus groups or interviews, </w:t>
      </w:r>
      <w:r w:rsidRPr="6612E676" w:rsidR="002D5392">
        <w:rPr>
          <w:rFonts w:ascii="Times New Roman" w:hAnsi="Times New Roman"/>
          <w:sz w:val="24"/>
          <w:szCs w:val="24"/>
        </w:rPr>
        <w:t xml:space="preserve">incentive amounts will be based on healthcare specialty. </w:t>
      </w:r>
      <w:r w:rsidRPr="008A79E9" w:rsidR="002D5392">
        <w:rPr>
          <w:rFonts w:ascii="Times New Roman" w:hAnsi="Times New Roman"/>
          <w:sz w:val="24"/>
          <w:szCs w:val="24"/>
        </w:rPr>
        <w:t>For a 60-minute focus group or interview, specialty physicians will be offered an incentive of $225, primary care physicians (MD or DO) will be offered $200 and other healthcare professionals will be offered $125. If we struggle to schedule enough participants from this difficult to recruit population, an additional $50 may be offered. A similar tiered strategy was approved by OMB for FDA’s CFSAN Adverse Event Reporting System (CAERS) Healthcare Provider (HCP) In-Depth Interviews (OMB Control No. 0910-0891).</w:t>
      </w:r>
      <w:r w:rsidRPr="6612E676" w:rsidR="002D5392">
        <w:rPr>
          <w:rFonts w:ascii="Times New Roman" w:hAnsi="Times New Roman"/>
          <w:sz w:val="24"/>
          <w:szCs w:val="24"/>
        </w:rPr>
        <w:t xml:space="preserve"> </w:t>
      </w:r>
    </w:p>
    <w:p w:rsidR="00550639" w:rsidRPr="00161560" w:rsidP="00550639" w14:paraId="77263424" w14:textId="56D1279B">
      <w:pPr>
        <w:tabs>
          <w:tab w:val="left" w:pos="990"/>
        </w:tabs>
        <w:autoSpaceDE w:val="0"/>
        <w:autoSpaceDN w:val="0"/>
        <w:adjustRightInd w:val="0"/>
        <w:spacing w:before="100" w:beforeAutospacing="1" w:after="100" w:afterAutospacing="1" w:line="240" w:lineRule="auto"/>
        <w:rPr>
          <w:rFonts w:ascii="Times New Roman" w:hAnsi="Times New Roman"/>
          <w:sz w:val="24"/>
          <w:szCs w:val="24"/>
        </w:rPr>
      </w:pPr>
      <w:r w:rsidRPr="000B7DC0">
        <w:rPr>
          <w:rFonts w:ascii="Times New Roman" w:hAnsi="Times New Roman"/>
          <w:sz w:val="24"/>
          <w:szCs w:val="24"/>
        </w:rPr>
        <w:t xml:space="preserve">FDA will provide justification for any studies that propose to offer </w:t>
      </w:r>
      <w:r>
        <w:rPr>
          <w:rFonts w:ascii="Times New Roman" w:hAnsi="Times New Roman"/>
          <w:sz w:val="24"/>
          <w:szCs w:val="24"/>
        </w:rPr>
        <w:t xml:space="preserve">incentives. </w:t>
      </w:r>
      <w:r w:rsidRPr="00161560">
        <w:rPr>
          <w:rFonts w:ascii="Times New Roman" w:hAnsi="Times New Roman"/>
          <w:sz w:val="24"/>
          <w:szCs w:val="24"/>
        </w:rPr>
        <w:t>FDA may propose incentives at a higher rate if evidence is provided</w:t>
      </w:r>
      <w:r>
        <w:rPr>
          <w:rFonts w:ascii="Times New Roman" w:hAnsi="Times New Roman"/>
          <w:sz w:val="24"/>
          <w:szCs w:val="24"/>
        </w:rPr>
        <w:t xml:space="preserve"> that larger incentives are necessary for successful recruitment</w:t>
      </w:r>
      <w:r w:rsidRPr="00161560">
        <w:rPr>
          <w:rFonts w:ascii="Times New Roman" w:hAnsi="Times New Roman"/>
          <w:sz w:val="24"/>
          <w:szCs w:val="24"/>
        </w:rPr>
        <w:t>.</w:t>
      </w:r>
    </w:p>
    <w:p w:rsidR="00A12BAD" w:rsidRPr="00667688" w:rsidP="00667688" w14:paraId="1A98C819" w14:textId="60FC2F5B">
      <w:pPr>
        <w:pStyle w:val="ListParagraph"/>
        <w:numPr>
          <w:ilvl w:val="0"/>
          <w:numId w:val="2"/>
        </w:numPr>
        <w:spacing w:before="100" w:beforeAutospacing="1" w:after="100" w:afterAutospacing="1" w:line="240" w:lineRule="auto"/>
        <w:ind w:left="0"/>
        <w:rPr>
          <w:rFonts w:ascii="Times New Roman" w:hAnsi="Times New Roman"/>
          <w:sz w:val="24"/>
          <w:szCs w:val="24"/>
          <w:u w:val="single"/>
        </w:rPr>
      </w:pPr>
      <w:r w:rsidRPr="00667688">
        <w:rPr>
          <w:rFonts w:ascii="Times New Roman" w:hAnsi="Times New Roman"/>
          <w:sz w:val="24"/>
          <w:szCs w:val="24"/>
          <w:u w:val="single"/>
        </w:rPr>
        <w:t xml:space="preserve">Assurance of </w:t>
      </w:r>
      <w:r w:rsidRPr="00667688">
        <w:rPr>
          <w:rFonts w:ascii="Times New Roman" w:hAnsi="Times New Roman"/>
          <w:sz w:val="24"/>
          <w:szCs w:val="24"/>
          <w:u w:val="single"/>
        </w:rPr>
        <w:t>Confidentiality</w:t>
      </w:r>
      <w:r w:rsidRPr="00667688">
        <w:rPr>
          <w:rFonts w:ascii="Times New Roman" w:hAnsi="Times New Roman"/>
          <w:sz w:val="24"/>
          <w:szCs w:val="24"/>
          <w:u w:val="single"/>
        </w:rPr>
        <w:t xml:space="preserve"> Provided to Respondents</w:t>
      </w:r>
      <w:r w:rsidRPr="00667688">
        <w:rPr>
          <w:rFonts w:ascii="Times New Roman" w:hAnsi="Times New Roman"/>
          <w:sz w:val="24"/>
          <w:szCs w:val="24"/>
          <w:u w:val="single"/>
        </w:rPr>
        <w:t xml:space="preserve"> </w:t>
      </w:r>
    </w:p>
    <w:p w:rsidR="009F2B7B" w:rsidRPr="00667688" w:rsidP="00667688" w14:paraId="0196F0DC" w14:textId="03B683E4">
      <w:pPr>
        <w:spacing w:before="100" w:beforeAutospacing="1" w:after="100" w:afterAutospacing="1" w:line="240" w:lineRule="auto"/>
        <w:rPr>
          <w:rFonts w:ascii="Times New Roman" w:hAnsi="Times New Roman"/>
          <w:sz w:val="24"/>
          <w:szCs w:val="24"/>
        </w:rPr>
      </w:pPr>
      <w:r w:rsidRPr="00667688">
        <w:rPr>
          <w:rFonts w:ascii="Times New Roman" w:hAnsi="Times New Roman"/>
          <w:sz w:val="24"/>
          <w:szCs w:val="24"/>
        </w:rPr>
        <w:t xml:space="preserve">CTP consulted the agency Privacy Officer to identify potential risks to the privacy of participants and other individuals whose information may be handled by or on behalf of FDA in the performance of this </w:t>
      </w:r>
      <w:r w:rsidR="00644E64">
        <w:rPr>
          <w:rFonts w:ascii="Times New Roman" w:hAnsi="Times New Roman"/>
          <w:sz w:val="24"/>
          <w:szCs w:val="24"/>
        </w:rPr>
        <w:t>generic clearance</w:t>
      </w:r>
      <w:r w:rsidRPr="00667688">
        <w:rPr>
          <w:rFonts w:ascii="Times New Roman" w:hAnsi="Times New Roman"/>
          <w:sz w:val="24"/>
          <w:szCs w:val="24"/>
        </w:rPr>
        <w:t xml:space="preserve">. FDA </w:t>
      </w:r>
      <w:r w:rsidR="00644E64">
        <w:rPr>
          <w:rFonts w:ascii="Times New Roman" w:hAnsi="Times New Roman"/>
          <w:sz w:val="24"/>
          <w:szCs w:val="24"/>
        </w:rPr>
        <w:t xml:space="preserve">will </w:t>
      </w:r>
      <w:r w:rsidRPr="00667688">
        <w:rPr>
          <w:rFonts w:ascii="Times New Roman" w:hAnsi="Times New Roman"/>
          <w:sz w:val="24"/>
          <w:szCs w:val="24"/>
        </w:rPr>
        <w:t>design stud</w:t>
      </w:r>
      <w:r w:rsidR="00644E64">
        <w:rPr>
          <w:rFonts w:ascii="Times New Roman" w:hAnsi="Times New Roman"/>
          <w:sz w:val="24"/>
          <w:szCs w:val="24"/>
        </w:rPr>
        <w:t>ies, underneath this generic clearance,</w:t>
      </w:r>
      <w:r w:rsidRPr="00667688">
        <w:rPr>
          <w:rFonts w:ascii="Times New Roman" w:hAnsi="Times New Roman"/>
          <w:sz w:val="24"/>
          <w:szCs w:val="24"/>
        </w:rPr>
        <w:t xml:space="preserve"> to minimize privacy risks in keeping with the Fair Information Practice Principles (FIPPs) and applying controls selected from the National Institute of Standards and Technology </w:t>
      </w:r>
      <w:r w:rsidRPr="00667688">
        <w:rPr>
          <w:rFonts w:ascii="Times New Roman" w:hAnsi="Times New Roman"/>
          <w:sz w:val="24"/>
          <w:szCs w:val="24"/>
        </w:rPr>
        <w:t xml:space="preserve">(NIST), Special Publication 800-53, Security and Privacy Controls for Federal Information Systems and Organizations. CTP </w:t>
      </w:r>
      <w:r w:rsidR="00644E64">
        <w:rPr>
          <w:rFonts w:ascii="Times New Roman" w:hAnsi="Times New Roman"/>
          <w:sz w:val="24"/>
          <w:szCs w:val="24"/>
        </w:rPr>
        <w:t>has</w:t>
      </w:r>
      <w:r w:rsidRPr="00667688" w:rsidR="00644E64">
        <w:rPr>
          <w:rFonts w:ascii="Times New Roman" w:hAnsi="Times New Roman"/>
          <w:sz w:val="24"/>
          <w:szCs w:val="24"/>
        </w:rPr>
        <w:t xml:space="preserve"> </w:t>
      </w:r>
      <w:r w:rsidRPr="00667688">
        <w:rPr>
          <w:rFonts w:ascii="Times New Roman" w:hAnsi="Times New Roman"/>
          <w:sz w:val="24"/>
          <w:szCs w:val="24"/>
        </w:rPr>
        <w:t xml:space="preserve">identified privacy compliance requirements and coordinated with FDA’s Privacy Officer to ensure responsible offices in CTP satisfy all in accordance with law and policy. </w:t>
      </w:r>
      <w:r w:rsidRPr="00667688" w:rsidR="00794876">
        <w:rPr>
          <w:rFonts w:ascii="Times New Roman" w:hAnsi="Times New Roman"/>
          <w:sz w:val="24"/>
          <w:szCs w:val="24"/>
        </w:rPr>
        <w:t xml:space="preserve">FDA </w:t>
      </w:r>
      <w:r w:rsidRPr="00667688" w:rsidR="21E4CC04">
        <w:rPr>
          <w:rFonts w:ascii="Times New Roman" w:hAnsi="Times New Roman"/>
          <w:sz w:val="24"/>
          <w:szCs w:val="24"/>
        </w:rPr>
        <w:t>received approval of a</w:t>
      </w:r>
      <w:r w:rsidRPr="00667688" w:rsidR="00794876">
        <w:rPr>
          <w:rFonts w:ascii="Times New Roman" w:hAnsi="Times New Roman"/>
          <w:sz w:val="24"/>
          <w:szCs w:val="24"/>
        </w:rPr>
        <w:t xml:space="preserve"> Privacy Impact assessment</w:t>
      </w:r>
      <w:r w:rsidR="00644E64">
        <w:rPr>
          <w:rFonts w:ascii="Times New Roman" w:hAnsi="Times New Roman"/>
          <w:sz w:val="24"/>
          <w:szCs w:val="24"/>
        </w:rPr>
        <w:t xml:space="preserve"> for studies under this generic clearance</w:t>
      </w:r>
      <w:r w:rsidRPr="00667688" w:rsidR="00794876">
        <w:rPr>
          <w:rFonts w:ascii="Times New Roman" w:hAnsi="Times New Roman"/>
          <w:sz w:val="24"/>
          <w:szCs w:val="24"/>
        </w:rPr>
        <w:t xml:space="preserve"> by the Department of Health and Human Services.</w:t>
      </w:r>
    </w:p>
    <w:p w:rsidR="009F2B7B" w:rsidRPr="00667688" w:rsidP="00667688" w14:paraId="50F12FA0" w14:textId="41FADA5E">
      <w:pPr>
        <w:spacing w:after="0" w:line="240" w:lineRule="auto"/>
        <w:rPr>
          <w:rFonts w:ascii="Times New Roman" w:hAnsi="Times New Roman"/>
          <w:b/>
          <w:sz w:val="24"/>
          <w:szCs w:val="24"/>
        </w:rPr>
      </w:pPr>
      <w:r w:rsidRPr="00667688">
        <w:rPr>
          <w:rFonts w:ascii="Times New Roman" w:hAnsi="Times New Roman"/>
          <w:b/>
          <w:sz w:val="24"/>
          <w:szCs w:val="24"/>
        </w:rPr>
        <w:t>Privacy Act Applicability</w:t>
      </w:r>
    </w:p>
    <w:p w:rsidR="42070676" w:rsidRPr="00667688" w:rsidP="00667688" w14:paraId="64702954" w14:textId="4F981720">
      <w:pPr>
        <w:spacing w:before="100" w:beforeAutospacing="1" w:after="100" w:afterAutospacing="1" w:line="240" w:lineRule="auto"/>
        <w:rPr>
          <w:rFonts w:ascii="Times New Roman" w:hAnsi="Times New Roman"/>
          <w:b/>
          <w:bCs/>
          <w:sz w:val="24"/>
          <w:szCs w:val="24"/>
        </w:rPr>
      </w:pPr>
      <w:r w:rsidRPr="00667688">
        <w:rPr>
          <w:rFonts w:ascii="Times New Roman" w:hAnsi="Times New Roman"/>
          <w:sz w:val="24"/>
          <w:szCs w:val="24"/>
        </w:rPr>
        <w:t>The information collection is not subject to the Privacy Act of 1974. Hence, no Privacy Act Statement is required to be displayed on the form, website, mobile application</w:t>
      </w:r>
      <w:r w:rsidRPr="00667688" w:rsidR="00BB14D9">
        <w:rPr>
          <w:rFonts w:ascii="Times New Roman" w:hAnsi="Times New Roman"/>
          <w:sz w:val="24"/>
          <w:szCs w:val="24"/>
        </w:rPr>
        <w:t>,</w:t>
      </w:r>
      <w:r w:rsidRPr="00667688">
        <w:rPr>
          <w:rFonts w:ascii="Times New Roman" w:hAnsi="Times New Roman"/>
          <w:sz w:val="24"/>
          <w:szCs w:val="24"/>
        </w:rPr>
        <w:t xml:space="preserve"> or other point at which information</w:t>
      </w:r>
      <w:r w:rsidRPr="00667688" w:rsidR="00AA564A">
        <w:rPr>
          <w:rFonts w:ascii="Times New Roman" w:hAnsi="Times New Roman"/>
          <w:sz w:val="24"/>
          <w:szCs w:val="24"/>
        </w:rPr>
        <w:t xml:space="preserve"> is collected</w:t>
      </w:r>
      <w:r w:rsidRPr="00667688">
        <w:rPr>
          <w:rFonts w:ascii="Times New Roman" w:hAnsi="Times New Roman"/>
          <w:sz w:val="24"/>
          <w:szCs w:val="24"/>
        </w:rPr>
        <w:t>.</w:t>
      </w:r>
    </w:p>
    <w:p w:rsidR="009F2B7B" w:rsidRPr="00667688" w:rsidP="00667688" w14:paraId="74CB6305" w14:textId="38CA8F28">
      <w:pPr>
        <w:spacing w:after="0" w:line="240" w:lineRule="auto"/>
        <w:rPr>
          <w:rFonts w:ascii="Times New Roman" w:hAnsi="Times New Roman"/>
          <w:b/>
          <w:sz w:val="24"/>
          <w:szCs w:val="24"/>
        </w:rPr>
      </w:pPr>
      <w:r w:rsidRPr="00667688">
        <w:rPr>
          <w:rFonts w:ascii="Times New Roman" w:hAnsi="Times New Roman"/>
          <w:b/>
          <w:sz w:val="24"/>
          <w:szCs w:val="24"/>
        </w:rPr>
        <w:t>PII Collection</w:t>
      </w:r>
    </w:p>
    <w:p w:rsidR="009F2B7B" w:rsidRPr="00667688" w:rsidP="00667688" w14:paraId="0B131D48" w14:textId="1D2C33E4">
      <w:pPr>
        <w:spacing w:before="100" w:beforeAutospacing="1" w:after="100" w:afterAutospacing="1" w:line="240" w:lineRule="auto"/>
        <w:rPr>
          <w:rFonts w:ascii="Times New Roman" w:hAnsi="Times New Roman"/>
          <w:sz w:val="24"/>
          <w:szCs w:val="24"/>
        </w:rPr>
      </w:pPr>
      <w:r w:rsidRPr="00667688">
        <w:rPr>
          <w:rFonts w:ascii="Times New Roman" w:hAnsi="Times New Roman"/>
          <w:sz w:val="24"/>
          <w:szCs w:val="24"/>
        </w:rPr>
        <w:t xml:space="preserve">For respondent enrollment, PII will be collected on an as needed basis </w:t>
      </w:r>
      <w:r w:rsidRPr="00667688" w:rsidR="00B10FAC">
        <w:rPr>
          <w:rFonts w:ascii="Times New Roman" w:hAnsi="Times New Roman"/>
          <w:sz w:val="24"/>
          <w:szCs w:val="24"/>
        </w:rPr>
        <w:t>to assess study eligibility</w:t>
      </w:r>
      <w:r w:rsidR="009A3338">
        <w:rPr>
          <w:rFonts w:ascii="Times New Roman" w:hAnsi="Times New Roman"/>
          <w:sz w:val="24"/>
          <w:szCs w:val="24"/>
        </w:rPr>
        <w:t xml:space="preserve"> </w:t>
      </w:r>
      <w:r w:rsidRPr="00667688">
        <w:rPr>
          <w:rFonts w:ascii="Times New Roman" w:hAnsi="Times New Roman"/>
          <w:sz w:val="24"/>
          <w:szCs w:val="24"/>
        </w:rPr>
        <w:t>during the enrollment/screening process</w:t>
      </w:r>
      <w:r w:rsidR="00786228">
        <w:rPr>
          <w:rFonts w:ascii="Times New Roman" w:hAnsi="Times New Roman"/>
          <w:sz w:val="24"/>
          <w:szCs w:val="24"/>
        </w:rPr>
        <w:t xml:space="preserve"> and will not be maintained or linked to other study information</w:t>
      </w:r>
      <w:r w:rsidRPr="00667688">
        <w:rPr>
          <w:rFonts w:ascii="Times New Roman" w:hAnsi="Times New Roman"/>
          <w:sz w:val="24"/>
          <w:szCs w:val="24"/>
        </w:rPr>
        <w:t>. Mailing address and/or e-mail addresses may be collected for contacting the respondent regarding enrollment details (e.g.</w:t>
      </w:r>
      <w:r w:rsidRPr="00667688" w:rsidR="000B4AD9">
        <w:rPr>
          <w:rFonts w:ascii="Times New Roman" w:hAnsi="Times New Roman"/>
          <w:sz w:val="24"/>
          <w:szCs w:val="24"/>
        </w:rPr>
        <w:t>,</w:t>
      </w:r>
      <w:r w:rsidRPr="00667688">
        <w:rPr>
          <w:rFonts w:ascii="Times New Roman" w:hAnsi="Times New Roman"/>
          <w:sz w:val="24"/>
          <w:szCs w:val="24"/>
        </w:rPr>
        <w:t xml:space="preserve"> directions, schedule</w:t>
      </w:r>
      <w:r w:rsidR="00B10FAC">
        <w:rPr>
          <w:rFonts w:ascii="Times New Roman" w:hAnsi="Times New Roman"/>
          <w:sz w:val="24"/>
          <w:szCs w:val="24"/>
        </w:rPr>
        <w:t xml:space="preserve">. </w:t>
      </w:r>
      <w:r w:rsidRPr="00667688" w:rsidR="00CC5F7F">
        <w:rPr>
          <w:rFonts w:ascii="Times New Roman" w:hAnsi="Times New Roman"/>
          <w:sz w:val="24"/>
          <w:szCs w:val="24"/>
        </w:rPr>
        <w:t xml:space="preserve">Contractors and subcontractors that collect data on behalf of </w:t>
      </w:r>
      <w:r w:rsidRPr="00667688" w:rsidR="00BB14D9">
        <w:rPr>
          <w:rFonts w:ascii="Times New Roman" w:hAnsi="Times New Roman"/>
          <w:sz w:val="24"/>
          <w:szCs w:val="24"/>
        </w:rPr>
        <w:t>FDA</w:t>
      </w:r>
      <w:r w:rsidRPr="00667688" w:rsidR="00CC5F7F">
        <w:rPr>
          <w:rFonts w:ascii="Times New Roman" w:hAnsi="Times New Roman"/>
          <w:sz w:val="24"/>
          <w:szCs w:val="24"/>
        </w:rPr>
        <w:t xml:space="preserve"> never </w:t>
      </w:r>
      <w:r w:rsidRPr="00667688" w:rsidR="008046DF">
        <w:rPr>
          <w:rFonts w:ascii="Times New Roman" w:hAnsi="Times New Roman"/>
          <w:sz w:val="24"/>
          <w:szCs w:val="24"/>
        </w:rPr>
        <w:t>transfer</w:t>
      </w:r>
      <w:r w:rsidRPr="00667688" w:rsidR="00CC5F7F">
        <w:rPr>
          <w:rFonts w:ascii="Times New Roman" w:hAnsi="Times New Roman"/>
          <w:sz w:val="24"/>
          <w:szCs w:val="24"/>
        </w:rPr>
        <w:t xml:space="preserve"> any PII</w:t>
      </w:r>
      <w:r w:rsidRPr="00667688" w:rsidR="00BB14D9">
        <w:rPr>
          <w:rFonts w:ascii="Times New Roman" w:hAnsi="Times New Roman"/>
          <w:sz w:val="24"/>
          <w:szCs w:val="24"/>
        </w:rPr>
        <w:t xml:space="preserve"> to the agency</w:t>
      </w:r>
      <w:r w:rsidR="00786228">
        <w:rPr>
          <w:rFonts w:ascii="Times New Roman" w:hAnsi="Times New Roman"/>
          <w:sz w:val="24"/>
          <w:szCs w:val="24"/>
        </w:rPr>
        <w:t xml:space="preserve"> or stored on FDA network servers</w:t>
      </w:r>
      <w:r w:rsidRPr="00667688" w:rsidR="00BB14D9">
        <w:rPr>
          <w:rFonts w:ascii="Times New Roman" w:hAnsi="Times New Roman"/>
          <w:sz w:val="24"/>
          <w:szCs w:val="24"/>
        </w:rPr>
        <w:t>.</w:t>
      </w:r>
      <w:r w:rsidRPr="00667688" w:rsidR="00CC5F7F">
        <w:rPr>
          <w:rFonts w:ascii="Times New Roman" w:hAnsi="Times New Roman"/>
          <w:sz w:val="24"/>
          <w:szCs w:val="24"/>
        </w:rPr>
        <w:t xml:space="preserve"> </w:t>
      </w:r>
      <w:r w:rsidRPr="00667688" w:rsidR="00307D41">
        <w:rPr>
          <w:rFonts w:ascii="Times New Roman" w:hAnsi="Times New Roman"/>
          <w:sz w:val="24"/>
          <w:szCs w:val="24"/>
        </w:rPr>
        <w:t xml:space="preserve">For studies involving virtual </w:t>
      </w:r>
      <w:r w:rsidRPr="00667688" w:rsidR="2945396E">
        <w:rPr>
          <w:rFonts w:ascii="Times New Roman" w:hAnsi="Times New Roman"/>
          <w:sz w:val="24"/>
          <w:szCs w:val="24"/>
        </w:rPr>
        <w:t>data collection</w:t>
      </w:r>
      <w:r w:rsidRPr="00667688" w:rsidR="00307D41">
        <w:rPr>
          <w:rFonts w:ascii="Times New Roman" w:hAnsi="Times New Roman"/>
          <w:sz w:val="24"/>
          <w:szCs w:val="24"/>
        </w:rPr>
        <w:t>, the webinar</w:t>
      </w:r>
      <w:r w:rsidRPr="00667688" w:rsidR="17686A82">
        <w:rPr>
          <w:rFonts w:ascii="Times New Roman" w:hAnsi="Times New Roman"/>
          <w:sz w:val="24"/>
          <w:szCs w:val="24"/>
        </w:rPr>
        <w:t xml:space="preserve"> or discussion board</w:t>
      </w:r>
      <w:r w:rsidRPr="00667688" w:rsidR="00307D41">
        <w:rPr>
          <w:rFonts w:ascii="Times New Roman" w:hAnsi="Times New Roman"/>
          <w:sz w:val="24"/>
          <w:szCs w:val="24"/>
        </w:rPr>
        <w:t xml:space="preserve"> platform collect</w:t>
      </w:r>
      <w:r w:rsidRPr="00667688" w:rsidR="008046DF">
        <w:rPr>
          <w:rFonts w:ascii="Times New Roman" w:hAnsi="Times New Roman"/>
          <w:sz w:val="24"/>
          <w:szCs w:val="24"/>
        </w:rPr>
        <w:t>s</w:t>
      </w:r>
      <w:r w:rsidRPr="00667688" w:rsidR="00307D41">
        <w:rPr>
          <w:rFonts w:ascii="Times New Roman" w:hAnsi="Times New Roman"/>
          <w:sz w:val="24"/>
          <w:szCs w:val="24"/>
        </w:rPr>
        <w:t xml:space="preserve"> information that a participant gives them to access the platform (</w:t>
      </w:r>
      <w:r w:rsidRPr="00667688" w:rsidR="2A39B2B1">
        <w:rPr>
          <w:rFonts w:ascii="Times New Roman" w:hAnsi="Times New Roman"/>
          <w:sz w:val="24"/>
          <w:szCs w:val="24"/>
        </w:rPr>
        <w:t>e.g.,</w:t>
      </w:r>
      <w:r w:rsidRPr="00667688" w:rsidR="00307D41">
        <w:rPr>
          <w:rFonts w:ascii="Times New Roman" w:hAnsi="Times New Roman"/>
          <w:sz w:val="24"/>
          <w:szCs w:val="24"/>
        </w:rPr>
        <w:t xml:space="preserve"> name, email address and/or phone number, etc.). Webinar</w:t>
      </w:r>
      <w:r w:rsidRPr="00667688" w:rsidR="2F46AC77">
        <w:rPr>
          <w:rFonts w:ascii="Times New Roman" w:hAnsi="Times New Roman"/>
          <w:sz w:val="24"/>
          <w:szCs w:val="24"/>
        </w:rPr>
        <w:t xml:space="preserve"> or discussion board</w:t>
      </w:r>
      <w:r w:rsidRPr="00667688" w:rsidR="00307D41">
        <w:rPr>
          <w:rFonts w:ascii="Times New Roman" w:hAnsi="Times New Roman"/>
          <w:sz w:val="24"/>
          <w:szCs w:val="24"/>
        </w:rPr>
        <w:t xml:space="preserve"> platforms also collect additional data once the platform is accessed such as IP address, MAC address, and device type. FDA staff and contractors will not have access to any data that participants provide to use the webinar platform or any data that the webinar platform collects while the platform is in use. Furthermore, FDA staff and contractors will not have the ability to link data obtained from the webinar platform to any participant.</w:t>
      </w:r>
    </w:p>
    <w:p w:rsidR="42070676" w:rsidRPr="00667688" w:rsidP="00667688" w14:paraId="2D8ACA84" w14:textId="0E1B58E5">
      <w:pPr>
        <w:spacing w:before="100" w:beforeAutospacing="1" w:after="100" w:afterAutospacing="1" w:line="240" w:lineRule="auto"/>
        <w:rPr>
          <w:rFonts w:ascii="Times New Roman" w:hAnsi="Times New Roman"/>
          <w:sz w:val="24"/>
          <w:szCs w:val="24"/>
        </w:rPr>
      </w:pPr>
      <w:r w:rsidRPr="00667688">
        <w:rPr>
          <w:rFonts w:ascii="Times New Roman" w:hAnsi="Times New Roman"/>
          <w:sz w:val="24"/>
          <w:szCs w:val="24"/>
        </w:rPr>
        <w:t>For data quality management, PII in the form of audio recordings (</w:t>
      </w:r>
      <w:r w:rsidRPr="00667688" w:rsidR="00EB69B0">
        <w:rPr>
          <w:rFonts w:ascii="Times New Roman" w:hAnsi="Times New Roman"/>
          <w:sz w:val="24"/>
          <w:szCs w:val="24"/>
        </w:rPr>
        <w:t>biometric</w:t>
      </w:r>
      <w:r w:rsidRPr="00667688">
        <w:rPr>
          <w:rFonts w:ascii="Times New Roman" w:hAnsi="Times New Roman"/>
          <w:sz w:val="24"/>
          <w:szCs w:val="24"/>
        </w:rPr>
        <w:t xml:space="preserve"> identifiers) </w:t>
      </w:r>
      <w:r w:rsidRPr="00667688" w:rsidR="00EB69B0">
        <w:rPr>
          <w:rFonts w:ascii="Times New Roman" w:hAnsi="Times New Roman"/>
          <w:sz w:val="24"/>
          <w:szCs w:val="24"/>
        </w:rPr>
        <w:t xml:space="preserve">or screen recordings </w:t>
      </w:r>
      <w:r w:rsidRPr="00667688">
        <w:rPr>
          <w:rFonts w:ascii="Times New Roman" w:hAnsi="Times New Roman"/>
          <w:sz w:val="24"/>
          <w:szCs w:val="24"/>
        </w:rPr>
        <w:t xml:space="preserve">may be used as a means of quality control and/or data assurance. Permission (active consent) for this type of PII is obtained from all respondents. Respondents must agree to have study activities audio recorded. Audio files are used to produce a transcript for the purpose of developing a report and then destroyed. Audio recordings, including any transcripts made from the audio recordings, will not be linked to any other </w:t>
      </w:r>
      <w:r w:rsidRPr="00667688">
        <w:rPr>
          <w:rFonts w:ascii="Times New Roman" w:hAnsi="Times New Roman"/>
          <w:sz w:val="24"/>
          <w:szCs w:val="24"/>
        </w:rPr>
        <w:t>PII</w:t>
      </w:r>
      <w:r w:rsidRPr="00667688">
        <w:rPr>
          <w:rFonts w:ascii="Times New Roman" w:hAnsi="Times New Roman"/>
          <w:sz w:val="24"/>
          <w:szCs w:val="24"/>
        </w:rPr>
        <w:t xml:space="preserve"> or transmitted</w:t>
      </w:r>
      <w:r w:rsidRPr="00667688" w:rsidR="00BB14D9">
        <w:rPr>
          <w:rFonts w:ascii="Times New Roman" w:hAnsi="Times New Roman"/>
          <w:sz w:val="24"/>
          <w:szCs w:val="24"/>
        </w:rPr>
        <w:t xml:space="preserve"> to FDA.</w:t>
      </w:r>
    </w:p>
    <w:p w:rsidR="42070676" w:rsidRPr="00667688" w:rsidP="00667688" w14:paraId="11A2EBC8" w14:textId="6C7352D4">
      <w:pPr>
        <w:spacing w:before="100" w:beforeAutospacing="1" w:after="100" w:afterAutospacing="1" w:line="240" w:lineRule="auto"/>
        <w:rPr>
          <w:rFonts w:ascii="Times New Roman" w:hAnsi="Times New Roman"/>
          <w:sz w:val="24"/>
          <w:szCs w:val="24"/>
        </w:rPr>
      </w:pPr>
      <w:r w:rsidRPr="00667688">
        <w:rPr>
          <w:rFonts w:ascii="Times New Roman" w:hAnsi="Times New Roman"/>
          <w:sz w:val="24"/>
          <w:szCs w:val="24"/>
        </w:rPr>
        <w:t>For study implementation, PII in the form of e-mail and IP addresses and/or zip codes may be collected on a</w:t>
      </w:r>
      <w:r w:rsidRPr="00667688" w:rsidR="00F470CE">
        <w:rPr>
          <w:rFonts w:ascii="Times New Roman" w:hAnsi="Times New Roman"/>
          <w:sz w:val="24"/>
          <w:szCs w:val="24"/>
        </w:rPr>
        <w:t>n</w:t>
      </w:r>
      <w:r w:rsidRPr="00667688">
        <w:rPr>
          <w:rFonts w:ascii="Times New Roman" w:hAnsi="Times New Roman"/>
          <w:sz w:val="24"/>
          <w:szCs w:val="24"/>
        </w:rPr>
        <w:t xml:space="preserve"> as needed basis for study implementation.</w:t>
      </w:r>
      <w:r w:rsidR="00574016">
        <w:rPr>
          <w:rFonts w:ascii="Times New Roman" w:hAnsi="Times New Roman"/>
          <w:sz w:val="24"/>
          <w:szCs w:val="24"/>
        </w:rPr>
        <w:t xml:space="preserve"> </w:t>
      </w:r>
      <w:r w:rsidRPr="00667688">
        <w:rPr>
          <w:rFonts w:ascii="Times New Roman" w:hAnsi="Times New Roman"/>
          <w:sz w:val="24"/>
          <w:szCs w:val="24"/>
        </w:rPr>
        <w:t xml:space="preserve">This type of PII may be checked against respondent data to avoid duplicates and reduce fraudulent activity. If multiple e-mails have the same IP address, researchers will review the data, retain the first recorded response, and remove duplicates from the final analytical dataset. Researchers may also contact respondents to convey follow-up information about the study or if there is an issue with </w:t>
      </w:r>
      <w:r w:rsidRPr="00667688" w:rsidR="006F011B">
        <w:rPr>
          <w:rFonts w:ascii="Times New Roman" w:hAnsi="Times New Roman"/>
          <w:sz w:val="24"/>
          <w:szCs w:val="24"/>
        </w:rPr>
        <w:t>token of appreciation</w:t>
      </w:r>
      <w:r w:rsidRPr="00667688">
        <w:rPr>
          <w:rFonts w:ascii="Times New Roman" w:hAnsi="Times New Roman"/>
          <w:sz w:val="24"/>
          <w:szCs w:val="24"/>
        </w:rPr>
        <w:t xml:space="preserve"> delivery. PII collected as part of the study implementation will not be included in the dataset used for analysis or maintained. There will be no secondary uses, PII will only be used to for primary study purposes.</w:t>
      </w:r>
    </w:p>
    <w:p w:rsidR="42070676" w:rsidRPr="00667688" w:rsidP="00667688" w14:paraId="75FF676E" w14:textId="035D3C15">
      <w:pPr>
        <w:spacing w:before="100" w:beforeAutospacing="1" w:after="100" w:afterAutospacing="1" w:line="240" w:lineRule="auto"/>
        <w:rPr>
          <w:rFonts w:ascii="Times New Roman" w:hAnsi="Times New Roman"/>
          <w:b/>
          <w:bCs/>
          <w:sz w:val="24"/>
          <w:szCs w:val="24"/>
        </w:rPr>
      </w:pPr>
      <w:r w:rsidRPr="00667688">
        <w:rPr>
          <w:rFonts w:ascii="Times New Roman" w:hAnsi="Times New Roman"/>
          <w:sz w:val="24"/>
          <w:szCs w:val="24"/>
        </w:rPr>
        <w:t xml:space="preserve">FDA has minimized the risk of unnecessary access, disclosure, </w:t>
      </w:r>
      <w:r w:rsidRPr="00667688" w:rsidR="00160FC3">
        <w:rPr>
          <w:rFonts w:ascii="Times New Roman" w:hAnsi="Times New Roman"/>
          <w:sz w:val="24"/>
          <w:szCs w:val="24"/>
        </w:rPr>
        <w:t xml:space="preserve">use, </w:t>
      </w:r>
      <w:r w:rsidRPr="00667688">
        <w:rPr>
          <w:rFonts w:ascii="Times New Roman" w:hAnsi="Times New Roman"/>
          <w:sz w:val="24"/>
          <w:szCs w:val="24"/>
        </w:rPr>
        <w:t xml:space="preserve">or proliferation </w:t>
      </w:r>
      <w:r w:rsidRPr="00667688" w:rsidR="00160FC3">
        <w:rPr>
          <w:rFonts w:ascii="Times New Roman" w:hAnsi="Times New Roman"/>
          <w:sz w:val="24"/>
          <w:szCs w:val="24"/>
        </w:rPr>
        <w:t xml:space="preserve">of </w:t>
      </w:r>
      <w:r w:rsidRPr="00667688">
        <w:rPr>
          <w:rFonts w:ascii="Times New Roman" w:hAnsi="Times New Roman"/>
          <w:sz w:val="24"/>
          <w:szCs w:val="24"/>
        </w:rPr>
        <w:t xml:space="preserve">PII about respondents.  FDA and other parties involved in the study </w:t>
      </w:r>
      <w:r w:rsidRPr="00667688" w:rsidR="00872F41">
        <w:rPr>
          <w:rFonts w:ascii="Times New Roman" w:hAnsi="Times New Roman"/>
          <w:sz w:val="24"/>
          <w:szCs w:val="24"/>
        </w:rPr>
        <w:t xml:space="preserve">collect and </w:t>
      </w:r>
      <w:r w:rsidRPr="00667688">
        <w:rPr>
          <w:rFonts w:ascii="Times New Roman" w:hAnsi="Times New Roman"/>
          <w:sz w:val="24"/>
          <w:szCs w:val="24"/>
        </w:rPr>
        <w:t>maintain study records containing PII only as long as required</w:t>
      </w:r>
      <w:r w:rsidRPr="00667688" w:rsidR="00872F41">
        <w:rPr>
          <w:rFonts w:ascii="Times New Roman" w:hAnsi="Times New Roman"/>
          <w:sz w:val="24"/>
          <w:szCs w:val="24"/>
        </w:rPr>
        <w:t>. For many studies th</w:t>
      </w:r>
      <w:r w:rsidRPr="00667688" w:rsidR="00160FC3">
        <w:rPr>
          <w:rFonts w:ascii="Times New Roman" w:hAnsi="Times New Roman"/>
          <w:sz w:val="24"/>
          <w:szCs w:val="24"/>
        </w:rPr>
        <w:t>e</w:t>
      </w:r>
      <w:r w:rsidRPr="00667688" w:rsidR="00872F41">
        <w:rPr>
          <w:rFonts w:ascii="Times New Roman" w:hAnsi="Times New Roman"/>
          <w:sz w:val="24"/>
          <w:szCs w:val="24"/>
        </w:rPr>
        <w:t xml:space="preserve"> information is not retained once the study is completed (e.g., email addresses needed to re-contact participants for the follow-up session of a study</w:t>
      </w:r>
      <w:r w:rsidRPr="00667688" w:rsidR="00160FC3">
        <w:rPr>
          <w:rFonts w:ascii="Times New Roman" w:hAnsi="Times New Roman"/>
          <w:sz w:val="24"/>
          <w:szCs w:val="24"/>
        </w:rPr>
        <w:t>)</w:t>
      </w:r>
      <w:r w:rsidRPr="00667688">
        <w:rPr>
          <w:rFonts w:ascii="Times New Roman" w:hAnsi="Times New Roman"/>
          <w:sz w:val="24"/>
          <w:szCs w:val="24"/>
        </w:rPr>
        <w:t xml:space="preserve">. PII is </w:t>
      </w:r>
      <w:r w:rsidRPr="00667688" w:rsidR="00872F41">
        <w:rPr>
          <w:rFonts w:ascii="Times New Roman" w:hAnsi="Times New Roman"/>
          <w:sz w:val="24"/>
          <w:szCs w:val="24"/>
        </w:rPr>
        <w:t xml:space="preserve">always </w:t>
      </w:r>
      <w:r w:rsidRPr="00667688">
        <w:rPr>
          <w:rFonts w:ascii="Times New Roman" w:hAnsi="Times New Roman"/>
          <w:sz w:val="24"/>
          <w:szCs w:val="24"/>
        </w:rPr>
        <w:t xml:space="preserve">removed </w:t>
      </w:r>
      <w:r w:rsidRPr="00667688" w:rsidR="00872F41">
        <w:rPr>
          <w:rFonts w:ascii="Times New Roman" w:hAnsi="Times New Roman"/>
          <w:sz w:val="24"/>
          <w:szCs w:val="24"/>
        </w:rPr>
        <w:t xml:space="preserve">before any data is sent to </w:t>
      </w:r>
      <w:r w:rsidRPr="00667688">
        <w:rPr>
          <w:rFonts w:ascii="Times New Roman" w:hAnsi="Times New Roman"/>
          <w:sz w:val="24"/>
          <w:szCs w:val="24"/>
        </w:rPr>
        <w:t>FDA</w:t>
      </w:r>
      <w:r w:rsidRPr="00667688" w:rsidR="00872F41">
        <w:rPr>
          <w:rFonts w:ascii="Times New Roman" w:hAnsi="Times New Roman"/>
          <w:sz w:val="24"/>
          <w:szCs w:val="24"/>
        </w:rPr>
        <w:t>. PII may be linked to data by a code, only when necessary, or more commonly full</w:t>
      </w:r>
      <w:r w:rsidRPr="00667688" w:rsidR="00EC2AB4">
        <w:rPr>
          <w:rFonts w:ascii="Times New Roman" w:hAnsi="Times New Roman"/>
          <w:sz w:val="24"/>
          <w:szCs w:val="24"/>
        </w:rPr>
        <w:t>y disassociated from the data.</w:t>
      </w:r>
    </w:p>
    <w:p w:rsidR="009F2B7B" w:rsidRPr="00667688" w:rsidP="00667688" w14:paraId="1C60C21C" w14:textId="005914FC">
      <w:pPr>
        <w:spacing w:before="100" w:beforeAutospacing="1" w:after="0" w:line="240" w:lineRule="auto"/>
        <w:rPr>
          <w:rFonts w:ascii="Times New Roman" w:hAnsi="Times New Roman"/>
          <w:b/>
          <w:sz w:val="24"/>
          <w:szCs w:val="24"/>
        </w:rPr>
      </w:pPr>
      <w:r w:rsidRPr="00667688">
        <w:rPr>
          <w:rFonts w:ascii="Times New Roman" w:hAnsi="Times New Roman"/>
          <w:b/>
          <w:sz w:val="24"/>
          <w:szCs w:val="24"/>
        </w:rPr>
        <w:t>Notice and Transparency</w:t>
      </w:r>
    </w:p>
    <w:p w:rsidR="00E65C17" w:rsidRPr="00667688" w:rsidP="00667688" w14:paraId="7486BFE4" w14:textId="0AA9DBC3">
      <w:pPr>
        <w:spacing w:before="100" w:beforeAutospacing="1" w:after="100" w:afterAutospacing="1" w:line="240" w:lineRule="auto"/>
        <w:rPr>
          <w:rFonts w:ascii="Times New Roman" w:hAnsi="Times New Roman"/>
          <w:sz w:val="24"/>
          <w:szCs w:val="24"/>
        </w:rPr>
      </w:pPr>
      <w:r w:rsidRPr="00667688">
        <w:rPr>
          <w:rFonts w:ascii="Times New Roman" w:hAnsi="Times New Roman"/>
          <w:sz w:val="24"/>
          <w:szCs w:val="24"/>
        </w:rPr>
        <w:t xml:space="preserve">Neither FDA nor direct contractors, including </w:t>
      </w:r>
      <w:r w:rsidRPr="00667688" w:rsidR="00160FC3">
        <w:rPr>
          <w:rFonts w:ascii="Times New Roman" w:hAnsi="Times New Roman"/>
          <w:sz w:val="24"/>
          <w:szCs w:val="24"/>
        </w:rPr>
        <w:t>third</w:t>
      </w:r>
      <w:r w:rsidRPr="00667688" w:rsidR="008046DF">
        <w:rPr>
          <w:rFonts w:ascii="Times New Roman" w:hAnsi="Times New Roman"/>
          <w:sz w:val="24"/>
          <w:szCs w:val="24"/>
        </w:rPr>
        <w:t xml:space="preserve"> </w:t>
      </w:r>
      <w:r w:rsidRPr="00667688">
        <w:rPr>
          <w:rFonts w:ascii="Times New Roman" w:hAnsi="Times New Roman"/>
          <w:sz w:val="24"/>
          <w:szCs w:val="24"/>
        </w:rPr>
        <w:t>parties</w:t>
      </w:r>
      <w:r w:rsidRPr="00667688" w:rsidR="00160FC3">
        <w:rPr>
          <w:rFonts w:ascii="Times New Roman" w:hAnsi="Times New Roman"/>
          <w:sz w:val="24"/>
          <w:szCs w:val="24"/>
        </w:rPr>
        <w:t>,</w:t>
      </w:r>
      <w:r w:rsidRPr="00667688">
        <w:rPr>
          <w:rFonts w:ascii="Times New Roman" w:hAnsi="Times New Roman"/>
          <w:sz w:val="24"/>
          <w:szCs w:val="24"/>
        </w:rPr>
        <w:t xml:space="preserve"> share PII gathered via this collection with any other individuals or entities.</w:t>
      </w:r>
    </w:p>
    <w:p w:rsidR="42070676" w:rsidRPr="00667688" w:rsidP="00667688" w14:paraId="31D5F974" w14:textId="1F3D71A0">
      <w:pPr>
        <w:spacing w:before="100" w:beforeAutospacing="1" w:after="100" w:afterAutospacing="1" w:line="240" w:lineRule="auto"/>
        <w:rPr>
          <w:rFonts w:ascii="Times New Roman" w:hAnsi="Times New Roman"/>
          <w:b/>
          <w:bCs/>
          <w:sz w:val="24"/>
          <w:szCs w:val="24"/>
        </w:rPr>
      </w:pPr>
      <w:r w:rsidRPr="00667688">
        <w:rPr>
          <w:rFonts w:ascii="Times New Roman" w:hAnsi="Times New Roman"/>
          <w:sz w:val="24"/>
          <w:szCs w:val="24"/>
        </w:rPr>
        <w:t xml:space="preserve">All </w:t>
      </w:r>
      <w:r w:rsidRPr="00667688" w:rsidR="00160FC3">
        <w:rPr>
          <w:rFonts w:ascii="Times New Roman" w:hAnsi="Times New Roman"/>
          <w:sz w:val="24"/>
          <w:szCs w:val="24"/>
        </w:rPr>
        <w:t>participants</w:t>
      </w:r>
      <w:r w:rsidRPr="00667688" w:rsidR="008046DF">
        <w:rPr>
          <w:rFonts w:ascii="Times New Roman" w:hAnsi="Times New Roman"/>
          <w:sz w:val="24"/>
          <w:szCs w:val="24"/>
        </w:rPr>
        <w:t xml:space="preserve"> </w:t>
      </w:r>
      <w:r w:rsidRPr="00667688">
        <w:rPr>
          <w:rFonts w:ascii="Times New Roman" w:hAnsi="Times New Roman"/>
          <w:sz w:val="24"/>
          <w:szCs w:val="24"/>
        </w:rPr>
        <w:t>are provided notice regarding the collection and use of the information they submit</w:t>
      </w:r>
      <w:r w:rsidRPr="00667688" w:rsidR="004A3B87">
        <w:rPr>
          <w:rFonts w:ascii="Times New Roman" w:hAnsi="Times New Roman"/>
          <w:sz w:val="24"/>
          <w:szCs w:val="24"/>
        </w:rPr>
        <w:t xml:space="preserve">. </w:t>
      </w:r>
      <w:r w:rsidRPr="00667688" w:rsidR="00C943A6">
        <w:rPr>
          <w:rFonts w:ascii="Times New Roman" w:hAnsi="Times New Roman"/>
          <w:sz w:val="24"/>
          <w:szCs w:val="24"/>
        </w:rPr>
        <w:t>A panel provider may collect IP addresses when participants register for the panel, but FDA does not receive IP addresses. FDA and it</w:t>
      </w:r>
      <w:r w:rsidRPr="00667688" w:rsidR="00160FC3">
        <w:rPr>
          <w:rFonts w:ascii="Times New Roman" w:hAnsi="Times New Roman"/>
          <w:sz w:val="24"/>
          <w:szCs w:val="24"/>
        </w:rPr>
        <w:t>s</w:t>
      </w:r>
      <w:r w:rsidRPr="00667688" w:rsidR="008046DF">
        <w:rPr>
          <w:rFonts w:ascii="Times New Roman" w:hAnsi="Times New Roman"/>
          <w:sz w:val="24"/>
          <w:szCs w:val="24"/>
        </w:rPr>
        <w:t xml:space="preserve"> </w:t>
      </w:r>
      <w:r w:rsidRPr="00667688" w:rsidR="00C943A6">
        <w:rPr>
          <w:rFonts w:ascii="Times New Roman" w:hAnsi="Times New Roman"/>
          <w:sz w:val="24"/>
          <w:szCs w:val="24"/>
        </w:rPr>
        <w:t xml:space="preserve">contractors will notify participants if IP addresses are recorded. </w:t>
      </w:r>
      <w:r w:rsidRPr="00667688" w:rsidR="00160FC3">
        <w:rPr>
          <w:rFonts w:ascii="Times New Roman" w:hAnsi="Times New Roman"/>
          <w:sz w:val="24"/>
          <w:szCs w:val="24"/>
        </w:rPr>
        <w:t>I</w:t>
      </w:r>
      <w:r w:rsidRPr="00667688" w:rsidR="004A3B87">
        <w:rPr>
          <w:rFonts w:ascii="Times New Roman" w:hAnsi="Times New Roman"/>
          <w:sz w:val="24"/>
          <w:szCs w:val="24"/>
        </w:rPr>
        <w:t xml:space="preserve">n some cases, FDA sponsorship </w:t>
      </w:r>
      <w:r w:rsidRPr="00667688" w:rsidR="00160FC3">
        <w:rPr>
          <w:rFonts w:ascii="Times New Roman" w:hAnsi="Times New Roman"/>
          <w:sz w:val="24"/>
          <w:szCs w:val="24"/>
        </w:rPr>
        <w:t xml:space="preserve">of the study </w:t>
      </w:r>
      <w:r w:rsidRPr="00667688" w:rsidR="004A3B87">
        <w:rPr>
          <w:rFonts w:ascii="Times New Roman" w:hAnsi="Times New Roman"/>
          <w:sz w:val="24"/>
          <w:szCs w:val="24"/>
        </w:rPr>
        <w:t>will not be made known to respondents prior to data collection out of concern for the potential introduction of bias to study results. In such cases, FDA sponsorship will be made known after the data are collected.</w:t>
      </w:r>
    </w:p>
    <w:p w:rsidR="009F2B7B" w:rsidRPr="00667688" w:rsidP="00667688" w14:paraId="0FEFB9B5" w14:textId="77777777">
      <w:pPr>
        <w:spacing w:before="100" w:beforeAutospacing="1" w:after="0" w:line="240" w:lineRule="auto"/>
        <w:rPr>
          <w:rFonts w:ascii="Times New Roman" w:hAnsi="Times New Roman"/>
          <w:b/>
          <w:sz w:val="24"/>
          <w:szCs w:val="24"/>
        </w:rPr>
      </w:pPr>
      <w:r w:rsidRPr="00667688">
        <w:rPr>
          <w:rFonts w:ascii="Times New Roman" w:hAnsi="Times New Roman"/>
          <w:b/>
          <w:sz w:val="24"/>
          <w:szCs w:val="24"/>
        </w:rPr>
        <w:t>Individual Participation and Control</w:t>
      </w:r>
    </w:p>
    <w:p w:rsidR="42070676" w:rsidRPr="00667688" w:rsidP="00667688" w14:paraId="58E6E28E" w14:textId="1C08F508">
      <w:pPr>
        <w:spacing w:before="100" w:beforeAutospacing="1" w:after="100" w:afterAutospacing="1" w:line="240" w:lineRule="auto"/>
        <w:rPr>
          <w:rFonts w:ascii="Times New Roman" w:hAnsi="Times New Roman"/>
          <w:b/>
          <w:bCs/>
          <w:sz w:val="24"/>
          <w:szCs w:val="24"/>
        </w:rPr>
      </w:pPr>
      <w:r w:rsidRPr="00667688">
        <w:rPr>
          <w:rFonts w:ascii="Times New Roman" w:hAnsi="Times New Roman"/>
          <w:sz w:val="24"/>
          <w:szCs w:val="24"/>
        </w:rPr>
        <w:t>While anonymity of respondents generally cannot be assured unless there is a statutory requirement associated with the information collection, information provided by respondents will be kept private and anonymous, to the extent allowable by law. This will be communicated to respondents by means of introductory letters, explanatory texts on the cover pages of questionnaires, scripts read prior to focus groups, telephone interviews, and consent forms.  Respondents also will be advised of the following: the nature of the activity; the purpose and use of the data collected; FDA s</w:t>
      </w:r>
      <w:r w:rsidRPr="00667688" w:rsidR="00EC2AB4">
        <w:rPr>
          <w:rFonts w:ascii="Times New Roman" w:hAnsi="Times New Roman"/>
          <w:sz w:val="24"/>
          <w:szCs w:val="24"/>
        </w:rPr>
        <w:t xml:space="preserve">ponsorship (when appropriate); </w:t>
      </w:r>
      <w:r w:rsidRPr="00667688">
        <w:rPr>
          <w:rFonts w:ascii="Times New Roman" w:hAnsi="Times New Roman"/>
          <w:sz w:val="24"/>
          <w:szCs w:val="24"/>
        </w:rPr>
        <w:t xml:space="preserve">and the fact that participation </w:t>
      </w:r>
      <w:r w:rsidRPr="00667688" w:rsidR="00881623">
        <w:rPr>
          <w:rFonts w:ascii="Times New Roman" w:hAnsi="Times New Roman"/>
          <w:sz w:val="24"/>
          <w:szCs w:val="24"/>
        </w:rPr>
        <w:t>is always voluntary</w:t>
      </w:r>
      <w:r w:rsidRPr="00667688">
        <w:rPr>
          <w:rFonts w:ascii="Times New Roman" w:hAnsi="Times New Roman"/>
          <w:sz w:val="24"/>
          <w:szCs w:val="24"/>
        </w:rPr>
        <w:t>. Because responses are voluntary, respondents will be assured there will be no penalties if they decide not to respond</w:t>
      </w:r>
      <w:r w:rsidRPr="00667688" w:rsidR="008046DF">
        <w:rPr>
          <w:rFonts w:ascii="Times New Roman" w:hAnsi="Times New Roman"/>
          <w:sz w:val="24"/>
          <w:szCs w:val="24"/>
        </w:rPr>
        <w:t xml:space="preserve"> </w:t>
      </w:r>
      <w:r w:rsidRPr="00667688">
        <w:rPr>
          <w:rFonts w:ascii="Times New Roman" w:hAnsi="Times New Roman"/>
          <w:sz w:val="24"/>
          <w:szCs w:val="24"/>
        </w:rPr>
        <w:t xml:space="preserve">to the information collection as a whole or to any </w:t>
      </w:r>
      <w:r w:rsidRPr="00667688" w:rsidR="00881623">
        <w:rPr>
          <w:rFonts w:ascii="Times New Roman" w:hAnsi="Times New Roman"/>
          <w:sz w:val="24"/>
          <w:szCs w:val="24"/>
        </w:rPr>
        <w:t>questions</w:t>
      </w:r>
      <w:r w:rsidRPr="00667688">
        <w:rPr>
          <w:rFonts w:ascii="Times New Roman" w:hAnsi="Times New Roman"/>
          <w:sz w:val="24"/>
          <w:szCs w:val="24"/>
        </w:rPr>
        <w:t>.</w:t>
      </w:r>
    </w:p>
    <w:p w:rsidR="00336C57" w:rsidRPr="00667688" w:rsidP="00667688" w14:paraId="20BF31A4" w14:textId="7B767EB4">
      <w:pPr>
        <w:spacing w:before="100" w:beforeAutospacing="1" w:after="100" w:afterAutospacing="1" w:line="240" w:lineRule="auto"/>
        <w:rPr>
          <w:rFonts w:ascii="Times New Roman" w:hAnsi="Times New Roman"/>
          <w:b/>
          <w:sz w:val="24"/>
          <w:szCs w:val="24"/>
        </w:rPr>
      </w:pPr>
      <w:r w:rsidRPr="00667688">
        <w:rPr>
          <w:rFonts w:ascii="Times New Roman" w:hAnsi="Times New Roman"/>
          <w:b/>
          <w:sz w:val="24"/>
          <w:szCs w:val="24"/>
        </w:rPr>
        <w:t>Data Security</w:t>
      </w:r>
    </w:p>
    <w:p w:rsidR="00B01A8A" w:rsidRPr="00667688" w:rsidP="00667688" w14:paraId="38859172" w14:textId="0BE7B329">
      <w:pPr>
        <w:spacing w:before="100" w:beforeAutospacing="1" w:after="100" w:afterAutospacing="1" w:line="240" w:lineRule="auto"/>
        <w:rPr>
          <w:rFonts w:ascii="Times New Roman" w:hAnsi="Times New Roman"/>
          <w:sz w:val="24"/>
          <w:szCs w:val="24"/>
        </w:rPr>
      </w:pPr>
      <w:r w:rsidRPr="00667688">
        <w:rPr>
          <w:rFonts w:ascii="Times New Roman" w:hAnsi="Times New Roman"/>
          <w:sz w:val="24"/>
          <w:szCs w:val="24"/>
        </w:rPr>
        <w:t>Contractors are required to maintain appropriate administrative, technical</w:t>
      </w:r>
      <w:r w:rsidRPr="00667688" w:rsidR="00160FC3">
        <w:rPr>
          <w:rFonts w:ascii="Times New Roman" w:hAnsi="Times New Roman"/>
          <w:sz w:val="24"/>
          <w:szCs w:val="24"/>
        </w:rPr>
        <w:t>,</w:t>
      </w:r>
      <w:r w:rsidRPr="00667688">
        <w:rPr>
          <w:rFonts w:ascii="Times New Roman" w:hAnsi="Times New Roman"/>
          <w:sz w:val="24"/>
          <w:szCs w:val="24"/>
        </w:rPr>
        <w:t xml:space="preserve"> and physical safeguards to ensure the security and confidentiality of </w:t>
      </w:r>
      <w:r w:rsidRPr="00667688" w:rsidR="00160FC3">
        <w:rPr>
          <w:rFonts w:ascii="Times New Roman" w:hAnsi="Times New Roman"/>
          <w:sz w:val="24"/>
          <w:szCs w:val="24"/>
        </w:rPr>
        <w:t>collected data</w:t>
      </w:r>
      <w:r w:rsidRPr="00667688">
        <w:rPr>
          <w:rFonts w:ascii="Times New Roman" w:hAnsi="Times New Roman"/>
          <w:sz w:val="24"/>
          <w:szCs w:val="24"/>
        </w:rPr>
        <w:t xml:space="preserve">. User roles and responsibilities will determine the type and content </w:t>
      </w:r>
      <w:r w:rsidRPr="00667688" w:rsidR="00C446C8">
        <w:rPr>
          <w:rFonts w:ascii="Times New Roman" w:hAnsi="Times New Roman"/>
          <w:sz w:val="24"/>
          <w:szCs w:val="24"/>
        </w:rPr>
        <w:t xml:space="preserve">of </w:t>
      </w:r>
      <w:r w:rsidRPr="00667688">
        <w:rPr>
          <w:rFonts w:ascii="Times New Roman" w:hAnsi="Times New Roman"/>
          <w:sz w:val="24"/>
          <w:szCs w:val="24"/>
        </w:rPr>
        <w:t xml:space="preserve">data </w:t>
      </w:r>
      <w:r w:rsidRPr="00667688" w:rsidR="00C446C8">
        <w:rPr>
          <w:rFonts w:ascii="Times New Roman" w:hAnsi="Times New Roman"/>
          <w:sz w:val="24"/>
          <w:szCs w:val="24"/>
        </w:rPr>
        <w:t>access</w:t>
      </w:r>
      <w:r w:rsidRPr="00667688">
        <w:rPr>
          <w:rFonts w:ascii="Times New Roman" w:hAnsi="Times New Roman"/>
          <w:sz w:val="24"/>
          <w:szCs w:val="24"/>
        </w:rPr>
        <w:t xml:space="preserve"> necessary for job function (both PII and non-PII). Role-based access will determine who will </w:t>
      </w:r>
      <w:r w:rsidRPr="00667688" w:rsidR="00C446C8">
        <w:rPr>
          <w:rFonts w:ascii="Times New Roman" w:hAnsi="Times New Roman"/>
          <w:sz w:val="24"/>
          <w:szCs w:val="24"/>
        </w:rPr>
        <w:t xml:space="preserve">have </w:t>
      </w:r>
      <w:r w:rsidRPr="00667688">
        <w:rPr>
          <w:rFonts w:ascii="Times New Roman" w:hAnsi="Times New Roman"/>
          <w:sz w:val="24"/>
          <w:szCs w:val="24"/>
        </w:rPr>
        <w:t>access to PII on an as needed basis.</w:t>
      </w:r>
      <w:r w:rsidRPr="00667688" w:rsidR="00AF7005">
        <w:rPr>
          <w:rFonts w:ascii="Times New Roman" w:hAnsi="Times New Roman"/>
          <w:sz w:val="24"/>
          <w:szCs w:val="24"/>
        </w:rPr>
        <w:t xml:space="preserve"> </w:t>
      </w:r>
      <w:r w:rsidRPr="00667688">
        <w:rPr>
          <w:rFonts w:ascii="Times New Roman" w:hAnsi="Times New Roman"/>
          <w:sz w:val="24"/>
          <w:szCs w:val="24"/>
        </w:rPr>
        <w:t>Access to the system is restricted on the business need to ensure minimum extent necessary.</w:t>
      </w:r>
    </w:p>
    <w:p w:rsidR="00B01A8A" w:rsidRPr="00667688" w:rsidP="00667688" w14:paraId="772993A2" w14:textId="2C02443F">
      <w:pPr>
        <w:spacing w:before="100" w:beforeAutospacing="1" w:after="100" w:afterAutospacing="1" w:line="240" w:lineRule="auto"/>
        <w:rPr>
          <w:rFonts w:ascii="Times New Roman" w:hAnsi="Times New Roman"/>
          <w:sz w:val="24"/>
          <w:szCs w:val="24"/>
        </w:rPr>
      </w:pPr>
      <w:r w:rsidRPr="00667688">
        <w:rPr>
          <w:rFonts w:ascii="Times New Roman" w:hAnsi="Times New Roman"/>
          <w:sz w:val="24"/>
          <w:szCs w:val="24"/>
        </w:rPr>
        <w:t>Only personnel from a contractor conducting the information collection will have access to focus group or interview data. All project staff from a contractor conducting the information collection must take required measures to ensure the privacy and anonymity of data. PII will be limited to information that may be required in the process of respondent enrollment. PII will be accessible to contractors on an as needed basis</w:t>
      </w:r>
      <w:r w:rsidRPr="00667688" w:rsidR="00C446C8">
        <w:rPr>
          <w:rFonts w:ascii="Times New Roman" w:hAnsi="Times New Roman"/>
          <w:sz w:val="24"/>
          <w:szCs w:val="24"/>
        </w:rPr>
        <w:t xml:space="preserve"> </w:t>
      </w:r>
      <w:r w:rsidRPr="00667688">
        <w:rPr>
          <w:rFonts w:ascii="Times New Roman" w:hAnsi="Times New Roman"/>
          <w:sz w:val="24"/>
          <w:szCs w:val="24"/>
        </w:rPr>
        <w:t xml:space="preserve">and will not be linked to interview data. All PII will be </w:t>
      </w:r>
      <w:r w:rsidRPr="00667688">
        <w:rPr>
          <w:rFonts w:ascii="Times New Roman" w:hAnsi="Times New Roman"/>
          <w:sz w:val="24"/>
          <w:szCs w:val="24"/>
        </w:rPr>
        <w:t>destroyed following data collection at the completion of the study. Neither FDA employees nor any Federal employee of an</w:t>
      </w:r>
      <w:r w:rsidRPr="00667688" w:rsidR="00C446C8">
        <w:rPr>
          <w:rFonts w:ascii="Times New Roman" w:hAnsi="Times New Roman"/>
          <w:sz w:val="24"/>
          <w:szCs w:val="24"/>
        </w:rPr>
        <w:t>other</w:t>
      </w:r>
      <w:r w:rsidRPr="00667688">
        <w:rPr>
          <w:rFonts w:ascii="Times New Roman" w:hAnsi="Times New Roman"/>
          <w:sz w:val="24"/>
          <w:szCs w:val="24"/>
        </w:rPr>
        <w:t xml:space="preserve"> agency will have access to this information. </w:t>
      </w:r>
      <w:r w:rsidRPr="00667688" w:rsidR="00EB69B0">
        <w:rPr>
          <w:rFonts w:ascii="Times New Roman" w:hAnsi="Times New Roman"/>
          <w:sz w:val="24"/>
          <w:szCs w:val="24"/>
        </w:rPr>
        <w:t>Transcripts and reco</w:t>
      </w:r>
      <w:r w:rsidRPr="00667688" w:rsidR="00D42D98">
        <w:rPr>
          <w:rFonts w:ascii="Times New Roman" w:hAnsi="Times New Roman"/>
          <w:sz w:val="24"/>
          <w:szCs w:val="24"/>
        </w:rPr>
        <w:t>rdings will be de-identified pr</w:t>
      </w:r>
      <w:r w:rsidRPr="00667688" w:rsidR="006F354B">
        <w:rPr>
          <w:rFonts w:ascii="Times New Roman" w:hAnsi="Times New Roman"/>
          <w:sz w:val="24"/>
          <w:szCs w:val="24"/>
        </w:rPr>
        <w:t xml:space="preserve">ior to submission to the government. </w:t>
      </w:r>
    </w:p>
    <w:p w:rsidR="00B01A8A" w:rsidRPr="00667688" w:rsidP="00667688" w14:paraId="523C55C5" w14:textId="377BB2C0">
      <w:pPr>
        <w:spacing w:before="100" w:beforeAutospacing="1" w:after="100" w:afterAutospacing="1" w:line="240" w:lineRule="auto"/>
        <w:rPr>
          <w:rFonts w:ascii="Times New Roman" w:hAnsi="Times New Roman"/>
          <w:sz w:val="24"/>
          <w:szCs w:val="24"/>
        </w:rPr>
      </w:pPr>
      <w:r w:rsidRPr="00667688">
        <w:rPr>
          <w:rFonts w:ascii="Times New Roman" w:hAnsi="Times New Roman"/>
          <w:sz w:val="24"/>
          <w:szCs w:val="24"/>
        </w:rPr>
        <w:t>All electronic and hard copy data will be maintained securely throughout the information collection and data processing phases. While under review, electronic data will be stored in locked files on secured computers and hard copy data will be maintained in secure building facilities in locked filing cabinets. As a further guarantee of privacy and anonymity, all presentation of data in reports will be in aggregate form, with no links to individuals. Reports will be used only for research purposes and for the development of communication messages.</w:t>
      </w:r>
    </w:p>
    <w:p w:rsidR="001E257F" w:rsidRPr="00667688" w:rsidP="00667688" w14:paraId="7AD2AEFC" w14:textId="1239C907">
      <w:pPr>
        <w:spacing w:before="100" w:beforeAutospacing="1" w:after="100" w:afterAutospacing="1" w:line="240" w:lineRule="auto"/>
        <w:rPr>
          <w:rFonts w:ascii="Times New Roman" w:hAnsi="Times New Roman"/>
          <w:sz w:val="24"/>
          <w:szCs w:val="24"/>
        </w:rPr>
      </w:pPr>
      <w:r w:rsidRPr="00667688">
        <w:rPr>
          <w:rFonts w:ascii="Times New Roman" w:hAnsi="Times New Roman"/>
          <w:sz w:val="24"/>
          <w:szCs w:val="24"/>
        </w:rPr>
        <w:t>Before data are collected, FDA researchers will obtain either an exemption or a full approval for all research from FDA’s In</w:t>
      </w:r>
      <w:r w:rsidRPr="00667688" w:rsidR="00C446C8">
        <w:rPr>
          <w:rFonts w:ascii="Times New Roman" w:hAnsi="Times New Roman"/>
          <w:sz w:val="24"/>
          <w:szCs w:val="24"/>
        </w:rPr>
        <w:t xml:space="preserve">stitutional </w:t>
      </w:r>
      <w:r w:rsidRPr="00667688">
        <w:rPr>
          <w:rFonts w:ascii="Times New Roman" w:hAnsi="Times New Roman"/>
          <w:sz w:val="24"/>
          <w:szCs w:val="24"/>
        </w:rPr>
        <w:t>Review Board (</w:t>
      </w:r>
      <w:r w:rsidRPr="00667688" w:rsidR="00C446C8">
        <w:rPr>
          <w:rFonts w:ascii="Times New Roman" w:hAnsi="Times New Roman"/>
          <w:sz w:val="24"/>
          <w:szCs w:val="24"/>
        </w:rPr>
        <w:t xml:space="preserve">FDA </w:t>
      </w:r>
      <w:r w:rsidRPr="00667688">
        <w:rPr>
          <w:rFonts w:ascii="Times New Roman" w:hAnsi="Times New Roman"/>
          <w:sz w:val="24"/>
          <w:szCs w:val="24"/>
        </w:rPr>
        <w:t>IRB)</w:t>
      </w:r>
      <w:r w:rsidRPr="00667688" w:rsidR="00C446C8">
        <w:rPr>
          <w:rFonts w:ascii="Times New Roman" w:hAnsi="Times New Roman"/>
          <w:sz w:val="24"/>
          <w:szCs w:val="24"/>
        </w:rPr>
        <w:t>.</w:t>
      </w:r>
    </w:p>
    <w:p w:rsidR="001E257F" w:rsidRPr="00667688" w:rsidP="00667688" w14:paraId="7F8FF58D" w14:textId="3D7C485E">
      <w:pPr>
        <w:spacing w:after="0" w:line="240" w:lineRule="auto"/>
        <w:rPr>
          <w:rFonts w:ascii="Times New Roman" w:hAnsi="Times New Roman"/>
          <w:sz w:val="24"/>
          <w:szCs w:val="24"/>
        </w:rPr>
      </w:pPr>
      <w:r w:rsidRPr="00667688">
        <w:rPr>
          <w:rFonts w:ascii="Times New Roman" w:hAnsi="Times New Roman"/>
          <w:sz w:val="24"/>
          <w:szCs w:val="24"/>
        </w:rPr>
        <w:t xml:space="preserve">Minors (or children) are persons who have not attained the legal age for consent to treatments or procedures described in the study are covered under the applicable law of the jurisdiction in which the research will be conducted. Where FDA’s IRB </w:t>
      </w:r>
      <w:r w:rsidRPr="00667688" w:rsidR="00EC2AB4">
        <w:rPr>
          <w:rFonts w:ascii="Times New Roman" w:hAnsi="Times New Roman"/>
          <w:sz w:val="24"/>
          <w:szCs w:val="24"/>
        </w:rPr>
        <w:t xml:space="preserve">determines </w:t>
      </w:r>
      <w:r w:rsidRPr="00667688">
        <w:rPr>
          <w:rFonts w:ascii="Times New Roman" w:hAnsi="Times New Roman"/>
          <w:sz w:val="24"/>
          <w:szCs w:val="24"/>
        </w:rPr>
        <w:t xml:space="preserve">that minors </w:t>
      </w:r>
      <w:r w:rsidRPr="00667688">
        <w:rPr>
          <w:rFonts w:ascii="Times New Roman" w:hAnsi="Times New Roman"/>
          <w:sz w:val="24"/>
          <w:szCs w:val="24"/>
        </w:rPr>
        <w:t>are capable of giving</w:t>
      </w:r>
      <w:r w:rsidRPr="00667688">
        <w:rPr>
          <w:rFonts w:ascii="Times New Roman" w:hAnsi="Times New Roman"/>
          <w:sz w:val="24"/>
          <w:szCs w:val="24"/>
        </w:rPr>
        <w:t xml:space="preserve"> assent, the IRB will determine whether adequate provisions are made for soliciting assent.  Generally, assent to the research requires securing the signature of a minor in a separate assent form, in addition to the consent form the parent or legal guardian signs. An assent document should contain an explanation of the study, a description of what is required of the subject (e.g., what the child will experience (in what setting the interview or focus group will take place, whether the child's parents will be with him or her, etc.)), an explanation of any risks or mental anguish associated with the study topic, and an explanation of the benefits to the child or others.</w:t>
      </w:r>
    </w:p>
    <w:p w:rsidR="00A31674" w:rsidRPr="00667688" w:rsidP="00667688" w14:paraId="5CA2DCB0" w14:textId="2C60D491">
      <w:pPr>
        <w:spacing w:before="100" w:beforeAutospacing="1" w:after="100" w:afterAutospacing="1" w:line="240" w:lineRule="auto"/>
        <w:rPr>
          <w:rFonts w:ascii="Times New Roman" w:hAnsi="Times New Roman"/>
          <w:sz w:val="24"/>
          <w:szCs w:val="24"/>
        </w:rPr>
      </w:pPr>
      <w:r w:rsidRPr="00667688">
        <w:rPr>
          <w:rFonts w:ascii="Times New Roman" w:hAnsi="Times New Roman"/>
          <w:sz w:val="24"/>
          <w:szCs w:val="24"/>
        </w:rPr>
        <w:t xml:space="preserve">Administrative safeguards include user training; system documentation that advises on proper use; implementation of Need to Know and Minimum Necessary principles when awarding access, and others. Technical Safeguards include use of multi-factor access authentication, firewalls, and network monitoring and intrusion detection tools. Physical controls include that all system servers are located at facilities protected by guards, locked facility doors, and climate controls. </w:t>
      </w:r>
    </w:p>
    <w:p w:rsidR="00813BF8" w:rsidRPr="00667688" w:rsidP="00667688" w14:paraId="360C7280" w14:textId="77777777">
      <w:pPr>
        <w:spacing w:after="0" w:line="240" w:lineRule="auto"/>
        <w:rPr>
          <w:rFonts w:ascii="Times New Roman" w:hAnsi="Times New Roman"/>
          <w:sz w:val="24"/>
          <w:szCs w:val="24"/>
          <w:u w:val="single"/>
        </w:rPr>
      </w:pPr>
      <w:r w:rsidRPr="00667688">
        <w:rPr>
          <w:rFonts w:ascii="Times New Roman" w:hAnsi="Times New Roman"/>
          <w:sz w:val="24"/>
          <w:szCs w:val="24"/>
        </w:rPr>
        <w:t xml:space="preserve">11.  </w:t>
      </w:r>
      <w:r w:rsidRPr="00667688">
        <w:rPr>
          <w:rFonts w:ascii="Times New Roman" w:hAnsi="Times New Roman"/>
          <w:sz w:val="24"/>
          <w:szCs w:val="24"/>
          <w:u w:val="single"/>
        </w:rPr>
        <w:t>Justification for Sensitive Questions</w:t>
      </w:r>
    </w:p>
    <w:p w:rsidR="009068FC" w:rsidRPr="00667688" w:rsidP="00667688" w14:paraId="16917111" w14:textId="77777777">
      <w:pPr>
        <w:spacing w:after="0" w:line="240" w:lineRule="auto"/>
        <w:rPr>
          <w:rFonts w:ascii="Times New Roman" w:hAnsi="Times New Roman"/>
          <w:b/>
          <w:sz w:val="24"/>
          <w:szCs w:val="24"/>
          <w:u w:val="single"/>
        </w:rPr>
      </w:pPr>
    </w:p>
    <w:p w:rsidR="002C4F0B" w:rsidRPr="00667688" w:rsidP="00667688" w14:paraId="64AB6779" w14:textId="2DBBF285">
      <w:pPr>
        <w:spacing w:after="0" w:line="240" w:lineRule="auto"/>
        <w:rPr>
          <w:rFonts w:ascii="Times New Roman" w:hAnsi="Times New Roman"/>
          <w:sz w:val="24"/>
          <w:szCs w:val="24"/>
        </w:rPr>
      </w:pPr>
      <w:r w:rsidRPr="00667688">
        <w:rPr>
          <w:rFonts w:ascii="Times New Roman" w:hAnsi="Times New Roman"/>
          <w:sz w:val="24"/>
          <w:szCs w:val="24"/>
        </w:rPr>
        <w:t xml:space="preserve">Some studies require the inclusion of people who match selected characteristics of the audience that FDA is trying to reach. </w:t>
      </w:r>
      <w:r w:rsidRPr="00667688" w:rsidR="00506995">
        <w:rPr>
          <w:rFonts w:ascii="Times New Roman" w:hAnsi="Times New Roman"/>
          <w:sz w:val="24"/>
          <w:szCs w:val="24"/>
        </w:rPr>
        <w:t>Efforts to match characteristics</w:t>
      </w:r>
      <w:r w:rsidRPr="00667688">
        <w:rPr>
          <w:rFonts w:ascii="Times New Roman" w:hAnsi="Times New Roman"/>
          <w:sz w:val="24"/>
          <w:szCs w:val="24"/>
        </w:rPr>
        <w:t xml:space="preserve"> may require </w:t>
      </w:r>
      <w:r w:rsidRPr="00667688" w:rsidR="00881623">
        <w:rPr>
          <w:rFonts w:ascii="Times New Roman" w:hAnsi="Times New Roman"/>
          <w:sz w:val="24"/>
          <w:szCs w:val="24"/>
        </w:rPr>
        <w:t>asking questions</w:t>
      </w:r>
      <w:r w:rsidRPr="00667688" w:rsidR="655E3E36">
        <w:rPr>
          <w:rFonts w:ascii="Times New Roman" w:hAnsi="Times New Roman"/>
          <w:sz w:val="24"/>
          <w:szCs w:val="24"/>
        </w:rPr>
        <w:t xml:space="preserve"> that may be considered sensitive, such as</w:t>
      </w:r>
      <w:r w:rsidRPr="00667688">
        <w:rPr>
          <w:rFonts w:ascii="Times New Roman" w:hAnsi="Times New Roman"/>
          <w:sz w:val="24"/>
          <w:szCs w:val="24"/>
        </w:rPr>
        <w:t xml:space="preserve"> about race</w:t>
      </w:r>
      <w:r w:rsidRPr="00667688" w:rsidR="02D3471F">
        <w:rPr>
          <w:rFonts w:ascii="Times New Roman" w:hAnsi="Times New Roman"/>
          <w:sz w:val="24"/>
          <w:szCs w:val="24"/>
        </w:rPr>
        <w:t xml:space="preserve"> and </w:t>
      </w:r>
      <w:r w:rsidRPr="00667688">
        <w:rPr>
          <w:rFonts w:ascii="Times New Roman" w:hAnsi="Times New Roman"/>
          <w:sz w:val="24"/>
          <w:szCs w:val="24"/>
        </w:rPr>
        <w:t>ethnicity, income, education</w:t>
      </w:r>
      <w:r w:rsidRPr="00667688" w:rsidR="44B0B0CF">
        <w:rPr>
          <w:rFonts w:ascii="Times New Roman" w:hAnsi="Times New Roman"/>
          <w:sz w:val="24"/>
          <w:szCs w:val="24"/>
        </w:rPr>
        <w:t>, sexual orientation, gender identity,</w:t>
      </w:r>
      <w:r w:rsidRPr="00667688">
        <w:rPr>
          <w:rFonts w:ascii="Times New Roman" w:hAnsi="Times New Roman"/>
          <w:sz w:val="24"/>
          <w:szCs w:val="24"/>
        </w:rPr>
        <w:t xml:space="preserve"> and/or health status on the initial screening questionnaire used for recruiting. Potential participants are informed that this is being done to make sure that FDA speaks with the kinds of people for whom its messages are intended. Again, respondents are assured that the information is voluntary and will be treated as private and anonymous. All information on race/ethnicity will comply fully with the standards of </w:t>
      </w:r>
      <w:r w:rsidR="00E53407">
        <w:rPr>
          <w:rFonts w:ascii="Times New Roman" w:hAnsi="Times New Roman"/>
          <w:sz w:val="24"/>
          <w:szCs w:val="24"/>
        </w:rPr>
        <w:t xml:space="preserve">revised </w:t>
      </w:r>
      <w:r w:rsidRPr="00667688">
        <w:rPr>
          <w:rFonts w:ascii="Times New Roman" w:hAnsi="Times New Roman"/>
          <w:sz w:val="24"/>
          <w:szCs w:val="24"/>
        </w:rPr>
        <w:t>OMB Statistical Policy Directive No. 15,(</w:t>
      </w:r>
      <w:hyperlink r:id="rId9" w:history="1">
        <w:r w:rsidRPr="00E27AF5" w:rsidR="00D44EF5">
          <w:rPr>
            <w:rStyle w:val="Hyperlink"/>
            <w:rFonts w:ascii="Times New Roman" w:hAnsi="Times New Roman"/>
            <w:sz w:val="24"/>
            <w:szCs w:val="24"/>
          </w:rPr>
          <w:t>https://www.federalregister.gov/documents/2024/03/29/2024-06469/revisions-to-ombs-statistical-policy-directive-no-15-standards-for-maintaining-collecting-and</w:t>
        </w:r>
      </w:hyperlink>
      <w:r w:rsidRPr="00667688">
        <w:rPr>
          <w:rFonts w:ascii="Times New Roman" w:hAnsi="Times New Roman"/>
          <w:sz w:val="24"/>
          <w:szCs w:val="24"/>
        </w:rPr>
        <w:t>).</w:t>
      </w:r>
    </w:p>
    <w:p w:rsidR="005A6A13" w:rsidRPr="00667688" w:rsidP="00667688" w14:paraId="1EAD860B" w14:textId="77777777">
      <w:pPr>
        <w:spacing w:after="0" w:line="240" w:lineRule="auto"/>
        <w:rPr>
          <w:rFonts w:ascii="Times New Roman" w:hAnsi="Times New Roman"/>
          <w:sz w:val="24"/>
          <w:szCs w:val="24"/>
        </w:rPr>
      </w:pPr>
    </w:p>
    <w:p w:rsidR="002C4F0B" w:rsidRPr="00667688" w:rsidP="00667688" w14:paraId="01FC1BDB" w14:textId="64CD92FC">
      <w:pPr>
        <w:spacing w:line="240" w:lineRule="auto"/>
        <w:rPr>
          <w:rFonts w:ascii="Times New Roman" w:hAnsi="Times New Roman"/>
          <w:sz w:val="24"/>
          <w:szCs w:val="24"/>
        </w:rPr>
      </w:pPr>
      <w:r w:rsidRPr="00667688">
        <w:rPr>
          <w:rFonts w:ascii="Times New Roman" w:hAnsi="Times New Roman"/>
          <w:sz w:val="24"/>
          <w:szCs w:val="24"/>
        </w:rPr>
        <w:t xml:space="preserve">Because FDA </w:t>
      </w:r>
      <w:r w:rsidRPr="00667688" w:rsidR="009F44A0">
        <w:rPr>
          <w:rFonts w:ascii="Times New Roman" w:hAnsi="Times New Roman"/>
          <w:sz w:val="24"/>
          <w:szCs w:val="24"/>
        </w:rPr>
        <w:t xml:space="preserve">research activities </w:t>
      </w:r>
      <w:r w:rsidRPr="00667688">
        <w:rPr>
          <w:rFonts w:ascii="Times New Roman" w:hAnsi="Times New Roman"/>
          <w:sz w:val="24"/>
          <w:szCs w:val="24"/>
        </w:rPr>
        <w:t xml:space="preserve">may be concerned with the prevention of premature mortality </w:t>
      </w:r>
      <w:r w:rsidRPr="00667688" w:rsidR="00C875EB">
        <w:rPr>
          <w:rFonts w:ascii="Times New Roman" w:hAnsi="Times New Roman"/>
          <w:sz w:val="24"/>
          <w:szCs w:val="24"/>
        </w:rPr>
        <w:t>or</w:t>
      </w:r>
      <w:r w:rsidRPr="00667688" w:rsidR="00234273">
        <w:rPr>
          <w:rFonts w:ascii="Times New Roman" w:hAnsi="Times New Roman"/>
          <w:sz w:val="24"/>
          <w:szCs w:val="24"/>
        </w:rPr>
        <w:t xml:space="preserve"> morbidity or </w:t>
      </w:r>
      <w:r w:rsidRPr="00667688" w:rsidR="00C875EB">
        <w:rPr>
          <w:rFonts w:ascii="Times New Roman" w:hAnsi="Times New Roman"/>
          <w:sz w:val="24"/>
          <w:szCs w:val="24"/>
        </w:rPr>
        <w:t>other risks from tobacco use</w:t>
      </w:r>
      <w:r w:rsidRPr="00667688">
        <w:rPr>
          <w:rFonts w:ascii="Times New Roman" w:hAnsi="Times New Roman"/>
          <w:sz w:val="24"/>
          <w:szCs w:val="24"/>
        </w:rPr>
        <w:t>, some projects</w:t>
      </w:r>
      <w:r w:rsidRPr="00667688" w:rsidR="00234273">
        <w:rPr>
          <w:rFonts w:ascii="Times New Roman" w:hAnsi="Times New Roman"/>
          <w:sz w:val="24"/>
          <w:szCs w:val="24"/>
        </w:rPr>
        <w:t xml:space="preserve"> </w:t>
      </w:r>
      <w:r w:rsidRPr="00667688">
        <w:rPr>
          <w:rFonts w:ascii="Times New Roman" w:hAnsi="Times New Roman"/>
          <w:sz w:val="24"/>
          <w:szCs w:val="24"/>
        </w:rPr>
        <w:t xml:space="preserve">may involve asking questions about (or discussing) how one perceives his/her own personal risk for serious illness. This information is needed to gain a better understanding of </w:t>
      </w:r>
      <w:r w:rsidR="00F01A68">
        <w:rPr>
          <w:rFonts w:ascii="Times New Roman" w:hAnsi="Times New Roman"/>
          <w:sz w:val="24"/>
          <w:szCs w:val="24"/>
        </w:rPr>
        <w:t xml:space="preserve">various </w:t>
      </w:r>
      <w:r w:rsidRPr="00667688">
        <w:rPr>
          <w:rFonts w:ascii="Times New Roman" w:hAnsi="Times New Roman"/>
          <w:sz w:val="24"/>
          <w:szCs w:val="24"/>
        </w:rPr>
        <w:t>audience</w:t>
      </w:r>
      <w:r w:rsidR="00F01A68">
        <w:rPr>
          <w:rFonts w:ascii="Times New Roman" w:hAnsi="Times New Roman"/>
          <w:sz w:val="24"/>
          <w:szCs w:val="24"/>
        </w:rPr>
        <w:t>s</w:t>
      </w:r>
      <w:r w:rsidRPr="00667688">
        <w:rPr>
          <w:rFonts w:ascii="Times New Roman" w:hAnsi="Times New Roman"/>
          <w:sz w:val="24"/>
          <w:szCs w:val="24"/>
        </w:rPr>
        <w:t xml:space="preserve"> so that the messages, strategies, and materials designed will be appropriate and sensitive. Questions of this nature, while not as personal as those about sexual behavior or religious beliefs, still require some sensitivity in how they are worded and approached. In face-to-face data collections, questions of this kind are generally asked later in the interview or group discussion, when respondents are more comfortable with the interview situation and are more at ease with the interviewer/moderator.  Participants are informed prior to actual participation about the nature of the activity and the voluntary nature of their participation. The interviewer/moderator makes it clear that they do not have to respond to any question that makes them uncomfortable.</w:t>
      </w:r>
    </w:p>
    <w:p w:rsidR="002C4F0B" w:rsidRPr="00667688" w:rsidP="00667688" w14:paraId="3FC55B74" w14:textId="5EB2A8EC">
      <w:pPr>
        <w:spacing w:line="240" w:lineRule="auto"/>
        <w:rPr>
          <w:rFonts w:ascii="Times New Roman" w:hAnsi="Times New Roman"/>
          <w:sz w:val="24"/>
          <w:szCs w:val="24"/>
        </w:rPr>
      </w:pPr>
      <w:r w:rsidRPr="00667688">
        <w:rPr>
          <w:rFonts w:ascii="Times New Roman" w:hAnsi="Times New Roman"/>
          <w:sz w:val="24"/>
          <w:szCs w:val="24"/>
        </w:rPr>
        <w:t xml:space="preserve">FDA tobacco </w:t>
      </w:r>
      <w:r w:rsidRPr="00667688" w:rsidR="009F44A0">
        <w:rPr>
          <w:rFonts w:ascii="Times New Roman" w:hAnsi="Times New Roman"/>
          <w:sz w:val="24"/>
          <w:szCs w:val="24"/>
        </w:rPr>
        <w:t xml:space="preserve">research and communications </w:t>
      </w:r>
      <w:r w:rsidRPr="00667688">
        <w:rPr>
          <w:rFonts w:ascii="Times New Roman" w:hAnsi="Times New Roman"/>
          <w:sz w:val="24"/>
          <w:szCs w:val="24"/>
        </w:rPr>
        <w:t>may also be concerned with discouraging tobacco use by adolescents before they start. FDA acknowledges the sensitivity of questions about the purchase and use of tobacco, which is</w:t>
      </w:r>
      <w:r w:rsidRPr="00667688" w:rsidR="00844CDE">
        <w:rPr>
          <w:rFonts w:ascii="Times New Roman" w:hAnsi="Times New Roman"/>
          <w:sz w:val="24"/>
          <w:szCs w:val="24"/>
        </w:rPr>
        <w:t xml:space="preserve"> now</w:t>
      </w:r>
      <w:r w:rsidRPr="00667688">
        <w:rPr>
          <w:rFonts w:ascii="Times New Roman" w:hAnsi="Times New Roman"/>
          <w:sz w:val="24"/>
          <w:szCs w:val="24"/>
        </w:rPr>
        <w:t xml:space="preserve"> illegal for </w:t>
      </w:r>
      <w:r w:rsidRPr="00667688" w:rsidR="00844CDE">
        <w:rPr>
          <w:rFonts w:ascii="Times New Roman" w:hAnsi="Times New Roman"/>
          <w:sz w:val="24"/>
          <w:szCs w:val="24"/>
        </w:rPr>
        <w:t>anyone under the age of 21</w:t>
      </w:r>
      <w:r w:rsidRPr="00667688" w:rsidR="0EDBDE9E">
        <w:rPr>
          <w:rFonts w:ascii="Times New Roman" w:hAnsi="Times New Roman"/>
          <w:sz w:val="24"/>
          <w:szCs w:val="24"/>
        </w:rPr>
        <w:t>, as well as use of tobacco-adjacent produc</w:t>
      </w:r>
      <w:r w:rsidRPr="00667688" w:rsidR="392A3AD0">
        <w:rPr>
          <w:rFonts w:ascii="Times New Roman" w:hAnsi="Times New Roman"/>
          <w:sz w:val="24"/>
          <w:szCs w:val="24"/>
        </w:rPr>
        <w:t>t</w:t>
      </w:r>
      <w:r w:rsidRPr="00667688" w:rsidR="0EDBDE9E">
        <w:rPr>
          <w:rFonts w:ascii="Times New Roman" w:hAnsi="Times New Roman"/>
          <w:sz w:val="24"/>
          <w:szCs w:val="24"/>
        </w:rPr>
        <w:t>s such as marijuana</w:t>
      </w:r>
      <w:r w:rsidRPr="00667688" w:rsidR="006F354B">
        <w:rPr>
          <w:rFonts w:ascii="Times New Roman" w:hAnsi="Times New Roman"/>
          <w:sz w:val="24"/>
          <w:szCs w:val="24"/>
        </w:rPr>
        <w:t xml:space="preserve"> and other nicotine products</w:t>
      </w:r>
      <w:r w:rsidRPr="00667688" w:rsidR="00844CDE">
        <w:rPr>
          <w:rFonts w:ascii="Times New Roman" w:hAnsi="Times New Roman"/>
          <w:sz w:val="24"/>
          <w:szCs w:val="24"/>
        </w:rPr>
        <w:t>.</w:t>
      </w:r>
      <w:r w:rsidRPr="00667688">
        <w:rPr>
          <w:rFonts w:ascii="Times New Roman" w:hAnsi="Times New Roman"/>
          <w:sz w:val="24"/>
          <w:szCs w:val="24"/>
        </w:rPr>
        <w:t xml:space="preserve"> Because questions </w:t>
      </w:r>
      <w:r w:rsidR="00EA0532">
        <w:rPr>
          <w:rFonts w:ascii="Times New Roman" w:hAnsi="Times New Roman"/>
          <w:sz w:val="24"/>
          <w:szCs w:val="24"/>
        </w:rPr>
        <w:t>may be</w:t>
      </w:r>
      <w:r w:rsidRPr="00667688" w:rsidR="00EA0532">
        <w:rPr>
          <w:rFonts w:ascii="Times New Roman" w:hAnsi="Times New Roman"/>
          <w:sz w:val="24"/>
          <w:szCs w:val="24"/>
        </w:rPr>
        <w:t xml:space="preserve"> </w:t>
      </w:r>
      <w:r w:rsidRPr="00667688">
        <w:rPr>
          <w:rFonts w:ascii="Times New Roman" w:hAnsi="Times New Roman"/>
          <w:sz w:val="24"/>
          <w:szCs w:val="24"/>
        </w:rPr>
        <w:t>asked of teenagers, interviews will be conducted by moderators specifically trained for interaction with adolescents.</w:t>
      </w:r>
    </w:p>
    <w:p w:rsidR="002C4F0B" w:rsidRPr="00667688" w:rsidP="00667688" w14:paraId="11524225" w14:textId="2A42DBB5">
      <w:pPr>
        <w:spacing w:line="240" w:lineRule="auto"/>
        <w:rPr>
          <w:rFonts w:ascii="Times New Roman" w:hAnsi="Times New Roman"/>
          <w:sz w:val="24"/>
          <w:szCs w:val="24"/>
        </w:rPr>
      </w:pPr>
      <w:r w:rsidRPr="00667688">
        <w:rPr>
          <w:rFonts w:ascii="Times New Roman" w:hAnsi="Times New Roman"/>
          <w:sz w:val="24"/>
          <w:szCs w:val="24"/>
        </w:rPr>
        <w:t xml:space="preserve">Raw data from data collections that </w:t>
      </w:r>
      <w:r w:rsidRPr="00667688" w:rsidR="005A6A13">
        <w:rPr>
          <w:rFonts w:ascii="Times New Roman" w:hAnsi="Times New Roman"/>
          <w:sz w:val="24"/>
          <w:szCs w:val="24"/>
        </w:rPr>
        <w:t xml:space="preserve">may </w:t>
      </w:r>
      <w:r w:rsidRPr="00667688">
        <w:rPr>
          <w:rFonts w:ascii="Times New Roman" w:hAnsi="Times New Roman"/>
          <w:sz w:val="24"/>
          <w:szCs w:val="24"/>
        </w:rPr>
        <w:t>include sensitive information (for example, screening questionnaires and audio tapes) are not retained once the data have been extracted and aggregated. The information never becomes part of a system of records containing permanent identifiers that can be used for retrieval.</w:t>
      </w:r>
    </w:p>
    <w:p w:rsidR="42070676" w:rsidRPr="00667688" w:rsidP="00667688" w14:paraId="10222B9E" w14:textId="7DBB8DA5">
      <w:pPr>
        <w:pStyle w:val="ListParagraph"/>
        <w:spacing w:before="100" w:beforeAutospacing="1" w:after="100" w:afterAutospacing="1" w:line="240" w:lineRule="auto"/>
        <w:ind w:left="0"/>
        <w:rPr>
          <w:rFonts w:ascii="Times New Roman" w:hAnsi="Times New Roman"/>
          <w:sz w:val="24"/>
          <w:szCs w:val="24"/>
          <w:u w:val="single"/>
        </w:rPr>
      </w:pPr>
      <w:r w:rsidRPr="00667688">
        <w:rPr>
          <w:rFonts w:ascii="Times New Roman" w:hAnsi="Times New Roman"/>
          <w:sz w:val="24"/>
          <w:szCs w:val="24"/>
        </w:rPr>
        <w:t xml:space="preserve">12. </w:t>
      </w:r>
      <w:r w:rsidRPr="00667688" w:rsidR="00C10D98">
        <w:rPr>
          <w:rFonts w:ascii="Times New Roman" w:hAnsi="Times New Roman"/>
          <w:sz w:val="24"/>
          <w:szCs w:val="24"/>
          <w:u w:val="single"/>
        </w:rPr>
        <w:t xml:space="preserve">Estimates of Annualized </w:t>
      </w:r>
      <w:r w:rsidRPr="00667688" w:rsidR="00A12BAD">
        <w:rPr>
          <w:rFonts w:ascii="Times New Roman" w:hAnsi="Times New Roman"/>
          <w:sz w:val="24"/>
          <w:szCs w:val="24"/>
          <w:u w:val="single"/>
        </w:rPr>
        <w:t xml:space="preserve">Burden </w:t>
      </w:r>
      <w:r w:rsidRPr="00667688" w:rsidR="00C10D98">
        <w:rPr>
          <w:rFonts w:ascii="Times New Roman" w:hAnsi="Times New Roman"/>
          <w:sz w:val="24"/>
          <w:szCs w:val="24"/>
          <w:u w:val="single"/>
        </w:rPr>
        <w:t>Hours and Costs</w:t>
      </w:r>
    </w:p>
    <w:p w:rsidR="42070676" w:rsidP="00667688" w14:paraId="0F585CA5" w14:textId="74AC21CF">
      <w:pPr>
        <w:tabs>
          <w:tab w:val="left" w:pos="450"/>
          <w:tab w:val="left" w:pos="720"/>
          <w:tab w:val="left" w:pos="2160"/>
        </w:tabs>
        <w:spacing w:before="100" w:beforeAutospacing="1" w:after="100" w:afterAutospacing="1" w:line="240" w:lineRule="auto"/>
        <w:rPr>
          <w:rFonts w:ascii="Times New Roman" w:hAnsi="Times New Roman"/>
          <w:sz w:val="24"/>
          <w:szCs w:val="24"/>
        </w:rPr>
      </w:pPr>
      <w:r w:rsidRPr="00667688">
        <w:rPr>
          <w:rFonts w:ascii="Times New Roman" w:hAnsi="Times New Roman"/>
          <w:sz w:val="24"/>
          <w:szCs w:val="24"/>
        </w:rPr>
        <w:t xml:space="preserve">A variety of instruments and platforms will be used to collect information from respondents.  The annual </w:t>
      </w:r>
      <w:r w:rsidRPr="00667688" w:rsidR="00406433">
        <w:rPr>
          <w:rFonts w:ascii="Times New Roman" w:hAnsi="Times New Roman"/>
          <w:sz w:val="24"/>
          <w:szCs w:val="24"/>
        </w:rPr>
        <w:t xml:space="preserve">respondent </w:t>
      </w:r>
      <w:r w:rsidRPr="00667688">
        <w:rPr>
          <w:rFonts w:ascii="Times New Roman" w:hAnsi="Times New Roman"/>
          <w:sz w:val="24"/>
          <w:szCs w:val="24"/>
        </w:rPr>
        <w:t>burden hours requested (</w:t>
      </w:r>
      <w:r w:rsidRPr="00667688" w:rsidR="191631E7">
        <w:rPr>
          <w:rFonts w:ascii="Times New Roman" w:hAnsi="Times New Roman"/>
          <w:sz w:val="24"/>
          <w:szCs w:val="24"/>
        </w:rPr>
        <w:t>399,192</w:t>
      </w:r>
      <w:r w:rsidRPr="00667688">
        <w:rPr>
          <w:rFonts w:ascii="Times New Roman" w:hAnsi="Times New Roman"/>
          <w:sz w:val="24"/>
          <w:szCs w:val="24"/>
        </w:rPr>
        <w:t>) are based on the number of collections we expect to conduct over the request</w:t>
      </w:r>
      <w:r w:rsidRPr="00667688" w:rsidR="00165782">
        <w:rPr>
          <w:rFonts w:ascii="Times New Roman" w:hAnsi="Times New Roman"/>
          <w:sz w:val="24"/>
          <w:szCs w:val="24"/>
        </w:rPr>
        <w:t xml:space="preserve">ed </w:t>
      </w:r>
      <w:r w:rsidRPr="00667688" w:rsidR="00AB20B3">
        <w:rPr>
          <w:rFonts w:ascii="Times New Roman" w:hAnsi="Times New Roman"/>
          <w:sz w:val="24"/>
          <w:szCs w:val="24"/>
        </w:rPr>
        <w:t>time frame</w:t>
      </w:r>
      <w:r w:rsidRPr="00667688" w:rsidR="00165782">
        <w:rPr>
          <w:rFonts w:ascii="Times New Roman" w:hAnsi="Times New Roman"/>
          <w:sz w:val="24"/>
          <w:szCs w:val="24"/>
        </w:rPr>
        <w:t xml:space="preserve"> for this clearance</w:t>
      </w:r>
      <w:r w:rsidR="009458E5">
        <w:rPr>
          <w:rFonts w:ascii="Times New Roman" w:hAnsi="Times New Roman"/>
          <w:sz w:val="24"/>
          <w:szCs w:val="24"/>
        </w:rPr>
        <w:t xml:space="preserve"> (Table 1)</w:t>
      </w:r>
      <w:r w:rsidRPr="00667688" w:rsidR="00165782">
        <w:rPr>
          <w:rFonts w:ascii="Times New Roman" w:hAnsi="Times New Roman"/>
          <w:sz w:val="24"/>
          <w:szCs w:val="24"/>
        </w:rPr>
        <w:t>.</w:t>
      </w:r>
    </w:p>
    <w:p w:rsidR="009458E5" w14:paraId="618ABBEA" w14:textId="4747E4A1">
      <w:pPr>
        <w:spacing w:after="0" w:line="240" w:lineRule="auto"/>
        <w:rPr>
          <w:rFonts w:ascii="Times New Roman" w:hAnsi="Times New Roman"/>
          <w:sz w:val="24"/>
          <w:szCs w:val="24"/>
        </w:rPr>
      </w:pPr>
      <w:r>
        <w:rPr>
          <w:rFonts w:ascii="Times New Roman" w:hAnsi="Times New Roman"/>
          <w:sz w:val="24"/>
          <w:szCs w:val="24"/>
        </w:rPr>
        <w:br w:type="page"/>
      </w:r>
    </w:p>
    <w:p w:rsidR="00C10D98" w:rsidRPr="00667688" w:rsidP="00667688" w14:paraId="4181CF03" w14:textId="77777777">
      <w:pPr>
        <w:tabs>
          <w:tab w:val="left" w:pos="450"/>
          <w:tab w:val="left" w:pos="720"/>
          <w:tab w:val="left" w:pos="2160"/>
        </w:tabs>
        <w:spacing w:before="100" w:beforeAutospacing="1" w:after="100" w:afterAutospacing="1" w:line="240" w:lineRule="auto"/>
        <w:rPr>
          <w:rFonts w:ascii="Times New Roman" w:hAnsi="Times New Roman"/>
          <w:sz w:val="24"/>
          <w:szCs w:val="24"/>
          <w:u w:val="single"/>
        </w:rPr>
      </w:pPr>
      <w:r w:rsidRPr="00667688">
        <w:rPr>
          <w:rFonts w:ascii="Times New Roman" w:hAnsi="Times New Roman"/>
          <w:sz w:val="24"/>
          <w:szCs w:val="24"/>
        </w:rPr>
        <w:t xml:space="preserve">12a.  </w:t>
      </w:r>
      <w:r w:rsidRPr="00667688">
        <w:rPr>
          <w:rFonts w:ascii="Times New Roman" w:hAnsi="Times New Roman"/>
          <w:sz w:val="24"/>
          <w:szCs w:val="24"/>
          <w:u w:val="single"/>
        </w:rPr>
        <w:t>Annualized Hour Burden Estimate</w:t>
      </w:r>
    </w:p>
    <w:tbl>
      <w:tblPr>
        <w:tblW w:w="0" w:type="auto"/>
        <w:tblBorders>
          <w:top w:val="single" w:sz="6" w:space="0" w:color="auto"/>
          <w:left w:val="single" w:sz="6" w:space="0" w:color="auto"/>
          <w:bottom w:val="single" w:sz="6" w:space="0" w:color="auto"/>
          <w:right w:val="single" w:sz="6" w:space="0" w:color="auto"/>
        </w:tblBorders>
        <w:tblLayout w:type="fixed"/>
        <w:tblLook w:val="01E0"/>
      </w:tblPr>
      <w:tblGrid>
        <w:gridCol w:w="1532"/>
        <w:gridCol w:w="1533"/>
        <w:gridCol w:w="1532"/>
        <w:gridCol w:w="1533"/>
        <w:gridCol w:w="1532"/>
        <w:gridCol w:w="1533"/>
      </w:tblGrid>
      <w:tr w14:paraId="7FA03787" w14:textId="77777777" w:rsidTr="00881623">
        <w:tblPrEx>
          <w:tblW w:w="0" w:type="auto"/>
          <w:tblBorders>
            <w:top w:val="single" w:sz="6" w:space="0" w:color="auto"/>
            <w:left w:val="single" w:sz="6" w:space="0" w:color="auto"/>
            <w:bottom w:val="single" w:sz="6" w:space="0" w:color="auto"/>
            <w:right w:val="single" w:sz="6" w:space="0" w:color="auto"/>
          </w:tblBorders>
          <w:tblLayout w:type="fixed"/>
          <w:tblLook w:val="01E0"/>
        </w:tblPrEx>
        <w:trPr>
          <w:trHeight w:val="15"/>
        </w:trPr>
        <w:tc>
          <w:tcPr>
            <w:tcW w:w="9195" w:type="dxa"/>
            <w:gridSpan w:val="6"/>
            <w:tcBorders>
              <w:top w:val="nil"/>
              <w:left w:val="nil"/>
              <w:bottom w:val="single" w:sz="6" w:space="0" w:color="auto"/>
              <w:right w:val="nil"/>
            </w:tcBorders>
            <w:tcMar>
              <w:left w:w="105" w:type="dxa"/>
              <w:right w:w="105" w:type="dxa"/>
            </w:tcMar>
          </w:tcPr>
          <w:p w:rsidR="0076461B" w:rsidRPr="00667688" w:rsidP="00667688" w14:paraId="593F617A" w14:textId="6C4CC0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color w:val="000000" w:themeColor="text1"/>
                <w:sz w:val="24"/>
                <w:szCs w:val="24"/>
                <w:vertAlign w:val="superscript"/>
              </w:rPr>
            </w:pPr>
            <w:r w:rsidRPr="00667688">
              <w:rPr>
                <w:rFonts w:ascii="Times New Roman" w:hAnsi="Times New Roman"/>
                <w:color w:val="000000" w:themeColor="text1"/>
                <w:sz w:val="24"/>
                <w:szCs w:val="24"/>
              </w:rPr>
              <w:t xml:space="preserve">Table </w:t>
            </w:r>
            <w:r w:rsidR="009458E5">
              <w:rPr>
                <w:rFonts w:ascii="Times New Roman" w:hAnsi="Times New Roman"/>
                <w:color w:val="000000" w:themeColor="text1"/>
                <w:sz w:val="24"/>
                <w:szCs w:val="24"/>
              </w:rPr>
              <w:t>1</w:t>
            </w:r>
            <w:r w:rsidRPr="00667688">
              <w:rPr>
                <w:rFonts w:ascii="Times New Roman" w:hAnsi="Times New Roman"/>
                <w:color w:val="000000" w:themeColor="text1"/>
                <w:sz w:val="24"/>
                <w:szCs w:val="24"/>
              </w:rPr>
              <w:t>.--</w:t>
            </w:r>
            <w:r w:rsidRPr="00667688">
              <w:rPr>
                <w:rFonts w:ascii="Times New Roman" w:hAnsi="Times New Roman"/>
                <w:color w:val="000000" w:themeColor="text1"/>
                <w:sz w:val="24"/>
                <w:szCs w:val="24"/>
              </w:rPr>
              <w:t xml:space="preserve"> Estimated Annual Reporting Burden</w:t>
            </w:r>
          </w:p>
        </w:tc>
      </w:tr>
      <w:tr w14:paraId="74C58AED" w14:textId="77777777" w:rsidTr="009458E5">
        <w:tblPrEx>
          <w:tblW w:w="0" w:type="auto"/>
          <w:tblLayout w:type="fixed"/>
          <w:tblLook w:val="01E0"/>
        </w:tblPrEx>
        <w:trPr>
          <w:trHeight w:val="15"/>
        </w:trPr>
        <w:tc>
          <w:tcPr>
            <w:tcW w:w="15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58BF161" w:rsidRPr="00667688" w:rsidP="00667688" w14:paraId="1BBE41A8" w14:textId="4CA97C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color w:val="000000" w:themeColor="text1"/>
                <w:sz w:val="24"/>
                <w:szCs w:val="24"/>
              </w:rPr>
            </w:pPr>
            <w:r w:rsidRPr="00667688">
              <w:rPr>
                <w:rFonts w:ascii="Times New Roman" w:hAnsi="Times New Roman"/>
                <w:color w:val="000000" w:themeColor="text1"/>
                <w:sz w:val="24"/>
                <w:szCs w:val="24"/>
              </w:rPr>
              <w:t>Type of Interview</w:t>
            </w:r>
          </w:p>
        </w:tc>
        <w:tc>
          <w:tcPr>
            <w:tcW w:w="153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58BF161" w:rsidRPr="00667688" w:rsidP="00667688" w14:paraId="2AE76BED" w14:textId="069FEC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color w:val="000000" w:themeColor="text1"/>
                <w:sz w:val="24"/>
                <w:szCs w:val="24"/>
              </w:rPr>
            </w:pPr>
            <w:r w:rsidRPr="00667688">
              <w:rPr>
                <w:rFonts w:ascii="Times New Roman" w:hAnsi="Times New Roman"/>
                <w:color w:val="000000" w:themeColor="text1"/>
                <w:sz w:val="24"/>
                <w:szCs w:val="24"/>
              </w:rPr>
              <w:t>No. of Respondents</w:t>
            </w:r>
          </w:p>
        </w:tc>
        <w:tc>
          <w:tcPr>
            <w:tcW w:w="15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58BF161" w:rsidRPr="00667688" w:rsidP="00667688" w14:paraId="375CCCEE" w14:textId="656897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color w:val="000000" w:themeColor="text1"/>
                <w:sz w:val="24"/>
                <w:szCs w:val="24"/>
              </w:rPr>
            </w:pPr>
            <w:r w:rsidRPr="00667688">
              <w:rPr>
                <w:rFonts w:ascii="Times New Roman" w:hAnsi="Times New Roman"/>
                <w:color w:val="000000" w:themeColor="text1"/>
                <w:sz w:val="24"/>
                <w:szCs w:val="24"/>
              </w:rPr>
              <w:t>No. of Responses per Respondent</w:t>
            </w:r>
          </w:p>
        </w:tc>
        <w:tc>
          <w:tcPr>
            <w:tcW w:w="153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58BF161" w:rsidRPr="00667688" w:rsidP="00667688" w14:paraId="73578DD8" w14:textId="3A3978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color w:val="000000" w:themeColor="text1"/>
                <w:sz w:val="24"/>
                <w:szCs w:val="24"/>
              </w:rPr>
            </w:pPr>
            <w:r w:rsidRPr="00667688">
              <w:rPr>
                <w:rFonts w:ascii="Times New Roman" w:hAnsi="Times New Roman"/>
                <w:color w:val="000000" w:themeColor="text1"/>
                <w:sz w:val="24"/>
                <w:szCs w:val="24"/>
              </w:rPr>
              <w:t>Total Annual Responses</w:t>
            </w:r>
          </w:p>
        </w:tc>
        <w:tc>
          <w:tcPr>
            <w:tcW w:w="15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58BF161" w:rsidRPr="00667688" w:rsidP="00667688" w14:paraId="72364AE2" w14:textId="34D710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color w:val="000000" w:themeColor="text1"/>
                <w:sz w:val="24"/>
                <w:szCs w:val="24"/>
              </w:rPr>
            </w:pPr>
            <w:r w:rsidRPr="00667688">
              <w:rPr>
                <w:rFonts w:ascii="Times New Roman" w:hAnsi="Times New Roman"/>
                <w:color w:val="000000" w:themeColor="text1"/>
                <w:sz w:val="24"/>
                <w:szCs w:val="24"/>
              </w:rPr>
              <w:t>Average Burden per Response</w:t>
            </w:r>
          </w:p>
        </w:tc>
        <w:tc>
          <w:tcPr>
            <w:tcW w:w="153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58BF161" w:rsidRPr="00667688" w:rsidP="00667688" w14:paraId="7A650E38" w14:textId="63C45B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color w:val="000000" w:themeColor="text1"/>
                <w:sz w:val="24"/>
                <w:szCs w:val="24"/>
              </w:rPr>
            </w:pPr>
            <w:r w:rsidRPr="00667688">
              <w:rPr>
                <w:rFonts w:ascii="Times New Roman" w:hAnsi="Times New Roman"/>
                <w:color w:val="000000" w:themeColor="text1"/>
                <w:sz w:val="24"/>
                <w:szCs w:val="24"/>
              </w:rPr>
              <w:t>Total Hours</w:t>
            </w:r>
          </w:p>
        </w:tc>
      </w:tr>
      <w:tr w14:paraId="09F20206" w14:textId="77777777" w:rsidTr="009458E5">
        <w:tblPrEx>
          <w:tblW w:w="0" w:type="auto"/>
          <w:tblLayout w:type="fixed"/>
          <w:tblLook w:val="01E0"/>
        </w:tblPrEx>
        <w:trPr>
          <w:trHeight w:val="15"/>
        </w:trPr>
        <w:tc>
          <w:tcPr>
            <w:tcW w:w="15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58BF161" w:rsidRPr="00667688" w:rsidP="00A22396" w14:paraId="7147C44B" w14:textId="3FC089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color w:val="000000" w:themeColor="text1"/>
                <w:sz w:val="24"/>
                <w:szCs w:val="24"/>
              </w:rPr>
            </w:pPr>
            <w:r w:rsidRPr="00667688">
              <w:rPr>
                <w:rFonts w:ascii="Times New Roman" w:hAnsi="Times New Roman"/>
                <w:color w:val="000000" w:themeColor="text1"/>
                <w:sz w:val="24"/>
                <w:szCs w:val="24"/>
              </w:rPr>
              <w:t xml:space="preserve">In-Person Individual </w:t>
            </w:r>
            <w:r w:rsidRPr="00667688">
              <w:rPr>
                <w:rFonts w:ascii="Times New Roman" w:hAnsi="Times New Roman"/>
                <w:sz w:val="24"/>
                <w:szCs w:val="24"/>
              </w:rPr>
              <w:br/>
            </w:r>
            <w:r w:rsidRPr="00667688">
              <w:rPr>
                <w:rFonts w:ascii="Times New Roman" w:hAnsi="Times New Roman"/>
                <w:color w:val="000000" w:themeColor="text1"/>
                <w:sz w:val="24"/>
                <w:szCs w:val="24"/>
              </w:rPr>
              <w:t>In-depth Interviews</w:t>
            </w:r>
          </w:p>
        </w:tc>
        <w:tc>
          <w:tcPr>
            <w:tcW w:w="153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58BF161" w:rsidRPr="00667688" w:rsidP="00A22396" w14:paraId="513BDF7A" w14:textId="1FFAE4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sz w:val="24"/>
                <w:szCs w:val="24"/>
              </w:rPr>
            </w:pPr>
            <w:r w:rsidRPr="00667688">
              <w:rPr>
                <w:rFonts w:ascii="Times New Roman" w:hAnsi="Times New Roman"/>
                <w:sz w:val="24"/>
                <w:szCs w:val="24"/>
              </w:rPr>
              <w:t>4,500</w:t>
            </w:r>
          </w:p>
        </w:tc>
        <w:tc>
          <w:tcPr>
            <w:tcW w:w="15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58BF161" w:rsidRPr="00667688" w:rsidP="00A22396" w14:paraId="4B07C439" w14:textId="6CBA4E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sz w:val="24"/>
                <w:szCs w:val="24"/>
              </w:rPr>
            </w:pPr>
            <w:r w:rsidRPr="00667688">
              <w:rPr>
                <w:rFonts w:ascii="Times New Roman" w:hAnsi="Times New Roman"/>
                <w:sz w:val="24"/>
                <w:szCs w:val="24"/>
              </w:rPr>
              <w:t>1</w:t>
            </w:r>
          </w:p>
        </w:tc>
        <w:tc>
          <w:tcPr>
            <w:tcW w:w="153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58BF161" w:rsidRPr="00667688" w:rsidP="00A22396" w14:paraId="7FC51CC7" w14:textId="4052F5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sz w:val="24"/>
                <w:szCs w:val="24"/>
              </w:rPr>
            </w:pPr>
            <w:r w:rsidRPr="00667688">
              <w:rPr>
                <w:rFonts w:ascii="Times New Roman" w:hAnsi="Times New Roman"/>
                <w:sz w:val="24"/>
                <w:szCs w:val="24"/>
              </w:rPr>
              <w:t>4,500</w:t>
            </w:r>
          </w:p>
        </w:tc>
        <w:tc>
          <w:tcPr>
            <w:tcW w:w="15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58BF161" w:rsidRPr="00667688" w:rsidP="00A22396" w14:paraId="1D976FE4" w14:textId="489135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sz w:val="24"/>
                <w:szCs w:val="24"/>
              </w:rPr>
            </w:pPr>
            <w:r w:rsidRPr="00667688">
              <w:rPr>
                <w:rFonts w:ascii="Times New Roman" w:hAnsi="Times New Roman"/>
                <w:sz w:val="24"/>
                <w:szCs w:val="24"/>
              </w:rPr>
              <w:t>1</w:t>
            </w:r>
          </w:p>
          <w:p w:rsidR="758BF161" w:rsidRPr="00667688" w:rsidP="00A22396" w14:paraId="34B77643" w14:textId="65A77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sz w:val="24"/>
                <w:szCs w:val="24"/>
              </w:rPr>
            </w:pPr>
            <w:r w:rsidRPr="00667688">
              <w:rPr>
                <w:rFonts w:ascii="Times New Roman" w:hAnsi="Times New Roman"/>
                <w:sz w:val="24"/>
                <w:szCs w:val="24"/>
              </w:rPr>
              <w:t>(60 minutes)</w:t>
            </w:r>
          </w:p>
        </w:tc>
        <w:tc>
          <w:tcPr>
            <w:tcW w:w="153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58BF161" w:rsidRPr="00667688" w:rsidP="00A22396" w14:paraId="50FA70BB" w14:textId="728DE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sz w:val="24"/>
                <w:szCs w:val="24"/>
              </w:rPr>
            </w:pPr>
            <w:r w:rsidRPr="00667688">
              <w:rPr>
                <w:rFonts w:ascii="Times New Roman" w:hAnsi="Times New Roman"/>
                <w:sz w:val="24"/>
                <w:szCs w:val="24"/>
              </w:rPr>
              <w:t>4,500</w:t>
            </w:r>
          </w:p>
        </w:tc>
      </w:tr>
      <w:tr w14:paraId="73D2E61D" w14:textId="77777777" w:rsidTr="009458E5">
        <w:tblPrEx>
          <w:tblW w:w="0" w:type="auto"/>
          <w:tblLayout w:type="fixed"/>
          <w:tblLook w:val="01E0"/>
        </w:tblPrEx>
        <w:trPr>
          <w:trHeight w:val="15"/>
        </w:trPr>
        <w:tc>
          <w:tcPr>
            <w:tcW w:w="15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58BF161" w:rsidRPr="00667688" w:rsidP="00A22396" w14:paraId="2B108C00" w14:textId="0992B5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color w:val="000000" w:themeColor="text1"/>
                <w:sz w:val="24"/>
                <w:szCs w:val="24"/>
              </w:rPr>
            </w:pPr>
            <w:r w:rsidRPr="00667688">
              <w:rPr>
                <w:rFonts w:ascii="Times New Roman" w:hAnsi="Times New Roman"/>
                <w:color w:val="000000" w:themeColor="text1"/>
                <w:sz w:val="24"/>
                <w:szCs w:val="24"/>
              </w:rPr>
              <w:t>In-depth Interview (IDI)</w:t>
            </w:r>
            <w:r w:rsidRPr="00667688">
              <w:rPr>
                <w:rFonts w:ascii="Times New Roman" w:hAnsi="Times New Roman"/>
                <w:sz w:val="24"/>
                <w:szCs w:val="24"/>
              </w:rPr>
              <w:br/>
            </w:r>
            <w:r w:rsidRPr="00667688">
              <w:rPr>
                <w:rFonts w:ascii="Times New Roman" w:hAnsi="Times New Roman"/>
                <w:color w:val="000000" w:themeColor="text1"/>
                <w:sz w:val="24"/>
                <w:szCs w:val="24"/>
              </w:rPr>
              <w:t>Screener</w:t>
            </w:r>
          </w:p>
        </w:tc>
        <w:tc>
          <w:tcPr>
            <w:tcW w:w="153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58BF161" w:rsidRPr="00667688" w:rsidP="00A22396" w14:paraId="7F675B4A" w14:textId="16BEE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sz w:val="24"/>
                <w:szCs w:val="24"/>
              </w:rPr>
            </w:pPr>
            <w:r w:rsidRPr="00667688">
              <w:rPr>
                <w:rFonts w:ascii="Times New Roman" w:hAnsi="Times New Roman"/>
                <w:sz w:val="24"/>
                <w:szCs w:val="24"/>
              </w:rPr>
              <w:t>22,500</w:t>
            </w:r>
          </w:p>
        </w:tc>
        <w:tc>
          <w:tcPr>
            <w:tcW w:w="15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58BF161" w:rsidRPr="00667688" w:rsidP="00A22396" w14:paraId="26625637" w14:textId="052F26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sz w:val="24"/>
                <w:szCs w:val="24"/>
              </w:rPr>
            </w:pPr>
            <w:r w:rsidRPr="00667688">
              <w:rPr>
                <w:rFonts w:ascii="Times New Roman" w:hAnsi="Times New Roman"/>
                <w:sz w:val="24"/>
                <w:szCs w:val="24"/>
              </w:rPr>
              <w:t>1</w:t>
            </w:r>
          </w:p>
        </w:tc>
        <w:tc>
          <w:tcPr>
            <w:tcW w:w="153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58BF161" w:rsidRPr="00667688" w:rsidP="00A22396" w14:paraId="19E30DF2" w14:textId="292668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sz w:val="24"/>
                <w:szCs w:val="24"/>
              </w:rPr>
            </w:pPr>
            <w:r w:rsidRPr="00667688">
              <w:rPr>
                <w:rFonts w:ascii="Times New Roman" w:hAnsi="Times New Roman"/>
                <w:sz w:val="24"/>
                <w:szCs w:val="24"/>
              </w:rPr>
              <w:t>22,500</w:t>
            </w:r>
          </w:p>
        </w:tc>
        <w:tc>
          <w:tcPr>
            <w:tcW w:w="15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58BF161" w:rsidRPr="00667688" w:rsidP="00A22396" w14:paraId="5AFD8099" w14:textId="2E09C0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sz w:val="24"/>
                <w:szCs w:val="24"/>
              </w:rPr>
            </w:pPr>
            <w:r w:rsidRPr="00667688">
              <w:rPr>
                <w:rFonts w:ascii="Times New Roman" w:hAnsi="Times New Roman"/>
                <w:sz w:val="24"/>
                <w:szCs w:val="24"/>
              </w:rPr>
              <w:t>0.083</w:t>
            </w:r>
          </w:p>
          <w:p w:rsidR="758BF161" w:rsidRPr="00667688" w:rsidP="00A22396" w14:paraId="11AF8CB6" w14:textId="6185F3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sz w:val="24"/>
                <w:szCs w:val="24"/>
              </w:rPr>
            </w:pPr>
            <w:r w:rsidRPr="00667688">
              <w:rPr>
                <w:rFonts w:ascii="Times New Roman" w:hAnsi="Times New Roman"/>
                <w:sz w:val="24"/>
                <w:szCs w:val="24"/>
              </w:rPr>
              <w:t>(5 minutes)</w:t>
            </w:r>
          </w:p>
        </w:tc>
        <w:tc>
          <w:tcPr>
            <w:tcW w:w="153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58BF161" w:rsidRPr="00667688" w:rsidP="00A22396" w14:paraId="204780DE" w14:textId="5FC3C9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sz w:val="24"/>
                <w:szCs w:val="24"/>
              </w:rPr>
            </w:pPr>
            <w:r w:rsidRPr="00667688">
              <w:rPr>
                <w:rFonts w:ascii="Times New Roman" w:hAnsi="Times New Roman"/>
                <w:sz w:val="24"/>
                <w:szCs w:val="24"/>
              </w:rPr>
              <w:t>1,8</w:t>
            </w:r>
            <w:r w:rsidRPr="00667688" w:rsidR="00DC71E7">
              <w:rPr>
                <w:rFonts w:ascii="Times New Roman" w:hAnsi="Times New Roman"/>
                <w:sz w:val="24"/>
                <w:szCs w:val="24"/>
              </w:rPr>
              <w:t>68</w:t>
            </w:r>
          </w:p>
        </w:tc>
      </w:tr>
      <w:tr w14:paraId="48640A64" w14:textId="77777777" w:rsidTr="009458E5">
        <w:tblPrEx>
          <w:tblW w:w="0" w:type="auto"/>
          <w:tblLayout w:type="fixed"/>
          <w:tblLook w:val="01E0"/>
        </w:tblPrEx>
        <w:trPr>
          <w:trHeight w:val="15"/>
        </w:trPr>
        <w:tc>
          <w:tcPr>
            <w:tcW w:w="15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58BF161" w:rsidRPr="00667688" w:rsidP="00A22396" w14:paraId="33557DC7" w14:textId="355802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color w:val="000000" w:themeColor="text1"/>
                <w:sz w:val="24"/>
                <w:szCs w:val="24"/>
              </w:rPr>
            </w:pPr>
            <w:r w:rsidRPr="00667688">
              <w:rPr>
                <w:rFonts w:ascii="Times New Roman" w:hAnsi="Times New Roman"/>
                <w:color w:val="000000" w:themeColor="text1"/>
                <w:sz w:val="24"/>
                <w:szCs w:val="24"/>
              </w:rPr>
              <w:t>Focus Group Screener</w:t>
            </w:r>
          </w:p>
        </w:tc>
        <w:tc>
          <w:tcPr>
            <w:tcW w:w="153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5B6012AA" w:rsidRPr="00667688" w:rsidP="00A22396" w14:paraId="73DD96ED" w14:textId="163CEF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sz w:val="24"/>
                <w:szCs w:val="24"/>
              </w:rPr>
            </w:pPr>
            <w:r w:rsidRPr="00667688">
              <w:rPr>
                <w:rFonts w:ascii="Times New Roman" w:hAnsi="Times New Roman"/>
                <w:sz w:val="24"/>
                <w:szCs w:val="24"/>
              </w:rPr>
              <w:t>56,000</w:t>
            </w:r>
          </w:p>
        </w:tc>
        <w:tc>
          <w:tcPr>
            <w:tcW w:w="15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5B6012AA" w:rsidRPr="00667688" w:rsidP="00A22396" w14:paraId="7B7E4C67" w14:textId="296DA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sz w:val="24"/>
                <w:szCs w:val="24"/>
              </w:rPr>
            </w:pPr>
            <w:r w:rsidRPr="00667688">
              <w:rPr>
                <w:rFonts w:ascii="Times New Roman" w:hAnsi="Times New Roman"/>
                <w:sz w:val="24"/>
                <w:szCs w:val="24"/>
              </w:rPr>
              <w:t>1</w:t>
            </w:r>
          </w:p>
        </w:tc>
        <w:tc>
          <w:tcPr>
            <w:tcW w:w="153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5B6012AA" w:rsidRPr="00667688" w:rsidP="00A22396" w14:paraId="319F6751" w14:textId="30F7A2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sz w:val="24"/>
                <w:szCs w:val="24"/>
              </w:rPr>
            </w:pPr>
            <w:r w:rsidRPr="00667688">
              <w:rPr>
                <w:rFonts w:ascii="Times New Roman" w:hAnsi="Times New Roman"/>
                <w:sz w:val="24"/>
                <w:szCs w:val="24"/>
              </w:rPr>
              <w:t>56,000</w:t>
            </w:r>
          </w:p>
        </w:tc>
        <w:tc>
          <w:tcPr>
            <w:tcW w:w="15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5B6012AA" w:rsidRPr="00667688" w:rsidP="00A22396" w14:paraId="16855249" w14:textId="472A0A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sz w:val="24"/>
                <w:szCs w:val="24"/>
              </w:rPr>
            </w:pPr>
            <w:r w:rsidRPr="00667688">
              <w:rPr>
                <w:rFonts w:ascii="Times New Roman" w:hAnsi="Times New Roman"/>
                <w:sz w:val="24"/>
                <w:szCs w:val="24"/>
              </w:rPr>
              <w:t>0.25</w:t>
            </w:r>
          </w:p>
          <w:p w:rsidR="5B6012AA" w:rsidRPr="00667688" w:rsidP="00A22396" w14:paraId="67BB3D62" w14:textId="60ACE6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sz w:val="24"/>
                <w:szCs w:val="24"/>
              </w:rPr>
            </w:pPr>
            <w:r w:rsidRPr="00667688">
              <w:rPr>
                <w:rFonts w:ascii="Times New Roman" w:hAnsi="Times New Roman"/>
                <w:sz w:val="24"/>
                <w:szCs w:val="24"/>
              </w:rPr>
              <w:t>(15 minutes)</w:t>
            </w:r>
          </w:p>
        </w:tc>
        <w:tc>
          <w:tcPr>
            <w:tcW w:w="153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5B6012AA" w:rsidRPr="00667688" w:rsidP="00A22396" w14:paraId="7EB02904" w14:textId="0AFDAB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sz w:val="24"/>
                <w:szCs w:val="24"/>
              </w:rPr>
            </w:pPr>
            <w:r w:rsidRPr="00667688">
              <w:rPr>
                <w:rFonts w:ascii="Times New Roman" w:hAnsi="Times New Roman"/>
                <w:sz w:val="24"/>
                <w:szCs w:val="24"/>
              </w:rPr>
              <w:t>14,000</w:t>
            </w:r>
          </w:p>
        </w:tc>
      </w:tr>
      <w:tr w14:paraId="4FBABFE8" w14:textId="77777777" w:rsidTr="009458E5">
        <w:tblPrEx>
          <w:tblW w:w="0" w:type="auto"/>
          <w:tblLayout w:type="fixed"/>
          <w:tblLook w:val="01E0"/>
        </w:tblPrEx>
        <w:trPr>
          <w:trHeight w:val="15"/>
        </w:trPr>
        <w:tc>
          <w:tcPr>
            <w:tcW w:w="15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58BF161" w:rsidRPr="00667688" w:rsidP="00A22396" w14:paraId="2D5F7723" w14:textId="78493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sz w:val="24"/>
                <w:szCs w:val="24"/>
              </w:rPr>
            </w:pPr>
            <w:r w:rsidRPr="00667688">
              <w:rPr>
                <w:rFonts w:ascii="Times New Roman" w:hAnsi="Times New Roman"/>
                <w:sz w:val="24"/>
                <w:szCs w:val="24"/>
              </w:rPr>
              <w:t>Focus Grou</w:t>
            </w:r>
            <w:r w:rsidRPr="00667688" w:rsidR="00881623">
              <w:rPr>
                <w:rFonts w:ascii="Times New Roman" w:hAnsi="Times New Roman"/>
                <w:sz w:val="24"/>
                <w:szCs w:val="24"/>
              </w:rPr>
              <w:t xml:space="preserve">p </w:t>
            </w:r>
            <w:r w:rsidRPr="00667688">
              <w:rPr>
                <w:rFonts w:ascii="Times New Roman" w:hAnsi="Times New Roman"/>
                <w:sz w:val="24"/>
                <w:szCs w:val="24"/>
              </w:rPr>
              <w:t>Discussion</w:t>
            </w:r>
          </w:p>
        </w:tc>
        <w:tc>
          <w:tcPr>
            <w:tcW w:w="153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5B6012AA" w:rsidRPr="00667688" w:rsidP="00A22396" w14:paraId="397EC8EA" w14:textId="2CB2C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sz w:val="24"/>
                <w:szCs w:val="24"/>
              </w:rPr>
            </w:pPr>
            <w:r w:rsidRPr="00667688">
              <w:rPr>
                <w:rFonts w:ascii="Times New Roman" w:hAnsi="Times New Roman"/>
                <w:sz w:val="24"/>
                <w:szCs w:val="24"/>
              </w:rPr>
              <w:t>252,000</w:t>
            </w:r>
          </w:p>
        </w:tc>
        <w:tc>
          <w:tcPr>
            <w:tcW w:w="15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5B6012AA" w:rsidRPr="00667688" w:rsidP="00A22396" w14:paraId="5F704F2E" w14:textId="30230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sz w:val="24"/>
                <w:szCs w:val="24"/>
              </w:rPr>
            </w:pPr>
            <w:r w:rsidRPr="00667688">
              <w:rPr>
                <w:rFonts w:ascii="Times New Roman" w:hAnsi="Times New Roman"/>
                <w:sz w:val="24"/>
                <w:szCs w:val="24"/>
              </w:rPr>
              <w:t>1</w:t>
            </w:r>
          </w:p>
        </w:tc>
        <w:tc>
          <w:tcPr>
            <w:tcW w:w="153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5B6012AA" w:rsidRPr="00667688" w:rsidP="00A22396" w14:paraId="2DFDF52B" w14:textId="514E1B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sz w:val="24"/>
                <w:szCs w:val="24"/>
              </w:rPr>
            </w:pPr>
            <w:r w:rsidRPr="00667688">
              <w:rPr>
                <w:rFonts w:ascii="Times New Roman" w:hAnsi="Times New Roman"/>
                <w:sz w:val="24"/>
                <w:szCs w:val="24"/>
              </w:rPr>
              <w:t>252,000</w:t>
            </w:r>
          </w:p>
        </w:tc>
        <w:tc>
          <w:tcPr>
            <w:tcW w:w="15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5B6012AA" w:rsidRPr="00667688" w:rsidP="00A22396" w14:paraId="1312D79F" w14:textId="178681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sz w:val="24"/>
                <w:szCs w:val="24"/>
              </w:rPr>
            </w:pPr>
            <w:r w:rsidRPr="00667688">
              <w:rPr>
                <w:rFonts w:ascii="Times New Roman" w:hAnsi="Times New Roman"/>
                <w:sz w:val="24"/>
                <w:szCs w:val="24"/>
              </w:rPr>
              <w:t>1.5</w:t>
            </w:r>
          </w:p>
          <w:p w:rsidR="5B6012AA" w:rsidRPr="00667688" w:rsidP="00A22396" w14:paraId="5D571591" w14:textId="611475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sz w:val="24"/>
                <w:szCs w:val="24"/>
              </w:rPr>
            </w:pPr>
            <w:r w:rsidRPr="00667688">
              <w:rPr>
                <w:rFonts w:ascii="Times New Roman" w:hAnsi="Times New Roman"/>
                <w:sz w:val="24"/>
                <w:szCs w:val="24"/>
              </w:rPr>
              <w:t>(90 minutes)</w:t>
            </w:r>
          </w:p>
        </w:tc>
        <w:tc>
          <w:tcPr>
            <w:tcW w:w="153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5B6012AA" w:rsidRPr="00667688" w:rsidP="00A22396" w14:paraId="4350C83D" w14:textId="69BAD1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sz w:val="24"/>
                <w:szCs w:val="24"/>
              </w:rPr>
            </w:pPr>
            <w:r w:rsidRPr="00667688">
              <w:rPr>
                <w:rFonts w:ascii="Times New Roman" w:hAnsi="Times New Roman"/>
                <w:sz w:val="24"/>
                <w:szCs w:val="24"/>
              </w:rPr>
              <w:t>378</w:t>
            </w:r>
            <w:r w:rsidRPr="00667688">
              <w:rPr>
                <w:rFonts w:ascii="Times New Roman" w:hAnsi="Times New Roman"/>
                <w:sz w:val="24"/>
                <w:szCs w:val="24"/>
              </w:rPr>
              <w:t>,000</w:t>
            </w:r>
          </w:p>
        </w:tc>
      </w:tr>
      <w:tr w14:paraId="51BFC0AD" w14:textId="77777777" w:rsidTr="009458E5">
        <w:tblPrEx>
          <w:tblW w:w="0" w:type="auto"/>
          <w:tblLayout w:type="fixed"/>
          <w:tblLook w:val="01E0"/>
        </w:tblPrEx>
        <w:trPr>
          <w:trHeight w:val="15"/>
        </w:trPr>
        <w:tc>
          <w:tcPr>
            <w:tcW w:w="15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58BF161" w:rsidRPr="00667688" w:rsidP="00A22396" w14:paraId="4DE078FF" w14:textId="5695E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sz w:val="24"/>
                <w:szCs w:val="24"/>
              </w:rPr>
            </w:pPr>
            <w:r w:rsidRPr="00667688">
              <w:rPr>
                <w:rFonts w:ascii="Times New Roman" w:hAnsi="Times New Roman"/>
                <w:sz w:val="24"/>
                <w:szCs w:val="24"/>
              </w:rPr>
              <w:t>Discussion Board Screener</w:t>
            </w:r>
          </w:p>
        </w:tc>
        <w:tc>
          <w:tcPr>
            <w:tcW w:w="153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58BF161" w:rsidRPr="00667688" w:rsidP="00A22396" w14:paraId="7DEA4EBC" w14:textId="513FE0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sz w:val="24"/>
                <w:szCs w:val="24"/>
              </w:rPr>
            </w:pPr>
            <w:r w:rsidRPr="00667688">
              <w:rPr>
                <w:rFonts w:ascii="Times New Roman" w:hAnsi="Times New Roman"/>
                <w:sz w:val="24"/>
                <w:szCs w:val="24"/>
              </w:rPr>
              <w:t>8,000</w:t>
            </w:r>
          </w:p>
        </w:tc>
        <w:tc>
          <w:tcPr>
            <w:tcW w:w="15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58BF161" w:rsidRPr="00667688" w:rsidP="00A22396" w14:paraId="68244FB4" w14:textId="1EA4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sz w:val="24"/>
                <w:szCs w:val="24"/>
              </w:rPr>
            </w:pPr>
            <w:r w:rsidRPr="00667688">
              <w:rPr>
                <w:rFonts w:ascii="Times New Roman" w:hAnsi="Times New Roman"/>
                <w:sz w:val="24"/>
                <w:szCs w:val="24"/>
                <w:u w:val="single"/>
              </w:rPr>
              <w:t>1</w:t>
            </w:r>
          </w:p>
        </w:tc>
        <w:tc>
          <w:tcPr>
            <w:tcW w:w="153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58BF161" w:rsidRPr="00667688" w:rsidP="00A22396" w14:paraId="307FE1D5" w14:textId="5429B6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sz w:val="24"/>
                <w:szCs w:val="24"/>
              </w:rPr>
            </w:pPr>
            <w:r w:rsidRPr="00667688">
              <w:rPr>
                <w:rFonts w:ascii="Times New Roman" w:hAnsi="Times New Roman"/>
                <w:sz w:val="24"/>
                <w:szCs w:val="24"/>
              </w:rPr>
              <w:t>8,000</w:t>
            </w:r>
          </w:p>
        </w:tc>
        <w:tc>
          <w:tcPr>
            <w:tcW w:w="15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58BF161" w:rsidRPr="00667688" w:rsidP="00A22396" w14:paraId="7ED5FFCA" w14:textId="32DACB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sz w:val="24"/>
                <w:szCs w:val="24"/>
              </w:rPr>
            </w:pPr>
            <w:r w:rsidRPr="00667688">
              <w:rPr>
                <w:rFonts w:ascii="Times New Roman" w:hAnsi="Times New Roman"/>
                <w:sz w:val="24"/>
                <w:szCs w:val="24"/>
              </w:rPr>
              <w:t>0.083</w:t>
            </w:r>
          </w:p>
          <w:p w:rsidR="758BF161" w:rsidRPr="00667688" w:rsidP="00A22396" w14:paraId="21D0CC26" w14:textId="2E0138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sz w:val="24"/>
                <w:szCs w:val="24"/>
              </w:rPr>
            </w:pPr>
            <w:r w:rsidRPr="00667688">
              <w:rPr>
                <w:rFonts w:ascii="Times New Roman" w:hAnsi="Times New Roman"/>
                <w:sz w:val="24"/>
                <w:szCs w:val="24"/>
              </w:rPr>
              <w:t>(5 minutes)</w:t>
            </w:r>
          </w:p>
        </w:tc>
        <w:tc>
          <w:tcPr>
            <w:tcW w:w="153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58BF161" w:rsidRPr="00667688" w:rsidP="00A22396" w14:paraId="761DD74D" w14:textId="2019A4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sz w:val="24"/>
                <w:szCs w:val="24"/>
              </w:rPr>
            </w:pPr>
            <w:r w:rsidRPr="00667688">
              <w:rPr>
                <w:rFonts w:ascii="Times New Roman" w:hAnsi="Times New Roman"/>
                <w:sz w:val="24"/>
                <w:szCs w:val="24"/>
              </w:rPr>
              <w:t>66</w:t>
            </w:r>
            <w:r w:rsidRPr="00667688" w:rsidR="00337E0F">
              <w:rPr>
                <w:rFonts w:ascii="Times New Roman" w:hAnsi="Times New Roman"/>
                <w:sz w:val="24"/>
                <w:szCs w:val="24"/>
              </w:rPr>
              <w:t>4</w:t>
            </w:r>
          </w:p>
        </w:tc>
      </w:tr>
      <w:tr w14:paraId="3E148440" w14:textId="77777777" w:rsidTr="009458E5">
        <w:tblPrEx>
          <w:tblW w:w="0" w:type="auto"/>
          <w:tblLayout w:type="fixed"/>
          <w:tblLook w:val="01E0"/>
        </w:tblPrEx>
        <w:trPr>
          <w:trHeight w:val="15"/>
        </w:trPr>
        <w:tc>
          <w:tcPr>
            <w:tcW w:w="15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58BF161" w:rsidRPr="00667688" w:rsidP="00A22396" w14:paraId="2CF5769B" w14:textId="0C752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sz w:val="24"/>
                <w:szCs w:val="24"/>
              </w:rPr>
            </w:pPr>
            <w:r w:rsidRPr="00667688">
              <w:rPr>
                <w:rFonts w:ascii="Times New Roman" w:hAnsi="Times New Roman"/>
                <w:sz w:val="24"/>
                <w:szCs w:val="24"/>
              </w:rPr>
              <w:t>Discussion Board Participation</w:t>
            </w:r>
          </w:p>
        </w:tc>
        <w:tc>
          <w:tcPr>
            <w:tcW w:w="153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58BF161" w:rsidRPr="00667688" w:rsidP="00A22396" w14:paraId="0B70599F" w14:textId="6A470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sz w:val="24"/>
                <w:szCs w:val="24"/>
              </w:rPr>
            </w:pPr>
            <w:r w:rsidRPr="00667688">
              <w:rPr>
                <w:rFonts w:ascii="Times New Roman" w:hAnsi="Times New Roman"/>
                <w:sz w:val="24"/>
                <w:szCs w:val="24"/>
              </w:rPr>
              <w:t>100</w:t>
            </w:r>
          </w:p>
        </w:tc>
        <w:tc>
          <w:tcPr>
            <w:tcW w:w="15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58BF161" w:rsidRPr="00667688" w:rsidP="00A22396" w14:paraId="0E8EB1E6" w14:textId="4DDAE7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sz w:val="24"/>
                <w:szCs w:val="24"/>
              </w:rPr>
            </w:pPr>
            <w:r w:rsidRPr="00667688">
              <w:rPr>
                <w:rFonts w:ascii="Times New Roman" w:hAnsi="Times New Roman"/>
                <w:sz w:val="24"/>
                <w:szCs w:val="24"/>
                <w:u w:val="single"/>
              </w:rPr>
              <w:t>1</w:t>
            </w:r>
          </w:p>
        </w:tc>
        <w:tc>
          <w:tcPr>
            <w:tcW w:w="153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58BF161" w:rsidRPr="00667688" w:rsidP="00A22396" w14:paraId="51495E1D" w14:textId="033C7A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sz w:val="24"/>
                <w:szCs w:val="24"/>
              </w:rPr>
            </w:pPr>
            <w:r w:rsidRPr="00667688">
              <w:rPr>
                <w:rFonts w:ascii="Times New Roman" w:hAnsi="Times New Roman"/>
                <w:sz w:val="24"/>
                <w:szCs w:val="24"/>
              </w:rPr>
              <w:t>100</w:t>
            </w:r>
          </w:p>
        </w:tc>
        <w:tc>
          <w:tcPr>
            <w:tcW w:w="15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58BF161" w:rsidRPr="00667688" w:rsidP="00A22396" w14:paraId="1F2EB725" w14:textId="00B3B3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sz w:val="24"/>
                <w:szCs w:val="24"/>
              </w:rPr>
            </w:pPr>
            <w:r w:rsidRPr="00667688">
              <w:rPr>
                <w:rFonts w:ascii="Times New Roman" w:hAnsi="Times New Roman"/>
                <w:sz w:val="24"/>
                <w:szCs w:val="24"/>
              </w:rPr>
              <w:t>1.5</w:t>
            </w:r>
          </w:p>
          <w:p w:rsidR="758BF161" w:rsidRPr="00667688" w:rsidP="00A22396" w14:paraId="56BEC1E6" w14:textId="21F0E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sz w:val="24"/>
                <w:szCs w:val="24"/>
              </w:rPr>
            </w:pPr>
            <w:r w:rsidRPr="00667688">
              <w:rPr>
                <w:rFonts w:ascii="Times New Roman" w:hAnsi="Times New Roman"/>
                <w:sz w:val="24"/>
                <w:szCs w:val="24"/>
              </w:rPr>
              <w:t>(90 minutes)</w:t>
            </w:r>
          </w:p>
        </w:tc>
        <w:tc>
          <w:tcPr>
            <w:tcW w:w="153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58BF161" w:rsidRPr="00667688" w:rsidP="00A22396" w14:paraId="64EC5730" w14:textId="363D6D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sz w:val="24"/>
                <w:szCs w:val="24"/>
              </w:rPr>
            </w:pPr>
            <w:r w:rsidRPr="00667688">
              <w:rPr>
                <w:rFonts w:ascii="Times New Roman" w:hAnsi="Times New Roman"/>
                <w:sz w:val="24"/>
                <w:szCs w:val="24"/>
              </w:rPr>
              <w:t>150</w:t>
            </w:r>
          </w:p>
        </w:tc>
      </w:tr>
      <w:tr w14:paraId="0C146CC8" w14:textId="77777777" w:rsidTr="009458E5">
        <w:tblPrEx>
          <w:tblW w:w="0" w:type="auto"/>
          <w:tblLayout w:type="fixed"/>
          <w:tblLook w:val="01E0"/>
        </w:tblPrEx>
        <w:trPr>
          <w:trHeight w:val="309"/>
        </w:trPr>
        <w:tc>
          <w:tcPr>
            <w:tcW w:w="1532"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758BF161" w:rsidRPr="00667688" w:rsidP="00667688" w14:paraId="6CAB7D99" w14:textId="3BB0C2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color w:val="000000" w:themeColor="text1"/>
                <w:sz w:val="24"/>
                <w:szCs w:val="24"/>
              </w:rPr>
            </w:pPr>
            <w:r w:rsidRPr="00667688">
              <w:rPr>
                <w:rFonts w:ascii="Times New Roman" w:hAnsi="Times New Roman"/>
                <w:color w:val="000000" w:themeColor="text1"/>
                <w:sz w:val="24"/>
                <w:szCs w:val="24"/>
              </w:rPr>
              <w:t>Total</w:t>
            </w:r>
          </w:p>
        </w:tc>
        <w:tc>
          <w:tcPr>
            <w:tcW w:w="153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58BF161" w:rsidRPr="00667688" w:rsidP="009458E5" w14:paraId="6ABA3CF8" w14:textId="365B7A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sz w:val="24"/>
                <w:szCs w:val="24"/>
              </w:rPr>
            </w:pPr>
            <w:r>
              <w:rPr>
                <w:rFonts w:ascii="Times New Roman" w:hAnsi="Times New Roman"/>
                <w:sz w:val="24"/>
                <w:szCs w:val="24"/>
              </w:rPr>
              <w:t>343,100</w:t>
            </w:r>
          </w:p>
        </w:tc>
        <w:tc>
          <w:tcPr>
            <w:tcW w:w="1532" w:type="dxa"/>
            <w:tcBorders>
              <w:top w:val="single" w:sz="6" w:space="0" w:color="auto"/>
              <w:left w:val="single" w:sz="6" w:space="0" w:color="auto"/>
              <w:bottom w:val="single" w:sz="6" w:space="0" w:color="auto"/>
              <w:right w:val="single" w:sz="6" w:space="0" w:color="auto"/>
            </w:tcBorders>
            <w:tcMar>
              <w:left w:w="105" w:type="dxa"/>
              <w:right w:w="105" w:type="dxa"/>
            </w:tcMar>
          </w:tcPr>
          <w:p w:rsidR="758BF161" w:rsidRPr="00667688" w:rsidP="00667688" w14:paraId="02E6B79D" w14:textId="42FD5E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sz w:val="24"/>
                <w:szCs w:val="24"/>
              </w:rPr>
            </w:pPr>
          </w:p>
        </w:tc>
        <w:tc>
          <w:tcPr>
            <w:tcW w:w="1533" w:type="dxa"/>
            <w:tcBorders>
              <w:top w:val="single" w:sz="6" w:space="0" w:color="auto"/>
              <w:left w:val="single" w:sz="6" w:space="0" w:color="auto"/>
              <w:bottom w:val="single" w:sz="6" w:space="0" w:color="auto"/>
              <w:right w:val="single" w:sz="6" w:space="0" w:color="auto"/>
            </w:tcBorders>
            <w:tcMar>
              <w:left w:w="105" w:type="dxa"/>
              <w:right w:w="105" w:type="dxa"/>
            </w:tcMar>
          </w:tcPr>
          <w:p w:rsidR="758BF161" w:rsidRPr="00667688" w:rsidP="00667688" w14:paraId="2A08E0B9" w14:textId="693638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sz w:val="24"/>
                <w:szCs w:val="24"/>
              </w:rPr>
            </w:pPr>
            <w:r>
              <w:rPr>
                <w:rFonts w:ascii="Times New Roman" w:hAnsi="Times New Roman"/>
                <w:sz w:val="24"/>
                <w:szCs w:val="24"/>
              </w:rPr>
              <w:t>343,100</w:t>
            </w:r>
          </w:p>
        </w:tc>
        <w:tc>
          <w:tcPr>
            <w:tcW w:w="1532" w:type="dxa"/>
            <w:tcBorders>
              <w:top w:val="single" w:sz="6" w:space="0" w:color="auto"/>
              <w:left w:val="single" w:sz="6" w:space="0" w:color="auto"/>
              <w:bottom w:val="single" w:sz="6" w:space="0" w:color="auto"/>
              <w:right w:val="single" w:sz="6" w:space="0" w:color="auto"/>
            </w:tcBorders>
            <w:tcMar>
              <w:left w:w="105" w:type="dxa"/>
              <w:right w:w="105" w:type="dxa"/>
            </w:tcMar>
          </w:tcPr>
          <w:p w:rsidR="758BF161" w:rsidRPr="00667688" w:rsidP="00667688" w14:paraId="5EA8A6BA" w14:textId="5C4823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sz w:val="24"/>
                <w:szCs w:val="24"/>
              </w:rPr>
            </w:pPr>
          </w:p>
        </w:tc>
        <w:tc>
          <w:tcPr>
            <w:tcW w:w="1533" w:type="dxa"/>
            <w:tcBorders>
              <w:top w:val="single" w:sz="6" w:space="0" w:color="auto"/>
              <w:left w:val="single" w:sz="6" w:space="0" w:color="auto"/>
              <w:bottom w:val="single" w:sz="6" w:space="0" w:color="auto"/>
              <w:right w:val="single" w:sz="6" w:space="0" w:color="auto"/>
            </w:tcBorders>
            <w:tcMar>
              <w:left w:w="105" w:type="dxa"/>
              <w:right w:w="105" w:type="dxa"/>
            </w:tcMar>
          </w:tcPr>
          <w:p w:rsidR="00124FA9" w:rsidRPr="00667688" w:rsidP="00667688" w14:paraId="5EAFC179" w14:textId="38E7C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sz w:val="24"/>
                <w:szCs w:val="24"/>
              </w:rPr>
            </w:pPr>
            <w:r w:rsidRPr="00667688">
              <w:rPr>
                <w:rFonts w:ascii="Times New Roman" w:hAnsi="Times New Roman"/>
                <w:sz w:val="24"/>
                <w:szCs w:val="24"/>
              </w:rPr>
              <w:t>399</w:t>
            </w:r>
            <w:r w:rsidRPr="00667688" w:rsidR="005D63FA">
              <w:rPr>
                <w:rFonts w:ascii="Times New Roman" w:hAnsi="Times New Roman"/>
                <w:sz w:val="24"/>
                <w:szCs w:val="24"/>
              </w:rPr>
              <w:t>,182</w:t>
            </w:r>
          </w:p>
        </w:tc>
      </w:tr>
    </w:tbl>
    <w:p w:rsidR="004D2480" w:rsidRPr="00667688" w:rsidP="00667688" w14:paraId="73000F8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b/>
          <w:sz w:val="24"/>
          <w:szCs w:val="24"/>
        </w:rPr>
      </w:pPr>
    </w:p>
    <w:p w:rsidR="00087B68" w:rsidRPr="00667688" w:rsidP="00667688" w14:paraId="6E7D6BFF" w14:textId="7B9501AA">
      <w:pPr>
        <w:spacing w:line="240" w:lineRule="auto"/>
        <w:rPr>
          <w:rFonts w:ascii="Times New Roman" w:hAnsi="Times New Roman"/>
          <w:sz w:val="24"/>
          <w:szCs w:val="24"/>
        </w:rPr>
      </w:pPr>
      <w:r w:rsidRPr="00667688">
        <w:rPr>
          <w:rFonts w:ascii="Times New Roman" w:hAnsi="Times New Roman"/>
          <w:sz w:val="24"/>
          <w:szCs w:val="24"/>
        </w:rPr>
        <w:t>The number of respondents to be included in each new pretest may vary, depending on the nature of the material or message being tested and the target audience. Table 1 provides examples of the types of studies that may be administered and estimated burden levels during the 3-year period. Time to read, view, or listen to the message being tested is built into the ‘‘Hours per Response’’ figures.</w:t>
      </w:r>
      <w:r w:rsidRPr="00667688" w:rsidR="00C9656D">
        <w:rPr>
          <w:rFonts w:ascii="Times New Roman" w:hAnsi="Times New Roman"/>
          <w:sz w:val="24"/>
          <w:szCs w:val="24"/>
        </w:rPr>
        <w:t xml:space="preserve"> </w:t>
      </w:r>
    </w:p>
    <w:p w:rsidR="00F25D82" w:rsidRPr="00667688" w:rsidP="00667688" w14:paraId="5CA505BA" w14:textId="77777777">
      <w:pPr>
        <w:pStyle w:val="ListParagraph"/>
        <w:spacing w:before="100" w:beforeAutospacing="1" w:after="100" w:afterAutospacing="1" w:line="240" w:lineRule="auto"/>
        <w:ind w:hanging="720"/>
        <w:rPr>
          <w:rFonts w:ascii="Times New Roman" w:hAnsi="Times New Roman"/>
          <w:sz w:val="24"/>
          <w:szCs w:val="24"/>
          <w:u w:val="single"/>
        </w:rPr>
      </w:pPr>
      <w:r w:rsidRPr="00667688">
        <w:rPr>
          <w:rFonts w:ascii="Times New Roman" w:hAnsi="Times New Roman"/>
          <w:sz w:val="24"/>
          <w:szCs w:val="24"/>
        </w:rPr>
        <w:t>12b.</w:t>
      </w:r>
      <w:r w:rsidRPr="00667688">
        <w:rPr>
          <w:rFonts w:ascii="Times New Roman" w:hAnsi="Times New Roman"/>
          <w:sz w:val="24"/>
          <w:szCs w:val="24"/>
        </w:rPr>
        <w:tab/>
      </w:r>
      <w:r w:rsidRPr="00667688">
        <w:rPr>
          <w:rFonts w:ascii="Times New Roman" w:hAnsi="Times New Roman"/>
          <w:sz w:val="24"/>
          <w:szCs w:val="24"/>
          <w:u w:val="single"/>
        </w:rPr>
        <w:t>Annualized Cost Burden Estimate</w:t>
      </w:r>
    </w:p>
    <w:p w:rsidR="00AE7EAA" w:rsidRPr="00667688" w:rsidP="00667688" w14:paraId="41D9A695" w14:textId="356A7316">
      <w:pPr>
        <w:autoSpaceDE w:val="0"/>
        <w:autoSpaceDN w:val="0"/>
        <w:adjustRightInd w:val="0"/>
        <w:spacing w:after="0" w:line="240" w:lineRule="auto"/>
        <w:rPr>
          <w:rFonts w:ascii="Times New Roman" w:hAnsi="Times New Roman"/>
          <w:sz w:val="24"/>
          <w:szCs w:val="24"/>
        </w:rPr>
      </w:pPr>
      <w:r w:rsidRPr="00667688">
        <w:rPr>
          <w:rFonts w:ascii="Times New Roman" w:hAnsi="Times New Roman"/>
          <w:sz w:val="24"/>
          <w:szCs w:val="24"/>
        </w:rPr>
        <w:t xml:space="preserve">The </w:t>
      </w:r>
      <w:r w:rsidRPr="00667688">
        <w:rPr>
          <w:rFonts w:ascii="Times New Roman" w:hAnsi="Times New Roman"/>
          <w:sz w:val="24"/>
          <w:szCs w:val="24"/>
        </w:rPr>
        <w:t>general public</w:t>
      </w:r>
      <w:r w:rsidRPr="00667688">
        <w:rPr>
          <w:rFonts w:ascii="Times New Roman" w:hAnsi="Times New Roman"/>
          <w:sz w:val="24"/>
          <w:szCs w:val="24"/>
        </w:rPr>
        <w:t xml:space="preserve"> will complete the majority of data collections. The </w:t>
      </w:r>
      <w:r w:rsidRPr="00667688" w:rsidR="00937268">
        <w:rPr>
          <w:rFonts w:ascii="Times New Roman" w:hAnsi="Times New Roman"/>
          <w:sz w:val="24"/>
          <w:szCs w:val="24"/>
        </w:rPr>
        <w:t>mean</w:t>
      </w:r>
      <w:r w:rsidRPr="00667688">
        <w:rPr>
          <w:rFonts w:ascii="Times New Roman" w:hAnsi="Times New Roman"/>
          <w:sz w:val="24"/>
          <w:szCs w:val="24"/>
        </w:rPr>
        <w:t xml:space="preserve"> </w:t>
      </w:r>
      <w:r w:rsidRPr="00667688" w:rsidR="00506995">
        <w:rPr>
          <w:rFonts w:ascii="Times New Roman" w:hAnsi="Times New Roman"/>
          <w:sz w:val="24"/>
          <w:szCs w:val="24"/>
        </w:rPr>
        <w:t xml:space="preserve">hourly </w:t>
      </w:r>
      <w:r w:rsidRPr="00667688" w:rsidR="00B03D58">
        <w:rPr>
          <w:rFonts w:ascii="Times New Roman" w:hAnsi="Times New Roman"/>
          <w:sz w:val="24"/>
          <w:szCs w:val="24"/>
        </w:rPr>
        <w:t>compensation</w:t>
      </w:r>
      <w:r w:rsidRPr="00667688">
        <w:rPr>
          <w:rFonts w:ascii="Times New Roman" w:hAnsi="Times New Roman"/>
          <w:sz w:val="24"/>
          <w:szCs w:val="24"/>
        </w:rPr>
        <w:t xml:space="preserve"> for this group </w:t>
      </w:r>
      <w:r w:rsidRPr="00667688" w:rsidR="009B113E">
        <w:rPr>
          <w:rFonts w:ascii="Times New Roman" w:hAnsi="Times New Roman"/>
          <w:sz w:val="24"/>
          <w:szCs w:val="24"/>
        </w:rPr>
        <w:t xml:space="preserve">as of </w:t>
      </w:r>
      <w:r w:rsidRPr="00667688" w:rsidR="00230E3E">
        <w:rPr>
          <w:rFonts w:ascii="Times New Roman" w:hAnsi="Times New Roman"/>
          <w:sz w:val="24"/>
          <w:szCs w:val="24"/>
        </w:rPr>
        <w:t>January 2024</w:t>
      </w:r>
      <w:r w:rsidRPr="00667688" w:rsidR="009B113E">
        <w:rPr>
          <w:rFonts w:ascii="Times New Roman" w:hAnsi="Times New Roman"/>
          <w:sz w:val="24"/>
          <w:szCs w:val="24"/>
        </w:rPr>
        <w:t xml:space="preserve"> </w:t>
      </w:r>
      <w:r w:rsidRPr="00667688">
        <w:rPr>
          <w:rFonts w:ascii="Times New Roman" w:hAnsi="Times New Roman"/>
          <w:sz w:val="24"/>
          <w:szCs w:val="24"/>
        </w:rPr>
        <w:t>is $</w:t>
      </w:r>
      <w:r w:rsidRPr="00667688" w:rsidR="00496D73">
        <w:rPr>
          <w:rFonts w:ascii="Times New Roman" w:hAnsi="Times New Roman"/>
          <w:sz w:val="24"/>
          <w:szCs w:val="24"/>
        </w:rPr>
        <w:t>34.55</w:t>
      </w:r>
      <w:r w:rsidRPr="00667688" w:rsidR="009B113E">
        <w:rPr>
          <w:rFonts w:ascii="Times New Roman" w:hAnsi="Times New Roman"/>
          <w:sz w:val="24"/>
          <w:szCs w:val="24"/>
        </w:rPr>
        <w:t xml:space="preserve"> </w:t>
      </w:r>
      <w:hyperlink r:id="rId10">
        <w:r w:rsidRPr="00667688" w:rsidR="009B113E">
          <w:rPr>
            <w:rStyle w:val="Hyperlink"/>
            <w:rFonts w:ascii="Times New Roman" w:hAnsi="Times New Roman"/>
            <w:sz w:val="24"/>
            <w:szCs w:val="24"/>
          </w:rPr>
          <w:t>(BLS)</w:t>
        </w:r>
      </w:hyperlink>
      <w:r w:rsidRPr="00667688" w:rsidR="009C0E70">
        <w:rPr>
          <w:rFonts w:ascii="Times New Roman" w:hAnsi="Times New Roman"/>
          <w:sz w:val="24"/>
          <w:szCs w:val="24"/>
        </w:rPr>
        <w:t xml:space="preserve">. </w:t>
      </w:r>
      <w:r w:rsidRPr="00667688">
        <w:rPr>
          <w:rFonts w:ascii="Times New Roman" w:hAnsi="Times New Roman"/>
          <w:sz w:val="24"/>
          <w:szCs w:val="24"/>
        </w:rPr>
        <w:t xml:space="preserve">The estimated annualized annual cost for the </w:t>
      </w:r>
      <w:r w:rsidRPr="00667688">
        <w:rPr>
          <w:rFonts w:ascii="Times New Roman" w:hAnsi="Times New Roman"/>
          <w:sz w:val="24"/>
          <w:szCs w:val="24"/>
        </w:rPr>
        <w:t>general public</w:t>
      </w:r>
      <w:r w:rsidRPr="00667688">
        <w:rPr>
          <w:rFonts w:ascii="Times New Roman" w:hAnsi="Times New Roman"/>
          <w:sz w:val="24"/>
          <w:szCs w:val="24"/>
        </w:rPr>
        <w:t xml:space="preserve"> in this information collection for </w:t>
      </w:r>
      <w:r w:rsidRPr="00667688" w:rsidR="552DA7A2">
        <w:rPr>
          <w:rFonts w:ascii="Times New Roman" w:hAnsi="Times New Roman"/>
          <w:sz w:val="24"/>
          <w:szCs w:val="24"/>
        </w:rPr>
        <w:t>399,192</w:t>
      </w:r>
      <w:r w:rsidRPr="00667688" w:rsidR="00651F0B">
        <w:rPr>
          <w:rFonts w:ascii="Times New Roman" w:hAnsi="Times New Roman"/>
          <w:sz w:val="24"/>
          <w:szCs w:val="24"/>
        </w:rPr>
        <w:t xml:space="preserve"> </w:t>
      </w:r>
      <w:r w:rsidRPr="00667688">
        <w:rPr>
          <w:rFonts w:ascii="Times New Roman" w:hAnsi="Times New Roman"/>
          <w:sz w:val="24"/>
          <w:szCs w:val="24"/>
        </w:rPr>
        <w:t xml:space="preserve">hours of reporting time is </w:t>
      </w:r>
      <w:r w:rsidRPr="00667688" w:rsidR="00E7028E">
        <w:rPr>
          <w:rFonts w:ascii="Times New Roman" w:hAnsi="Times New Roman"/>
          <w:sz w:val="24"/>
          <w:szCs w:val="24"/>
        </w:rPr>
        <w:t>$27,583,476.20</w:t>
      </w:r>
      <w:r w:rsidRPr="00667688">
        <w:rPr>
          <w:rFonts w:ascii="Times New Roman" w:hAnsi="Times New Roman"/>
          <w:sz w:val="24"/>
          <w:szCs w:val="24"/>
        </w:rPr>
        <w:t xml:space="preserve">. </w:t>
      </w:r>
      <w:r w:rsidRPr="00667688" w:rsidR="00F43364">
        <w:rPr>
          <w:rFonts w:ascii="Times New Roman" w:hAnsi="Times New Roman"/>
          <w:sz w:val="24"/>
          <w:szCs w:val="24"/>
        </w:rPr>
        <w:t>We double this to account for benefits and overhead, yielding an hourly wage rate of $</w:t>
      </w:r>
      <w:r w:rsidRPr="00667688" w:rsidR="00B93D64">
        <w:rPr>
          <w:rFonts w:ascii="Times New Roman" w:hAnsi="Times New Roman"/>
          <w:sz w:val="24"/>
          <w:szCs w:val="24"/>
        </w:rPr>
        <w:t>69.10</w:t>
      </w:r>
      <w:r w:rsidRPr="00667688" w:rsidR="00F43364">
        <w:rPr>
          <w:rFonts w:ascii="Times New Roman" w:hAnsi="Times New Roman"/>
          <w:sz w:val="24"/>
          <w:szCs w:val="24"/>
        </w:rPr>
        <w:t>.</w:t>
      </w:r>
      <w:r w:rsidRPr="00667688" w:rsidR="00DD3913">
        <w:rPr>
          <w:rFonts w:ascii="Times New Roman" w:hAnsi="Times New Roman"/>
          <w:sz w:val="24"/>
          <w:szCs w:val="24"/>
        </w:rPr>
        <w:t xml:space="preserve"> </w:t>
      </w:r>
      <w:r w:rsidRPr="00667688">
        <w:rPr>
          <w:rFonts w:ascii="Times New Roman" w:hAnsi="Times New Roman"/>
          <w:sz w:val="24"/>
          <w:szCs w:val="24"/>
        </w:rPr>
        <w:t xml:space="preserve">The number of respondents and length of response was determined </w:t>
      </w:r>
      <w:r w:rsidRPr="00667688">
        <w:rPr>
          <w:rFonts w:ascii="Times New Roman" w:hAnsi="Times New Roman"/>
          <w:sz w:val="24"/>
          <w:szCs w:val="24"/>
        </w:rPr>
        <w:t>on the basis of</w:t>
      </w:r>
      <w:r w:rsidRPr="00667688">
        <w:rPr>
          <w:rFonts w:ascii="Times New Roman" w:hAnsi="Times New Roman"/>
          <w:sz w:val="24"/>
          <w:szCs w:val="24"/>
        </w:rPr>
        <w:t xml:space="preserve"> FDA</w:t>
      </w:r>
      <w:r w:rsidRPr="00667688" w:rsidR="00844CDE">
        <w:rPr>
          <w:rFonts w:ascii="Times New Roman" w:hAnsi="Times New Roman"/>
          <w:sz w:val="24"/>
          <w:szCs w:val="24"/>
        </w:rPr>
        <w:t>’s</w:t>
      </w:r>
      <w:r w:rsidRPr="00667688">
        <w:rPr>
          <w:rFonts w:ascii="Times New Roman" w:hAnsi="Times New Roman"/>
          <w:sz w:val="24"/>
          <w:szCs w:val="24"/>
        </w:rPr>
        <w:t xml:space="preserve"> prior experience with communications testing and an estimate of the communication needs of</w:t>
      </w:r>
      <w:r w:rsidR="00EC6712">
        <w:rPr>
          <w:rFonts w:ascii="Times New Roman" w:hAnsi="Times New Roman"/>
          <w:sz w:val="24"/>
          <w:szCs w:val="24"/>
        </w:rPr>
        <w:t xml:space="preserve"> CTP</w:t>
      </w:r>
      <w:r w:rsidRPr="00667688">
        <w:rPr>
          <w:rFonts w:ascii="Times New Roman" w:hAnsi="Times New Roman"/>
          <w:sz w:val="24"/>
          <w:szCs w:val="24"/>
        </w:rPr>
        <w:t>. The actual numbers will vary depending upon the topic of interest</w:t>
      </w:r>
      <w:r w:rsidRPr="00667688" w:rsidR="007C0952">
        <w:rPr>
          <w:rFonts w:ascii="Times New Roman" w:hAnsi="Times New Roman"/>
          <w:sz w:val="24"/>
          <w:szCs w:val="24"/>
        </w:rPr>
        <w:t>.</w:t>
      </w:r>
    </w:p>
    <w:p w:rsidR="009C0E70" w:rsidRPr="00667688" w:rsidP="00667688" w14:paraId="55D87F30" w14:textId="77777777">
      <w:pPr>
        <w:autoSpaceDE w:val="0"/>
        <w:autoSpaceDN w:val="0"/>
        <w:adjustRightInd w:val="0"/>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3364"/>
        <w:gridCol w:w="1955"/>
        <w:gridCol w:w="1599"/>
        <w:gridCol w:w="2432"/>
      </w:tblGrid>
      <w:tr w14:paraId="7A4A4863" w14:textId="77777777" w:rsidTr="255BF788">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c>
          <w:tcPr>
            <w:tcW w:w="0" w:type="auto"/>
            <w:shd w:val="clear" w:color="auto" w:fill="auto"/>
          </w:tcPr>
          <w:p w:rsidR="003F6CBC" w:rsidRPr="00667688" w:rsidP="00667688" w14:paraId="1294E341" w14:textId="77777777">
            <w:pPr>
              <w:autoSpaceDE w:val="0"/>
              <w:autoSpaceDN w:val="0"/>
              <w:adjustRightInd w:val="0"/>
              <w:spacing w:after="0" w:line="240" w:lineRule="auto"/>
              <w:rPr>
                <w:rFonts w:ascii="Times New Roman" w:hAnsi="Times New Roman"/>
                <w:sz w:val="24"/>
                <w:szCs w:val="24"/>
                <w:u w:val="single"/>
              </w:rPr>
            </w:pPr>
            <w:r w:rsidRPr="00667688">
              <w:rPr>
                <w:rFonts w:ascii="Times New Roman" w:hAnsi="Times New Roman"/>
                <w:sz w:val="24"/>
                <w:szCs w:val="24"/>
                <w:u w:val="single"/>
              </w:rPr>
              <w:t>Type of Interview</w:t>
            </w:r>
          </w:p>
        </w:tc>
        <w:tc>
          <w:tcPr>
            <w:tcW w:w="0" w:type="auto"/>
            <w:shd w:val="clear" w:color="auto" w:fill="auto"/>
            <w:vAlign w:val="center"/>
          </w:tcPr>
          <w:p w:rsidR="003F6CBC" w:rsidRPr="00667688" w:rsidP="009458E5" w14:paraId="74DEED1B" w14:textId="77777777">
            <w:pPr>
              <w:autoSpaceDE w:val="0"/>
              <w:autoSpaceDN w:val="0"/>
              <w:adjustRightInd w:val="0"/>
              <w:spacing w:after="0" w:line="240" w:lineRule="auto"/>
              <w:jc w:val="center"/>
              <w:rPr>
                <w:rFonts w:ascii="Times New Roman" w:hAnsi="Times New Roman"/>
                <w:b/>
                <w:sz w:val="24"/>
                <w:szCs w:val="24"/>
              </w:rPr>
            </w:pPr>
            <w:r w:rsidRPr="00667688">
              <w:rPr>
                <w:rFonts w:ascii="Times New Roman" w:hAnsi="Times New Roman"/>
                <w:b/>
                <w:sz w:val="24"/>
                <w:szCs w:val="24"/>
              </w:rPr>
              <w:t>Total Burden Hours</w:t>
            </w:r>
          </w:p>
        </w:tc>
        <w:tc>
          <w:tcPr>
            <w:tcW w:w="0" w:type="auto"/>
            <w:vAlign w:val="center"/>
          </w:tcPr>
          <w:p w:rsidR="003F6CBC" w:rsidRPr="00667688" w:rsidP="009458E5" w14:paraId="273B235D" w14:textId="5E181C90">
            <w:pPr>
              <w:autoSpaceDE w:val="0"/>
              <w:autoSpaceDN w:val="0"/>
              <w:adjustRightInd w:val="0"/>
              <w:spacing w:after="0" w:line="240" w:lineRule="auto"/>
              <w:jc w:val="center"/>
              <w:rPr>
                <w:rFonts w:ascii="Times New Roman" w:hAnsi="Times New Roman"/>
                <w:b/>
                <w:sz w:val="24"/>
                <w:szCs w:val="24"/>
              </w:rPr>
            </w:pPr>
            <w:r w:rsidRPr="00667688">
              <w:rPr>
                <w:rFonts w:ascii="Times New Roman" w:hAnsi="Times New Roman"/>
                <w:b/>
                <w:sz w:val="24"/>
                <w:szCs w:val="24"/>
              </w:rPr>
              <w:t>Average Rate</w:t>
            </w:r>
          </w:p>
        </w:tc>
        <w:tc>
          <w:tcPr>
            <w:tcW w:w="0" w:type="auto"/>
            <w:vAlign w:val="center"/>
          </w:tcPr>
          <w:p w:rsidR="003F6CBC" w:rsidRPr="00667688" w:rsidP="009458E5" w14:paraId="22C878AF" w14:textId="77777777">
            <w:pPr>
              <w:autoSpaceDE w:val="0"/>
              <w:autoSpaceDN w:val="0"/>
              <w:adjustRightInd w:val="0"/>
              <w:spacing w:after="0" w:line="240" w:lineRule="auto"/>
              <w:jc w:val="center"/>
              <w:rPr>
                <w:rFonts w:ascii="Times New Roman" w:hAnsi="Times New Roman"/>
                <w:b/>
                <w:sz w:val="24"/>
                <w:szCs w:val="24"/>
              </w:rPr>
            </w:pPr>
            <w:r w:rsidRPr="00667688">
              <w:rPr>
                <w:rFonts w:ascii="Times New Roman" w:hAnsi="Times New Roman"/>
                <w:b/>
                <w:sz w:val="24"/>
                <w:szCs w:val="24"/>
              </w:rPr>
              <w:t>Total Respondent Cost</w:t>
            </w:r>
          </w:p>
        </w:tc>
      </w:tr>
      <w:tr w14:paraId="190DAA92" w14:textId="77777777" w:rsidTr="255BF788">
        <w:tblPrEx>
          <w:tblW w:w="0" w:type="auto"/>
          <w:tblLook w:val="01E0"/>
        </w:tblPrEx>
        <w:trPr>
          <w:trHeight w:val="590"/>
        </w:trPr>
        <w:tc>
          <w:tcPr>
            <w:tcW w:w="0" w:type="auto"/>
            <w:shd w:val="clear" w:color="auto" w:fill="auto"/>
            <w:vAlign w:val="center"/>
          </w:tcPr>
          <w:p w:rsidR="003F6CBC" w:rsidRPr="00667688" w:rsidP="009458E5" w14:paraId="1A6FD217" w14:textId="77777777">
            <w:pPr>
              <w:autoSpaceDE w:val="0"/>
              <w:autoSpaceDN w:val="0"/>
              <w:adjustRightInd w:val="0"/>
              <w:spacing w:after="0" w:line="240" w:lineRule="auto"/>
              <w:rPr>
                <w:rFonts w:ascii="Times New Roman" w:hAnsi="Times New Roman"/>
                <w:sz w:val="24"/>
                <w:szCs w:val="24"/>
              </w:rPr>
            </w:pPr>
            <w:r w:rsidRPr="00667688">
              <w:rPr>
                <w:rFonts w:ascii="Times New Roman" w:hAnsi="Times New Roman"/>
                <w:sz w:val="24"/>
                <w:szCs w:val="24"/>
              </w:rPr>
              <w:t>In Person Individual In-depth Interviews</w:t>
            </w:r>
          </w:p>
        </w:tc>
        <w:tc>
          <w:tcPr>
            <w:tcW w:w="0" w:type="auto"/>
            <w:shd w:val="clear" w:color="auto" w:fill="auto"/>
            <w:vAlign w:val="center"/>
          </w:tcPr>
          <w:p w:rsidR="003F6CBC" w:rsidRPr="00667688" w:rsidP="009458E5" w14:paraId="4EDB894E" w14:textId="5D1DE98D">
            <w:pPr>
              <w:spacing w:after="0" w:line="240" w:lineRule="auto"/>
              <w:jc w:val="center"/>
              <w:rPr>
                <w:rFonts w:ascii="Times New Roman" w:hAnsi="Times New Roman"/>
                <w:sz w:val="24"/>
                <w:szCs w:val="24"/>
              </w:rPr>
            </w:pPr>
            <w:r w:rsidRPr="00667688">
              <w:rPr>
                <w:rFonts w:ascii="Times New Roman" w:hAnsi="Times New Roman"/>
                <w:sz w:val="24"/>
                <w:szCs w:val="24"/>
              </w:rPr>
              <w:t>4,500</w:t>
            </w:r>
          </w:p>
        </w:tc>
        <w:tc>
          <w:tcPr>
            <w:tcW w:w="0" w:type="auto"/>
            <w:vAlign w:val="center"/>
          </w:tcPr>
          <w:p w:rsidR="003F6CBC" w:rsidRPr="00667688" w:rsidP="009458E5" w14:paraId="572F6414" w14:textId="77777777">
            <w:pPr>
              <w:autoSpaceDE w:val="0"/>
              <w:autoSpaceDN w:val="0"/>
              <w:adjustRightInd w:val="0"/>
              <w:spacing w:after="0" w:line="240" w:lineRule="auto"/>
              <w:jc w:val="center"/>
              <w:rPr>
                <w:rFonts w:ascii="Times New Roman" w:hAnsi="Times New Roman"/>
                <w:sz w:val="24"/>
                <w:szCs w:val="24"/>
              </w:rPr>
            </w:pPr>
            <w:r w:rsidRPr="00667688">
              <w:rPr>
                <w:rFonts w:ascii="Times New Roman" w:hAnsi="Times New Roman"/>
                <w:sz w:val="24"/>
                <w:szCs w:val="24"/>
              </w:rPr>
              <w:t>$69.10</w:t>
            </w:r>
          </w:p>
        </w:tc>
        <w:tc>
          <w:tcPr>
            <w:tcW w:w="0" w:type="auto"/>
            <w:vAlign w:val="center"/>
          </w:tcPr>
          <w:p w:rsidR="003F6CBC" w:rsidRPr="00667688" w:rsidP="009458E5" w14:paraId="501F3EF0" w14:textId="2CF04825">
            <w:pPr>
              <w:autoSpaceDE w:val="0"/>
              <w:autoSpaceDN w:val="0"/>
              <w:adjustRightInd w:val="0"/>
              <w:spacing w:after="0" w:line="240" w:lineRule="auto"/>
              <w:jc w:val="center"/>
              <w:rPr>
                <w:rFonts w:ascii="Times New Roman" w:hAnsi="Times New Roman"/>
                <w:sz w:val="24"/>
                <w:szCs w:val="24"/>
              </w:rPr>
            </w:pPr>
            <w:r w:rsidRPr="00667688">
              <w:rPr>
                <w:rFonts w:ascii="Times New Roman" w:hAnsi="Times New Roman"/>
                <w:sz w:val="24"/>
                <w:szCs w:val="24"/>
              </w:rPr>
              <w:t>$</w:t>
            </w:r>
            <w:r w:rsidRPr="00667688" w:rsidR="000C3647">
              <w:rPr>
                <w:rFonts w:ascii="Times New Roman" w:hAnsi="Times New Roman"/>
                <w:sz w:val="24"/>
                <w:szCs w:val="24"/>
              </w:rPr>
              <w:t>310,950</w:t>
            </w:r>
          </w:p>
        </w:tc>
      </w:tr>
      <w:tr w14:paraId="361577A2" w14:textId="77777777" w:rsidTr="255BF788">
        <w:tblPrEx>
          <w:tblW w:w="0" w:type="auto"/>
          <w:tblLook w:val="01E0"/>
        </w:tblPrEx>
        <w:trPr>
          <w:trHeight w:val="590"/>
        </w:trPr>
        <w:tc>
          <w:tcPr>
            <w:tcW w:w="0" w:type="auto"/>
            <w:shd w:val="clear" w:color="auto" w:fill="auto"/>
            <w:vAlign w:val="center"/>
          </w:tcPr>
          <w:p w:rsidR="003F6CBC" w:rsidRPr="00667688" w:rsidP="009458E5" w14:paraId="7637580C" w14:textId="77777777">
            <w:pPr>
              <w:autoSpaceDE w:val="0"/>
              <w:autoSpaceDN w:val="0"/>
              <w:adjustRightInd w:val="0"/>
              <w:spacing w:after="0" w:line="240" w:lineRule="auto"/>
              <w:rPr>
                <w:rFonts w:ascii="Times New Roman" w:hAnsi="Times New Roman"/>
                <w:sz w:val="24"/>
                <w:szCs w:val="24"/>
              </w:rPr>
            </w:pPr>
            <w:r w:rsidRPr="00667688">
              <w:rPr>
                <w:rFonts w:ascii="Times New Roman" w:hAnsi="Times New Roman"/>
                <w:sz w:val="24"/>
                <w:szCs w:val="24"/>
              </w:rPr>
              <w:t>In-depth Interview Screener</w:t>
            </w:r>
          </w:p>
        </w:tc>
        <w:tc>
          <w:tcPr>
            <w:tcW w:w="0" w:type="auto"/>
            <w:shd w:val="clear" w:color="auto" w:fill="auto"/>
            <w:vAlign w:val="center"/>
          </w:tcPr>
          <w:p w:rsidR="003F6CBC" w:rsidRPr="00667688" w:rsidP="009458E5" w14:paraId="4439C563" w14:textId="190C91A1">
            <w:pPr>
              <w:autoSpaceDE w:val="0"/>
              <w:autoSpaceDN w:val="0"/>
              <w:adjustRightInd w:val="0"/>
              <w:spacing w:after="0" w:line="240" w:lineRule="auto"/>
              <w:jc w:val="center"/>
              <w:rPr>
                <w:rFonts w:ascii="Times New Roman" w:hAnsi="Times New Roman"/>
                <w:sz w:val="24"/>
                <w:szCs w:val="24"/>
              </w:rPr>
            </w:pPr>
            <w:r w:rsidRPr="00667688">
              <w:rPr>
                <w:rFonts w:ascii="Times New Roman" w:hAnsi="Times New Roman"/>
                <w:sz w:val="24"/>
                <w:szCs w:val="24"/>
              </w:rPr>
              <w:t>1,8</w:t>
            </w:r>
            <w:r w:rsidRPr="00667688" w:rsidR="000513D4">
              <w:rPr>
                <w:rFonts w:ascii="Times New Roman" w:hAnsi="Times New Roman"/>
                <w:sz w:val="24"/>
                <w:szCs w:val="24"/>
              </w:rPr>
              <w:t>68</w:t>
            </w:r>
          </w:p>
        </w:tc>
        <w:tc>
          <w:tcPr>
            <w:tcW w:w="0" w:type="auto"/>
            <w:vAlign w:val="center"/>
          </w:tcPr>
          <w:p w:rsidR="003F6CBC" w:rsidRPr="00667688" w:rsidP="009458E5" w14:paraId="775638B5" w14:textId="77777777">
            <w:pPr>
              <w:autoSpaceDE w:val="0"/>
              <w:autoSpaceDN w:val="0"/>
              <w:adjustRightInd w:val="0"/>
              <w:spacing w:after="0" w:line="240" w:lineRule="auto"/>
              <w:jc w:val="center"/>
              <w:rPr>
                <w:rFonts w:ascii="Times New Roman" w:hAnsi="Times New Roman"/>
                <w:sz w:val="24"/>
                <w:szCs w:val="24"/>
              </w:rPr>
            </w:pPr>
            <w:r w:rsidRPr="00667688">
              <w:rPr>
                <w:rFonts w:ascii="Times New Roman" w:hAnsi="Times New Roman"/>
                <w:sz w:val="24"/>
                <w:szCs w:val="24"/>
              </w:rPr>
              <w:t>$69.10</w:t>
            </w:r>
          </w:p>
        </w:tc>
        <w:tc>
          <w:tcPr>
            <w:tcW w:w="0" w:type="auto"/>
            <w:vAlign w:val="center"/>
          </w:tcPr>
          <w:p w:rsidR="003F6CBC" w:rsidRPr="00667688" w:rsidP="009458E5" w14:paraId="41CA7E7A" w14:textId="11A9A011">
            <w:pPr>
              <w:autoSpaceDE w:val="0"/>
              <w:autoSpaceDN w:val="0"/>
              <w:adjustRightInd w:val="0"/>
              <w:spacing w:after="0" w:line="240" w:lineRule="auto"/>
              <w:jc w:val="center"/>
              <w:rPr>
                <w:rFonts w:ascii="Times New Roman" w:hAnsi="Times New Roman"/>
                <w:sz w:val="24"/>
                <w:szCs w:val="24"/>
              </w:rPr>
            </w:pPr>
            <w:r w:rsidRPr="00667688">
              <w:rPr>
                <w:rFonts w:ascii="Times New Roman" w:hAnsi="Times New Roman"/>
                <w:sz w:val="24"/>
                <w:szCs w:val="24"/>
              </w:rPr>
              <w:t>$129,</w:t>
            </w:r>
            <w:r w:rsidRPr="00667688" w:rsidR="00C77833">
              <w:rPr>
                <w:rFonts w:ascii="Times New Roman" w:hAnsi="Times New Roman"/>
                <w:sz w:val="24"/>
                <w:szCs w:val="24"/>
              </w:rPr>
              <w:t>078</w:t>
            </w:r>
            <w:r w:rsidRPr="00667688">
              <w:rPr>
                <w:rFonts w:ascii="Times New Roman" w:hAnsi="Times New Roman"/>
                <w:sz w:val="24"/>
                <w:szCs w:val="24"/>
              </w:rPr>
              <w:t>.</w:t>
            </w:r>
            <w:r w:rsidRPr="00667688" w:rsidR="00C77833">
              <w:rPr>
                <w:rFonts w:ascii="Times New Roman" w:hAnsi="Times New Roman"/>
                <w:sz w:val="24"/>
                <w:szCs w:val="24"/>
              </w:rPr>
              <w:t>8</w:t>
            </w:r>
            <w:r w:rsidRPr="00667688">
              <w:rPr>
                <w:rFonts w:ascii="Times New Roman" w:hAnsi="Times New Roman"/>
                <w:sz w:val="24"/>
                <w:szCs w:val="24"/>
              </w:rPr>
              <w:t>0</w:t>
            </w:r>
          </w:p>
        </w:tc>
      </w:tr>
      <w:tr w14:paraId="153C457B" w14:textId="77777777" w:rsidTr="255BF788">
        <w:tblPrEx>
          <w:tblW w:w="0" w:type="auto"/>
          <w:tblLook w:val="01E0"/>
        </w:tblPrEx>
        <w:trPr>
          <w:trHeight w:val="590"/>
        </w:trPr>
        <w:tc>
          <w:tcPr>
            <w:tcW w:w="0" w:type="auto"/>
            <w:shd w:val="clear" w:color="auto" w:fill="auto"/>
            <w:vAlign w:val="center"/>
          </w:tcPr>
          <w:p w:rsidR="003F6CBC" w:rsidRPr="00667688" w:rsidP="009458E5" w14:paraId="3B1B5977" w14:textId="77777777">
            <w:pPr>
              <w:autoSpaceDE w:val="0"/>
              <w:autoSpaceDN w:val="0"/>
              <w:adjustRightInd w:val="0"/>
              <w:spacing w:after="0" w:line="240" w:lineRule="auto"/>
              <w:rPr>
                <w:rFonts w:ascii="Times New Roman" w:hAnsi="Times New Roman"/>
                <w:sz w:val="24"/>
                <w:szCs w:val="24"/>
              </w:rPr>
            </w:pPr>
            <w:r w:rsidRPr="00667688">
              <w:rPr>
                <w:rFonts w:ascii="Times New Roman" w:hAnsi="Times New Roman"/>
                <w:sz w:val="24"/>
                <w:szCs w:val="24"/>
              </w:rPr>
              <w:t>Focus Group Screener</w:t>
            </w:r>
          </w:p>
        </w:tc>
        <w:tc>
          <w:tcPr>
            <w:tcW w:w="0" w:type="auto"/>
            <w:shd w:val="clear" w:color="auto" w:fill="auto"/>
            <w:vAlign w:val="center"/>
          </w:tcPr>
          <w:p w:rsidR="003F6CBC" w:rsidRPr="00667688" w:rsidP="009458E5" w14:paraId="234410CF" w14:textId="77777777">
            <w:pPr>
              <w:spacing w:after="0" w:line="240" w:lineRule="auto"/>
              <w:jc w:val="center"/>
              <w:rPr>
                <w:rFonts w:ascii="Times New Roman" w:hAnsi="Times New Roman"/>
                <w:sz w:val="24"/>
                <w:szCs w:val="24"/>
              </w:rPr>
            </w:pPr>
            <w:r w:rsidRPr="00667688">
              <w:rPr>
                <w:rFonts w:ascii="Times New Roman" w:hAnsi="Times New Roman"/>
                <w:sz w:val="24"/>
                <w:szCs w:val="24"/>
              </w:rPr>
              <w:t>14,000</w:t>
            </w:r>
          </w:p>
        </w:tc>
        <w:tc>
          <w:tcPr>
            <w:tcW w:w="0" w:type="auto"/>
            <w:vAlign w:val="center"/>
          </w:tcPr>
          <w:p w:rsidR="003F6CBC" w:rsidRPr="00667688" w:rsidP="009458E5" w14:paraId="0545A23B" w14:textId="336E69C5">
            <w:pPr>
              <w:autoSpaceDE w:val="0"/>
              <w:autoSpaceDN w:val="0"/>
              <w:adjustRightInd w:val="0"/>
              <w:spacing w:after="0" w:line="240" w:lineRule="auto"/>
              <w:jc w:val="center"/>
              <w:rPr>
                <w:rFonts w:ascii="Times New Roman" w:hAnsi="Times New Roman"/>
                <w:sz w:val="24"/>
                <w:szCs w:val="24"/>
              </w:rPr>
            </w:pPr>
            <w:r w:rsidRPr="00667688">
              <w:rPr>
                <w:rFonts w:ascii="Times New Roman" w:hAnsi="Times New Roman"/>
                <w:sz w:val="24"/>
                <w:szCs w:val="24"/>
              </w:rPr>
              <w:t>$69.10</w:t>
            </w:r>
          </w:p>
        </w:tc>
        <w:tc>
          <w:tcPr>
            <w:tcW w:w="0" w:type="auto"/>
            <w:vAlign w:val="center"/>
          </w:tcPr>
          <w:p w:rsidR="003F6CBC" w:rsidRPr="00667688" w:rsidP="009458E5" w14:paraId="5B6D5A6B" w14:textId="77777777">
            <w:pPr>
              <w:autoSpaceDE w:val="0"/>
              <w:autoSpaceDN w:val="0"/>
              <w:adjustRightInd w:val="0"/>
              <w:spacing w:after="0" w:line="240" w:lineRule="auto"/>
              <w:jc w:val="center"/>
              <w:rPr>
                <w:rFonts w:ascii="Times New Roman" w:hAnsi="Times New Roman"/>
                <w:sz w:val="24"/>
                <w:szCs w:val="24"/>
              </w:rPr>
            </w:pPr>
            <w:r w:rsidRPr="00667688">
              <w:rPr>
                <w:rFonts w:ascii="Times New Roman" w:hAnsi="Times New Roman"/>
                <w:sz w:val="24"/>
                <w:szCs w:val="24"/>
              </w:rPr>
              <w:t>$967,400</w:t>
            </w:r>
          </w:p>
        </w:tc>
      </w:tr>
      <w:tr w14:paraId="0C711D81" w14:textId="77777777" w:rsidTr="255BF788">
        <w:tblPrEx>
          <w:tblW w:w="0" w:type="auto"/>
          <w:tblLook w:val="01E0"/>
        </w:tblPrEx>
        <w:trPr>
          <w:trHeight w:val="590"/>
        </w:trPr>
        <w:tc>
          <w:tcPr>
            <w:tcW w:w="0" w:type="auto"/>
            <w:shd w:val="clear" w:color="auto" w:fill="auto"/>
            <w:vAlign w:val="center"/>
          </w:tcPr>
          <w:p w:rsidR="003F6CBC" w:rsidRPr="00667688" w:rsidP="009458E5" w14:paraId="6A8DE41F" w14:textId="77777777">
            <w:pPr>
              <w:autoSpaceDE w:val="0"/>
              <w:autoSpaceDN w:val="0"/>
              <w:adjustRightInd w:val="0"/>
              <w:spacing w:after="0" w:line="240" w:lineRule="auto"/>
              <w:rPr>
                <w:rFonts w:ascii="Times New Roman" w:hAnsi="Times New Roman"/>
                <w:sz w:val="24"/>
                <w:szCs w:val="24"/>
              </w:rPr>
            </w:pPr>
            <w:r w:rsidRPr="00667688">
              <w:rPr>
                <w:rFonts w:ascii="Times New Roman" w:hAnsi="Times New Roman"/>
                <w:sz w:val="24"/>
                <w:szCs w:val="24"/>
              </w:rPr>
              <w:t>Focus Group Discussion</w:t>
            </w:r>
          </w:p>
        </w:tc>
        <w:tc>
          <w:tcPr>
            <w:tcW w:w="0" w:type="auto"/>
            <w:shd w:val="clear" w:color="auto" w:fill="auto"/>
            <w:vAlign w:val="center"/>
          </w:tcPr>
          <w:p w:rsidR="003F6CBC" w:rsidRPr="00667688" w:rsidP="009458E5" w14:paraId="60755FC3" w14:textId="77777777">
            <w:pPr>
              <w:spacing w:after="0" w:line="240" w:lineRule="auto"/>
              <w:jc w:val="center"/>
              <w:rPr>
                <w:rFonts w:ascii="Times New Roman" w:hAnsi="Times New Roman"/>
                <w:sz w:val="24"/>
                <w:szCs w:val="24"/>
              </w:rPr>
            </w:pPr>
            <w:r w:rsidRPr="00667688">
              <w:rPr>
                <w:rFonts w:ascii="Times New Roman" w:hAnsi="Times New Roman"/>
                <w:sz w:val="24"/>
                <w:szCs w:val="24"/>
              </w:rPr>
              <w:t>378,000</w:t>
            </w:r>
          </w:p>
        </w:tc>
        <w:tc>
          <w:tcPr>
            <w:tcW w:w="0" w:type="auto"/>
            <w:vAlign w:val="center"/>
          </w:tcPr>
          <w:p w:rsidR="003F6CBC" w:rsidRPr="00667688" w:rsidP="009458E5" w14:paraId="11E7A844" w14:textId="2DDC69E2">
            <w:pPr>
              <w:autoSpaceDE w:val="0"/>
              <w:autoSpaceDN w:val="0"/>
              <w:adjustRightInd w:val="0"/>
              <w:spacing w:after="0" w:line="240" w:lineRule="auto"/>
              <w:jc w:val="center"/>
              <w:rPr>
                <w:rFonts w:ascii="Times New Roman" w:hAnsi="Times New Roman"/>
                <w:sz w:val="24"/>
                <w:szCs w:val="24"/>
              </w:rPr>
            </w:pPr>
            <w:r w:rsidRPr="00667688">
              <w:rPr>
                <w:rFonts w:ascii="Times New Roman" w:hAnsi="Times New Roman"/>
                <w:sz w:val="24"/>
                <w:szCs w:val="24"/>
              </w:rPr>
              <w:t>$69.10</w:t>
            </w:r>
          </w:p>
        </w:tc>
        <w:tc>
          <w:tcPr>
            <w:tcW w:w="0" w:type="auto"/>
            <w:vAlign w:val="center"/>
          </w:tcPr>
          <w:p w:rsidR="003F6CBC" w:rsidRPr="00667688" w:rsidP="009458E5" w14:paraId="7F2EE5CE" w14:textId="7BD6C93B">
            <w:pPr>
              <w:autoSpaceDE w:val="0"/>
              <w:autoSpaceDN w:val="0"/>
              <w:adjustRightInd w:val="0"/>
              <w:spacing w:after="0" w:line="240" w:lineRule="auto"/>
              <w:jc w:val="center"/>
              <w:rPr>
                <w:rFonts w:ascii="Times New Roman" w:hAnsi="Times New Roman"/>
                <w:sz w:val="24"/>
                <w:szCs w:val="24"/>
              </w:rPr>
            </w:pPr>
            <w:r w:rsidRPr="00667688">
              <w:rPr>
                <w:rFonts w:ascii="Times New Roman" w:hAnsi="Times New Roman"/>
                <w:sz w:val="24"/>
                <w:szCs w:val="24"/>
              </w:rPr>
              <w:t>$26,119,800</w:t>
            </w:r>
          </w:p>
        </w:tc>
      </w:tr>
      <w:tr w14:paraId="3DD723B1" w14:textId="77777777" w:rsidTr="255BF788">
        <w:tblPrEx>
          <w:tblW w:w="0" w:type="auto"/>
          <w:tblLook w:val="01E0"/>
        </w:tblPrEx>
        <w:trPr>
          <w:trHeight w:val="590"/>
        </w:trPr>
        <w:tc>
          <w:tcPr>
            <w:tcW w:w="3364" w:type="dxa"/>
            <w:shd w:val="clear" w:color="auto" w:fill="auto"/>
            <w:vAlign w:val="center"/>
          </w:tcPr>
          <w:p w:rsidR="003F6CBC" w:rsidRPr="00667688" w:rsidP="009458E5" w14:paraId="54FACA5C" w14:textId="77777777">
            <w:pPr>
              <w:spacing w:line="240" w:lineRule="auto"/>
              <w:rPr>
                <w:rFonts w:ascii="Times New Roman" w:hAnsi="Times New Roman"/>
                <w:sz w:val="24"/>
                <w:szCs w:val="24"/>
              </w:rPr>
            </w:pPr>
            <w:r w:rsidRPr="00667688">
              <w:rPr>
                <w:rFonts w:ascii="Times New Roman" w:hAnsi="Times New Roman"/>
                <w:sz w:val="24"/>
                <w:szCs w:val="24"/>
              </w:rPr>
              <w:t xml:space="preserve">Discussion Board Screener  </w:t>
            </w:r>
          </w:p>
        </w:tc>
        <w:tc>
          <w:tcPr>
            <w:tcW w:w="1955" w:type="dxa"/>
            <w:shd w:val="clear" w:color="auto" w:fill="auto"/>
            <w:vAlign w:val="center"/>
          </w:tcPr>
          <w:p w:rsidR="003F6CBC" w:rsidRPr="00667688" w:rsidP="009458E5" w14:paraId="34320723" w14:textId="79F2DD3B">
            <w:pPr>
              <w:spacing w:line="240" w:lineRule="auto"/>
              <w:jc w:val="center"/>
              <w:rPr>
                <w:rFonts w:ascii="Times New Roman" w:hAnsi="Times New Roman"/>
                <w:sz w:val="24"/>
                <w:szCs w:val="24"/>
              </w:rPr>
            </w:pPr>
            <w:r w:rsidRPr="00667688">
              <w:rPr>
                <w:rFonts w:ascii="Times New Roman" w:hAnsi="Times New Roman"/>
                <w:sz w:val="24"/>
                <w:szCs w:val="24"/>
              </w:rPr>
              <w:t>66</w:t>
            </w:r>
            <w:r w:rsidRPr="00667688" w:rsidR="00BB3C9C">
              <w:rPr>
                <w:rFonts w:ascii="Times New Roman" w:hAnsi="Times New Roman"/>
                <w:sz w:val="24"/>
                <w:szCs w:val="24"/>
              </w:rPr>
              <w:t>4</w:t>
            </w:r>
          </w:p>
        </w:tc>
        <w:tc>
          <w:tcPr>
            <w:tcW w:w="1599" w:type="dxa"/>
            <w:vAlign w:val="center"/>
          </w:tcPr>
          <w:p w:rsidR="003F6CBC" w:rsidRPr="00667688" w:rsidP="009458E5" w14:paraId="7E4889C6" w14:textId="77777777">
            <w:pPr>
              <w:spacing w:line="240" w:lineRule="auto"/>
              <w:jc w:val="center"/>
              <w:rPr>
                <w:rFonts w:ascii="Times New Roman" w:hAnsi="Times New Roman"/>
                <w:sz w:val="24"/>
                <w:szCs w:val="24"/>
              </w:rPr>
            </w:pPr>
            <w:r w:rsidRPr="00667688">
              <w:rPr>
                <w:rFonts w:ascii="Times New Roman" w:hAnsi="Times New Roman"/>
                <w:sz w:val="24"/>
                <w:szCs w:val="24"/>
              </w:rPr>
              <w:t>$69.10</w:t>
            </w:r>
          </w:p>
        </w:tc>
        <w:tc>
          <w:tcPr>
            <w:tcW w:w="2432" w:type="dxa"/>
            <w:vAlign w:val="center"/>
          </w:tcPr>
          <w:p w:rsidR="003F6CBC" w:rsidRPr="00667688" w:rsidP="009458E5" w14:paraId="3FDA7CBF" w14:textId="751E29ED">
            <w:pPr>
              <w:spacing w:line="240" w:lineRule="auto"/>
              <w:jc w:val="center"/>
              <w:rPr>
                <w:rFonts w:ascii="Times New Roman" w:hAnsi="Times New Roman"/>
                <w:sz w:val="24"/>
                <w:szCs w:val="24"/>
              </w:rPr>
            </w:pPr>
            <w:r w:rsidRPr="00667688">
              <w:rPr>
                <w:rFonts w:ascii="Times New Roman" w:hAnsi="Times New Roman"/>
                <w:sz w:val="24"/>
                <w:szCs w:val="24"/>
              </w:rPr>
              <w:t>$4</w:t>
            </w:r>
            <w:r w:rsidRPr="00667688" w:rsidR="0031468E">
              <w:rPr>
                <w:rFonts w:ascii="Times New Roman" w:hAnsi="Times New Roman"/>
                <w:sz w:val="24"/>
                <w:szCs w:val="24"/>
              </w:rPr>
              <w:t>5</w:t>
            </w:r>
            <w:r w:rsidRPr="00667688" w:rsidR="006143E2">
              <w:rPr>
                <w:rFonts w:ascii="Times New Roman" w:hAnsi="Times New Roman"/>
                <w:sz w:val="24"/>
                <w:szCs w:val="24"/>
              </w:rPr>
              <w:t>,882.40</w:t>
            </w:r>
          </w:p>
        </w:tc>
      </w:tr>
      <w:tr w14:paraId="30812A0A" w14:textId="77777777" w:rsidTr="255BF788">
        <w:tblPrEx>
          <w:tblW w:w="0" w:type="auto"/>
          <w:tblLook w:val="01E0"/>
        </w:tblPrEx>
        <w:trPr>
          <w:trHeight w:val="590"/>
        </w:trPr>
        <w:tc>
          <w:tcPr>
            <w:tcW w:w="3364" w:type="dxa"/>
            <w:shd w:val="clear" w:color="auto" w:fill="auto"/>
            <w:vAlign w:val="center"/>
          </w:tcPr>
          <w:p w:rsidR="003F6CBC" w:rsidRPr="00667688" w:rsidP="009458E5" w14:paraId="14E3575E" w14:textId="77777777">
            <w:pPr>
              <w:spacing w:line="240" w:lineRule="auto"/>
              <w:rPr>
                <w:rFonts w:ascii="Times New Roman" w:hAnsi="Times New Roman"/>
                <w:sz w:val="24"/>
                <w:szCs w:val="24"/>
              </w:rPr>
            </w:pPr>
            <w:r w:rsidRPr="00667688">
              <w:rPr>
                <w:rFonts w:ascii="Times New Roman" w:hAnsi="Times New Roman"/>
                <w:sz w:val="24"/>
                <w:szCs w:val="24"/>
              </w:rPr>
              <w:t xml:space="preserve">Discussion Board Participation </w:t>
            </w:r>
          </w:p>
        </w:tc>
        <w:tc>
          <w:tcPr>
            <w:tcW w:w="1955" w:type="dxa"/>
            <w:shd w:val="clear" w:color="auto" w:fill="auto"/>
            <w:vAlign w:val="center"/>
          </w:tcPr>
          <w:p w:rsidR="003F6CBC" w:rsidRPr="00667688" w:rsidP="009458E5" w14:paraId="709B6479" w14:textId="77777777">
            <w:pPr>
              <w:spacing w:line="240" w:lineRule="auto"/>
              <w:jc w:val="center"/>
              <w:rPr>
                <w:rFonts w:ascii="Times New Roman" w:hAnsi="Times New Roman"/>
                <w:sz w:val="24"/>
                <w:szCs w:val="24"/>
              </w:rPr>
            </w:pPr>
            <w:r w:rsidRPr="00667688">
              <w:rPr>
                <w:rFonts w:ascii="Times New Roman" w:hAnsi="Times New Roman"/>
                <w:sz w:val="24"/>
                <w:szCs w:val="24"/>
              </w:rPr>
              <w:t>150</w:t>
            </w:r>
          </w:p>
        </w:tc>
        <w:tc>
          <w:tcPr>
            <w:tcW w:w="1599" w:type="dxa"/>
            <w:vAlign w:val="center"/>
          </w:tcPr>
          <w:p w:rsidR="003F6CBC" w:rsidRPr="00667688" w:rsidP="009458E5" w14:paraId="146A600F" w14:textId="77777777">
            <w:pPr>
              <w:spacing w:line="240" w:lineRule="auto"/>
              <w:jc w:val="center"/>
              <w:rPr>
                <w:rFonts w:ascii="Times New Roman" w:hAnsi="Times New Roman"/>
                <w:sz w:val="24"/>
                <w:szCs w:val="24"/>
              </w:rPr>
            </w:pPr>
            <w:r w:rsidRPr="00667688">
              <w:rPr>
                <w:rFonts w:ascii="Times New Roman" w:hAnsi="Times New Roman"/>
                <w:sz w:val="24"/>
                <w:szCs w:val="24"/>
              </w:rPr>
              <w:t>$69.10</w:t>
            </w:r>
          </w:p>
        </w:tc>
        <w:tc>
          <w:tcPr>
            <w:tcW w:w="2432" w:type="dxa"/>
            <w:vAlign w:val="center"/>
          </w:tcPr>
          <w:p w:rsidR="003F6CBC" w:rsidRPr="00667688" w:rsidP="009458E5" w14:paraId="4FF3DAB8" w14:textId="77777777">
            <w:pPr>
              <w:spacing w:line="240" w:lineRule="auto"/>
              <w:jc w:val="center"/>
              <w:rPr>
                <w:rFonts w:ascii="Times New Roman" w:hAnsi="Times New Roman"/>
                <w:sz w:val="24"/>
                <w:szCs w:val="24"/>
              </w:rPr>
            </w:pPr>
            <w:r w:rsidRPr="00667688">
              <w:rPr>
                <w:rFonts w:ascii="Times New Roman" w:hAnsi="Times New Roman"/>
                <w:sz w:val="24"/>
                <w:szCs w:val="24"/>
              </w:rPr>
              <w:t>$10,365.00</w:t>
            </w:r>
          </w:p>
        </w:tc>
      </w:tr>
      <w:tr w14:paraId="1488BB4C" w14:textId="77777777" w:rsidTr="255BF788">
        <w:tblPrEx>
          <w:tblW w:w="0" w:type="auto"/>
          <w:tblLook w:val="01E0"/>
        </w:tblPrEx>
        <w:trPr>
          <w:trHeight w:val="590"/>
        </w:trPr>
        <w:tc>
          <w:tcPr>
            <w:tcW w:w="6918" w:type="dxa"/>
            <w:gridSpan w:val="3"/>
            <w:shd w:val="clear" w:color="auto" w:fill="auto"/>
            <w:vAlign w:val="center"/>
          </w:tcPr>
          <w:p w:rsidR="00B10FAC" w:rsidRPr="00667688" w:rsidP="009458E5" w14:paraId="6B6C2695" w14:textId="5771F5B7">
            <w:pPr>
              <w:autoSpaceDE w:val="0"/>
              <w:autoSpaceDN w:val="0"/>
              <w:adjustRightInd w:val="0"/>
              <w:spacing w:after="0" w:line="240" w:lineRule="auto"/>
              <w:rPr>
                <w:rFonts w:ascii="Times New Roman" w:hAnsi="Times New Roman"/>
                <w:sz w:val="24"/>
                <w:szCs w:val="24"/>
              </w:rPr>
            </w:pPr>
            <w:r w:rsidRPr="00667688">
              <w:rPr>
                <w:rFonts w:ascii="Times New Roman" w:hAnsi="Times New Roman"/>
                <w:sz w:val="24"/>
                <w:szCs w:val="24"/>
              </w:rPr>
              <w:t>TOTAL</w:t>
            </w:r>
          </w:p>
        </w:tc>
        <w:tc>
          <w:tcPr>
            <w:tcW w:w="2432" w:type="dxa"/>
            <w:shd w:val="clear" w:color="auto" w:fill="auto"/>
            <w:vAlign w:val="center"/>
          </w:tcPr>
          <w:p w:rsidR="00B10FAC" w:rsidRPr="00667688" w:rsidP="009A3338" w14:paraId="2F111751" w14:textId="02DFE56F">
            <w:pPr>
              <w:autoSpaceDE w:val="0"/>
              <w:autoSpaceDN w:val="0"/>
              <w:adjustRightInd w:val="0"/>
              <w:spacing w:after="0" w:line="240" w:lineRule="auto"/>
              <w:jc w:val="center"/>
              <w:rPr>
                <w:rFonts w:ascii="Times New Roman" w:hAnsi="Times New Roman"/>
                <w:sz w:val="24"/>
                <w:szCs w:val="24"/>
              </w:rPr>
            </w:pPr>
            <w:r w:rsidRPr="255BF788">
              <w:rPr>
                <w:rFonts w:ascii="Times New Roman" w:hAnsi="Times New Roman"/>
                <w:sz w:val="24"/>
                <w:szCs w:val="24"/>
              </w:rPr>
              <w:fldChar w:fldCharType="begin"/>
            </w:r>
            <w:r w:rsidRPr="255BF788">
              <w:rPr>
                <w:rFonts w:ascii="Times New Roman" w:hAnsi="Times New Roman"/>
                <w:sz w:val="24"/>
                <w:szCs w:val="24"/>
              </w:rPr>
              <w:instrText xml:space="preserve"> =SUM(ABOVE) </w:instrText>
            </w:r>
            <w:r w:rsidRPr="255BF788">
              <w:rPr>
                <w:rFonts w:ascii="Times New Roman" w:hAnsi="Times New Roman"/>
                <w:sz w:val="24"/>
                <w:szCs w:val="24"/>
              </w:rPr>
              <w:fldChar w:fldCharType="separate"/>
            </w:r>
            <w:r w:rsidRPr="255BF788">
              <w:rPr>
                <w:rFonts w:ascii="Times New Roman" w:hAnsi="Times New Roman"/>
                <w:sz w:val="24"/>
                <w:szCs w:val="24"/>
              </w:rPr>
              <w:fldChar w:fldCharType="end"/>
            </w:r>
            <w:r w:rsidRPr="255BF788">
              <w:rPr>
                <w:rFonts w:ascii="Times New Roman" w:hAnsi="Times New Roman"/>
                <w:sz w:val="24"/>
                <w:szCs w:val="24"/>
              </w:rPr>
              <w:fldChar w:fldCharType="begin"/>
            </w:r>
            <w:r w:rsidRPr="255BF788">
              <w:rPr>
                <w:rFonts w:ascii="Times New Roman" w:hAnsi="Times New Roman"/>
                <w:sz w:val="24"/>
                <w:szCs w:val="24"/>
              </w:rPr>
              <w:instrText xml:space="preserve"> =SUM(ABOVE) </w:instrText>
            </w:r>
            <w:r w:rsidRPr="255BF788">
              <w:rPr>
                <w:rFonts w:ascii="Times New Roman" w:hAnsi="Times New Roman"/>
                <w:sz w:val="24"/>
                <w:szCs w:val="24"/>
              </w:rPr>
              <w:fldChar w:fldCharType="separate"/>
            </w:r>
            <w:r w:rsidRPr="255BF788">
              <w:rPr>
                <w:rFonts w:ascii="Times New Roman" w:hAnsi="Times New Roman"/>
                <w:noProof/>
                <w:sz w:val="24"/>
                <w:szCs w:val="24"/>
              </w:rPr>
              <w:t>$27,583,476.20</w:t>
            </w:r>
            <w:r w:rsidRPr="255BF788">
              <w:rPr>
                <w:rFonts w:ascii="Times New Roman" w:hAnsi="Times New Roman"/>
                <w:sz w:val="24"/>
                <w:szCs w:val="24"/>
              </w:rPr>
              <w:fldChar w:fldCharType="end"/>
            </w:r>
          </w:p>
        </w:tc>
      </w:tr>
    </w:tbl>
    <w:p w:rsidR="00A12BAD" w:rsidP="00667688" w14:paraId="47AC03EB" w14:textId="3F5A511C">
      <w:pPr>
        <w:pStyle w:val="ListParagraph"/>
        <w:spacing w:before="100" w:beforeAutospacing="1" w:after="100" w:afterAutospacing="1" w:line="240" w:lineRule="auto"/>
        <w:ind w:left="0"/>
        <w:rPr>
          <w:rFonts w:ascii="Times New Roman" w:hAnsi="Times New Roman"/>
          <w:bCs/>
          <w:sz w:val="24"/>
          <w:szCs w:val="24"/>
          <w:u w:val="single"/>
        </w:rPr>
      </w:pPr>
      <w:r w:rsidRPr="00667688">
        <w:rPr>
          <w:rFonts w:ascii="Times New Roman" w:hAnsi="Times New Roman"/>
          <w:bCs/>
          <w:sz w:val="24"/>
          <w:szCs w:val="24"/>
        </w:rPr>
        <w:t xml:space="preserve">13. </w:t>
      </w:r>
      <w:r w:rsidRPr="00667688">
        <w:rPr>
          <w:rFonts w:ascii="Times New Roman" w:hAnsi="Times New Roman"/>
          <w:bCs/>
          <w:sz w:val="24"/>
          <w:szCs w:val="24"/>
          <w:u w:val="single"/>
        </w:rPr>
        <w:t>Estimates of Other Total Annual Costs to Respondents and/or Recordkeepers/Capital Costs</w:t>
      </w:r>
    </w:p>
    <w:p w:rsidR="00EC6712" w:rsidRPr="00667688" w:rsidP="00667688" w14:paraId="06E6696E" w14:textId="77777777">
      <w:pPr>
        <w:pStyle w:val="ListParagraph"/>
        <w:spacing w:before="100" w:beforeAutospacing="1" w:after="100" w:afterAutospacing="1" w:line="240" w:lineRule="auto"/>
        <w:ind w:left="0"/>
        <w:rPr>
          <w:rFonts w:ascii="Times New Roman" w:hAnsi="Times New Roman"/>
          <w:bCs/>
          <w:sz w:val="24"/>
          <w:szCs w:val="24"/>
        </w:rPr>
      </w:pPr>
    </w:p>
    <w:p w:rsidR="0058004F" w:rsidRPr="00667688" w:rsidP="00667688" w14:paraId="2D1F1D1F" w14:textId="77777777">
      <w:pPr>
        <w:pStyle w:val="ListParagraph"/>
        <w:tabs>
          <w:tab w:val="left" w:pos="3668"/>
        </w:tabs>
        <w:spacing w:before="100" w:beforeAutospacing="1" w:after="100" w:afterAutospacing="1" w:line="240" w:lineRule="auto"/>
        <w:ind w:left="0"/>
        <w:rPr>
          <w:rFonts w:ascii="Times New Roman" w:hAnsi="Times New Roman"/>
          <w:sz w:val="24"/>
          <w:szCs w:val="24"/>
        </w:rPr>
      </w:pPr>
      <w:r w:rsidRPr="00667688">
        <w:rPr>
          <w:rFonts w:ascii="Times New Roman" w:hAnsi="Times New Roman"/>
          <w:sz w:val="24"/>
          <w:szCs w:val="24"/>
        </w:rPr>
        <w:t xml:space="preserve">There </w:t>
      </w:r>
      <w:r w:rsidRPr="00667688">
        <w:rPr>
          <w:rFonts w:ascii="Times New Roman" w:hAnsi="Times New Roman"/>
          <w:sz w:val="24"/>
          <w:szCs w:val="24"/>
        </w:rPr>
        <w:t>are</w:t>
      </w:r>
      <w:r w:rsidRPr="00667688">
        <w:rPr>
          <w:rFonts w:ascii="Times New Roman" w:hAnsi="Times New Roman"/>
          <w:sz w:val="24"/>
          <w:szCs w:val="24"/>
        </w:rPr>
        <w:t xml:space="preserve"> no capital, start-up, operating</w:t>
      </w:r>
      <w:r w:rsidRPr="00667688" w:rsidR="00506995">
        <w:rPr>
          <w:rFonts w:ascii="Times New Roman" w:hAnsi="Times New Roman"/>
          <w:sz w:val="24"/>
          <w:szCs w:val="24"/>
        </w:rPr>
        <w:t>,</w:t>
      </w:r>
      <w:r w:rsidRPr="00667688">
        <w:rPr>
          <w:rFonts w:ascii="Times New Roman" w:hAnsi="Times New Roman"/>
          <w:sz w:val="24"/>
          <w:szCs w:val="24"/>
        </w:rPr>
        <w:t xml:space="preserve"> or maintenance costs associated with this information collection.</w:t>
      </w:r>
    </w:p>
    <w:p w:rsidR="004D67A4" w:rsidRPr="00667688" w:rsidP="00667688" w14:paraId="1DAD046F" w14:textId="77777777">
      <w:pPr>
        <w:pStyle w:val="ListParagraph"/>
        <w:tabs>
          <w:tab w:val="left" w:pos="3668"/>
        </w:tabs>
        <w:spacing w:before="100" w:beforeAutospacing="1" w:after="100" w:afterAutospacing="1" w:line="240" w:lineRule="auto"/>
        <w:ind w:left="0"/>
        <w:rPr>
          <w:rFonts w:ascii="Times New Roman" w:hAnsi="Times New Roman"/>
          <w:sz w:val="24"/>
          <w:szCs w:val="24"/>
        </w:rPr>
      </w:pPr>
      <w:r w:rsidRPr="00667688">
        <w:rPr>
          <w:rFonts w:ascii="Times New Roman" w:hAnsi="Times New Roman"/>
          <w:sz w:val="24"/>
          <w:szCs w:val="24"/>
        </w:rPr>
        <w:tab/>
      </w:r>
    </w:p>
    <w:p w:rsidR="00A12BAD" w:rsidRPr="00667688" w:rsidP="00667688" w14:paraId="118FC575" w14:textId="77777777">
      <w:pPr>
        <w:pStyle w:val="ListParagraph"/>
        <w:spacing w:before="100" w:beforeAutospacing="1" w:after="100" w:afterAutospacing="1" w:line="240" w:lineRule="auto"/>
        <w:ind w:left="0"/>
        <w:rPr>
          <w:rFonts w:ascii="Times New Roman" w:hAnsi="Times New Roman"/>
          <w:bCs/>
          <w:sz w:val="24"/>
          <w:szCs w:val="24"/>
        </w:rPr>
      </w:pPr>
      <w:r w:rsidRPr="00667688">
        <w:rPr>
          <w:rFonts w:ascii="Times New Roman" w:hAnsi="Times New Roman"/>
          <w:bCs/>
          <w:sz w:val="24"/>
          <w:szCs w:val="24"/>
        </w:rPr>
        <w:t xml:space="preserve">14. </w:t>
      </w:r>
      <w:r w:rsidRPr="00667688" w:rsidR="00695276">
        <w:rPr>
          <w:rFonts w:ascii="Times New Roman" w:hAnsi="Times New Roman"/>
          <w:bCs/>
          <w:sz w:val="24"/>
          <w:szCs w:val="24"/>
          <w:u w:val="single"/>
        </w:rPr>
        <w:t xml:space="preserve">Annualized </w:t>
      </w:r>
      <w:r w:rsidRPr="00667688">
        <w:rPr>
          <w:rFonts w:ascii="Times New Roman" w:hAnsi="Times New Roman"/>
          <w:bCs/>
          <w:sz w:val="24"/>
          <w:szCs w:val="24"/>
          <w:u w:val="single"/>
        </w:rPr>
        <w:t>Cost to Federal Government</w:t>
      </w:r>
    </w:p>
    <w:p w:rsidR="00A12BAD" w:rsidRPr="00667688" w:rsidP="00667688" w14:paraId="5396D6A5" w14:textId="77777777">
      <w:pPr>
        <w:pStyle w:val="ListParagraph"/>
        <w:spacing w:before="100" w:beforeAutospacing="1" w:after="100" w:afterAutospacing="1" w:line="240" w:lineRule="auto"/>
        <w:ind w:left="0"/>
        <w:rPr>
          <w:rFonts w:ascii="Times New Roman" w:hAnsi="Times New Roman"/>
          <w:b/>
          <w:sz w:val="24"/>
          <w:szCs w:val="24"/>
        </w:rPr>
      </w:pPr>
    </w:p>
    <w:p w:rsidR="005C16E1" w:rsidRPr="00667688" w:rsidP="00667688" w14:paraId="5CB55A2C" w14:textId="2EDCE8F1">
      <w:pPr>
        <w:pStyle w:val="ListParagraph"/>
        <w:spacing w:before="100" w:beforeAutospacing="1" w:after="100" w:afterAutospacing="1" w:line="240" w:lineRule="auto"/>
        <w:ind w:left="0"/>
        <w:rPr>
          <w:rFonts w:ascii="Times New Roman" w:hAnsi="Times New Roman"/>
          <w:sz w:val="24"/>
          <w:szCs w:val="24"/>
        </w:rPr>
      </w:pPr>
      <w:r w:rsidRPr="00667688">
        <w:rPr>
          <w:rFonts w:ascii="Times New Roman" w:hAnsi="Times New Roman"/>
          <w:sz w:val="24"/>
          <w:szCs w:val="24"/>
        </w:rPr>
        <w:t>FDA</w:t>
      </w:r>
      <w:r w:rsidRPr="00667688" w:rsidR="007B779B">
        <w:rPr>
          <w:rFonts w:ascii="Times New Roman" w:hAnsi="Times New Roman"/>
          <w:sz w:val="24"/>
          <w:szCs w:val="24"/>
        </w:rPr>
        <w:t xml:space="preserve"> incurs costs to set up </w:t>
      </w:r>
      <w:r w:rsidRPr="00667688" w:rsidR="00087B68">
        <w:rPr>
          <w:rFonts w:ascii="Times New Roman" w:hAnsi="Times New Roman"/>
          <w:sz w:val="24"/>
          <w:szCs w:val="24"/>
        </w:rPr>
        <w:t>IDIs</w:t>
      </w:r>
      <w:r w:rsidRPr="00667688" w:rsidR="000D4F61">
        <w:rPr>
          <w:rFonts w:ascii="Times New Roman" w:hAnsi="Times New Roman"/>
          <w:sz w:val="24"/>
          <w:szCs w:val="24"/>
        </w:rPr>
        <w:t xml:space="preserve"> and </w:t>
      </w:r>
      <w:r w:rsidRPr="00667688" w:rsidR="007B779B">
        <w:rPr>
          <w:rFonts w:ascii="Times New Roman" w:hAnsi="Times New Roman"/>
          <w:sz w:val="24"/>
          <w:szCs w:val="24"/>
        </w:rPr>
        <w:t xml:space="preserve">focus groups, including </w:t>
      </w:r>
      <w:r w:rsidRPr="00667688" w:rsidR="00C946C4">
        <w:rPr>
          <w:rFonts w:ascii="Times New Roman" w:hAnsi="Times New Roman"/>
          <w:sz w:val="24"/>
          <w:szCs w:val="24"/>
        </w:rPr>
        <w:t xml:space="preserve">potentially </w:t>
      </w:r>
      <w:r w:rsidRPr="00667688" w:rsidR="007B779B">
        <w:rPr>
          <w:rFonts w:ascii="Times New Roman" w:hAnsi="Times New Roman"/>
          <w:sz w:val="24"/>
          <w:szCs w:val="24"/>
        </w:rPr>
        <w:t>hiring a contractor to provide a facilitator/moderator,</w:t>
      </w:r>
      <w:r w:rsidRPr="00667688" w:rsidR="007D1E93">
        <w:rPr>
          <w:rFonts w:ascii="Times New Roman" w:hAnsi="Times New Roman"/>
          <w:sz w:val="24"/>
          <w:szCs w:val="24"/>
        </w:rPr>
        <w:t xml:space="preserve"> </w:t>
      </w:r>
      <w:r w:rsidRPr="00667688" w:rsidR="603054D9">
        <w:rPr>
          <w:rFonts w:ascii="Times New Roman" w:hAnsi="Times New Roman"/>
          <w:sz w:val="24"/>
          <w:szCs w:val="24"/>
        </w:rPr>
        <w:t>support online video conference platforms</w:t>
      </w:r>
      <w:r w:rsidRPr="00667688" w:rsidR="715A7FDB">
        <w:rPr>
          <w:rFonts w:ascii="Times New Roman" w:hAnsi="Times New Roman"/>
          <w:sz w:val="24"/>
          <w:szCs w:val="24"/>
        </w:rPr>
        <w:t xml:space="preserve"> or</w:t>
      </w:r>
      <w:r w:rsidRPr="00667688" w:rsidR="007B779B">
        <w:rPr>
          <w:rFonts w:ascii="Times New Roman" w:hAnsi="Times New Roman"/>
          <w:sz w:val="24"/>
          <w:szCs w:val="24"/>
        </w:rPr>
        <w:t xml:space="preserve"> rent meeting space</w:t>
      </w:r>
      <w:r w:rsidRPr="00667688" w:rsidR="194C626A">
        <w:rPr>
          <w:rFonts w:ascii="Times New Roman" w:hAnsi="Times New Roman"/>
          <w:sz w:val="24"/>
          <w:szCs w:val="24"/>
        </w:rPr>
        <w:t xml:space="preserve"> and</w:t>
      </w:r>
      <w:r w:rsidRPr="00667688" w:rsidR="007B779B">
        <w:rPr>
          <w:rFonts w:ascii="Times New Roman" w:hAnsi="Times New Roman"/>
          <w:sz w:val="24"/>
          <w:szCs w:val="24"/>
        </w:rPr>
        <w:t xml:space="preserve"> travel to conduct the groups</w:t>
      </w:r>
      <w:r w:rsidRPr="00667688" w:rsidR="27BB797C">
        <w:rPr>
          <w:rFonts w:ascii="Times New Roman" w:hAnsi="Times New Roman"/>
          <w:sz w:val="24"/>
          <w:szCs w:val="24"/>
        </w:rPr>
        <w:t xml:space="preserve"> (when applicable)</w:t>
      </w:r>
      <w:r w:rsidRPr="00667688" w:rsidR="007B779B">
        <w:rPr>
          <w:rFonts w:ascii="Times New Roman" w:hAnsi="Times New Roman"/>
          <w:sz w:val="24"/>
          <w:szCs w:val="24"/>
        </w:rPr>
        <w:t>, and provide respondents with minimum payment cost in the form of a</w:t>
      </w:r>
      <w:r w:rsidRPr="00667688" w:rsidR="00A64249">
        <w:rPr>
          <w:rFonts w:ascii="Times New Roman" w:hAnsi="Times New Roman"/>
          <w:sz w:val="24"/>
          <w:szCs w:val="24"/>
        </w:rPr>
        <w:t xml:space="preserve"> token of appreciation</w:t>
      </w:r>
      <w:r w:rsidRPr="00667688" w:rsidR="00881623">
        <w:rPr>
          <w:rFonts w:ascii="Times New Roman" w:hAnsi="Times New Roman"/>
          <w:sz w:val="24"/>
          <w:szCs w:val="24"/>
        </w:rPr>
        <w:t>.</w:t>
      </w:r>
      <w:r w:rsidRPr="00667688" w:rsidR="007B779B">
        <w:rPr>
          <w:rFonts w:ascii="Times New Roman" w:hAnsi="Times New Roman"/>
          <w:sz w:val="24"/>
          <w:szCs w:val="24"/>
        </w:rPr>
        <w:t xml:space="preserve">  </w:t>
      </w:r>
    </w:p>
    <w:p w:rsidR="00AE7EAA" w:rsidRPr="00667688" w:rsidP="00667688" w14:paraId="345128D8" w14:textId="506754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sz w:val="24"/>
          <w:szCs w:val="24"/>
        </w:rPr>
      </w:pPr>
      <w:r w:rsidRPr="00667688">
        <w:rPr>
          <w:rFonts w:ascii="Times New Roman" w:hAnsi="Times New Roman"/>
          <w:sz w:val="24"/>
          <w:szCs w:val="24"/>
        </w:rPr>
        <w:t xml:space="preserve">Costs will include contractor expenses for designing and conducting information collection activities, </w:t>
      </w:r>
      <w:r w:rsidRPr="00667688" w:rsidR="00C446C8">
        <w:rPr>
          <w:rFonts w:ascii="Times New Roman" w:hAnsi="Times New Roman"/>
          <w:sz w:val="24"/>
          <w:szCs w:val="24"/>
        </w:rPr>
        <w:t>including recruiting participants</w:t>
      </w:r>
      <w:r w:rsidRPr="00667688">
        <w:rPr>
          <w:rFonts w:ascii="Times New Roman" w:hAnsi="Times New Roman"/>
          <w:sz w:val="24"/>
          <w:szCs w:val="24"/>
        </w:rPr>
        <w:t xml:space="preserve">, training interviewers, </w:t>
      </w:r>
      <w:r w:rsidRPr="00667688" w:rsidR="00881623">
        <w:rPr>
          <w:rFonts w:ascii="Times New Roman" w:hAnsi="Times New Roman"/>
          <w:sz w:val="24"/>
          <w:szCs w:val="24"/>
        </w:rPr>
        <w:t>collecting,</w:t>
      </w:r>
      <w:r w:rsidRPr="00667688">
        <w:rPr>
          <w:rFonts w:ascii="Times New Roman" w:hAnsi="Times New Roman"/>
          <w:sz w:val="24"/>
          <w:szCs w:val="24"/>
        </w:rPr>
        <w:t xml:space="preserve"> and analyzing information, and reporting findings.  Contractor expenses may vary from $20,000-$250,000 depending on the size of the study.  Therefore, it is anticipated that approximately $1</w:t>
      </w:r>
      <w:r w:rsidRPr="00667688" w:rsidR="00506995">
        <w:rPr>
          <w:rFonts w:ascii="Times New Roman" w:hAnsi="Times New Roman"/>
          <w:sz w:val="24"/>
          <w:szCs w:val="24"/>
        </w:rPr>
        <w:t xml:space="preserve"> million</w:t>
      </w:r>
      <w:r w:rsidRPr="00667688">
        <w:rPr>
          <w:rFonts w:ascii="Times New Roman" w:hAnsi="Times New Roman"/>
          <w:sz w:val="24"/>
          <w:szCs w:val="24"/>
        </w:rPr>
        <w:t xml:space="preserve"> in contractor expenses will be expended to fund at least </w:t>
      </w:r>
      <w:r w:rsidRPr="00667688" w:rsidR="00506995">
        <w:rPr>
          <w:rFonts w:ascii="Times New Roman" w:hAnsi="Times New Roman"/>
          <w:sz w:val="24"/>
          <w:szCs w:val="24"/>
        </w:rPr>
        <w:t>two</w:t>
      </w:r>
      <w:r w:rsidRPr="00667688">
        <w:rPr>
          <w:rFonts w:ascii="Times New Roman" w:hAnsi="Times New Roman"/>
          <w:sz w:val="24"/>
          <w:szCs w:val="24"/>
        </w:rPr>
        <w:t xml:space="preserve"> large scale stud</w:t>
      </w:r>
      <w:r w:rsidRPr="00667688" w:rsidR="00844CDE">
        <w:rPr>
          <w:rFonts w:ascii="Times New Roman" w:hAnsi="Times New Roman"/>
          <w:sz w:val="24"/>
          <w:szCs w:val="24"/>
        </w:rPr>
        <w:t>ies</w:t>
      </w:r>
      <w:r w:rsidRPr="00667688">
        <w:rPr>
          <w:rFonts w:ascii="Times New Roman" w:hAnsi="Times New Roman"/>
          <w:sz w:val="24"/>
          <w:szCs w:val="24"/>
        </w:rPr>
        <w:t xml:space="preserve"> and </w:t>
      </w:r>
      <w:r w:rsidRPr="00667688" w:rsidR="00506995">
        <w:rPr>
          <w:rFonts w:ascii="Times New Roman" w:hAnsi="Times New Roman"/>
          <w:sz w:val="24"/>
          <w:szCs w:val="24"/>
        </w:rPr>
        <w:t>eight</w:t>
      </w:r>
      <w:r w:rsidRPr="00667688">
        <w:rPr>
          <w:rFonts w:ascii="Times New Roman" w:hAnsi="Times New Roman"/>
          <w:sz w:val="24"/>
          <w:szCs w:val="24"/>
        </w:rPr>
        <w:t xml:space="preserve"> smaller scale studies.</w:t>
      </w:r>
    </w:p>
    <w:p w:rsidR="009C0E70" w:rsidRPr="00667688" w:rsidP="00667688" w14:paraId="2898BEA9" w14:textId="2727BD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sz w:val="24"/>
          <w:szCs w:val="24"/>
        </w:rPr>
      </w:pPr>
      <w:r w:rsidRPr="00667688">
        <w:rPr>
          <w:rFonts w:ascii="Times New Roman" w:hAnsi="Times New Roman"/>
          <w:sz w:val="24"/>
          <w:szCs w:val="24"/>
        </w:rPr>
        <w:t>In addition, government staff costs may be incurred for monitoring by the government Project Officer and Senior Analyst, projected to be about 25</w:t>
      </w:r>
      <w:r w:rsidRPr="00667688" w:rsidR="00506995">
        <w:rPr>
          <w:rFonts w:ascii="Times New Roman" w:hAnsi="Times New Roman"/>
          <w:sz w:val="24"/>
          <w:szCs w:val="24"/>
        </w:rPr>
        <w:t xml:space="preserve"> percent</w:t>
      </w:r>
      <w:r w:rsidRPr="00667688">
        <w:rPr>
          <w:rFonts w:ascii="Times New Roman" w:hAnsi="Times New Roman"/>
          <w:sz w:val="24"/>
          <w:szCs w:val="24"/>
        </w:rPr>
        <w:t xml:space="preserve"> of an FTE’s time per year (522 hours). Given an FDA </w:t>
      </w:r>
      <w:r w:rsidRPr="00667688" w:rsidR="00252EA7">
        <w:rPr>
          <w:rFonts w:ascii="Times New Roman" w:hAnsi="Times New Roman"/>
          <w:sz w:val="24"/>
          <w:szCs w:val="24"/>
        </w:rPr>
        <w:t xml:space="preserve">average </w:t>
      </w:r>
      <w:r w:rsidRPr="00667688">
        <w:rPr>
          <w:rFonts w:ascii="Times New Roman" w:hAnsi="Times New Roman"/>
          <w:sz w:val="24"/>
          <w:szCs w:val="24"/>
        </w:rPr>
        <w:t>personnel cost of $</w:t>
      </w:r>
      <w:r w:rsidRPr="00667688" w:rsidR="007C1A42">
        <w:rPr>
          <w:rFonts w:ascii="Times New Roman" w:hAnsi="Times New Roman"/>
          <w:sz w:val="24"/>
          <w:szCs w:val="24"/>
        </w:rPr>
        <w:t>56.52</w:t>
      </w:r>
      <w:r w:rsidRPr="00667688">
        <w:rPr>
          <w:rFonts w:ascii="Times New Roman" w:hAnsi="Times New Roman"/>
          <w:sz w:val="24"/>
          <w:szCs w:val="24"/>
        </w:rPr>
        <w:t xml:space="preserve"> per hour, $</w:t>
      </w:r>
      <w:r w:rsidRPr="00667688" w:rsidR="00432EA2">
        <w:rPr>
          <w:rFonts w:ascii="Times New Roman" w:hAnsi="Times New Roman"/>
          <w:sz w:val="24"/>
          <w:szCs w:val="24"/>
        </w:rPr>
        <w:t>29</w:t>
      </w:r>
      <w:r w:rsidRPr="00667688" w:rsidR="00495D60">
        <w:rPr>
          <w:rFonts w:ascii="Times New Roman" w:hAnsi="Times New Roman"/>
          <w:sz w:val="24"/>
          <w:szCs w:val="24"/>
        </w:rPr>
        <w:t>,504.63</w:t>
      </w:r>
      <w:r w:rsidRPr="00667688">
        <w:rPr>
          <w:rFonts w:ascii="Times New Roman" w:hAnsi="Times New Roman"/>
          <w:sz w:val="24"/>
          <w:szCs w:val="24"/>
        </w:rPr>
        <w:t xml:space="preserve"> would be spent annually on government staff salaries.</w:t>
      </w:r>
    </w:p>
    <w:p w:rsidR="009C0E70" w:rsidRPr="00667688" w:rsidP="255BF788" w14:paraId="06D72B38" w14:textId="62A23B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sz w:val="24"/>
          <w:szCs w:val="24"/>
        </w:rPr>
      </w:pPr>
      <w:r w:rsidRPr="255BF788">
        <w:rPr>
          <w:rFonts w:ascii="Times New Roman" w:hAnsi="Times New Roman"/>
          <w:sz w:val="24"/>
          <w:szCs w:val="24"/>
        </w:rPr>
        <w:t>The total estimated annual cost to the government for this collection of information is $</w:t>
      </w:r>
      <w:r w:rsidRPr="255BF788" w:rsidR="00405E59">
        <w:rPr>
          <w:rFonts w:ascii="Times New Roman" w:hAnsi="Times New Roman"/>
          <w:sz w:val="24"/>
          <w:szCs w:val="24"/>
        </w:rPr>
        <w:t>1,029,504.63</w:t>
      </w:r>
      <w:r w:rsidRPr="255BF788" w:rsidR="4D1780DA">
        <w:rPr>
          <w:rFonts w:ascii="Times New Roman" w:hAnsi="Times New Roman"/>
          <w:sz w:val="24"/>
          <w:szCs w:val="24"/>
        </w:rPr>
        <w:t xml:space="preserve"> </w:t>
      </w:r>
      <w:r w:rsidRPr="255BF788">
        <w:rPr>
          <w:rFonts w:ascii="Times New Roman" w:hAnsi="Times New Roman"/>
          <w:sz w:val="24"/>
          <w:szCs w:val="24"/>
        </w:rPr>
        <w:t xml:space="preserve">(which is equal to the total of contractor expenses </w:t>
      </w:r>
      <w:r w:rsidRPr="255BF788" w:rsidR="00506995">
        <w:rPr>
          <w:rFonts w:ascii="Times New Roman" w:hAnsi="Times New Roman"/>
          <w:sz w:val="24"/>
          <w:szCs w:val="24"/>
        </w:rPr>
        <w:t>(</w:t>
      </w:r>
      <w:r w:rsidRPr="255BF788">
        <w:rPr>
          <w:rFonts w:ascii="Times New Roman" w:hAnsi="Times New Roman"/>
          <w:sz w:val="24"/>
          <w:szCs w:val="24"/>
        </w:rPr>
        <w:t>$1</w:t>
      </w:r>
      <w:r w:rsidRPr="255BF788" w:rsidR="00506995">
        <w:rPr>
          <w:rFonts w:ascii="Times New Roman" w:hAnsi="Times New Roman"/>
          <w:sz w:val="24"/>
          <w:szCs w:val="24"/>
        </w:rPr>
        <w:t xml:space="preserve"> million)</w:t>
      </w:r>
      <w:r w:rsidRPr="255BF788">
        <w:rPr>
          <w:rFonts w:ascii="Times New Roman" w:hAnsi="Times New Roman"/>
          <w:sz w:val="24"/>
          <w:szCs w:val="24"/>
        </w:rPr>
        <w:t xml:space="preserve"> plus FDA government staff salary cost </w:t>
      </w:r>
      <w:r w:rsidRPr="255BF788" w:rsidR="00506995">
        <w:rPr>
          <w:rFonts w:ascii="Times New Roman" w:hAnsi="Times New Roman"/>
          <w:sz w:val="24"/>
          <w:szCs w:val="24"/>
        </w:rPr>
        <w:t>(</w:t>
      </w:r>
      <w:r w:rsidRPr="255BF788">
        <w:rPr>
          <w:rFonts w:ascii="Times New Roman" w:hAnsi="Times New Roman"/>
          <w:sz w:val="24"/>
          <w:szCs w:val="24"/>
        </w:rPr>
        <w:t>$</w:t>
      </w:r>
      <w:r w:rsidRPr="255BF788" w:rsidR="009F5B68">
        <w:rPr>
          <w:rFonts w:ascii="Times New Roman" w:hAnsi="Times New Roman"/>
          <w:sz w:val="24"/>
          <w:szCs w:val="24"/>
        </w:rPr>
        <w:t>29</w:t>
      </w:r>
      <w:r w:rsidRPr="255BF788" w:rsidR="00F27DB5">
        <w:rPr>
          <w:rFonts w:ascii="Times New Roman" w:hAnsi="Times New Roman"/>
          <w:sz w:val="24"/>
          <w:szCs w:val="24"/>
        </w:rPr>
        <w:t>,</w:t>
      </w:r>
      <w:r w:rsidRPr="255BF788" w:rsidR="00B46BC2">
        <w:rPr>
          <w:rFonts w:ascii="Times New Roman" w:hAnsi="Times New Roman"/>
          <w:sz w:val="24"/>
          <w:szCs w:val="24"/>
        </w:rPr>
        <w:t>504.63</w:t>
      </w:r>
      <w:r w:rsidRPr="255BF788" w:rsidR="00506995">
        <w:rPr>
          <w:rFonts w:ascii="Times New Roman" w:hAnsi="Times New Roman"/>
          <w:sz w:val="24"/>
          <w:szCs w:val="24"/>
        </w:rPr>
        <w:t>)</w:t>
      </w:r>
      <w:r w:rsidRPr="255BF788">
        <w:rPr>
          <w:rFonts w:ascii="Times New Roman" w:hAnsi="Times New Roman"/>
          <w:sz w:val="24"/>
          <w:szCs w:val="24"/>
        </w:rPr>
        <w:t>).</w:t>
      </w:r>
    </w:p>
    <w:p w:rsidR="00A12BAD" w:rsidRPr="00667688" w:rsidP="00667688" w14:paraId="07A1C44F" w14:textId="7AE51A1F">
      <w:pPr>
        <w:pStyle w:val="ListParagraph"/>
        <w:spacing w:before="100" w:beforeAutospacing="1" w:after="100" w:afterAutospacing="1" w:line="240" w:lineRule="auto"/>
        <w:ind w:left="0"/>
        <w:rPr>
          <w:rFonts w:ascii="Times New Roman" w:hAnsi="Times New Roman"/>
          <w:bCs/>
          <w:sz w:val="24"/>
          <w:szCs w:val="24"/>
          <w:u w:val="single"/>
        </w:rPr>
      </w:pPr>
      <w:r w:rsidRPr="00667688">
        <w:rPr>
          <w:rFonts w:ascii="Times New Roman" w:hAnsi="Times New Roman"/>
          <w:bCs/>
          <w:sz w:val="24"/>
          <w:szCs w:val="24"/>
        </w:rPr>
        <w:t xml:space="preserve">15.  </w:t>
      </w:r>
      <w:r w:rsidRPr="00667688">
        <w:rPr>
          <w:rFonts w:ascii="Times New Roman" w:hAnsi="Times New Roman"/>
          <w:bCs/>
          <w:sz w:val="24"/>
          <w:szCs w:val="24"/>
          <w:u w:val="single"/>
        </w:rPr>
        <w:t>Explana</w:t>
      </w:r>
      <w:r w:rsidRPr="00667688" w:rsidR="00695276">
        <w:rPr>
          <w:rFonts w:ascii="Times New Roman" w:hAnsi="Times New Roman"/>
          <w:bCs/>
          <w:sz w:val="24"/>
          <w:szCs w:val="24"/>
          <w:u w:val="single"/>
        </w:rPr>
        <w:t>t</w:t>
      </w:r>
      <w:r w:rsidRPr="00667688">
        <w:rPr>
          <w:rFonts w:ascii="Times New Roman" w:hAnsi="Times New Roman"/>
          <w:bCs/>
          <w:sz w:val="24"/>
          <w:szCs w:val="24"/>
          <w:u w:val="single"/>
        </w:rPr>
        <w:t>ion for Program Changes or Adjustments</w:t>
      </w:r>
    </w:p>
    <w:p w:rsidR="00D82A0A" w:rsidRPr="00667688" w:rsidP="00667688" w14:paraId="42280CD3" w14:textId="08993F4E">
      <w:pPr>
        <w:pStyle w:val="ListParagraph"/>
        <w:spacing w:before="100" w:beforeAutospacing="1" w:after="100" w:afterAutospacing="1" w:line="240" w:lineRule="auto"/>
        <w:ind w:left="0"/>
        <w:rPr>
          <w:rFonts w:ascii="Times New Roman" w:hAnsi="Times New Roman"/>
          <w:b/>
          <w:sz w:val="24"/>
          <w:szCs w:val="24"/>
          <w:u w:val="single"/>
        </w:rPr>
      </w:pPr>
    </w:p>
    <w:p w:rsidR="00D82A0A" w:rsidRPr="00667688" w:rsidP="00667688" w14:paraId="68ABFAED" w14:textId="3AAFC67C">
      <w:pPr>
        <w:pStyle w:val="ListParagraph"/>
        <w:spacing w:before="100" w:beforeAutospacing="1" w:after="100" w:afterAutospacing="1" w:line="240" w:lineRule="auto"/>
        <w:ind w:left="0"/>
        <w:rPr>
          <w:rFonts w:ascii="Times New Roman" w:hAnsi="Times New Roman"/>
          <w:sz w:val="24"/>
          <w:szCs w:val="24"/>
        </w:rPr>
      </w:pPr>
      <w:r w:rsidRPr="00667688">
        <w:rPr>
          <w:rFonts w:ascii="Times New Roman" w:hAnsi="Times New Roman"/>
          <w:sz w:val="24"/>
          <w:szCs w:val="24"/>
        </w:rPr>
        <w:t xml:space="preserve">Our estimated burden for the information collection reflects an overall increase of </w:t>
      </w:r>
      <w:r w:rsidRPr="00667688" w:rsidR="00B22EE6">
        <w:rPr>
          <w:rFonts w:ascii="Times New Roman" w:hAnsi="Times New Roman"/>
          <w:sz w:val="24"/>
          <w:szCs w:val="24"/>
        </w:rPr>
        <w:t>38</w:t>
      </w:r>
      <w:r w:rsidRPr="00667688" w:rsidR="00BC464A">
        <w:rPr>
          <w:rFonts w:ascii="Times New Roman" w:hAnsi="Times New Roman"/>
          <w:sz w:val="24"/>
          <w:szCs w:val="24"/>
        </w:rPr>
        <w:t>4,</w:t>
      </w:r>
      <w:r w:rsidRPr="00667688" w:rsidR="00E87919">
        <w:rPr>
          <w:rFonts w:ascii="Times New Roman" w:hAnsi="Times New Roman"/>
          <w:sz w:val="24"/>
          <w:szCs w:val="24"/>
        </w:rPr>
        <w:t>248</w:t>
      </w:r>
      <w:r w:rsidRPr="00667688">
        <w:rPr>
          <w:rFonts w:ascii="Times New Roman" w:hAnsi="Times New Roman"/>
          <w:sz w:val="24"/>
          <w:szCs w:val="24"/>
        </w:rPr>
        <w:t xml:space="preserve"> hours and a corresponding increase of 314,926 responses. We attribute this adjustment to the number of study responses used during the current approval and now estimated for the next three years. A greater number of qualitative studies will be conducted over the next three years due to the need to develop new creative messages and content. Recent years have seen a dramatic change in media. With the shift to digital media, FDA must adapt to communicate effectively in a digital environment. As digital tobacco use prevention/interventions are still in their infancy, we must better understand the types of digital channels available. To impact public health outcomes, we need to understand how to reach our intended audience. New foundational studies are needed (including those on digital metrics, measurement, and implementation)</w:t>
      </w:r>
      <w:r w:rsidRPr="00667688">
        <w:rPr>
          <w:rFonts w:ascii="Times New Roman" w:hAnsi="Times New Roman"/>
          <w:sz w:val="24"/>
          <w:szCs w:val="24"/>
        </w:rPr>
        <w:t xml:space="preserve">. Additionally, </w:t>
      </w:r>
      <w:r w:rsidRPr="00667688" w:rsidR="00CC5F7F">
        <w:rPr>
          <w:rFonts w:ascii="Times New Roman" w:hAnsi="Times New Roman"/>
          <w:sz w:val="24"/>
          <w:szCs w:val="24"/>
        </w:rPr>
        <w:t>w</w:t>
      </w:r>
      <w:r w:rsidRPr="00667688" w:rsidR="0046528B">
        <w:rPr>
          <w:rFonts w:ascii="Times New Roman" w:hAnsi="Times New Roman"/>
          <w:sz w:val="24"/>
          <w:szCs w:val="24"/>
        </w:rPr>
        <w:t xml:space="preserve">e have also updated the cost burden estimate based on current </w:t>
      </w:r>
      <w:r w:rsidRPr="00667688" w:rsidR="006E5E7C">
        <w:rPr>
          <w:rFonts w:ascii="Times New Roman" w:hAnsi="Times New Roman"/>
          <w:sz w:val="24"/>
          <w:szCs w:val="24"/>
        </w:rPr>
        <w:t xml:space="preserve">Bureau of Labor and Statistics </w:t>
      </w:r>
      <w:r w:rsidRPr="00667688" w:rsidR="0046528B">
        <w:rPr>
          <w:rFonts w:ascii="Times New Roman" w:hAnsi="Times New Roman"/>
          <w:sz w:val="24"/>
          <w:szCs w:val="24"/>
        </w:rPr>
        <w:t>salary figures.</w:t>
      </w:r>
    </w:p>
    <w:p w:rsidR="00406CFD" w:rsidRPr="00667688" w:rsidP="00667688" w14:paraId="2F581A64" w14:textId="10B180DF">
      <w:pPr>
        <w:pStyle w:val="ListParagraph"/>
        <w:spacing w:before="100" w:beforeAutospacing="1" w:after="100" w:afterAutospacing="1" w:line="240" w:lineRule="auto"/>
        <w:ind w:left="0"/>
        <w:rPr>
          <w:rFonts w:ascii="Times New Roman" w:hAnsi="Times New Roman"/>
          <w:sz w:val="24"/>
          <w:szCs w:val="24"/>
        </w:rPr>
      </w:pPr>
    </w:p>
    <w:p w:rsidR="42070676" w:rsidRPr="00667688" w:rsidP="00667688" w14:paraId="6D55F298" w14:textId="4D9C9216">
      <w:pPr>
        <w:pStyle w:val="ListParagraph"/>
        <w:spacing w:before="100" w:beforeAutospacing="1" w:after="100" w:afterAutospacing="1" w:line="240" w:lineRule="auto"/>
        <w:ind w:left="0"/>
        <w:rPr>
          <w:rFonts w:ascii="Times New Roman" w:hAnsi="Times New Roman"/>
          <w:sz w:val="24"/>
          <w:szCs w:val="24"/>
        </w:rPr>
      </w:pPr>
      <w:r w:rsidRPr="00667688">
        <w:rPr>
          <w:rFonts w:ascii="Times New Roman" w:hAnsi="Times New Roman"/>
          <w:sz w:val="24"/>
          <w:szCs w:val="24"/>
        </w:rPr>
        <w:t xml:space="preserve">16.  </w:t>
      </w:r>
      <w:r w:rsidRPr="00667688">
        <w:rPr>
          <w:rFonts w:ascii="Times New Roman" w:hAnsi="Times New Roman"/>
          <w:sz w:val="24"/>
          <w:szCs w:val="24"/>
          <w:u w:val="single"/>
        </w:rPr>
        <w:t xml:space="preserve">Plans for </w:t>
      </w:r>
      <w:r w:rsidRPr="00667688" w:rsidR="00695276">
        <w:rPr>
          <w:rFonts w:ascii="Times New Roman" w:hAnsi="Times New Roman"/>
          <w:sz w:val="24"/>
          <w:szCs w:val="24"/>
          <w:u w:val="single"/>
        </w:rPr>
        <w:t xml:space="preserve">Tabulation and </w:t>
      </w:r>
      <w:r w:rsidRPr="00667688">
        <w:rPr>
          <w:rFonts w:ascii="Times New Roman" w:hAnsi="Times New Roman"/>
          <w:sz w:val="24"/>
          <w:szCs w:val="24"/>
          <w:u w:val="single"/>
        </w:rPr>
        <w:t>Publication and Project Time</w:t>
      </w:r>
      <w:r w:rsidRPr="00667688" w:rsidR="00695276">
        <w:rPr>
          <w:rFonts w:ascii="Times New Roman" w:hAnsi="Times New Roman"/>
          <w:sz w:val="24"/>
          <w:szCs w:val="24"/>
          <w:u w:val="single"/>
        </w:rPr>
        <w:t xml:space="preserve"> Schedule</w:t>
      </w:r>
    </w:p>
    <w:p w:rsidR="00A12BAD" w:rsidRPr="00667688" w:rsidP="00667688" w14:paraId="2BE84234" w14:textId="1856B48A">
      <w:pPr>
        <w:spacing w:before="100" w:beforeAutospacing="1" w:after="100" w:afterAutospacing="1" w:line="240" w:lineRule="auto"/>
        <w:rPr>
          <w:rFonts w:ascii="Times New Roman" w:hAnsi="Times New Roman"/>
          <w:sz w:val="24"/>
          <w:szCs w:val="24"/>
        </w:rPr>
      </w:pPr>
      <w:r w:rsidRPr="00667688">
        <w:rPr>
          <w:rFonts w:ascii="Times New Roman" w:hAnsi="Times New Roman"/>
          <w:sz w:val="24"/>
          <w:szCs w:val="24"/>
        </w:rPr>
        <w:t xml:space="preserve">Feedback collected under this generic clearance provides useful information, but it does not yield data that can be generalized to the overall population. </w:t>
      </w:r>
      <w:r w:rsidRPr="00667688" w:rsidR="008F0E3F">
        <w:rPr>
          <w:rFonts w:ascii="Times New Roman" w:hAnsi="Times New Roman"/>
          <w:sz w:val="24"/>
          <w:szCs w:val="24"/>
        </w:rPr>
        <w:t xml:space="preserve"> </w:t>
      </w:r>
      <w:r w:rsidRPr="00667688">
        <w:rPr>
          <w:rFonts w:ascii="Times New Roman" w:hAnsi="Times New Roman"/>
          <w:sz w:val="24"/>
          <w:szCs w:val="24"/>
        </w:rPr>
        <w:t xml:space="preserve">Findings will be used </w:t>
      </w:r>
      <w:r w:rsidRPr="00667688" w:rsidR="00850B2E">
        <w:rPr>
          <w:rFonts w:ascii="Times New Roman" w:hAnsi="Times New Roman"/>
          <w:sz w:val="24"/>
          <w:szCs w:val="24"/>
        </w:rPr>
        <w:t>to inform experimental research</w:t>
      </w:r>
      <w:r w:rsidRPr="00667688" w:rsidR="004D67A4">
        <w:rPr>
          <w:rFonts w:ascii="Times New Roman" w:hAnsi="Times New Roman"/>
          <w:sz w:val="24"/>
          <w:szCs w:val="24"/>
        </w:rPr>
        <w:t xml:space="preserve">, public </w:t>
      </w:r>
      <w:r w:rsidRPr="00667688" w:rsidR="006702B8">
        <w:rPr>
          <w:rFonts w:ascii="Times New Roman" w:hAnsi="Times New Roman"/>
          <w:sz w:val="24"/>
          <w:szCs w:val="24"/>
        </w:rPr>
        <w:t>education</w:t>
      </w:r>
      <w:r w:rsidRPr="00667688" w:rsidR="00506995">
        <w:rPr>
          <w:rFonts w:ascii="Times New Roman" w:hAnsi="Times New Roman"/>
          <w:sz w:val="24"/>
          <w:szCs w:val="24"/>
        </w:rPr>
        <w:t>,</w:t>
      </w:r>
      <w:r w:rsidRPr="00667688" w:rsidR="009F44A0">
        <w:rPr>
          <w:rFonts w:ascii="Times New Roman" w:hAnsi="Times New Roman"/>
          <w:sz w:val="24"/>
          <w:szCs w:val="24"/>
        </w:rPr>
        <w:t xml:space="preserve"> </w:t>
      </w:r>
      <w:r w:rsidR="00690D8B">
        <w:rPr>
          <w:rFonts w:ascii="Times New Roman" w:hAnsi="Times New Roman"/>
          <w:sz w:val="24"/>
          <w:szCs w:val="24"/>
        </w:rPr>
        <w:t>disseminations (</w:t>
      </w:r>
      <w:r w:rsidR="00362134">
        <w:rPr>
          <w:rFonts w:ascii="Times New Roman" w:hAnsi="Times New Roman"/>
          <w:sz w:val="24"/>
          <w:szCs w:val="24"/>
        </w:rPr>
        <w:t xml:space="preserve">including peer-reviewed publications) </w:t>
      </w:r>
      <w:r w:rsidRPr="00667688" w:rsidR="009F44A0">
        <w:rPr>
          <w:rFonts w:ascii="Times New Roman" w:hAnsi="Times New Roman"/>
          <w:sz w:val="24"/>
          <w:szCs w:val="24"/>
        </w:rPr>
        <w:t>or communication activities</w:t>
      </w:r>
      <w:r w:rsidRPr="00667688" w:rsidR="00850B2E">
        <w:rPr>
          <w:rFonts w:ascii="Times New Roman" w:hAnsi="Times New Roman"/>
          <w:sz w:val="24"/>
          <w:szCs w:val="24"/>
        </w:rPr>
        <w:t>.</w:t>
      </w:r>
    </w:p>
    <w:p w:rsidR="42070676" w:rsidRPr="00667688" w:rsidP="00667688" w14:paraId="59E1D285" w14:textId="61A9B150">
      <w:pPr>
        <w:spacing w:before="100" w:beforeAutospacing="1" w:after="100" w:afterAutospacing="1" w:line="240" w:lineRule="auto"/>
        <w:rPr>
          <w:rFonts w:ascii="Times New Roman" w:hAnsi="Times New Roman"/>
          <w:sz w:val="24"/>
          <w:szCs w:val="24"/>
        </w:rPr>
      </w:pPr>
      <w:r w:rsidRPr="00667688">
        <w:rPr>
          <w:rFonts w:ascii="Times New Roman" w:hAnsi="Times New Roman"/>
          <w:sz w:val="24"/>
          <w:szCs w:val="24"/>
        </w:rPr>
        <w:t>FDA</w:t>
      </w:r>
      <w:r w:rsidRPr="00667688" w:rsidR="00A12BAD">
        <w:rPr>
          <w:rFonts w:ascii="Times New Roman" w:hAnsi="Times New Roman"/>
          <w:sz w:val="24"/>
          <w:szCs w:val="24"/>
        </w:rPr>
        <w:t xml:space="preserve"> will disseminate the findings when appropriate, strictly following </w:t>
      </w:r>
      <w:r w:rsidRPr="00667688">
        <w:rPr>
          <w:rFonts w:ascii="Times New Roman" w:hAnsi="Times New Roman"/>
          <w:sz w:val="24"/>
          <w:szCs w:val="24"/>
        </w:rPr>
        <w:t>FDA</w:t>
      </w:r>
      <w:r w:rsidRPr="00667688" w:rsidR="00A12BAD">
        <w:rPr>
          <w:rFonts w:ascii="Times New Roman" w:hAnsi="Times New Roman"/>
          <w:sz w:val="24"/>
          <w:szCs w:val="24"/>
        </w:rPr>
        <w:t>'s "Guidelines for Ensuring</w:t>
      </w:r>
      <w:r w:rsidR="0049134A">
        <w:rPr>
          <w:rFonts w:ascii="Times New Roman" w:hAnsi="Times New Roman"/>
          <w:sz w:val="24"/>
          <w:szCs w:val="24"/>
        </w:rPr>
        <w:t xml:space="preserve"> and Maximizing</w:t>
      </w:r>
      <w:r w:rsidRPr="00667688" w:rsidR="00A12BAD">
        <w:rPr>
          <w:rFonts w:ascii="Times New Roman" w:hAnsi="Times New Roman"/>
          <w:sz w:val="24"/>
          <w:szCs w:val="24"/>
        </w:rPr>
        <w:t xml:space="preserve"> the Quality</w:t>
      </w:r>
      <w:r w:rsidR="00044952">
        <w:rPr>
          <w:rFonts w:ascii="Times New Roman" w:hAnsi="Times New Roman"/>
          <w:sz w:val="24"/>
          <w:szCs w:val="24"/>
        </w:rPr>
        <w:t>, Objectivity, Utility, and Integrity</w:t>
      </w:r>
      <w:r w:rsidRPr="00667688" w:rsidR="00A12BAD">
        <w:rPr>
          <w:rFonts w:ascii="Times New Roman" w:hAnsi="Times New Roman"/>
          <w:sz w:val="24"/>
          <w:szCs w:val="24"/>
        </w:rPr>
        <w:t xml:space="preserve"> of Information Disseminated to the Public</w:t>
      </w:r>
      <w:r w:rsidRPr="00667688" w:rsidR="00AB20B3">
        <w:rPr>
          <w:rFonts w:ascii="Times New Roman" w:hAnsi="Times New Roman"/>
          <w:sz w:val="24"/>
          <w:szCs w:val="24"/>
        </w:rPr>
        <w:t>,</w:t>
      </w:r>
      <w:r w:rsidRPr="00667688" w:rsidR="00A12BAD">
        <w:rPr>
          <w:rFonts w:ascii="Times New Roman" w:hAnsi="Times New Roman"/>
          <w:sz w:val="24"/>
          <w:szCs w:val="24"/>
        </w:rPr>
        <w:t>"</w:t>
      </w:r>
      <w:r>
        <w:rPr>
          <w:rStyle w:val="FootnoteReference"/>
          <w:rFonts w:ascii="Times New Roman" w:hAnsi="Times New Roman"/>
          <w:sz w:val="24"/>
          <w:szCs w:val="24"/>
        </w:rPr>
        <w:footnoteReference w:id="8"/>
      </w:r>
      <w:r w:rsidRPr="00667688" w:rsidR="00A12BAD">
        <w:rPr>
          <w:rFonts w:ascii="Times New Roman" w:hAnsi="Times New Roman"/>
          <w:sz w:val="24"/>
          <w:szCs w:val="24"/>
        </w:rPr>
        <w:t xml:space="preserve"> and will include specific discussion of the limitation of the qualitative results discussed above. </w:t>
      </w:r>
    </w:p>
    <w:p w:rsidR="42070676" w:rsidRPr="00667688" w:rsidP="00667688" w14:paraId="40C15FB9" w14:textId="4AB3F663">
      <w:pPr>
        <w:pStyle w:val="ListParagraph"/>
        <w:spacing w:before="100" w:beforeAutospacing="1" w:after="100" w:afterAutospacing="1" w:line="240" w:lineRule="auto"/>
        <w:ind w:left="0"/>
        <w:rPr>
          <w:rFonts w:ascii="Times New Roman" w:hAnsi="Times New Roman"/>
          <w:sz w:val="24"/>
          <w:szCs w:val="24"/>
        </w:rPr>
      </w:pPr>
      <w:r w:rsidRPr="00667688">
        <w:rPr>
          <w:rFonts w:ascii="Times New Roman" w:hAnsi="Times New Roman"/>
          <w:sz w:val="24"/>
          <w:szCs w:val="24"/>
        </w:rPr>
        <w:t xml:space="preserve">17.  </w:t>
      </w:r>
      <w:r w:rsidRPr="00667688">
        <w:rPr>
          <w:rFonts w:ascii="Times New Roman" w:hAnsi="Times New Roman"/>
          <w:sz w:val="24"/>
          <w:szCs w:val="24"/>
          <w:u w:val="single"/>
        </w:rPr>
        <w:t xml:space="preserve">Reason(s) </w:t>
      </w:r>
      <w:r w:rsidRPr="00667688" w:rsidR="00A12BAD">
        <w:rPr>
          <w:rFonts w:ascii="Times New Roman" w:hAnsi="Times New Roman"/>
          <w:sz w:val="24"/>
          <w:szCs w:val="24"/>
          <w:u w:val="single"/>
        </w:rPr>
        <w:t xml:space="preserve">Display of OMB </w:t>
      </w:r>
      <w:r w:rsidRPr="00667688">
        <w:rPr>
          <w:rFonts w:ascii="Times New Roman" w:hAnsi="Times New Roman"/>
          <w:sz w:val="24"/>
          <w:szCs w:val="24"/>
          <w:u w:val="single"/>
        </w:rPr>
        <w:t xml:space="preserve">Expiration </w:t>
      </w:r>
      <w:r w:rsidRPr="00667688" w:rsidR="00A12BAD">
        <w:rPr>
          <w:rFonts w:ascii="Times New Roman" w:hAnsi="Times New Roman"/>
          <w:sz w:val="24"/>
          <w:szCs w:val="24"/>
          <w:u w:val="single"/>
        </w:rPr>
        <w:t>Date</w:t>
      </w:r>
      <w:r w:rsidRPr="00667688">
        <w:rPr>
          <w:rFonts w:ascii="Times New Roman" w:hAnsi="Times New Roman"/>
          <w:sz w:val="24"/>
          <w:szCs w:val="24"/>
          <w:u w:val="single"/>
        </w:rPr>
        <w:t xml:space="preserve"> is Inappropriate</w:t>
      </w:r>
    </w:p>
    <w:p w:rsidR="42070676" w:rsidRPr="00667688" w:rsidP="00A22396" w14:paraId="10342FEE" w14:textId="49EC52B5">
      <w:pPr>
        <w:rPr>
          <w:rFonts w:ascii="Times New Roman" w:hAnsi="Times New Roman"/>
          <w:sz w:val="24"/>
          <w:szCs w:val="24"/>
        </w:rPr>
      </w:pPr>
      <w:r w:rsidRPr="00667688">
        <w:rPr>
          <w:rFonts w:ascii="Times New Roman" w:hAnsi="Times New Roman"/>
          <w:sz w:val="24"/>
          <w:szCs w:val="24"/>
        </w:rPr>
        <w:t>We are</w:t>
      </w:r>
      <w:r w:rsidRPr="00667688" w:rsidR="00612794">
        <w:rPr>
          <w:rFonts w:ascii="Times New Roman" w:hAnsi="Times New Roman"/>
          <w:sz w:val="24"/>
          <w:szCs w:val="24"/>
        </w:rPr>
        <w:t xml:space="preserve"> not</w:t>
      </w:r>
      <w:r w:rsidRPr="00667688">
        <w:rPr>
          <w:rFonts w:ascii="Times New Roman" w:hAnsi="Times New Roman"/>
          <w:sz w:val="24"/>
          <w:szCs w:val="24"/>
        </w:rPr>
        <w:t xml:space="preserve"> requesting </w:t>
      </w:r>
      <w:r w:rsidRPr="00667688" w:rsidR="00612794">
        <w:rPr>
          <w:rFonts w:ascii="Times New Roman" w:hAnsi="Times New Roman"/>
          <w:sz w:val="24"/>
          <w:szCs w:val="24"/>
        </w:rPr>
        <w:t>an</w:t>
      </w:r>
      <w:r w:rsidRPr="00667688">
        <w:rPr>
          <w:rFonts w:ascii="Times New Roman" w:hAnsi="Times New Roman"/>
          <w:sz w:val="24"/>
          <w:szCs w:val="24"/>
        </w:rPr>
        <w:t xml:space="preserve"> exemption</w:t>
      </w:r>
      <w:r w:rsidRPr="00667688" w:rsidR="00AB20B3">
        <w:rPr>
          <w:rFonts w:ascii="Times New Roman" w:hAnsi="Times New Roman"/>
          <w:sz w:val="24"/>
          <w:szCs w:val="24"/>
        </w:rPr>
        <w:t xml:space="preserve"> to this requirement</w:t>
      </w:r>
      <w:r w:rsidRPr="00667688">
        <w:rPr>
          <w:rFonts w:ascii="Times New Roman" w:hAnsi="Times New Roman"/>
          <w:sz w:val="24"/>
          <w:szCs w:val="24"/>
        </w:rPr>
        <w:t>.</w:t>
      </w:r>
      <w:r w:rsidRPr="00667688" w:rsidR="00612794">
        <w:rPr>
          <w:rFonts w:ascii="Times New Roman" w:hAnsi="Times New Roman"/>
          <w:sz w:val="24"/>
          <w:szCs w:val="24"/>
        </w:rPr>
        <w:t xml:space="preserve"> The OMB expiration date will be displayed.</w:t>
      </w:r>
      <w:r w:rsidRPr="00667688" w:rsidR="008F0E3F">
        <w:rPr>
          <w:rFonts w:ascii="Times New Roman" w:hAnsi="Times New Roman"/>
          <w:sz w:val="24"/>
          <w:szCs w:val="24"/>
        </w:rPr>
        <w:t xml:space="preserve">18.  </w:t>
      </w:r>
      <w:r w:rsidRPr="00667688">
        <w:rPr>
          <w:rFonts w:ascii="Times New Roman" w:hAnsi="Times New Roman"/>
          <w:sz w:val="24"/>
          <w:szCs w:val="24"/>
          <w:u w:val="single"/>
        </w:rPr>
        <w:t>Exceptions to Certification for Paperwork Reduction Act Submissions</w:t>
      </w:r>
    </w:p>
    <w:p w:rsidR="001356DD" w:rsidRPr="00667688" w:rsidP="00667688" w14:paraId="5DB30ECA" w14:textId="213DD597">
      <w:pPr>
        <w:spacing w:before="100" w:beforeAutospacing="1" w:after="100" w:afterAutospacing="1" w:line="240" w:lineRule="auto"/>
        <w:rPr>
          <w:rFonts w:ascii="Times New Roman" w:hAnsi="Times New Roman"/>
          <w:sz w:val="24"/>
          <w:szCs w:val="24"/>
        </w:rPr>
      </w:pPr>
      <w:r w:rsidRPr="00667688">
        <w:rPr>
          <w:rFonts w:ascii="Times New Roman" w:hAnsi="Times New Roman"/>
          <w:sz w:val="24"/>
          <w:szCs w:val="24"/>
        </w:rPr>
        <w:t xml:space="preserve">These </w:t>
      </w:r>
      <w:r w:rsidRPr="00667688" w:rsidR="00A6433B">
        <w:rPr>
          <w:rFonts w:ascii="Times New Roman" w:hAnsi="Times New Roman"/>
          <w:sz w:val="24"/>
          <w:szCs w:val="24"/>
        </w:rPr>
        <w:t xml:space="preserve">information collection </w:t>
      </w:r>
      <w:r w:rsidRPr="00667688">
        <w:rPr>
          <w:rFonts w:ascii="Times New Roman" w:hAnsi="Times New Roman"/>
          <w:sz w:val="24"/>
          <w:szCs w:val="24"/>
        </w:rPr>
        <w:t>activities comply with the requirements in 5 CFR 1320.9</w:t>
      </w:r>
      <w:r w:rsidRPr="00667688" w:rsidR="00A6433B">
        <w:rPr>
          <w:rFonts w:ascii="Times New Roman" w:hAnsi="Times New Roman"/>
          <w:sz w:val="24"/>
          <w:szCs w:val="24"/>
        </w:rPr>
        <w:t xml:space="preserve"> </w:t>
      </w:r>
      <w:r w:rsidRPr="00667688" w:rsidR="00B2401F">
        <w:rPr>
          <w:rFonts w:ascii="Times New Roman" w:hAnsi="Times New Roman"/>
          <w:sz w:val="24"/>
          <w:szCs w:val="24"/>
        </w:rPr>
        <w:t>and involve</w:t>
      </w:r>
      <w:r w:rsidRPr="00667688" w:rsidR="00A6433B">
        <w:rPr>
          <w:rFonts w:ascii="Times New Roman" w:hAnsi="Times New Roman"/>
          <w:sz w:val="24"/>
          <w:szCs w:val="24"/>
        </w:rPr>
        <w:t xml:space="preserve"> no exception to the Certification for Paperwork Reduction Act Submissions.</w:t>
      </w:r>
    </w:p>
    <w:sectPr w:rsidSect="00F547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PS MT">
    <w:altName w:val="Times New Roman"/>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232D4" w14:paraId="2AC321DB" w14:textId="77777777">
      <w:pPr>
        <w:spacing w:after="0" w:line="240" w:lineRule="auto"/>
      </w:pPr>
      <w:r>
        <w:separator/>
      </w:r>
    </w:p>
  </w:footnote>
  <w:footnote w:type="continuationSeparator" w:id="1">
    <w:p w:rsidR="00D232D4" w14:paraId="7FAAB0A2" w14:textId="77777777">
      <w:pPr>
        <w:spacing w:after="0" w:line="240" w:lineRule="auto"/>
      </w:pPr>
      <w:r>
        <w:continuationSeparator/>
      </w:r>
    </w:p>
  </w:footnote>
  <w:footnote w:type="continuationNotice" w:id="2">
    <w:p w:rsidR="00D232D4" w14:paraId="11CCFDC3" w14:textId="77777777">
      <w:pPr>
        <w:spacing w:after="0" w:line="240" w:lineRule="auto"/>
      </w:pPr>
    </w:p>
  </w:footnote>
  <w:footnote w:id="3">
    <w:p w:rsidR="00AD0C65" w:rsidRPr="00C243D2" w14:paraId="30774CD0" w14:textId="40B18317">
      <w:pPr>
        <w:pStyle w:val="FootnoteText"/>
        <w:rPr>
          <w:rFonts w:ascii="Times New Roman" w:hAnsi="Times New Roman"/>
        </w:rPr>
      </w:pPr>
      <w:r w:rsidRPr="00C243D2">
        <w:rPr>
          <w:rStyle w:val="FootnoteReference"/>
          <w:rFonts w:ascii="Times New Roman" w:hAnsi="Times New Roman"/>
        </w:rPr>
        <w:footnoteRef/>
      </w:r>
      <w:r w:rsidRPr="00C243D2">
        <w:rPr>
          <w:rFonts w:ascii="Times New Roman" w:hAnsi="Times New Roman"/>
        </w:rPr>
        <w:t xml:space="preserve"> For example, collections that collect </w:t>
      </w:r>
      <w:r>
        <w:rPr>
          <w:rFonts w:ascii="Times New Roman" w:hAnsi="Times New Roman"/>
        </w:rPr>
        <w:t xml:space="preserve">PII </w:t>
      </w:r>
      <w:r w:rsidRPr="00C243D2">
        <w:rPr>
          <w:rFonts w:ascii="Times New Roman" w:hAnsi="Times New Roman"/>
        </w:rPr>
        <w:t>in order to</w:t>
      </w:r>
      <w:r w:rsidRPr="00C243D2">
        <w:rPr>
          <w:rFonts w:ascii="Times New Roman" w:hAnsi="Times New Roman"/>
        </w:rPr>
        <w:t xml:space="preserve"> provide remuneration for participants of focus groups and cognitive laboratory studies will be submitted under this request. All privacy a</w:t>
      </w:r>
      <w:r>
        <w:rPr>
          <w:rFonts w:ascii="Times New Roman" w:hAnsi="Times New Roman"/>
        </w:rPr>
        <w:t>ct requirements will be met.</w:t>
      </w:r>
    </w:p>
  </w:footnote>
  <w:footnote w:id="4">
    <w:p w:rsidR="00AD0C65" w:rsidRPr="00C243D2" w:rsidP="00BD1089" w14:paraId="6BCA9F73" w14:textId="5F893209">
      <w:pPr>
        <w:pStyle w:val="FootnoteText"/>
        <w:rPr>
          <w:rFonts w:ascii="Times New Roman" w:hAnsi="Times New Roman"/>
        </w:rPr>
      </w:pPr>
      <w:r w:rsidRPr="00C243D2">
        <w:rPr>
          <w:rStyle w:val="FootnoteReference"/>
          <w:rFonts w:ascii="Times New Roman" w:hAnsi="Times New Roman"/>
        </w:rPr>
        <w:footnoteRef/>
      </w:r>
      <w:r w:rsidRPr="00C243D2">
        <w:rPr>
          <w:rFonts w:ascii="Times New Roman" w:hAnsi="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5">
    <w:p w:rsidR="005D43FF" w:rsidRPr="001C32AE" w:rsidP="003D0608" w14:paraId="4BF50A85" w14:textId="77777777">
      <w:pPr>
        <w:spacing w:after="0" w:line="240" w:lineRule="auto"/>
        <w:rPr>
          <w:rFonts w:ascii="Times New Roman" w:eastAsia="Calibri" w:hAnsi="Times New Roman"/>
          <w:sz w:val="20"/>
          <w:szCs w:val="20"/>
        </w:rPr>
      </w:pPr>
      <w:r w:rsidRPr="001C32AE">
        <w:rPr>
          <w:rStyle w:val="FootnoteReference"/>
          <w:rFonts w:ascii="Times New Roman" w:hAnsi="Times New Roman"/>
          <w:sz w:val="20"/>
          <w:szCs w:val="20"/>
        </w:rPr>
        <w:footnoteRef/>
      </w:r>
      <w:r w:rsidRPr="001C32AE">
        <w:rPr>
          <w:rFonts w:ascii="Times New Roman" w:hAnsi="Times New Roman"/>
          <w:sz w:val="20"/>
          <w:szCs w:val="20"/>
        </w:rPr>
        <w:t xml:space="preserve"> Federal Communications Commission</w:t>
      </w:r>
      <w:r w:rsidRPr="001C32AE">
        <w:rPr>
          <w:rFonts w:ascii="Times New Roman" w:eastAsia="Calibri" w:hAnsi="Times New Roman"/>
          <w:sz w:val="20"/>
          <w:szCs w:val="20"/>
        </w:rPr>
        <w:t xml:space="preserve"> (2020). 2020 Broadband deployment report. Retrieved from </w:t>
      </w:r>
      <w:hyperlink r:id="rId1">
        <w:r w:rsidRPr="001C32AE">
          <w:rPr>
            <w:rStyle w:val="Hyperlink"/>
            <w:rFonts w:ascii="Times New Roman" w:eastAsia="Calibri" w:hAnsi="Times New Roman"/>
            <w:sz w:val="20"/>
            <w:szCs w:val="20"/>
          </w:rPr>
          <w:t>https://docs.fcc.gov/public/attachments/FCC-20-50A1.pdf</w:t>
        </w:r>
      </w:hyperlink>
    </w:p>
    <w:p w:rsidR="005D43FF" w:rsidRPr="001C32AE" w:rsidP="003D0608" w14:paraId="44BFE321" w14:textId="12A16630">
      <w:pPr>
        <w:pStyle w:val="FootnoteText"/>
        <w:rPr>
          <w:rFonts w:ascii="Times New Roman" w:hAnsi="Times New Roman"/>
        </w:rPr>
      </w:pPr>
    </w:p>
  </w:footnote>
  <w:footnote w:id="6">
    <w:p w:rsidR="003D0608" w:rsidP="003D0608" w14:paraId="55C93757" w14:textId="5F3FAD9E">
      <w:pPr>
        <w:pStyle w:val="FootnoteText"/>
      </w:pPr>
      <w:r w:rsidRPr="001C32AE">
        <w:rPr>
          <w:rStyle w:val="FootnoteReference"/>
          <w:rFonts w:ascii="Times New Roman" w:hAnsi="Times New Roman"/>
        </w:rPr>
        <w:footnoteRef/>
      </w:r>
      <w:r w:rsidRPr="001C32AE">
        <w:rPr>
          <w:rFonts w:ascii="Times New Roman" w:hAnsi="Times New Roman"/>
        </w:rPr>
        <w:t xml:space="preserve"> Sanders, C. K., &amp; Scanlon, E. (2021). The digital divide is a human rights issue: Advancing social inclusion through social work advocacy. Journal of Human Rights and Social Work, 6, 130-143. https://doi.org/10.1007/s41134-020-00147-9</w:t>
      </w:r>
    </w:p>
  </w:footnote>
  <w:footnote w:id="7">
    <w:p w:rsidR="007D2E20" w:rsidRPr="00A22396" w14:paraId="035E3E8C" w14:textId="50C8E71D">
      <w:pPr>
        <w:pStyle w:val="FootnoteText"/>
        <w:rPr>
          <w:rFonts w:ascii="Times New Roman" w:hAnsi="Times New Roman"/>
        </w:rPr>
      </w:pPr>
      <w:r w:rsidRPr="00A22396">
        <w:rPr>
          <w:rStyle w:val="FootnoteReference"/>
          <w:rFonts w:ascii="Times New Roman" w:hAnsi="Times New Roman"/>
        </w:rPr>
        <w:footnoteRef/>
      </w:r>
      <w:r w:rsidRPr="00A22396">
        <w:rPr>
          <w:rFonts w:ascii="Times New Roman" w:hAnsi="Times New Roman"/>
        </w:rPr>
        <w:t xml:space="preserve"> U.S. General Services Administration. (2024). Privately owned vehicle (POV) mileage reimbursement rates. </w:t>
      </w:r>
      <w:hyperlink r:id="rId2" w:history="1">
        <w:r w:rsidRPr="00A22396" w:rsidR="00A22396">
          <w:rPr>
            <w:rStyle w:val="Hyperlink"/>
            <w:rFonts w:ascii="Times New Roman" w:hAnsi="Times New Roman"/>
          </w:rPr>
          <w:t>https://www.gsa.gov/travel/plan-book/transportation-airfare-rates-pov-rates-etc/privately-owned-vehicle-pov-mileage-reimbursement</w:t>
        </w:r>
      </w:hyperlink>
      <w:r w:rsidR="00A22396">
        <w:rPr>
          <w:rFonts w:ascii="Times New Roman" w:hAnsi="Times New Roman"/>
        </w:rPr>
        <w:t xml:space="preserve"> </w:t>
      </w:r>
    </w:p>
  </w:footnote>
  <w:footnote w:id="8">
    <w:p w:rsidR="00C15523" w14:paraId="57BC2876" w14:textId="57C7969A">
      <w:pPr>
        <w:pStyle w:val="FootnoteText"/>
      </w:pPr>
      <w:r>
        <w:rPr>
          <w:rStyle w:val="FootnoteReference"/>
        </w:rPr>
        <w:footnoteRef/>
      </w:r>
      <w:r w:rsidRPr="009458E5" w:rsidR="00E36596">
        <w:rPr>
          <w:rFonts w:ascii="Times New Roman" w:hAnsi="Times New Roman"/>
        </w:rPr>
        <w:t xml:space="preserve">HHS ASPE “HHS Guidelines for Ensuring and Maximizing the Quality, Objectivity, Utility, and Integrity of Information Disseminated to the Public” at </w:t>
      </w:r>
      <w:hyperlink r:id="rId3" w:history="1">
        <w:r w:rsidRPr="009458E5" w:rsidR="00B10FAC">
          <w:rPr>
            <w:rStyle w:val="Hyperlink"/>
            <w:rFonts w:ascii="Times New Roman" w:hAnsi="Times New Roman"/>
          </w:rPr>
          <w:t>https://aspe.hhs.gov/hhs-guidelines-ensuring-maximizing-disseminated-information</w:t>
        </w:r>
      </w:hyperlink>
      <w:r w:rsidR="00B10FAC">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F1C0A"/>
    <w:multiLevelType w:val="hybridMultilevel"/>
    <w:tmpl w:val="15522AA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3B7329"/>
    <w:multiLevelType w:val="hybridMultilevel"/>
    <w:tmpl w:val="13062278"/>
    <w:lvl w:ilvl="0">
      <w:start w:val="1"/>
      <w:numFmt w:val="decimal"/>
      <w:lvlText w:val="%1."/>
      <w:lvlJc w:val="left"/>
      <w:pPr>
        <w:ind w:left="3240" w:hanging="360"/>
      </w:pPr>
      <w:rPr>
        <w:rFonts w:cs="Times New Roman" w:hint="default"/>
      </w:rPr>
    </w:lvl>
    <w:lvl w:ilvl="1" w:tentative="1">
      <w:start w:val="1"/>
      <w:numFmt w:val="lowerLetter"/>
      <w:lvlText w:val="%2."/>
      <w:lvlJc w:val="left"/>
      <w:pPr>
        <w:ind w:left="3960" w:hanging="360"/>
      </w:pPr>
      <w:rPr>
        <w:rFonts w:cs="Times New Roman"/>
      </w:rPr>
    </w:lvl>
    <w:lvl w:ilvl="2" w:tentative="1">
      <w:start w:val="1"/>
      <w:numFmt w:val="lowerRoman"/>
      <w:lvlText w:val="%3."/>
      <w:lvlJc w:val="right"/>
      <w:pPr>
        <w:ind w:left="4680" w:hanging="180"/>
      </w:pPr>
      <w:rPr>
        <w:rFonts w:cs="Times New Roman"/>
      </w:rPr>
    </w:lvl>
    <w:lvl w:ilvl="3" w:tentative="1">
      <w:start w:val="1"/>
      <w:numFmt w:val="decimal"/>
      <w:lvlText w:val="%4."/>
      <w:lvlJc w:val="left"/>
      <w:pPr>
        <w:ind w:left="5400" w:hanging="360"/>
      </w:pPr>
      <w:rPr>
        <w:rFonts w:cs="Times New Roman"/>
      </w:rPr>
    </w:lvl>
    <w:lvl w:ilvl="4" w:tentative="1">
      <w:start w:val="1"/>
      <w:numFmt w:val="lowerLetter"/>
      <w:lvlText w:val="%5."/>
      <w:lvlJc w:val="left"/>
      <w:pPr>
        <w:ind w:left="6120" w:hanging="360"/>
      </w:pPr>
      <w:rPr>
        <w:rFonts w:cs="Times New Roman"/>
      </w:rPr>
    </w:lvl>
    <w:lvl w:ilvl="5" w:tentative="1">
      <w:start w:val="1"/>
      <w:numFmt w:val="lowerRoman"/>
      <w:lvlText w:val="%6."/>
      <w:lvlJc w:val="right"/>
      <w:pPr>
        <w:ind w:left="6840" w:hanging="180"/>
      </w:pPr>
      <w:rPr>
        <w:rFonts w:cs="Times New Roman"/>
      </w:rPr>
    </w:lvl>
    <w:lvl w:ilvl="6" w:tentative="1">
      <w:start w:val="1"/>
      <w:numFmt w:val="decimal"/>
      <w:lvlText w:val="%7."/>
      <w:lvlJc w:val="left"/>
      <w:pPr>
        <w:ind w:left="7560" w:hanging="360"/>
      </w:pPr>
      <w:rPr>
        <w:rFonts w:cs="Times New Roman"/>
      </w:rPr>
    </w:lvl>
    <w:lvl w:ilvl="7" w:tentative="1">
      <w:start w:val="1"/>
      <w:numFmt w:val="lowerLetter"/>
      <w:lvlText w:val="%8."/>
      <w:lvlJc w:val="left"/>
      <w:pPr>
        <w:ind w:left="8280" w:hanging="360"/>
      </w:pPr>
      <w:rPr>
        <w:rFonts w:cs="Times New Roman"/>
      </w:rPr>
    </w:lvl>
    <w:lvl w:ilvl="8" w:tentative="1">
      <w:start w:val="1"/>
      <w:numFmt w:val="lowerRoman"/>
      <w:lvlText w:val="%9."/>
      <w:lvlJc w:val="right"/>
      <w:pPr>
        <w:ind w:left="9000" w:hanging="180"/>
      </w:pPr>
      <w:rPr>
        <w:rFonts w:cs="Times New Roman"/>
      </w:rPr>
    </w:lvl>
  </w:abstractNum>
  <w:abstractNum w:abstractNumId="2">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5828A5"/>
    <w:multiLevelType w:val="hybridMultilevel"/>
    <w:tmpl w:val="0DF4CF8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9D12264"/>
    <w:multiLevelType w:val="hybridMultilevel"/>
    <w:tmpl w:val="F040763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1CEF26AF"/>
    <w:multiLevelType w:val="hybridMultilevel"/>
    <w:tmpl w:val="B5EC99A2"/>
    <w:lvl w:ilvl="0">
      <w:start w:val="1"/>
      <w:numFmt w:val="bullet"/>
      <w:lvlText w:val=""/>
      <w:lvlJc w:val="left"/>
      <w:pPr>
        <w:ind w:left="720" w:hanging="360"/>
      </w:pPr>
      <w:rPr>
        <w:rFonts w:ascii="Symbol" w:hAnsi="Symbol" w:hint="default"/>
      </w:rPr>
    </w:lvl>
    <w:lvl w:ilvl="1">
      <w:start w:val="4"/>
      <w:numFmt w:val="bullet"/>
      <w:lvlText w:val="•"/>
      <w:lvlJc w:val="left"/>
      <w:pPr>
        <w:ind w:left="1800" w:hanging="72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1D9752F4"/>
    <w:multiLevelType w:val="multilevel"/>
    <w:tmpl w:val="5B48558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
    <w:nsid w:val="21591103"/>
    <w:multiLevelType w:val="hybridMultilevel"/>
    <w:tmpl w:val="FA96116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9">
    <w:nsid w:val="2CE750F1"/>
    <w:multiLevelType w:val="hybridMultilevel"/>
    <w:tmpl w:val="F718E74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D21B63"/>
    <w:multiLevelType w:val="hybridMultilevel"/>
    <w:tmpl w:val="A4224E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076A67"/>
    <w:multiLevelType w:val="hybridMultilevel"/>
    <w:tmpl w:val="5F8E2EC4"/>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751617C"/>
    <w:multiLevelType w:val="hybridMultilevel"/>
    <w:tmpl w:val="36D276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E713CCA"/>
    <w:multiLevelType w:val="hybridMultilevel"/>
    <w:tmpl w:val="3956E5B0"/>
    <w:lvl w:ilvl="0">
      <w:start w:val="0"/>
      <w:numFmt w:val="bullet"/>
      <w:lvlText w:val=""/>
      <w:lvlJc w:val="left"/>
      <w:pPr>
        <w:ind w:left="720" w:hanging="360"/>
      </w:pPr>
      <w:rPr>
        <w:rFonts w:ascii="Symbol" w:eastAsia="Times New Roman"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F7B1689"/>
    <w:multiLevelType w:val="hybridMultilevel"/>
    <w:tmpl w:val="86FAC1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A4F0487"/>
    <w:multiLevelType w:val="hybridMultilevel"/>
    <w:tmpl w:val="D4101EFE"/>
    <w:lvl w:ilvl="0">
      <w:start w:val="1"/>
      <w:numFmt w:val="upperLetter"/>
      <w:lvlText w:val="%1."/>
      <w:lvlJc w:val="left"/>
      <w:pPr>
        <w:ind w:left="360" w:hanging="360"/>
      </w:pPr>
      <w:rPr>
        <w:rFonts w:cs="Times New Roman" w:hint="default"/>
        <w:u w:val="none"/>
      </w:rPr>
    </w:lvl>
    <w:lvl w:ilvl="1">
      <w:start w:val="1"/>
      <w:numFmt w:val="lowerLetter"/>
      <w:lvlText w:val="%2."/>
      <w:lvlJc w:val="left"/>
      <w:pPr>
        <w:ind w:left="1080" w:hanging="360"/>
      </w:pPr>
      <w:rPr>
        <w:rFonts w:cs="Times New Roman"/>
      </w:rPr>
    </w:lvl>
    <w:lvl w:ilvl="2">
      <w:start w:val="1"/>
      <w:numFmt w:val="decimal"/>
      <w:lvlText w:val="%3."/>
      <w:lvlJc w:val="left"/>
      <w:pPr>
        <w:ind w:left="1980" w:hanging="360"/>
      </w:pPr>
      <w:rPr>
        <w:rFonts w:hint="default"/>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8">
    <w:nsid w:val="52461E5B"/>
    <w:multiLevelType w:val="hybridMultilevel"/>
    <w:tmpl w:val="88A213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404F49"/>
    <w:multiLevelType w:val="hybridMultilevel"/>
    <w:tmpl w:val="68D893B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D412705"/>
    <w:multiLevelType w:val="hybridMultilevel"/>
    <w:tmpl w:val="5B48558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4">
    <w:nsid w:val="6DC72BEB"/>
    <w:multiLevelType w:val="hybridMultilevel"/>
    <w:tmpl w:val="FD8ED3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6">
    <w:nsid w:val="71AD3C0A"/>
    <w:multiLevelType w:val="hybridMultilevel"/>
    <w:tmpl w:val="284A0616"/>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num w:numId="1" w16cid:durableId="343285335">
    <w:abstractNumId w:val="17"/>
  </w:num>
  <w:num w:numId="2" w16cid:durableId="540244077">
    <w:abstractNumId w:val="23"/>
  </w:num>
  <w:num w:numId="3" w16cid:durableId="913591632">
    <w:abstractNumId w:val="1"/>
  </w:num>
  <w:num w:numId="4" w16cid:durableId="758797793">
    <w:abstractNumId w:val="4"/>
  </w:num>
  <w:num w:numId="5" w16cid:durableId="1014376675">
    <w:abstractNumId w:val="21"/>
  </w:num>
  <w:num w:numId="6" w16cid:durableId="1444617419">
    <w:abstractNumId w:val="15"/>
  </w:num>
  <w:num w:numId="7" w16cid:durableId="2003199570">
    <w:abstractNumId w:val="20"/>
  </w:num>
  <w:num w:numId="8" w16cid:durableId="1012220269">
    <w:abstractNumId w:val="12"/>
  </w:num>
  <w:num w:numId="9" w16cid:durableId="1562063371">
    <w:abstractNumId w:val="19"/>
  </w:num>
  <w:num w:numId="10" w16cid:durableId="1238830986">
    <w:abstractNumId w:val="6"/>
  </w:num>
  <w:num w:numId="11" w16cid:durableId="1731877834">
    <w:abstractNumId w:val="25"/>
  </w:num>
  <w:num w:numId="12" w16cid:durableId="203368764">
    <w:abstractNumId w:val="8"/>
  </w:num>
  <w:num w:numId="13" w16cid:durableId="979111484">
    <w:abstractNumId w:val="2"/>
  </w:num>
  <w:num w:numId="14" w16cid:durableId="577255115">
    <w:abstractNumId w:val="26"/>
  </w:num>
  <w:num w:numId="15" w16cid:durableId="1889104119">
    <w:abstractNumId w:val="5"/>
  </w:num>
  <w:num w:numId="16" w16cid:durableId="1481194458">
    <w:abstractNumId w:val="10"/>
  </w:num>
  <w:num w:numId="17" w16cid:durableId="625507675">
    <w:abstractNumId w:val="7"/>
  </w:num>
  <w:num w:numId="18" w16cid:durableId="1403210393">
    <w:abstractNumId w:val="22"/>
  </w:num>
  <w:num w:numId="19" w16cid:durableId="1713924491">
    <w:abstractNumId w:val="3"/>
  </w:num>
  <w:num w:numId="20" w16cid:durableId="1635868349">
    <w:abstractNumId w:val="14"/>
  </w:num>
  <w:num w:numId="21" w16cid:durableId="963075339">
    <w:abstractNumId w:val="18"/>
  </w:num>
  <w:num w:numId="22" w16cid:durableId="643125080">
    <w:abstractNumId w:val="16"/>
  </w:num>
  <w:num w:numId="23" w16cid:durableId="412432157">
    <w:abstractNumId w:val="24"/>
  </w:num>
  <w:num w:numId="24" w16cid:durableId="1081178744">
    <w:abstractNumId w:val="11"/>
  </w:num>
  <w:num w:numId="25" w16cid:durableId="615331073">
    <w:abstractNumId w:val="9"/>
  </w:num>
  <w:num w:numId="26" w16cid:durableId="1358773805">
    <w:abstractNumId w:val="0"/>
  </w:num>
  <w:num w:numId="27" w16cid:durableId="993146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003AD"/>
    <w:rsid w:val="00000E99"/>
    <w:rsid w:val="00007C82"/>
    <w:rsid w:val="00011476"/>
    <w:rsid w:val="00013B4B"/>
    <w:rsid w:val="00014D6F"/>
    <w:rsid w:val="00014DFF"/>
    <w:rsid w:val="0001561C"/>
    <w:rsid w:val="00016783"/>
    <w:rsid w:val="00021075"/>
    <w:rsid w:val="00022234"/>
    <w:rsid w:val="00024AD8"/>
    <w:rsid w:val="00025D97"/>
    <w:rsid w:val="000351C9"/>
    <w:rsid w:val="000368FD"/>
    <w:rsid w:val="00042237"/>
    <w:rsid w:val="00043B2E"/>
    <w:rsid w:val="00044952"/>
    <w:rsid w:val="00045EFA"/>
    <w:rsid w:val="000463F3"/>
    <w:rsid w:val="000513D4"/>
    <w:rsid w:val="000516D7"/>
    <w:rsid w:val="00051F8F"/>
    <w:rsid w:val="00055C3B"/>
    <w:rsid w:val="00060C01"/>
    <w:rsid w:val="00063319"/>
    <w:rsid w:val="000652B6"/>
    <w:rsid w:val="00066515"/>
    <w:rsid w:val="00066C98"/>
    <w:rsid w:val="0007152B"/>
    <w:rsid w:val="00071535"/>
    <w:rsid w:val="0007206D"/>
    <w:rsid w:val="000743B2"/>
    <w:rsid w:val="0007530E"/>
    <w:rsid w:val="000758E6"/>
    <w:rsid w:val="000768F7"/>
    <w:rsid w:val="00076F71"/>
    <w:rsid w:val="00080640"/>
    <w:rsid w:val="00086800"/>
    <w:rsid w:val="00087B68"/>
    <w:rsid w:val="000931FE"/>
    <w:rsid w:val="00094802"/>
    <w:rsid w:val="0009494A"/>
    <w:rsid w:val="0009511F"/>
    <w:rsid w:val="000962E6"/>
    <w:rsid w:val="00096FBC"/>
    <w:rsid w:val="000A0DDE"/>
    <w:rsid w:val="000A350B"/>
    <w:rsid w:val="000A410F"/>
    <w:rsid w:val="000A5B18"/>
    <w:rsid w:val="000A5DC2"/>
    <w:rsid w:val="000A724F"/>
    <w:rsid w:val="000B3D02"/>
    <w:rsid w:val="000B4026"/>
    <w:rsid w:val="000B4AD9"/>
    <w:rsid w:val="000B6D49"/>
    <w:rsid w:val="000B74C6"/>
    <w:rsid w:val="000B7DC0"/>
    <w:rsid w:val="000B7E91"/>
    <w:rsid w:val="000C058B"/>
    <w:rsid w:val="000C0A7E"/>
    <w:rsid w:val="000C1794"/>
    <w:rsid w:val="000C2683"/>
    <w:rsid w:val="000C3647"/>
    <w:rsid w:val="000C3E11"/>
    <w:rsid w:val="000C5ACF"/>
    <w:rsid w:val="000C6A4C"/>
    <w:rsid w:val="000D04C4"/>
    <w:rsid w:val="000D4F61"/>
    <w:rsid w:val="000D5A20"/>
    <w:rsid w:val="000E0066"/>
    <w:rsid w:val="000E263F"/>
    <w:rsid w:val="000E321A"/>
    <w:rsid w:val="000E4646"/>
    <w:rsid w:val="000E6579"/>
    <w:rsid w:val="000E6F43"/>
    <w:rsid w:val="000F1B90"/>
    <w:rsid w:val="000F2682"/>
    <w:rsid w:val="000F2AD1"/>
    <w:rsid w:val="000F2D1C"/>
    <w:rsid w:val="000F4DEE"/>
    <w:rsid w:val="000F5459"/>
    <w:rsid w:val="00100CB6"/>
    <w:rsid w:val="001024D4"/>
    <w:rsid w:val="00103845"/>
    <w:rsid w:val="00103E80"/>
    <w:rsid w:val="00106B99"/>
    <w:rsid w:val="00110A09"/>
    <w:rsid w:val="00114BCC"/>
    <w:rsid w:val="001167F6"/>
    <w:rsid w:val="001179E1"/>
    <w:rsid w:val="00120A60"/>
    <w:rsid w:val="00121A6D"/>
    <w:rsid w:val="00122485"/>
    <w:rsid w:val="00124FA9"/>
    <w:rsid w:val="00125753"/>
    <w:rsid w:val="00125BE3"/>
    <w:rsid w:val="00126744"/>
    <w:rsid w:val="00126DA0"/>
    <w:rsid w:val="00126EE8"/>
    <w:rsid w:val="00130FFA"/>
    <w:rsid w:val="001328D8"/>
    <w:rsid w:val="00132B95"/>
    <w:rsid w:val="00133799"/>
    <w:rsid w:val="00133F2D"/>
    <w:rsid w:val="001356DD"/>
    <w:rsid w:val="0013604B"/>
    <w:rsid w:val="00141CDE"/>
    <w:rsid w:val="00142535"/>
    <w:rsid w:val="00142FA4"/>
    <w:rsid w:val="00143646"/>
    <w:rsid w:val="0014416D"/>
    <w:rsid w:val="00146F6C"/>
    <w:rsid w:val="00147CBA"/>
    <w:rsid w:val="001515B2"/>
    <w:rsid w:val="00152097"/>
    <w:rsid w:val="00152246"/>
    <w:rsid w:val="00152A7B"/>
    <w:rsid w:val="00153E20"/>
    <w:rsid w:val="001543E9"/>
    <w:rsid w:val="00155D8E"/>
    <w:rsid w:val="00156A35"/>
    <w:rsid w:val="00156ADE"/>
    <w:rsid w:val="00157AAD"/>
    <w:rsid w:val="00160FC3"/>
    <w:rsid w:val="00161560"/>
    <w:rsid w:val="00161DAF"/>
    <w:rsid w:val="001628A1"/>
    <w:rsid w:val="0016308F"/>
    <w:rsid w:val="00164F53"/>
    <w:rsid w:val="00165782"/>
    <w:rsid w:val="001657D2"/>
    <w:rsid w:val="001665B8"/>
    <w:rsid w:val="00171B1B"/>
    <w:rsid w:val="00171CAB"/>
    <w:rsid w:val="00172EEC"/>
    <w:rsid w:val="0017326E"/>
    <w:rsid w:val="0017436A"/>
    <w:rsid w:val="001776F2"/>
    <w:rsid w:val="00180437"/>
    <w:rsid w:val="00180636"/>
    <w:rsid w:val="00182267"/>
    <w:rsid w:val="00182294"/>
    <w:rsid w:val="00184475"/>
    <w:rsid w:val="00184CFE"/>
    <w:rsid w:val="00186147"/>
    <w:rsid w:val="00186F76"/>
    <w:rsid w:val="00191653"/>
    <w:rsid w:val="00191967"/>
    <w:rsid w:val="00192F95"/>
    <w:rsid w:val="001954FF"/>
    <w:rsid w:val="0019569E"/>
    <w:rsid w:val="00196E82"/>
    <w:rsid w:val="00197543"/>
    <w:rsid w:val="001979E2"/>
    <w:rsid w:val="001A0429"/>
    <w:rsid w:val="001A0796"/>
    <w:rsid w:val="001A1E1C"/>
    <w:rsid w:val="001A2767"/>
    <w:rsid w:val="001A4A20"/>
    <w:rsid w:val="001A7CE7"/>
    <w:rsid w:val="001B28EE"/>
    <w:rsid w:val="001B2EA9"/>
    <w:rsid w:val="001B43EE"/>
    <w:rsid w:val="001B4778"/>
    <w:rsid w:val="001B552A"/>
    <w:rsid w:val="001B5644"/>
    <w:rsid w:val="001B588C"/>
    <w:rsid w:val="001B6B42"/>
    <w:rsid w:val="001C04BC"/>
    <w:rsid w:val="001C19B3"/>
    <w:rsid w:val="001C32AE"/>
    <w:rsid w:val="001C5E58"/>
    <w:rsid w:val="001C711C"/>
    <w:rsid w:val="001D04E6"/>
    <w:rsid w:val="001D134D"/>
    <w:rsid w:val="001D488D"/>
    <w:rsid w:val="001D4F85"/>
    <w:rsid w:val="001D71C5"/>
    <w:rsid w:val="001D762A"/>
    <w:rsid w:val="001E0CDD"/>
    <w:rsid w:val="001E257F"/>
    <w:rsid w:val="001E25BB"/>
    <w:rsid w:val="001E44AB"/>
    <w:rsid w:val="001E4EA8"/>
    <w:rsid w:val="001E4F54"/>
    <w:rsid w:val="001E7A97"/>
    <w:rsid w:val="001F40BD"/>
    <w:rsid w:val="001F52D7"/>
    <w:rsid w:val="001F60F9"/>
    <w:rsid w:val="001F7BC9"/>
    <w:rsid w:val="001F7FA7"/>
    <w:rsid w:val="00205D2B"/>
    <w:rsid w:val="00206675"/>
    <w:rsid w:val="002070AA"/>
    <w:rsid w:val="00211F6C"/>
    <w:rsid w:val="002126F8"/>
    <w:rsid w:val="00212F9C"/>
    <w:rsid w:val="00213568"/>
    <w:rsid w:val="002145F2"/>
    <w:rsid w:val="002148BB"/>
    <w:rsid w:val="002159DB"/>
    <w:rsid w:val="00221598"/>
    <w:rsid w:val="0022676C"/>
    <w:rsid w:val="00226C09"/>
    <w:rsid w:val="00227180"/>
    <w:rsid w:val="00230280"/>
    <w:rsid w:val="00230B52"/>
    <w:rsid w:val="00230E3E"/>
    <w:rsid w:val="00234273"/>
    <w:rsid w:val="00235034"/>
    <w:rsid w:val="002378A5"/>
    <w:rsid w:val="0024044D"/>
    <w:rsid w:val="00241869"/>
    <w:rsid w:val="00241960"/>
    <w:rsid w:val="00242359"/>
    <w:rsid w:val="00242F78"/>
    <w:rsid w:val="00245FF6"/>
    <w:rsid w:val="00250EFB"/>
    <w:rsid w:val="00252EA7"/>
    <w:rsid w:val="00252EAE"/>
    <w:rsid w:val="00256D0E"/>
    <w:rsid w:val="00260089"/>
    <w:rsid w:val="00261E8C"/>
    <w:rsid w:val="00264458"/>
    <w:rsid w:val="00274A07"/>
    <w:rsid w:val="00274AA6"/>
    <w:rsid w:val="00274AD9"/>
    <w:rsid w:val="00275AF8"/>
    <w:rsid w:val="00283DC9"/>
    <w:rsid w:val="002936C6"/>
    <w:rsid w:val="0029408A"/>
    <w:rsid w:val="00294741"/>
    <w:rsid w:val="00295045"/>
    <w:rsid w:val="002976CE"/>
    <w:rsid w:val="002A129E"/>
    <w:rsid w:val="002A35E6"/>
    <w:rsid w:val="002A3A6F"/>
    <w:rsid w:val="002A40DE"/>
    <w:rsid w:val="002A547A"/>
    <w:rsid w:val="002A5665"/>
    <w:rsid w:val="002A628B"/>
    <w:rsid w:val="002A7DAC"/>
    <w:rsid w:val="002B0B32"/>
    <w:rsid w:val="002B3A80"/>
    <w:rsid w:val="002B48E6"/>
    <w:rsid w:val="002B4945"/>
    <w:rsid w:val="002B502A"/>
    <w:rsid w:val="002B5C1C"/>
    <w:rsid w:val="002C143D"/>
    <w:rsid w:val="002C3B51"/>
    <w:rsid w:val="002C4F0B"/>
    <w:rsid w:val="002C53B6"/>
    <w:rsid w:val="002D2085"/>
    <w:rsid w:val="002D2B0B"/>
    <w:rsid w:val="002D5392"/>
    <w:rsid w:val="002E17A1"/>
    <w:rsid w:val="002E2C2C"/>
    <w:rsid w:val="002E4577"/>
    <w:rsid w:val="002E482C"/>
    <w:rsid w:val="002E63B1"/>
    <w:rsid w:val="002E6CCE"/>
    <w:rsid w:val="002E77D7"/>
    <w:rsid w:val="002F0226"/>
    <w:rsid w:val="002F5402"/>
    <w:rsid w:val="002F5DBC"/>
    <w:rsid w:val="003039B9"/>
    <w:rsid w:val="0030418C"/>
    <w:rsid w:val="003072A9"/>
    <w:rsid w:val="00307D41"/>
    <w:rsid w:val="00307EAC"/>
    <w:rsid w:val="00312D93"/>
    <w:rsid w:val="00313D8E"/>
    <w:rsid w:val="0031468E"/>
    <w:rsid w:val="00324AF8"/>
    <w:rsid w:val="00326D22"/>
    <w:rsid w:val="0033232C"/>
    <w:rsid w:val="0033251D"/>
    <w:rsid w:val="00333CE2"/>
    <w:rsid w:val="00336C57"/>
    <w:rsid w:val="00337E0F"/>
    <w:rsid w:val="00341AEB"/>
    <w:rsid w:val="003426C9"/>
    <w:rsid w:val="00342A5E"/>
    <w:rsid w:val="00344319"/>
    <w:rsid w:val="00345C1D"/>
    <w:rsid w:val="003478AF"/>
    <w:rsid w:val="00350B09"/>
    <w:rsid w:val="003516E9"/>
    <w:rsid w:val="003523A1"/>
    <w:rsid w:val="00352736"/>
    <w:rsid w:val="00355115"/>
    <w:rsid w:val="003558CD"/>
    <w:rsid w:val="00356B57"/>
    <w:rsid w:val="0036067A"/>
    <w:rsid w:val="003611C3"/>
    <w:rsid w:val="00362134"/>
    <w:rsid w:val="00362864"/>
    <w:rsid w:val="00363CDF"/>
    <w:rsid w:val="0036569D"/>
    <w:rsid w:val="00365EE8"/>
    <w:rsid w:val="00373298"/>
    <w:rsid w:val="00373EEF"/>
    <w:rsid w:val="003749F8"/>
    <w:rsid w:val="003749FE"/>
    <w:rsid w:val="0037663F"/>
    <w:rsid w:val="00377B51"/>
    <w:rsid w:val="00382138"/>
    <w:rsid w:val="00382825"/>
    <w:rsid w:val="00383C0E"/>
    <w:rsid w:val="0038737A"/>
    <w:rsid w:val="00392E88"/>
    <w:rsid w:val="00395928"/>
    <w:rsid w:val="003A2F20"/>
    <w:rsid w:val="003A3BA9"/>
    <w:rsid w:val="003A40C2"/>
    <w:rsid w:val="003A5255"/>
    <w:rsid w:val="003A7A16"/>
    <w:rsid w:val="003B02CF"/>
    <w:rsid w:val="003B449F"/>
    <w:rsid w:val="003B5892"/>
    <w:rsid w:val="003C0470"/>
    <w:rsid w:val="003C1BD7"/>
    <w:rsid w:val="003C4233"/>
    <w:rsid w:val="003C69D9"/>
    <w:rsid w:val="003C6C55"/>
    <w:rsid w:val="003C71E9"/>
    <w:rsid w:val="003C7487"/>
    <w:rsid w:val="003C76FC"/>
    <w:rsid w:val="003D01A9"/>
    <w:rsid w:val="003D05B1"/>
    <w:rsid w:val="003D0608"/>
    <w:rsid w:val="003D0B84"/>
    <w:rsid w:val="003D2A54"/>
    <w:rsid w:val="003D33BE"/>
    <w:rsid w:val="003D4096"/>
    <w:rsid w:val="003D5F4E"/>
    <w:rsid w:val="003D6BC1"/>
    <w:rsid w:val="003D7908"/>
    <w:rsid w:val="003E05D1"/>
    <w:rsid w:val="003E171A"/>
    <w:rsid w:val="003E339C"/>
    <w:rsid w:val="003E7B06"/>
    <w:rsid w:val="003F026E"/>
    <w:rsid w:val="003F0864"/>
    <w:rsid w:val="003F185E"/>
    <w:rsid w:val="003F2652"/>
    <w:rsid w:val="003F4272"/>
    <w:rsid w:val="003F477B"/>
    <w:rsid w:val="003F6CBC"/>
    <w:rsid w:val="00403A82"/>
    <w:rsid w:val="00404071"/>
    <w:rsid w:val="00404D91"/>
    <w:rsid w:val="00405E59"/>
    <w:rsid w:val="00406433"/>
    <w:rsid w:val="00406CFD"/>
    <w:rsid w:val="0040702D"/>
    <w:rsid w:val="0041073B"/>
    <w:rsid w:val="00411587"/>
    <w:rsid w:val="00414AD9"/>
    <w:rsid w:val="00415FEA"/>
    <w:rsid w:val="00421EBD"/>
    <w:rsid w:val="00424AC8"/>
    <w:rsid w:val="00425695"/>
    <w:rsid w:val="00426327"/>
    <w:rsid w:val="00430C78"/>
    <w:rsid w:val="00430EE2"/>
    <w:rsid w:val="00431F5C"/>
    <w:rsid w:val="00432C30"/>
    <w:rsid w:val="00432EA2"/>
    <w:rsid w:val="00433D04"/>
    <w:rsid w:val="004341C2"/>
    <w:rsid w:val="00434F8E"/>
    <w:rsid w:val="00436D16"/>
    <w:rsid w:val="00441A71"/>
    <w:rsid w:val="0044249D"/>
    <w:rsid w:val="00442F72"/>
    <w:rsid w:val="0044553C"/>
    <w:rsid w:val="00455F85"/>
    <w:rsid w:val="00457015"/>
    <w:rsid w:val="0046066C"/>
    <w:rsid w:val="0046528B"/>
    <w:rsid w:val="00466A65"/>
    <w:rsid w:val="00470518"/>
    <w:rsid w:val="00470743"/>
    <w:rsid w:val="00474C83"/>
    <w:rsid w:val="004766B2"/>
    <w:rsid w:val="00477401"/>
    <w:rsid w:val="00477A66"/>
    <w:rsid w:val="00480A57"/>
    <w:rsid w:val="00483B30"/>
    <w:rsid w:val="004857F2"/>
    <w:rsid w:val="00490626"/>
    <w:rsid w:val="0049134A"/>
    <w:rsid w:val="004926A0"/>
    <w:rsid w:val="00494E79"/>
    <w:rsid w:val="00495D60"/>
    <w:rsid w:val="00496D73"/>
    <w:rsid w:val="004970C8"/>
    <w:rsid w:val="004978C3"/>
    <w:rsid w:val="004A07C4"/>
    <w:rsid w:val="004A1CF9"/>
    <w:rsid w:val="004A1EF6"/>
    <w:rsid w:val="004A3737"/>
    <w:rsid w:val="004A3B87"/>
    <w:rsid w:val="004A3F45"/>
    <w:rsid w:val="004A409D"/>
    <w:rsid w:val="004A4364"/>
    <w:rsid w:val="004A498A"/>
    <w:rsid w:val="004A56D8"/>
    <w:rsid w:val="004A6B93"/>
    <w:rsid w:val="004A71B7"/>
    <w:rsid w:val="004B0225"/>
    <w:rsid w:val="004B2EF9"/>
    <w:rsid w:val="004B4126"/>
    <w:rsid w:val="004C0DD1"/>
    <w:rsid w:val="004C188C"/>
    <w:rsid w:val="004C1E9A"/>
    <w:rsid w:val="004C3B84"/>
    <w:rsid w:val="004C3F84"/>
    <w:rsid w:val="004C51D7"/>
    <w:rsid w:val="004C658C"/>
    <w:rsid w:val="004C6B06"/>
    <w:rsid w:val="004D1377"/>
    <w:rsid w:val="004D173D"/>
    <w:rsid w:val="004D1A11"/>
    <w:rsid w:val="004D2480"/>
    <w:rsid w:val="004D28C0"/>
    <w:rsid w:val="004D2B2F"/>
    <w:rsid w:val="004D67A4"/>
    <w:rsid w:val="004D6D21"/>
    <w:rsid w:val="004E0B9F"/>
    <w:rsid w:val="004E3004"/>
    <w:rsid w:val="004E3056"/>
    <w:rsid w:val="004E3487"/>
    <w:rsid w:val="004E4012"/>
    <w:rsid w:val="004E6CDD"/>
    <w:rsid w:val="004F18C9"/>
    <w:rsid w:val="004F2B93"/>
    <w:rsid w:val="004F2C8F"/>
    <w:rsid w:val="004F41DB"/>
    <w:rsid w:val="004F70F7"/>
    <w:rsid w:val="00501BD9"/>
    <w:rsid w:val="005034CE"/>
    <w:rsid w:val="00504028"/>
    <w:rsid w:val="00505761"/>
    <w:rsid w:val="00506995"/>
    <w:rsid w:val="00507A6F"/>
    <w:rsid w:val="005101E8"/>
    <w:rsid w:val="00510A02"/>
    <w:rsid w:val="00511139"/>
    <w:rsid w:val="00513A34"/>
    <w:rsid w:val="00514F2B"/>
    <w:rsid w:val="00517528"/>
    <w:rsid w:val="005208BC"/>
    <w:rsid w:val="00520C1B"/>
    <w:rsid w:val="00522B91"/>
    <w:rsid w:val="00522DCF"/>
    <w:rsid w:val="00522EE6"/>
    <w:rsid w:val="00523628"/>
    <w:rsid w:val="00523A0B"/>
    <w:rsid w:val="005261FB"/>
    <w:rsid w:val="005266C1"/>
    <w:rsid w:val="0053215F"/>
    <w:rsid w:val="0053415B"/>
    <w:rsid w:val="00535873"/>
    <w:rsid w:val="005362FC"/>
    <w:rsid w:val="00537275"/>
    <w:rsid w:val="00537B74"/>
    <w:rsid w:val="00537F68"/>
    <w:rsid w:val="00540342"/>
    <w:rsid w:val="005407E4"/>
    <w:rsid w:val="0054092A"/>
    <w:rsid w:val="00540F50"/>
    <w:rsid w:val="00542FCC"/>
    <w:rsid w:val="00550639"/>
    <w:rsid w:val="00550935"/>
    <w:rsid w:val="00552649"/>
    <w:rsid w:val="00554245"/>
    <w:rsid w:val="00556053"/>
    <w:rsid w:val="005604D1"/>
    <w:rsid w:val="00562B18"/>
    <w:rsid w:val="00563177"/>
    <w:rsid w:val="005634B9"/>
    <w:rsid w:val="00563638"/>
    <w:rsid w:val="00565D4C"/>
    <w:rsid w:val="00566807"/>
    <w:rsid w:val="00566C1F"/>
    <w:rsid w:val="005675F4"/>
    <w:rsid w:val="005700AC"/>
    <w:rsid w:val="00571BDB"/>
    <w:rsid w:val="00571CD3"/>
    <w:rsid w:val="00572831"/>
    <w:rsid w:val="00574016"/>
    <w:rsid w:val="00574252"/>
    <w:rsid w:val="0057564C"/>
    <w:rsid w:val="00575728"/>
    <w:rsid w:val="00575E6B"/>
    <w:rsid w:val="005762FE"/>
    <w:rsid w:val="0057664F"/>
    <w:rsid w:val="00577510"/>
    <w:rsid w:val="005776B5"/>
    <w:rsid w:val="005776C5"/>
    <w:rsid w:val="00577F7C"/>
    <w:rsid w:val="0058004F"/>
    <w:rsid w:val="00580977"/>
    <w:rsid w:val="005813C6"/>
    <w:rsid w:val="00581449"/>
    <w:rsid w:val="00581688"/>
    <w:rsid w:val="00581777"/>
    <w:rsid w:val="00584456"/>
    <w:rsid w:val="005860C1"/>
    <w:rsid w:val="005908C0"/>
    <w:rsid w:val="005946D0"/>
    <w:rsid w:val="00595141"/>
    <w:rsid w:val="005A10E3"/>
    <w:rsid w:val="005A2FC2"/>
    <w:rsid w:val="005A6A13"/>
    <w:rsid w:val="005A7D4D"/>
    <w:rsid w:val="005B3615"/>
    <w:rsid w:val="005B5370"/>
    <w:rsid w:val="005C0E0E"/>
    <w:rsid w:val="005C16E1"/>
    <w:rsid w:val="005C42FE"/>
    <w:rsid w:val="005D1729"/>
    <w:rsid w:val="005D241E"/>
    <w:rsid w:val="005D2BB6"/>
    <w:rsid w:val="005D309E"/>
    <w:rsid w:val="005D3425"/>
    <w:rsid w:val="005D43FF"/>
    <w:rsid w:val="005D5583"/>
    <w:rsid w:val="005D5E82"/>
    <w:rsid w:val="005D63FA"/>
    <w:rsid w:val="005D6F7D"/>
    <w:rsid w:val="005E4BC9"/>
    <w:rsid w:val="005E5A3B"/>
    <w:rsid w:val="005E630F"/>
    <w:rsid w:val="005E7B9D"/>
    <w:rsid w:val="005F041D"/>
    <w:rsid w:val="005F097C"/>
    <w:rsid w:val="005F170E"/>
    <w:rsid w:val="005F3322"/>
    <w:rsid w:val="005F4B6C"/>
    <w:rsid w:val="005F5BF4"/>
    <w:rsid w:val="005F6FEC"/>
    <w:rsid w:val="005F7047"/>
    <w:rsid w:val="005F7FEF"/>
    <w:rsid w:val="00604AFF"/>
    <w:rsid w:val="00605C8F"/>
    <w:rsid w:val="0060619D"/>
    <w:rsid w:val="006064B5"/>
    <w:rsid w:val="00607287"/>
    <w:rsid w:val="006075BE"/>
    <w:rsid w:val="00610A50"/>
    <w:rsid w:val="00612794"/>
    <w:rsid w:val="006143E2"/>
    <w:rsid w:val="0061512A"/>
    <w:rsid w:val="00617F99"/>
    <w:rsid w:val="0062395A"/>
    <w:rsid w:val="00623C95"/>
    <w:rsid w:val="00624A94"/>
    <w:rsid w:val="00625E12"/>
    <w:rsid w:val="006265FB"/>
    <w:rsid w:val="00626EBF"/>
    <w:rsid w:val="00635589"/>
    <w:rsid w:val="00635B69"/>
    <w:rsid w:val="00637AB7"/>
    <w:rsid w:val="006423F8"/>
    <w:rsid w:val="0064271E"/>
    <w:rsid w:val="00642EA5"/>
    <w:rsid w:val="00644E64"/>
    <w:rsid w:val="00647B3A"/>
    <w:rsid w:val="006503FF"/>
    <w:rsid w:val="00651F0B"/>
    <w:rsid w:val="0065346F"/>
    <w:rsid w:val="00654640"/>
    <w:rsid w:val="0065473C"/>
    <w:rsid w:val="006571F4"/>
    <w:rsid w:val="00657967"/>
    <w:rsid w:val="00660542"/>
    <w:rsid w:val="00660670"/>
    <w:rsid w:val="0066150C"/>
    <w:rsid w:val="00664255"/>
    <w:rsid w:val="006669A3"/>
    <w:rsid w:val="00667249"/>
    <w:rsid w:val="00667688"/>
    <w:rsid w:val="006702B8"/>
    <w:rsid w:val="006703CB"/>
    <w:rsid w:val="006703D9"/>
    <w:rsid w:val="00670F76"/>
    <w:rsid w:val="00671DF4"/>
    <w:rsid w:val="0067270D"/>
    <w:rsid w:val="00673A06"/>
    <w:rsid w:val="006759C0"/>
    <w:rsid w:val="00675EE6"/>
    <w:rsid w:val="00677FF9"/>
    <w:rsid w:val="00682F00"/>
    <w:rsid w:val="00686864"/>
    <w:rsid w:val="00690D8B"/>
    <w:rsid w:val="006920ED"/>
    <w:rsid w:val="00695276"/>
    <w:rsid w:val="00695AC6"/>
    <w:rsid w:val="006A1380"/>
    <w:rsid w:val="006A1568"/>
    <w:rsid w:val="006A3557"/>
    <w:rsid w:val="006A5A4F"/>
    <w:rsid w:val="006A6BD7"/>
    <w:rsid w:val="006A7DA7"/>
    <w:rsid w:val="006B029A"/>
    <w:rsid w:val="006B1B15"/>
    <w:rsid w:val="006B2939"/>
    <w:rsid w:val="006B2FF7"/>
    <w:rsid w:val="006B47DE"/>
    <w:rsid w:val="006B67CB"/>
    <w:rsid w:val="006C068A"/>
    <w:rsid w:val="006C0BC2"/>
    <w:rsid w:val="006C3B1B"/>
    <w:rsid w:val="006D451A"/>
    <w:rsid w:val="006D78F6"/>
    <w:rsid w:val="006E200B"/>
    <w:rsid w:val="006E42C6"/>
    <w:rsid w:val="006E5CF1"/>
    <w:rsid w:val="006E5E7C"/>
    <w:rsid w:val="006E6EB5"/>
    <w:rsid w:val="006E7E0A"/>
    <w:rsid w:val="006F011B"/>
    <w:rsid w:val="006F18A6"/>
    <w:rsid w:val="006F2321"/>
    <w:rsid w:val="006F271E"/>
    <w:rsid w:val="006F2B4C"/>
    <w:rsid w:val="006F354B"/>
    <w:rsid w:val="006F4314"/>
    <w:rsid w:val="006F6BEE"/>
    <w:rsid w:val="006F7117"/>
    <w:rsid w:val="0070132F"/>
    <w:rsid w:val="00701432"/>
    <w:rsid w:val="007015AF"/>
    <w:rsid w:val="007017DD"/>
    <w:rsid w:val="00701CF7"/>
    <w:rsid w:val="00701DC2"/>
    <w:rsid w:val="00702765"/>
    <w:rsid w:val="00703149"/>
    <w:rsid w:val="00703C4C"/>
    <w:rsid w:val="00712280"/>
    <w:rsid w:val="007146DB"/>
    <w:rsid w:val="00715A14"/>
    <w:rsid w:val="00715AB0"/>
    <w:rsid w:val="00722F5F"/>
    <w:rsid w:val="00731709"/>
    <w:rsid w:val="00731D48"/>
    <w:rsid w:val="007347EE"/>
    <w:rsid w:val="00735432"/>
    <w:rsid w:val="007372D8"/>
    <w:rsid w:val="0073795E"/>
    <w:rsid w:val="007406A2"/>
    <w:rsid w:val="007418B1"/>
    <w:rsid w:val="007441DB"/>
    <w:rsid w:val="00744787"/>
    <w:rsid w:val="00746EB4"/>
    <w:rsid w:val="007472A6"/>
    <w:rsid w:val="0074733F"/>
    <w:rsid w:val="00750C14"/>
    <w:rsid w:val="007513CE"/>
    <w:rsid w:val="00756015"/>
    <w:rsid w:val="007565A5"/>
    <w:rsid w:val="007567C7"/>
    <w:rsid w:val="00761485"/>
    <w:rsid w:val="00763F08"/>
    <w:rsid w:val="0076461B"/>
    <w:rsid w:val="00764AA7"/>
    <w:rsid w:val="00766705"/>
    <w:rsid w:val="00766ACC"/>
    <w:rsid w:val="00766F60"/>
    <w:rsid w:val="00767098"/>
    <w:rsid w:val="007748A6"/>
    <w:rsid w:val="007810A3"/>
    <w:rsid w:val="00783842"/>
    <w:rsid w:val="007861AF"/>
    <w:rsid w:val="00786228"/>
    <w:rsid w:val="007903D0"/>
    <w:rsid w:val="00792ABA"/>
    <w:rsid w:val="00792E88"/>
    <w:rsid w:val="00794876"/>
    <w:rsid w:val="00795C5E"/>
    <w:rsid w:val="00795E89"/>
    <w:rsid w:val="007A01D0"/>
    <w:rsid w:val="007A0AE3"/>
    <w:rsid w:val="007A2610"/>
    <w:rsid w:val="007A268D"/>
    <w:rsid w:val="007A2CBD"/>
    <w:rsid w:val="007A3FF9"/>
    <w:rsid w:val="007A49B5"/>
    <w:rsid w:val="007B1201"/>
    <w:rsid w:val="007B1D30"/>
    <w:rsid w:val="007B22AB"/>
    <w:rsid w:val="007B2C2A"/>
    <w:rsid w:val="007B37FF"/>
    <w:rsid w:val="007B3EC1"/>
    <w:rsid w:val="007B4A36"/>
    <w:rsid w:val="007B779B"/>
    <w:rsid w:val="007C02EB"/>
    <w:rsid w:val="007C0952"/>
    <w:rsid w:val="007C1A42"/>
    <w:rsid w:val="007C601E"/>
    <w:rsid w:val="007C658F"/>
    <w:rsid w:val="007C65C7"/>
    <w:rsid w:val="007C70CA"/>
    <w:rsid w:val="007C73E6"/>
    <w:rsid w:val="007C7AD0"/>
    <w:rsid w:val="007D0091"/>
    <w:rsid w:val="007D0B4A"/>
    <w:rsid w:val="007D1E93"/>
    <w:rsid w:val="007D2B8C"/>
    <w:rsid w:val="007D2E20"/>
    <w:rsid w:val="007E0066"/>
    <w:rsid w:val="007E102D"/>
    <w:rsid w:val="007E2B8B"/>
    <w:rsid w:val="007E33CE"/>
    <w:rsid w:val="007E39F1"/>
    <w:rsid w:val="007E3E1B"/>
    <w:rsid w:val="007E56E2"/>
    <w:rsid w:val="007F0132"/>
    <w:rsid w:val="007F2429"/>
    <w:rsid w:val="007F5EFE"/>
    <w:rsid w:val="007F681A"/>
    <w:rsid w:val="007F7EC1"/>
    <w:rsid w:val="0080003A"/>
    <w:rsid w:val="0080146D"/>
    <w:rsid w:val="0080333E"/>
    <w:rsid w:val="00803F20"/>
    <w:rsid w:val="008046DF"/>
    <w:rsid w:val="00806A22"/>
    <w:rsid w:val="00807B6A"/>
    <w:rsid w:val="00813BF8"/>
    <w:rsid w:val="008213AB"/>
    <w:rsid w:val="0082508D"/>
    <w:rsid w:val="00826803"/>
    <w:rsid w:val="00827AB9"/>
    <w:rsid w:val="00827ABF"/>
    <w:rsid w:val="008301F3"/>
    <w:rsid w:val="00830E84"/>
    <w:rsid w:val="00831948"/>
    <w:rsid w:val="00832E36"/>
    <w:rsid w:val="00834C88"/>
    <w:rsid w:val="00836679"/>
    <w:rsid w:val="0084015F"/>
    <w:rsid w:val="00840ED4"/>
    <w:rsid w:val="0084245A"/>
    <w:rsid w:val="00844CDE"/>
    <w:rsid w:val="008466CB"/>
    <w:rsid w:val="00850B2E"/>
    <w:rsid w:val="008510C4"/>
    <w:rsid w:val="00856490"/>
    <w:rsid w:val="0086045C"/>
    <w:rsid w:val="00862AE9"/>
    <w:rsid w:val="00863306"/>
    <w:rsid w:val="00864214"/>
    <w:rsid w:val="00865A4D"/>
    <w:rsid w:val="008678AE"/>
    <w:rsid w:val="00872F41"/>
    <w:rsid w:val="00874C20"/>
    <w:rsid w:val="00875B40"/>
    <w:rsid w:val="00876E37"/>
    <w:rsid w:val="008770F6"/>
    <w:rsid w:val="00877542"/>
    <w:rsid w:val="00880C71"/>
    <w:rsid w:val="00881334"/>
    <w:rsid w:val="00881623"/>
    <w:rsid w:val="00885BD8"/>
    <w:rsid w:val="008866E3"/>
    <w:rsid w:val="008867B5"/>
    <w:rsid w:val="00886889"/>
    <w:rsid w:val="00886E20"/>
    <w:rsid w:val="008905D1"/>
    <w:rsid w:val="00890733"/>
    <w:rsid w:val="00890755"/>
    <w:rsid w:val="00892BC3"/>
    <w:rsid w:val="00894356"/>
    <w:rsid w:val="00894760"/>
    <w:rsid w:val="0089599E"/>
    <w:rsid w:val="0089655F"/>
    <w:rsid w:val="008A2090"/>
    <w:rsid w:val="008A2650"/>
    <w:rsid w:val="008A4D28"/>
    <w:rsid w:val="008A5A47"/>
    <w:rsid w:val="008A6D27"/>
    <w:rsid w:val="008A6FC5"/>
    <w:rsid w:val="008A7442"/>
    <w:rsid w:val="008A79E9"/>
    <w:rsid w:val="008A7DF2"/>
    <w:rsid w:val="008B0E64"/>
    <w:rsid w:val="008B151D"/>
    <w:rsid w:val="008B2366"/>
    <w:rsid w:val="008B57F8"/>
    <w:rsid w:val="008C5562"/>
    <w:rsid w:val="008C56E4"/>
    <w:rsid w:val="008C6716"/>
    <w:rsid w:val="008D0444"/>
    <w:rsid w:val="008D239F"/>
    <w:rsid w:val="008D2C2A"/>
    <w:rsid w:val="008D4BD3"/>
    <w:rsid w:val="008D4E50"/>
    <w:rsid w:val="008E11B2"/>
    <w:rsid w:val="008E13D9"/>
    <w:rsid w:val="008E295B"/>
    <w:rsid w:val="008E626B"/>
    <w:rsid w:val="008E694C"/>
    <w:rsid w:val="008E7DDB"/>
    <w:rsid w:val="008F0E3F"/>
    <w:rsid w:val="008F1254"/>
    <w:rsid w:val="008F1E9D"/>
    <w:rsid w:val="008F5A8B"/>
    <w:rsid w:val="008F6217"/>
    <w:rsid w:val="008F6715"/>
    <w:rsid w:val="009004D1"/>
    <w:rsid w:val="00901540"/>
    <w:rsid w:val="00902506"/>
    <w:rsid w:val="009035DA"/>
    <w:rsid w:val="009060B9"/>
    <w:rsid w:val="009068FC"/>
    <w:rsid w:val="00906E01"/>
    <w:rsid w:val="009071EB"/>
    <w:rsid w:val="00910C0A"/>
    <w:rsid w:val="009117F7"/>
    <w:rsid w:val="00913D55"/>
    <w:rsid w:val="00914716"/>
    <w:rsid w:val="00915BDA"/>
    <w:rsid w:val="00916230"/>
    <w:rsid w:val="00917157"/>
    <w:rsid w:val="00921665"/>
    <w:rsid w:val="00923F9B"/>
    <w:rsid w:val="009254EF"/>
    <w:rsid w:val="00926747"/>
    <w:rsid w:val="00933ADC"/>
    <w:rsid w:val="00935D82"/>
    <w:rsid w:val="00937224"/>
    <w:rsid w:val="00937268"/>
    <w:rsid w:val="00937DB0"/>
    <w:rsid w:val="00943276"/>
    <w:rsid w:val="00943A21"/>
    <w:rsid w:val="00944221"/>
    <w:rsid w:val="009450AA"/>
    <w:rsid w:val="009458E5"/>
    <w:rsid w:val="00947E86"/>
    <w:rsid w:val="00951B2F"/>
    <w:rsid w:val="009555B7"/>
    <w:rsid w:val="0095655C"/>
    <w:rsid w:val="00957D6C"/>
    <w:rsid w:val="00960E9F"/>
    <w:rsid w:val="009637B8"/>
    <w:rsid w:val="00970F71"/>
    <w:rsid w:val="00972BA1"/>
    <w:rsid w:val="009732B0"/>
    <w:rsid w:val="009761DC"/>
    <w:rsid w:val="00982095"/>
    <w:rsid w:val="00983ABB"/>
    <w:rsid w:val="00983BCC"/>
    <w:rsid w:val="00983FBE"/>
    <w:rsid w:val="0098491E"/>
    <w:rsid w:val="00985D18"/>
    <w:rsid w:val="00985FDE"/>
    <w:rsid w:val="009869D3"/>
    <w:rsid w:val="00990566"/>
    <w:rsid w:val="00991324"/>
    <w:rsid w:val="009918EF"/>
    <w:rsid w:val="00991A81"/>
    <w:rsid w:val="0099241F"/>
    <w:rsid w:val="00993889"/>
    <w:rsid w:val="009A13B6"/>
    <w:rsid w:val="009A1E88"/>
    <w:rsid w:val="009A3338"/>
    <w:rsid w:val="009A41B7"/>
    <w:rsid w:val="009A4425"/>
    <w:rsid w:val="009A4989"/>
    <w:rsid w:val="009A5A6E"/>
    <w:rsid w:val="009A63A0"/>
    <w:rsid w:val="009B0526"/>
    <w:rsid w:val="009B053D"/>
    <w:rsid w:val="009B113E"/>
    <w:rsid w:val="009B152E"/>
    <w:rsid w:val="009B2C87"/>
    <w:rsid w:val="009B3DA9"/>
    <w:rsid w:val="009B556E"/>
    <w:rsid w:val="009B5884"/>
    <w:rsid w:val="009C0E70"/>
    <w:rsid w:val="009C1AA1"/>
    <w:rsid w:val="009C5BBF"/>
    <w:rsid w:val="009C6C75"/>
    <w:rsid w:val="009C7B89"/>
    <w:rsid w:val="009C7DD3"/>
    <w:rsid w:val="009D0AD1"/>
    <w:rsid w:val="009D6AD5"/>
    <w:rsid w:val="009D7D87"/>
    <w:rsid w:val="009D7F64"/>
    <w:rsid w:val="009E0D44"/>
    <w:rsid w:val="009E1591"/>
    <w:rsid w:val="009E2533"/>
    <w:rsid w:val="009E4867"/>
    <w:rsid w:val="009E495C"/>
    <w:rsid w:val="009E5D94"/>
    <w:rsid w:val="009F2B7B"/>
    <w:rsid w:val="009F2DF9"/>
    <w:rsid w:val="009F44A0"/>
    <w:rsid w:val="009F5B68"/>
    <w:rsid w:val="009F6FA9"/>
    <w:rsid w:val="00A0017E"/>
    <w:rsid w:val="00A015D1"/>
    <w:rsid w:val="00A020DA"/>
    <w:rsid w:val="00A03BC4"/>
    <w:rsid w:val="00A06799"/>
    <w:rsid w:val="00A12AC9"/>
    <w:rsid w:val="00A12BAD"/>
    <w:rsid w:val="00A2203F"/>
    <w:rsid w:val="00A22396"/>
    <w:rsid w:val="00A22498"/>
    <w:rsid w:val="00A2421E"/>
    <w:rsid w:val="00A26197"/>
    <w:rsid w:val="00A26494"/>
    <w:rsid w:val="00A26DB5"/>
    <w:rsid w:val="00A27309"/>
    <w:rsid w:val="00A31674"/>
    <w:rsid w:val="00A3215F"/>
    <w:rsid w:val="00A35775"/>
    <w:rsid w:val="00A373AD"/>
    <w:rsid w:val="00A40D25"/>
    <w:rsid w:val="00A461B4"/>
    <w:rsid w:val="00A4696B"/>
    <w:rsid w:val="00A46C3C"/>
    <w:rsid w:val="00A47CB1"/>
    <w:rsid w:val="00A47E12"/>
    <w:rsid w:val="00A52F7E"/>
    <w:rsid w:val="00A564B3"/>
    <w:rsid w:val="00A56776"/>
    <w:rsid w:val="00A568DF"/>
    <w:rsid w:val="00A56D58"/>
    <w:rsid w:val="00A64249"/>
    <w:rsid w:val="00A6427E"/>
    <w:rsid w:val="00A6433B"/>
    <w:rsid w:val="00A666FD"/>
    <w:rsid w:val="00A673C1"/>
    <w:rsid w:val="00A71726"/>
    <w:rsid w:val="00A71F79"/>
    <w:rsid w:val="00A72A92"/>
    <w:rsid w:val="00A74150"/>
    <w:rsid w:val="00A81B1A"/>
    <w:rsid w:val="00A81EC0"/>
    <w:rsid w:val="00A84B93"/>
    <w:rsid w:val="00A87634"/>
    <w:rsid w:val="00A91320"/>
    <w:rsid w:val="00A91E09"/>
    <w:rsid w:val="00A96367"/>
    <w:rsid w:val="00A96E2D"/>
    <w:rsid w:val="00AA3F96"/>
    <w:rsid w:val="00AA564A"/>
    <w:rsid w:val="00AA6677"/>
    <w:rsid w:val="00AB0650"/>
    <w:rsid w:val="00AB0E12"/>
    <w:rsid w:val="00AB102F"/>
    <w:rsid w:val="00AB20B3"/>
    <w:rsid w:val="00AB2E5B"/>
    <w:rsid w:val="00AB2EBC"/>
    <w:rsid w:val="00AB31D3"/>
    <w:rsid w:val="00AB415C"/>
    <w:rsid w:val="00AB4342"/>
    <w:rsid w:val="00AB49F1"/>
    <w:rsid w:val="00AB62DF"/>
    <w:rsid w:val="00AB7F8A"/>
    <w:rsid w:val="00AC080A"/>
    <w:rsid w:val="00AC1DFC"/>
    <w:rsid w:val="00AC2497"/>
    <w:rsid w:val="00AC64BE"/>
    <w:rsid w:val="00AC6782"/>
    <w:rsid w:val="00AD0C65"/>
    <w:rsid w:val="00AD2F97"/>
    <w:rsid w:val="00AD714A"/>
    <w:rsid w:val="00AE32C2"/>
    <w:rsid w:val="00AE3476"/>
    <w:rsid w:val="00AE3CE4"/>
    <w:rsid w:val="00AE4ECD"/>
    <w:rsid w:val="00AE5040"/>
    <w:rsid w:val="00AE53BD"/>
    <w:rsid w:val="00AE638A"/>
    <w:rsid w:val="00AE7434"/>
    <w:rsid w:val="00AE7445"/>
    <w:rsid w:val="00AE7EAA"/>
    <w:rsid w:val="00AF303D"/>
    <w:rsid w:val="00AF3400"/>
    <w:rsid w:val="00AF3784"/>
    <w:rsid w:val="00AF55E9"/>
    <w:rsid w:val="00AF7005"/>
    <w:rsid w:val="00B01A8A"/>
    <w:rsid w:val="00B03D58"/>
    <w:rsid w:val="00B05312"/>
    <w:rsid w:val="00B061F9"/>
    <w:rsid w:val="00B10FAC"/>
    <w:rsid w:val="00B11430"/>
    <w:rsid w:val="00B204C4"/>
    <w:rsid w:val="00B21B10"/>
    <w:rsid w:val="00B228C5"/>
    <w:rsid w:val="00B22EE6"/>
    <w:rsid w:val="00B232CF"/>
    <w:rsid w:val="00B233E5"/>
    <w:rsid w:val="00B23D3A"/>
    <w:rsid w:val="00B2401F"/>
    <w:rsid w:val="00B256BF"/>
    <w:rsid w:val="00B26B6D"/>
    <w:rsid w:val="00B34E28"/>
    <w:rsid w:val="00B35D2A"/>
    <w:rsid w:val="00B366E3"/>
    <w:rsid w:val="00B41C19"/>
    <w:rsid w:val="00B41EA6"/>
    <w:rsid w:val="00B46BC2"/>
    <w:rsid w:val="00B506E4"/>
    <w:rsid w:val="00B5072A"/>
    <w:rsid w:val="00B51C19"/>
    <w:rsid w:val="00B526C6"/>
    <w:rsid w:val="00B54B98"/>
    <w:rsid w:val="00B57E7B"/>
    <w:rsid w:val="00B623B3"/>
    <w:rsid w:val="00B66BFA"/>
    <w:rsid w:val="00B7006C"/>
    <w:rsid w:val="00B71B14"/>
    <w:rsid w:val="00B7274B"/>
    <w:rsid w:val="00B7420F"/>
    <w:rsid w:val="00B75E78"/>
    <w:rsid w:val="00B76EDB"/>
    <w:rsid w:val="00B7728E"/>
    <w:rsid w:val="00B81B36"/>
    <w:rsid w:val="00B8467D"/>
    <w:rsid w:val="00B84914"/>
    <w:rsid w:val="00B8589D"/>
    <w:rsid w:val="00B86C22"/>
    <w:rsid w:val="00B87AD6"/>
    <w:rsid w:val="00B93D64"/>
    <w:rsid w:val="00B94E31"/>
    <w:rsid w:val="00BA13FD"/>
    <w:rsid w:val="00BA1806"/>
    <w:rsid w:val="00BA1FEA"/>
    <w:rsid w:val="00BA68AD"/>
    <w:rsid w:val="00BA72AF"/>
    <w:rsid w:val="00BA7488"/>
    <w:rsid w:val="00BA7BA9"/>
    <w:rsid w:val="00BB0BB8"/>
    <w:rsid w:val="00BB14D9"/>
    <w:rsid w:val="00BB3C9C"/>
    <w:rsid w:val="00BB5E86"/>
    <w:rsid w:val="00BB6A68"/>
    <w:rsid w:val="00BC27E2"/>
    <w:rsid w:val="00BC464A"/>
    <w:rsid w:val="00BC5822"/>
    <w:rsid w:val="00BD101D"/>
    <w:rsid w:val="00BD1089"/>
    <w:rsid w:val="00BD13BB"/>
    <w:rsid w:val="00BD3639"/>
    <w:rsid w:val="00BD4C63"/>
    <w:rsid w:val="00BD7262"/>
    <w:rsid w:val="00BD76AD"/>
    <w:rsid w:val="00BD7A29"/>
    <w:rsid w:val="00BE015E"/>
    <w:rsid w:val="00BE0599"/>
    <w:rsid w:val="00BE484F"/>
    <w:rsid w:val="00BE542B"/>
    <w:rsid w:val="00BE5E6F"/>
    <w:rsid w:val="00BE72BF"/>
    <w:rsid w:val="00BF01CC"/>
    <w:rsid w:val="00BF0C0B"/>
    <w:rsid w:val="00BF2E89"/>
    <w:rsid w:val="00BF31DC"/>
    <w:rsid w:val="00BF4123"/>
    <w:rsid w:val="00BF7558"/>
    <w:rsid w:val="00C05CC7"/>
    <w:rsid w:val="00C10D98"/>
    <w:rsid w:val="00C15523"/>
    <w:rsid w:val="00C15C11"/>
    <w:rsid w:val="00C15C94"/>
    <w:rsid w:val="00C163D4"/>
    <w:rsid w:val="00C1657F"/>
    <w:rsid w:val="00C16869"/>
    <w:rsid w:val="00C16F05"/>
    <w:rsid w:val="00C17C64"/>
    <w:rsid w:val="00C200D1"/>
    <w:rsid w:val="00C23859"/>
    <w:rsid w:val="00C243D2"/>
    <w:rsid w:val="00C24E39"/>
    <w:rsid w:val="00C2597F"/>
    <w:rsid w:val="00C2609A"/>
    <w:rsid w:val="00C260B9"/>
    <w:rsid w:val="00C26F4D"/>
    <w:rsid w:val="00C31D67"/>
    <w:rsid w:val="00C356A8"/>
    <w:rsid w:val="00C36EBF"/>
    <w:rsid w:val="00C40AF7"/>
    <w:rsid w:val="00C41F50"/>
    <w:rsid w:val="00C41F5B"/>
    <w:rsid w:val="00C446C8"/>
    <w:rsid w:val="00C50D2F"/>
    <w:rsid w:val="00C52C3E"/>
    <w:rsid w:val="00C6153A"/>
    <w:rsid w:val="00C62FA2"/>
    <w:rsid w:val="00C639ED"/>
    <w:rsid w:val="00C663D4"/>
    <w:rsid w:val="00C669A9"/>
    <w:rsid w:val="00C66B91"/>
    <w:rsid w:val="00C72081"/>
    <w:rsid w:val="00C744D9"/>
    <w:rsid w:val="00C74CB6"/>
    <w:rsid w:val="00C75D48"/>
    <w:rsid w:val="00C76787"/>
    <w:rsid w:val="00C769BA"/>
    <w:rsid w:val="00C77833"/>
    <w:rsid w:val="00C81C35"/>
    <w:rsid w:val="00C87595"/>
    <w:rsid w:val="00C875EB"/>
    <w:rsid w:val="00C879E3"/>
    <w:rsid w:val="00C943A6"/>
    <w:rsid w:val="00C946C4"/>
    <w:rsid w:val="00C95377"/>
    <w:rsid w:val="00C9543B"/>
    <w:rsid w:val="00C9656D"/>
    <w:rsid w:val="00C971D2"/>
    <w:rsid w:val="00CA5083"/>
    <w:rsid w:val="00CA5B8D"/>
    <w:rsid w:val="00CB0A8E"/>
    <w:rsid w:val="00CB2160"/>
    <w:rsid w:val="00CB7E14"/>
    <w:rsid w:val="00CC2FDD"/>
    <w:rsid w:val="00CC33B1"/>
    <w:rsid w:val="00CC5F7F"/>
    <w:rsid w:val="00CD17DA"/>
    <w:rsid w:val="00CD1F66"/>
    <w:rsid w:val="00CD2DB5"/>
    <w:rsid w:val="00CD4AE6"/>
    <w:rsid w:val="00CD6A53"/>
    <w:rsid w:val="00CE08EE"/>
    <w:rsid w:val="00CE2140"/>
    <w:rsid w:val="00CE73A6"/>
    <w:rsid w:val="00CF0E3F"/>
    <w:rsid w:val="00CF219E"/>
    <w:rsid w:val="00CF4260"/>
    <w:rsid w:val="00D014F3"/>
    <w:rsid w:val="00D0379C"/>
    <w:rsid w:val="00D05E8A"/>
    <w:rsid w:val="00D065EA"/>
    <w:rsid w:val="00D07279"/>
    <w:rsid w:val="00D077B3"/>
    <w:rsid w:val="00D07AA3"/>
    <w:rsid w:val="00D07B70"/>
    <w:rsid w:val="00D1019E"/>
    <w:rsid w:val="00D126A4"/>
    <w:rsid w:val="00D12FB4"/>
    <w:rsid w:val="00D13C40"/>
    <w:rsid w:val="00D1490E"/>
    <w:rsid w:val="00D158A2"/>
    <w:rsid w:val="00D21813"/>
    <w:rsid w:val="00D232D4"/>
    <w:rsid w:val="00D23F67"/>
    <w:rsid w:val="00D26242"/>
    <w:rsid w:val="00D277B1"/>
    <w:rsid w:val="00D306C7"/>
    <w:rsid w:val="00D30F06"/>
    <w:rsid w:val="00D3195D"/>
    <w:rsid w:val="00D35428"/>
    <w:rsid w:val="00D35431"/>
    <w:rsid w:val="00D41507"/>
    <w:rsid w:val="00D42D98"/>
    <w:rsid w:val="00D435F7"/>
    <w:rsid w:val="00D43676"/>
    <w:rsid w:val="00D44EF5"/>
    <w:rsid w:val="00D46F85"/>
    <w:rsid w:val="00D47855"/>
    <w:rsid w:val="00D5008D"/>
    <w:rsid w:val="00D515EA"/>
    <w:rsid w:val="00D516AD"/>
    <w:rsid w:val="00D562EA"/>
    <w:rsid w:val="00D56B97"/>
    <w:rsid w:val="00D6063E"/>
    <w:rsid w:val="00D611C2"/>
    <w:rsid w:val="00D61884"/>
    <w:rsid w:val="00D64405"/>
    <w:rsid w:val="00D64AAF"/>
    <w:rsid w:val="00D663B7"/>
    <w:rsid w:val="00D70232"/>
    <w:rsid w:val="00D715BE"/>
    <w:rsid w:val="00D72B34"/>
    <w:rsid w:val="00D749CA"/>
    <w:rsid w:val="00D74A2F"/>
    <w:rsid w:val="00D74D21"/>
    <w:rsid w:val="00D82A0A"/>
    <w:rsid w:val="00D845F1"/>
    <w:rsid w:val="00D919F1"/>
    <w:rsid w:val="00D93056"/>
    <w:rsid w:val="00D93FE0"/>
    <w:rsid w:val="00D94034"/>
    <w:rsid w:val="00DA1F2A"/>
    <w:rsid w:val="00DA3AFF"/>
    <w:rsid w:val="00DA53CA"/>
    <w:rsid w:val="00DB026B"/>
    <w:rsid w:val="00DB1024"/>
    <w:rsid w:val="00DB7C7A"/>
    <w:rsid w:val="00DC313A"/>
    <w:rsid w:val="00DC54FA"/>
    <w:rsid w:val="00DC5906"/>
    <w:rsid w:val="00DC6B2A"/>
    <w:rsid w:val="00DC6C23"/>
    <w:rsid w:val="00DC71E7"/>
    <w:rsid w:val="00DD0B6B"/>
    <w:rsid w:val="00DD0F2C"/>
    <w:rsid w:val="00DD29B5"/>
    <w:rsid w:val="00DD3913"/>
    <w:rsid w:val="00DD3B16"/>
    <w:rsid w:val="00DE0145"/>
    <w:rsid w:val="00DE07E7"/>
    <w:rsid w:val="00DE2C6F"/>
    <w:rsid w:val="00DF2431"/>
    <w:rsid w:val="00DF2F97"/>
    <w:rsid w:val="00DF410B"/>
    <w:rsid w:val="00DF4639"/>
    <w:rsid w:val="00DF4C76"/>
    <w:rsid w:val="00DF50AB"/>
    <w:rsid w:val="00DF5A87"/>
    <w:rsid w:val="00DF79E3"/>
    <w:rsid w:val="00E01950"/>
    <w:rsid w:val="00E04E60"/>
    <w:rsid w:val="00E10AF0"/>
    <w:rsid w:val="00E10E6B"/>
    <w:rsid w:val="00E11A51"/>
    <w:rsid w:val="00E13585"/>
    <w:rsid w:val="00E144CC"/>
    <w:rsid w:val="00E155DD"/>
    <w:rsid w:val="00E15F37"/>
    <w:rsid w:val="00E20EC5"/>
    <w:rsid w:val="00E2104E"/>
    <w:rsid w:val="00E23C6C"/>
    <w:rsid w:val="00E24116"/>
    <w:rsid w:val="00E248F9"/>
    <w:rsid w:val="00E27770"/>
    <w:rsid w:val="00E27AF5"/>
    <w:rsid w:val="00E302C0"/>
    <w:rsid w:val="00E31F6D"/>
    <w:rsid w:val="00E36596"/>
    <w:rsid w:val="00E36EA5"/>
    <w:rsid w:val="00E411C1"/>
    <w:rsid w:val="00E4455C"/>
    <w:rsid w:val="00E46C05"/>
    <w:rsid w:val="00E47BD1"/>
    <w:rsid w:val="00E51D21"/>
    <w:rsid w:val="00E52488"/>
    <w:rsid w:val="00E53407"/>
    <w:rsid w:val="00E5360D"/>
    <w:rsid w:val="00E572C0"/>
    <w:rsid w:val="00E57B83"/>
    <w:rsid w:val="00E60BB6"/>
    <w:rsid w:val="00E62093"/>
    <w:rsid w:val="00E6270A"/>
    <w:rsid w:val="00E64FFA"/>
    <w:rsid w:val="00E65C17"/>
    <w:rsid w:val="00E6601E"/>
    <w:rsid w:val="00E7028E"/>
    <w:rsid w:val="00E712E5"/>
    <w:rsid w:val="00E74A3A"/>
    <w:rsid w:val="00E75B0D"/>
    <w:rsid w:val="00E76657"/>
    <w:rsid w:val="00E804D3"/>
    <w:rsid w:val="00E80653"/>
    <w:rsid w:val="00E81AF2"/>
    <w:rsid w:val="00E8311F"/>
    <w:rsid w:val="00E86324"/>
    <w:rsid w:val="00E86D12"/>
    <w:rsid w:val="00E87919"/>
    <w:rsid w:val="00E9426A"/>
    <w:rsid w:val="00E95A57"/>
    <w:rsid w:val="00EA009E"/>
    <w:rsid w:val="00EA0532"/>
    <w:rsid w:val="00EA0638"/>
    <w:rsid w:val="00EA1C7D"/>
    <w:rsid w:val="00EA2059"/>
    <w:rsid w:val="00EA269C"/>
    <w:rsid w:val="00EA305C"/>
    <w:rsid w:val="00EA77AA"/>
    <w:rsid w:val="00EB0300"/>
    <w:rsid w:val="00EB0DA4"/>
    <w:rsid w:val="00EB1113"/>
    <w:rsid w:val="00EB1425"/>
    <w:rsid w:val="00EB22FC"/>
    <w:rsid w:val="00EB26AC"/>
    <w:rsid w:val="00EB2D61"/>
    <w:rsid w:val="00EB3377"/>
    <w:rsid w:val="00EB69B0"/>
    <w:rsid w:val="00EC1404"/>
    <w:rsid w:val="00EC278F"/>
    <w:rsid w:val="00EC2AB4"/>
    <w:rsid w:val="00EC3B5F"/>
    <w:rsid w:val="00EC65D9"/>
    <w:rsid w:val="00EC6712"/>
    <w:rsid w:val="00ED151D"/>
    <w:rsid w:val="00ED3A26"/>
    <w:rsid w:val="00ED4021"/>
    <w:rsid w:val="00EE070B"/>
    <w:rsid w:val="00EE3FE9"/>
    <w:rsid w:val="00EE48A9"/>
    <w:rsid w:val="00EE4BFF"/>
    <w:rsid w:val="00EE65BB"/>
    <w:rsid w:val="00EE6D62"/>
    <w:rsid w:val="00EE74C0"/>
    <w:rsid w:val="00EF6A14"/>
    <w:rsid w:val="00EF6D14"/>
    <w:rsid w:val="00F014B7"/>
    <w:rsid w:val="00F01A68"/>
    <w:rsid w:val="00F055DA"/>
    <w:rsid w:val="00F10400"/>
    <w:rsid w:val="00F11A60"/>
    <w:rsid w:val="00F12A68"/>
    <w:rsid w:val="00F13834"/>
    <w:rsid w:val="00F157D6"/>
    <w:rsid w:val="00F15A24"/>
    <w:rsid w:val="00F15BAA"/>
    <w:rsid w:val="00F16EC8"/>
    <w:rsid w:val="00F17E12"/>
    <w:rsid w:val="00F2118E"/>
    <w:rsid w:val="00F2125D"/>
    <w:rsid w:val="00F24BBC"/>
    <w:rsid w:val="00F25D82"/>
    <w:rsid w:val="00F27062"/>
    <w:rsid w:val="00F27A16"/>
    <w:rsid w:val="00F27DB5"/>
    <w:rsid w:val="00F27FB0"/>
    <w:rsid w:val="00F30147"/>
    <w:rsid w:val="00F31C0D"/>
    <w:rsid w:val="00F31E34"/>
    <w:rsid w:val="00F324FF"/>
    <w:rsid w:val="00F359A0"/>
    <w:rsid w:val="00F35E4B"/>
    <w:rsid w:val="00F41DF4"/>
    <w:rsid w:val="00F4299C"/>
    <w:rsid w:val="00F43364"/>
    <w:rsid w:val="00F470CE"/>
    <w:rsid w:val="00F52341"/>
    <w:rsid w:val="00F52A2A"/>
    <w:rsid w:val="00F53C39"/>
    <w:rsid w:val="00F547CD"/>
    <w:rsid w:val="00F55458"/>
    <w:rsid w:val="00F556F7"/>
    <w:rsid w:val="00F55A31"/>
    <w:rsid w:val="00F57366"/>
    <w:rsid w:val="00F57428"/>
    <w:rsid w:val="00F5761F"/>
    <w:rsid w:val="00F616E2"/>
    <w:rsid w:val="00F616F9"/>
    <w:rsid w:val="00F618D2"/>
    <w:rsid w:val="00F61D0E"/>
    <w:rsid w:val="00F636E0"/>
    <w:rsid w:val="00F64E8D"/>
    <w:rsid w:val="00F6691C"/>
    <w:rsid w:val="00F66B67"/>
    <w:rsid w:val="00F67407"/>
    <w:rsid w:val="00F747ED"/>
    <w:rsid w:val="00F74D83"/>
    <w:rsid w:val="00F764C1"/>
    <w:rsid w:val="00F77F81"/>
    <w:rsid w:val="00F827ED"/>
    <w:rsid w:val="00F86BA8"/>
    <w:rsid w:val="00F86C33"/>
    <w:rsid w:val="00F90542"/>
    <w:rsid w:val="00F925BB"/>
    <w:rsid w:val="00F927D2"/>
    <w:rsid w:val="00F92A15"/>
    <w:rsid w:val="00F93E61"/>
    <w:rsid w:val="00F97E0A"/>
    <w:rsid w:val="00FA0132"/>
    <w:rsid w:val="00FA1958"/>
    <w:rsid w:val="00FA1D10"/>
    <w:rsid w:val="00FA3CC5"/>
    <w:rsid w:val="00FA486C"/>
    <w:rsid w:val="00FA510D"/>
    <w:rsid w:val="00FB0F09"/>
    <w:rsid w:val="00FB1178"/>
    <w:rsid w:val="00FB162C"/>
    <w:rsid w:val="00FB2211"/>
    <w:rsid w:val="00FB2BB8"/>
    <w:rsid w:val="00FB3A00"/>
    <w:rsid w:val="00FB4B44"/>
    <w:rsid w:val="00FC0D04"/>
    <w:rsid w:val="00FC3FB2"/>
    <w:rsid w:val="00FC4D9E"/>
    <w:rsid w:val="00FC6738"/>
    <w:rsid w:val="00FC69C0"/>
    <w:rsid w:val="00FC7A8D"/>
    <w:rsid w:val="00FD056B"/>
    <w:rsid w:val="00FD3AAF"/>
    <w:rsid w:val="00FD527C"/>
    <w:rsid w:val="00FD5564"/>
    <w:rsid w:val="00FE12A9"/>
    <w:rsid w:val="00FE2AFF"/>
    <w:rsid w:val="00FE2E6B"/>
    <w:rsid w:val="00FE6157"/>
    <w:rsid w:val="00FF3EC4"/>
    <w:rsid w:val="00FF615A"/>
    <w:rsid w:val="014BFF84"/>
    <w:rsid w:val="01C18CEF"/>
    <w:rsid w:val="01D1D04D"/>
    <w:rsid w:val="02D3471F"/>
    <w:rsid w:val="02EE9FCF"/>
    <w:rsid w:val="04A21232"/>
    <w:rsid w:val="04B62268"/>
    <w:rsid w:val="04ED0FB4"/>
    <w:rsid w:val="05EE2911"/>
    <w:rsid w:val="061CE729"/>
    <w:rsid w:val="066AACD7"/>
    <w:rsid w:val="06B64439"/>
    <w:rsid w:val="06F8D66E"/>
    <w:rsid w:val="07C0A510"/>
    <w:rsid w:val="08323B55"/>
    <w:rsid w:val="08330741"/>
    <w:rsid w:val="0852149A"/>
    <w:rsid w:val="09008318"/>
    <w:rsid w:val="09CC5356"/>
    <w:rsid w:val="0BACEC8B"/>
    <w:rsid w:val="0BD14045"/>
    <w:rsid w:val="0BD7E455"/>
    <w:rsid w:val="0C4723E8"/>
    <w:rsid w:val="0C9748F8"/>
    <w:rsid w:val="0D0FA040"/>
    <w:rsid w:val="0DA4891F"/>
    <w:rsid w:val="0EAB1C4F"/>
    <w:rsid w:val="0EDBDE9E"/>
    <w:rsid w:val="0F458185"/>
    <w:rsid w:val="0F46CA7A"/>
    <w:rsid w:val="0FF2C3F7"/>
    <w:rsid w:val="105619B9"/>
    <w:rsid w:val="1098944B"/>
    <w:rsid w:val="11463354"/>
    <w:rsid w:val="1159D582"/>
    <w:rsid w:val="115B3F62"/>
    <w:rsid w:val="11B90F9E"/>
    <w:rsid w:val="11BAFFAE"/>
    <w:rsid w:val="13731407"/>
    <w:rsid w:val="138D7A85"/>
    <w:rsid w:val="1394AAE3"/>
    <w:rsid w:val="144C5834"/>
    <w:rsid w:val="158E2D34"/>
    <w:rsid w:val="163AF879"/>
    <w:rsid w:val="1709D613"/>
    <w:rsid w:val="17686A82"/>
    <w:rsid w:val="176A95E5"/>
    <w:rsid w:val="191631E7"/>
    <w:rsid w:val="19218CD3"/>
    <w:rsid w:val="194C626A"/>
    <w:rsid w:val="19B1F214"/>
    <w:rsid w:val="19E08398"/>
    <w:rsid w:val="1A17D944"/>
    <w:rsid w:val="1A4E8880"/>
    <w:rsid w:val="1B61FD3C"/>
    <w:rsid w:val="1B725C01"/>
    <w:rsid w:val="1C06ED46"/>
    <w:rsid w:val="1C4B3FF4"/>
    <w:rsid w:val="1C5370BF"/>
    <w:rsid w:val="1C54D330"/>
    <w:rsid w:val="1CB853B1"/>
    <w:rsid w:val="1D6515D9"/>
    <w:rsid w:val="1DA2BDA7"/>
    <w:rsid w:val="1DB0C8E4"/>
    <w:rsid w:val="1E460A5E"/>
    <w:rsid w:val="1E55090C"/>
    <w:rsid w:val="1E79EC35"/>
    <w:rsid w:val="1F85736B"/>
    <w:rsid w:val="2015BC96"/>
    <w:rsid w:val="20852F27"/>
    <w:rsid w:val="21E4CC04"/>
    <w:rsid w:val="22563ACC"/>
    <w:rsid w:val="225F8CF3"/>
    <w:rsid w:val="22716E13"/>
    <w:rsid w:val="22AAEC57"/>
    <w:rsid w:val="23031CCE"/>
    <w:rsid w:val="23BCC612"/>
    <w:rsid w:val="2422BB46"/>
    <w:rsid w:val="247B0865"/>
    <w:rsid w:val="249E158B"/>
    <w:rsid w:val="255BF788"/>
    <w:rsid w:val="25972DB5"/>
    <w:rsid w:val="264B5A17"/>
    <w:rsid w:val="2660D5FE"/>
    <w:rsid w:val="2684FE1A"/>
    <w:rsid w:val="272BB6D9"/>
    <w:rsid w:val="2732FE16"/>
    <w:rsid w:val="27BB797C"/>
    <w:rsid w:val="28B7A112"/>
    <w:rsid w:val="2945396E"/>
    <w:rsid w:val="2A1717F0"/>
    <w:rsid w:val="2A2B411F"/>
    <w:rsid w:val="2A39B2B1"/>
    <w:rsid w:val="2A5F8825"/>
    <w:rsid w:val="2B2B75BB"/>
    <w:rsid w:val="2B3AC38D"/>
    <w:rsid w:val="2B3DC451"/>
    <w:rsid w:val="2B8B0244"/>
    <w:rsid w:val="2D5EDD7E"/>
    <w:rsid w:val="2DA7136C"/>
    <w:rsid w:val="2EAB9353"/>
    <w:rsid w:val="2EDA616A"/>
    <w:rsid w:val="2F46AC77"/>
    <w:rsid w:val="2FBDDB78"/>
    <w:rsid w:val="2FDF5F34"/>
    <w:rsid w:val="3012B803"/>
    <w:rsid w:val="3072E7FB"/>
    <w:rsid w:val="30CD5C6E"/>
    <w:rsid w:val="30E46536"/>
    <w:rsid w:val="31DC8046"/>
    <w:rsid w:val="32C3411C"/>
    <w:rsid w:val="33E5DE4E"/>
    <w:rsid w:val="3468F371"/>
    <w:rsid w:val="36F86DE7"/>
    <w:rsid w:val="3748FA3F"/>
    <w:rsid w:val="37A0C92F"/>
    <w:rsid w:val="37E4F247"/>
    <w:rsid w:val="380693C3"/>
    <w:rsid w:val="382205E4"/>
    <w:rsid w:val="38884437"/>
    <w:rsid w:val="38AE69D6"/>
    <w:rsid w:val="38CB3866"/>
    <w:rsid w:val="3903DB80"/>
    <w:rsid w:val="392A3AD0"/>
    <w:rsid w:val="3953B57D"/>
    <w:rsid w:val="39D62EAE"/>
    <w:rsid w:val="39D7E84D"/>
    <w:rsid w:val="3A0C7210"/>
    <w:rsid w:val="3A9E3311"/>
    <w:rsid w:val="3BBDA7B2"/>
    <w:rsid w:val="3BE47696"/>
    <w:rsid w:val="3C300540"/>
    <w:rsid w:val="3CDF2A60"/>
    <w:rsid w:val="3DDC1B7D"/>
    <w:rsid w:val="3E889C48"/>
    <w:rsid w:val="3F9107C6"/>
    <w:rsid w:val="40480697"/>
    <w:rsid w:val="4147F1C5"/>
    <w:rsid w:val="414F31C7"/>
    <w:rsid w:val="42070676"/>
    <w:rsid w:val="42D9FC4F"/>
    <w:rsid w:val="43D9F868"/>
    <w:rsid w:val="44B0B0CF"/>
    <w:rsid w:val="44C4A63B"/>
    <w:rsid w:val="44E9008F"/>
    <w:rsid w:val="452AAAC8"/>
    <w:rsid w:val="4567B43E"/>
    <w:rsid w:val="458B4B6A"/>
    <w:rsid w:val="45B2374D"/>
    <w:rsid w:val="46963D43"/>
    <w:rsid w:val="46BB8E2B"/>
    <w:rsid w:val="489F5500"/>
    <w:rsid w:val="48BC224F"/>
    <w:rsid w:val="48C2EC2C"/>
    <w:rsid w:val="4A7913DA"/>
    <w:rsid w:val="4AC22C57"/>
    <w:rsid w:val="4ACFFBAC"/>
    <w:rsid w:val="4ADDBDF0"/>
    <w:rsid w:val="4B67CE0F"/>
    <w:rsid w:val="4BE850F4"/>
    <w:rsid w:val="4CA0A21E"/>
    <w:rsid w:val="4CAF40E8"/>
    <w:rsid w:val="4D1780DA"/>
    <w:rsid w:val="4D9F7B9C"/>
    <w:rsid w:val="4E9E8691"/>
    <w:rsid w:val="4EACC6A7"/>
    <w:rsid w:val="4F912E54"/>
    <w:rsid w:val="4FBB1DBC"/>
    <w:rsid w:val="5043CD69"/>
    <w:rsid w:val="50769D5C"/>
    <w:rsid w:val="50DB9C16"/>
    <w:rsid w:val="5127D8C0"/>
    <w:rsid w:val="51362E92"/>
    <w:rsid w:val="522A7C34"/>
    <w:rsid w:val="52776C77"/>
    <w:rsid w:val="5318E456"/>
    <w:rsid w:val="537D3930"/>
    <w:rsid w:val="5395C2E2"/>
    <w:rsid w:val="552DA7A2"/>
    <w:rsid w:val="552F4D31"/>
    <w:rsid w:val="562ECE60"/>
    <w:rsid w:val="56554858"/>
    <w:rsid w:val="569BB195"/>
    <w:rsid w:val="57BF9A5A"/>
    <w:rsid w:val="581A52CE"/>
    <w:rsid w:val="586F8DB9"/>
    <w:rsid w:val="59524165"/>
    <w:rsid w:val="59C5B1F4"/>
    <w:rsid w:val="5A8FF15D"/>
    <w:rsid w:val="5AA2F8AB"/>
    <w:rsid w:val="5B6012AA"/>
    <w:rsid w:val="5C17B92E"/>
    <w:rsid w:val="5C189E3E"/>
    <w:rsid w:val="5CBF3857"/>
    <w:rsid w:val="5DB53DB3"/>
    <w:rsid w:val="5E543FC1"/>
    <w:rsid w:val="5EE7F376"/>
    <w:rsid w:val="603054D9"/>
    <w:rsid w:val="613613B9"/>
    <w:rsid w:val="613FDE81"/>
    <w:rsid w:val="617BB976"/>
    <w:rsid w:val="61DE643C"/>
    <w:rsid w:val="63895421"/>
    <w:rsid w:val="63935CFA"/>
    <w:rsid w:val="6499F0EB"/>
    <w:rsid w:val="651604FE"/>
    <w:rsid w:val="65555DD7"/>
    <w:rsid w:val="655E3E36"/>
    <w:rsid w:val="6574716A"/>
    <w:rsid w:val="65CE30CA"/>
    <w:rsid w:val="6612E676"/>
    <w:rsid w:val="67E673E9"/>
    <w:rsid w:val="67FCB832"/>
    <w:rsid w:val="69DCCF95"/>
    <w:rsid w:val="6A28CEFA"/>
    <w:rsid w:val="6B2FDFB5"/>
    <w:rsid w:val="6B42078B"/>
    <w:rsid w:val="6B49AD72"/>
    <w:rsid w:val="6B781B99"/>
    <w:rsid w:val="6B854682"/>
    <w:rsid w:val="6B865BED"/>
    <w:rsid w:val="6BCC27AA"/>
    <w:rsid w:val="6CC21CDA"/>
    <w:rsid w:val="6CCBB016"/>
    <w:rsid w:val="6D0F0D1D"/>
    <w:rsid w:val="6DC92A02"/>
    <w:rsid w:val="6E04F3AE"/>
    <w:rsid w:val="6EAADD7E"/>
    <w:rsid w:val="6F36BCB4"/>
    <w:rsid w:val="6FEB06E3"/>
    <w:rsid w:val="6FFC5051"/>
    <w:rsid w:val="700350D8"/>
    <w:rsid w:val="7060A52B"/>
    <w:rsid w:val="7133523B"/>
    <w:rsid w:val="715A7FDB"/>
    <w:rsid w:val="71ECF251"/>
    <w:rsid w:val="7355E625"/>
    <w:rsid w:val="7377E796"/>
    <w:rsid w:val="744A2FBD"/>
    <w:rsid w:val="74743532"/>
    <w:rsid w:val="74CFC174"/>
    <w:rsid w:val="750B9250"/>
    <w:rsid w:val="75600A9F"/>
    <w:rsid w:val="758BF161"/>
    <w:rsid w:val="760E0A9B"/>
    <w:rsid w:val="76100593"/>
    <w:rsid w:val="7624F536"/>
    <w:rsid w:val="76E1DCCF"/>
    <w:rsid w:val="78076236"/>
    <w:rsid w:val="78222662"/>
    <w:rsid w:val="786BB710"/>
    <w:rsid w:val="78F2C15C"/>
    <w:rsid w:val="79A33297"/>
    <w:rsid w:val="79FCD5B0"/>
    <w:rsid w:val="79FE152B"/>
    <w:rsid w:val="7A46898D"/>
    <w:rsid w:val="7AAB2AAE"/>
    <w:rsid w:val="7D6B1C84"/>
    <w:rsid w:val="7D774406"/>
    <w:rsid w:val="7E318DA2"/>
    <w:rsid w:val="7EECEEB4"/>
    <w:rsid w:val="7F891DB5"/>
  </w:rsids>
  <m:mathPr>
    <m:mathFont m:val="Cambria Math"/>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14:docId w14:val="03BCA533"/>
  <w15:docId w15:val="{6DC325F7-5607-4982-9F34-5AE6AEC18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he-IL"/>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00D1"/>
    <w:pPr>
      <w:spacing w:after="200" w:line="276" w:lineRule="auto"/>
    </w:pPr>
    <w:rPr>
      <w:sz w:val="22"/>
      <w:szCs w:val="22"/>
      <w:lang w:bidi="ar-SA"/>
    </w:rPr>
  </w:style>
  <w:style w:type="paragraph" w:styleId="Heading1">
    <w:name w:val="heading 1"/>
    <w:basedOn w:val="Normal"/>
    <w:next w:val="Normal"/>
    <w:link w:val="Heading1Char"/>
    <w:qFormat/>
    <w:locked/>
    <w:rsid w:val="002159DB"/>
    <w:pPr>
      <w:keepNext/>
      <w:spacing w:before="240" w:after="60"/>
      <w:outlineLvl w:val="0"/>
    </w:pPr>
    <w:rPr>
      <w:rFonts w:ascii="Cambria" w:hAnsi="Cambria"/>
      <w:b/>
      <w:bCs/>
      <w:kern w:val="32"/>
      <w:sz w:val="32"/>
      <w:szCs w:val="32"/>
    </w:rPr>
  </w:style>
  <w:style w:type="paragraph" w:styleId="Heading3">
    <w:name w:val="heading 3"/>
    <w:basedOn w:val="Normal"/>
    <w:next w:val="Normal"/>
    <w:qFormat/>
    <w:locked/>
    <w:rsid w:val="00414AD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82095"/>
    <w:pPr>
      <w:ind w:left="720"/>
      <w:contextualSpacing/>
    </w:pPr>
  </w:style>
  <w:style w:type="paragraph" w:styleId="Header">
    <w:name w:val="header"/>
    <w:basedOn w:val="Normal"/>
    <w:link w:val="HeaderChar"/>
    <w:semiHidden/>
    <w:rsid w:val="00982095"/>
    <w:pPr>
      <w:tabs>
        <w:tab w:val="center" w:pos="4680"/>
        <w:tab w:val="right" w:pos="9360"/>
      </w:tabs>
      <w:spacing w:after="0" w:line="240" w:lineRule="auto"/>
    </w:pPr>
  </w:style>
  <w:style w:type="character" w:customStyle="1" w:styleId="HeaderChar">
    <w:name w:val="Header Char"/>
    <w:link w:val="Header"/>
    <w:semiHidden/>
    <w:locked/>
    <w:rsid w:val="00982095"/>
    <w:rPr>
      <w:rFonts w:cs="Times New Roman"/>
    </w:rPr>
  </w:style>
  <w:style w:type="paragraph" w:styleId="Footer">
    <w:name w:val="footer"/>
    <w:basedOn w:val="Normal"/>
    <w:link w:val="FooterChar"/>
    <w:uiPriority w:val="99"/>
    <w:rsid w:val="00982095"/>
    <w:pPr>
      <w:tabs>
        <w:tab w:val="center" w:pos="4680"/>
        <w:tab w:val="right" w:pos="9360"/>
      </w:tabs>
      <w:spacing w:after="0" w:line="240" w:lineRule="auto"/>
    </w:pPr>
  </w:style>
  <w:style w:type="character" w:customStyle="1" w:styleId="FooterChar">
    <w:name w:val="Footer Char"/>
    <w:link w:val="Footer"/>
    <w:uiPriority w:val="99"/>
    <w:locked/>
    <w:rsid w:val="00982095"/>
    <w:rPr>
      <w:rFonts w:cs="Times New Roman"/>
    </w:rPr>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lang w:bidi="ar-SA"/>
    </w:rPr>
  </w:style>
  <w:style w:type="paragraph" w:styleId="DocumentMap">
    <w:name w:val="Document Map"/>
    <w:basedOn w:val="Normal"/>
    <w:link w:val="DocumentMapChar"/>
    <w:semiHidden/>
    <w:rsid w:val="00982095"/>
    <w:pPr>
      <w:spacing w:after="0" w:line="240" w:lineRule="auto"/>
    </w:pPr>
    <w:rPr>
      <w:rFonts w:ascii="Tahoma" w:hAnsi="Tahoma" w:cs="Tahoma"/>
      <w:sz w:val="16"/>
      <w:szCs w:val="16"/>
    </w:rPr>
  </w:style>
  <w:style w:type="character" w:customStyle="1" w:styleId="DocumentMapChar">
    <w:name w:val="Document Map Char"/>
    <w:link w:val="DocumentMap"/>
    <w:semiHidden/>
    <w:locked/>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semiHidden/>
    <w:locked/>
    <w:rsid w:val="00982095"/>
    <w:rPr>
      <w:rFonts w:ascii="Tahoma" w:hAnsi="Tahoma" w:cs="Times New Roman"/>
      <w:sz w:val="20"/>
      <w:szCs w:val="20"/>
    </w:rPr>
  </w:style>
  <w:style w:type="paragraph" w:styleId="BalloonText">
    <w:name w:val="Balloon Text"/>
    <w:basedOn w:val="Normal"/>
    <w:link w:val="BalloonTextChar"/>
    <w:semiHidden/>
    <w:rsid w:val="00982095"/>
    <w:pPr>
      <w:spacing w:after="0" w:line="240" w:lineRule="auto"/>
    </w:pPr>
    <w:rPr>
      <w:rFonts w:ascii="Tahoma" w:hAnsi="Tahoma" w:cs="Tahoma"/>
      <w:sz w:val="16"/>
      <w:szCs w:val="16"/>
    </w:rPr>
  </w:style>
  <w:style w:type="character" w:customStyle="1" w:styleId="BalloonTextChar">
    <w:name w:val="Balloon Text Char"/>
    <w:link w:val="BalloonText"/>
    <w:semiHidden/>
    <w:locked/>
    <w:rsid w:val="00982095"/>
    <w:rPr>
      <w:rFonts w:ascii="Tahoma" w:hAnsi="Tahoma" w:cs="Tahoma"/>
      <w:sz w:val="16"/>
      <w:szCs w:val="16"/>
    </w:rPr>
  </w:style>
  <w:style w:type="character" w:styleId="CommentReference">
    <w:name w:val="annotation reference"/>
    <w:semiHidden/>
    <w:rsid w:val="00982095"/>
    <w:rPr>
      <w:rFonts w:cs="Times New Roman"/>
      <w:sz w:val="16"/>
      <w:szCs w:val="16"/>
    </w:rPr>
  </w:style>
  <w:style w:type="paragraph" w:styleId="CommentText">
    <w:name w:val="annotation text"/>
    <w:basedOn w:val="Normal"/>
    <w:link w:val="CommentTextChar"/>
    <w:semiHidden/>
    <w:rsid w:val="00982095"/>
    <w:pPr>
      <w:spacing w:line="240" w:lineRule="auto"/>
    </w:pPr>
    <w:rPr>
      <w:sz w:val="20"/>
      <w:szCs w:val="20"/>
    </w:rPr>
  </w:style>
  <w:style w:type="character" w:customStyle="1" w:styleId="CommentTextChar">
    <w:name w:val="Comment Text Char"/>
    <w:link w:val="CommentText"/>
    <w:semiHidden/>
    <w:locked/>
    <w:rsid w:val="00982095"/>
    <w:rPr>
      <w:rFonts w:cs="Times New Roman"/>
      <w:sz w:val="20"/>
      <w:szCs w:val="20"/>
    </w:rPr>
  </w:style>
  <w:style w:type="paragraph" w:styleId="CommentSubject">
    <w:name w:val="annotation subject"/>
    <w:basedOn w:val="CommentText"/>
    <w:next w:val="CommentText"/>
    <w:link w:val="CommentSubjectChar"/>
    <w:semiHidden/>
    <w:rsid w:val="00982095"/>
    <w:rPr>
      <w:b/>
      <w:bCs/>
    </w:rPr>
  </w:style>
  <w:style w:type="character" w:customStyle="1" w:styleId="CommentSubjectChar">
    <w:name w:val="Comment Subject Char"/>
    <w:link w:val="CommentSubject"/>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link w:val="FootnoteText"/>
    <w:uiPriority w:val="99"/>
    <w:semiHidden/>
    <w:locked/>
    <w:rsid w:val="00982095"/>
    <w:rPr>
      <w:rFonts w:cs="Times New Roman"/>
      <w:sz w:val="20"/>
      <w:szCs w:val="20"/>
    </w:rPr>
  </w:style>
  <w:style w:type="character" w:styleId="FootnoteReference">
    <w:name w:val="footnote reference"/>
    <w:uiPriority w:val="99"/>
    <w:semiHidden/>
    <w:rsid w:val="00982095"/>
    <w:rPr>
      <w:rFonts w:cs="Times New Roman"/>
      <w:vertAlign w:val="superscript"/>
    </w:rPr>
  </w:style>
  <w:style w:type="paragraph" w:styleId="Revision">
    <w:name w:val="Revision"/>
    <w:hidden/>
    <w:semiHidden/>
    <w:rsid w:val="00982095"/>
    <w:rPr>
      <w:sz w:val="22"/>
      <w:szCs w:val="22"/>
      <w:lang w:bidi="ar-SA"/>
    </w:rPr>
  </w:style>
  <w:style w:type="character" w:styleId="Hyperlink">
    <w:name w:val="Hyperlink"/>
    <w:semiHidden/>
    <w:rsid w:val="00404071"/>
    <w:rPr>
      <w:rFonts w:cs="Times New Roman"/>
      <w:color w:val="0000FF"/>
      <w:u w:val="single"/>
    </w:rPr>
  </w:style>
  <w:style w:type="character" w:styleId="FollowedHyperlink">
    <w:name w:val="FollowedHyperlink"/>
    <w:rsid w:val="009A41B7"/>
    <w:rPr>
      <w:color w:val="800080"/>
      <w:u w:val="single"/>
    </w:rPr>
  </w:style>
  <w:style w:type="paragraph" w:styleId="BodyTextIndent">
    <w:name w:val="Body Text Indent"/>
    <w:basedOn w:val="Normal"/>
    <w:link w:val="BodyTextIndentChar"/>
    <w:rsid w:val="00FA3CC5"/>
    <w:pPr>
      <w:spacing w:after="120" w:line="240" w:lineRule="auto"/>
      <w:ind w:left="360"/>
    </w:pPr>
    <w:rPr>
      <w:rFonts w:ascii="Times New Roman" w:hAnsi="Times New Roman"/>
      <w:sz w:val="24"/>
      <w:szCs w:val="24"/>
    </w:rPr>
  </w:style>
  <w:style w:type="character" w:customStyle="1" w:styleId="BodyTextIndentChar">
    <w:name w:val="Body Text Indent Char"/>
    <w:link w:val="BodyTextIndent"/>
    <w:rsid w:val="00FA3CC5"/>
    <w:rPr>
      <w:rFonts w:ascii="Times New Roman" w:hAnsi="Times New Roman"/>
      <w:sz w:val="24"/>
      <w:szCs w:val="24"/>
    </w:rPr>
  </w:style>
  <w:style w:type="character" w:customStyle="1" w:styleId="Heading1Char">
    <w:name w:val="Heading 1 Char"/>
    <w:link w:val="Heading1"/>
    <w:uiPriority w:val="9"/>
    <w:rsid w:val="002159DB"/>
    <w:rPr>
      <w:rFonts w:ascii="Cambria" w:eastAsia="Times New Roman" w:hAnsi="Cambria" w:cs="Times New Roman"/>
      <w:b/>
      <w:bCs/>
      <w:kern w:val="32"/>
      <w:sz w:val="32"/>
      <w:szCs w:val="32"/>
    </w:rPr>
  </w:style>
  <w:style w:type="paragraph" w:styleId="BodyText2">
    <w:name w:val="Body Text 2"/>
    <w:basedOn w:val="Normal"/>
    <w:link w:val="BodyText2Char"/>
    <w:semiHidden/>
    <w:unhideWhenUsed/>
    <w:rsid w:val="00794876"/>
    <w:pPr>
      <w:spacing w:after="120" w:line="480" w:lineRule="auto"/>
    </w:pPr>
  </w:style>
  <w:style w:type="character" w:customStyle="1" w:styleId="BodyText2Char">
    <w:name w:val="Body Text 2 Char"/>
    <w:basedOn w:val="DefaultParagraphFont"/>
    <w:link w:val="BodyText2"/>
    <w:semiHidden/>
    <w:rsid w:val="00794876"/>
    <w:rPr>
      <w:sz w:val="22"/>
      <w:szCs w:val="22"/>
      <w:lang w:bidi="ar-SA"/>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E64FFA"/>
    <w:rPr>
      <w:color w:val="605E5C"/>
      <w:shd w:val="clear" w:color="auto" w:fill="E1DFDD"/>
    </w:rPr>
  </w:style>
  <w:style w:type="character" w:customStyle="1" w:styleId="ListParagraphChar">
    <w:name w:val="List Paragraph Char"/>
    <w:link w:val="ListParagraph"/>
    <w:uiPriority w:val="34"/>
    <w:locked/>
    <w:rsid w:val="000C1794"/>
    <w:rPr>
      <w:sz w:val="22"/>
      <w:szCs w:val="22"/>
      <w:lang w:bidi="ar-SA"/>
    </w:rPr>
  </w:style>
  <w:style w:type="table" w:customStyle="1" w:styleId="TableGrid0">
    <w:name w:val="Table Grid0"/>
    <w:basedOn w:val="TableNormal"/>
    <w:rsid w:val="000B7DC0"/>
    <w:pPr>
      <w:widowControl w:val="0"/>
      <w:adjustRightInd w:val="0"/>
      <w:spacing w:line="360" w:lineRule="atLeast"/>
      <w:jc w:val="both"/>
      <w:textAlignment w:val="baseline"/>
    </w:pPr>
    <w:rPr>
      <w:rFonts w:ascii="Times New Roman" w:hAnsi="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2">
    <w:name w:val="pb-2"/>
    <w:basedOn w:val="Normal"/>
    <w:rsid w:val="00E5340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data.bls.gov/timeseries/CES0500000008"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deralregister.gov/documents/2024/03/29/2024-06469/revisions-to-ombs-statistical-policy-directive-no-15-standards-for-maintaining-collecting-and"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docs.fcc.gov/public/attachments/FCC-20-50A1.pdf" TargetMode="External" /><Relationship Id="rId2" Type="http://schemas.openxmlformats.org/officeDocument/2006/relationships/hyperlink" Target="https://www.gsa.gov/travel/plan-book/transportation-airfare-rates-pov-rates-etc/privately-owned-vehicle-pov-mileage-reimbursement" TargetMode="External" /><Relationship Id="rId3" Type="http://schemas.openxmlformats.org/officeDocument/2006/relationships/hyperlink" Target="https://aspe.hhs.gov/hhs-guidelines-ensuring-maximizing-disseminated-inform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5806e25-2472-48df-91f5-2c650834f9f6">
      <UserInfo>
        <DisplayName>Peterson, Emily</DisplayName>
        <AccountId>3427</AccountId>
        <AccountType/>
      </UserInfo>
      <UserInfo>
        <DisplayName>Zarndt, Anh (Bao)</DisplayName>
        <AccountId>729</AccountId>
        <AccountType/>
      </UserInfo>
      <UserInfo>
        <DisplayName>Gibson, Natalie</DisplayName>
        <AccountId>396</AccountId>
        <AccountType/>
      </UserInfo>
      <UserInfo>
        <DisplayName>Gittleson, Daniel</DisplayName>
        <AccountId>288</AccountId>
        <AccountType/>
      </UserInfo>
      <UserInfo>
        <DisplayName>Anwar, Irrum</DisplayName>
        <AccountId>2269</AccountId>
        <AccountType/>
      </UserInfo>
      <UserInfo>
        <DisplayName>Bennett, Morgane</DisplayName>
        <AccountId>3480</AccountId>
        <AccountType/>
      </UserInfo>
      <UserInfo>
        <DisplayName>Pitzer, Lindsay</DisplayName>
        <AccountId>3183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3D2A0FFF35964E9859F2CD028E242B" ma:contentTypeVersion="6" ma:contentTypeDescription="Create a new document." ma:contentTypeScope="" ma:versionID="2791e6acc960ef74af4a5c353dd3059b">
  <xsd:schema xmlns:xsd="http://www.w3.org/2001/XMLSchema" xmlns:xs="http://www.w3.org/2001/XMLSchema" xmlns:p="http://schemas.microsoft.com/office/2006/metadata/properties" xmlns:ns2="51153f22-0994-41b9-a4fa-3c8bb3c8ee19" xmlns:ns3="55806e25-2472-48df-91f5-2c650834f9f6" targetNamespace="http://schemas.microsoft.com/office/2006/metadata/properties" ma:root="true" ma:fieldsID="597445ca36682085d8adc13b72589916" ns2:_="" ns3:_="">
    <xsd:import namespace="51153f22-0994-41b9-a4fa-3c8bb3c8ee19"/>
    <xsd:import namespace="55806e25-2472-48df-91f5-2c650834f9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53f22-0994-41b9-a4fa-3c8bb3c8e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06e25-2472-48df-91f5-2c650834f9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3FB07-CA37-43A7-8E19-817F1F333D2D}">
  <ds:schemaRefs>
    <ds:schemaRef ds:uri="http://schemas.microsoft.com/office/2006/metadata/properties"/>
    <ds:schemaRef ds:uri="http://schemas.microsoft.com/office/infopath/2007/PartnerControls"/>
    <ds:schemaRef ds:uri="55806e25-2472-48df-91f5-2c650834f9f6"/>
  </ds:schemaRefs>
</ds:datastoreItem>
</file>

<file path=customXml/itemProps2.xml><?xml version="1.0" encoding="utf-8"?>
<ds:datastoreItem xmlns:ds="http://schemas.openxmlformats.org/officeDocument/2006/customXml" ds:itemID="{0FC11500-ADD5-4CF5-9DDD-9417B34AD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53f22-0994-41b9-a4fa-3c8bb3c8ee19"/>
    <ds:schemaRef ds:uri="55806e25-2472-48df-91f5-2c650834f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C1BC93-D5F8-4E90-B0C4-95AC7BCEB222}">
  <ds:schemaRefs>
    <ds:schemaRef ds:uri="http://schemas.microsoft.com/sharepoint/v3/contenttype/forms"/>
  </ds:schemaRefs>
</ds:datastoreItem>
</file>

<file path=customXml/itemProps4.xml><?xml version="1.0" encoding="utf-8"?>
<ds:datastoreItem xmlns:ds="http://schemas.openxmlformats.org/officeDocument/2006/customXml" ds:itemID="{3BB43213-C425-4E04-8675-B7DD84DCD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6129</Words>
  <Characters>35947</Characters>
  <Application>Microsoft Office Word</Application>
  <DocSecurity>0</DocSecurity>
  <Lines>299</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Capezzuto, JonnaLynn</dc:creator>
  <cp:lastModifiedBy>Capezzuto, JonnaLynn</cp:lastModifiedBy>
  <cp:revision>2</cp:revision>
  <dcterms:created xsi:type="dcterms:W3CDTF">2024-06-05T19:05:00Z</dcterms:created>
  <dcterms:modified xsi:type="dcterms:W3CDTF">2024-06-05T19:05:00Z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0x010100613D2A0FFF35964E9859F2CD028E242B</vt:lpwstr>
  </property>
</Properties>
</file>