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17E4" w14:paraId="63B81414" w14:textId="5491BAFA">
      <w:pPr>
        <w:pStyle w:val="Heading1"/>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SUPPORTING STATEMENT</w:t>
      </w:r>
      <w:r w:rsidR="009501AE">
        <w:rPr>
          <w:rFonts w:ascii="Times New Roman" w:eastAsia="Times New Roman" w:hAnsi="Times New Roman" w:cs="Times New Roman"/>
          <w:b/>
          <w:color w:val="000000"/>
          <w:sz w:val="24"/>
          <w:szCs w:val="24"/>
        </w:rPr>
        <w:t xml:space="preserve"> B</w:t>
      </w:r>
    </w:p>
    <w:p w:rsidR="002C17E4" w14:paraId="27E72739" w14:textId="77777777">
      <w:pPr>
        <w:spacing w:before="22" w:line="259" w:lineRule="auto"/>
        <w:ind w:firstLine="14"/>
        <w:jc w:val="center"/>
        <w:rPr>
          <w:b/>
          <w:sz w:val="24"/>
          <w:szCs w:val="24"/>
        </w:rPr>
      </w:pPr>
      <w:r>
        <w:rPr>
          <w:b/>
          <w:sz w:val="24"/>
          <w:szCs w:val="24"/>
        </w:rPr>
        <w:t>U.S. Department of Commerce</w:t>
      </w:r>
    </w:p>
    <w:p w:rsidR="002C17E4" w14:paraId="69D87505" w14:textId="7C9F31C6">
      <w:pPr>
        <w:spacing w:before="22" w:line="259" w:lineRule="auto"/>
        <w:ind w:firstLine="14"/>
        <w:jc w:val="center"/>
        <w:rPr>
          <w:b/>
          <w:sz w:val="24"/>
          <w:szCs w:val="24"/>
        </w:rPr>
      </w:pPr>
      <w:r>
        <w:rPr>
          <w:b/>
          <w:sz w:val="24"/>
          <w:szCs w:val="24"/>
        </w:rPr>
        <w:t>National Oceanic &amp; Atmospheric Administration</w:t>
      </w:r>
    </w:p>
    <w:p w:rsidR="009501AE" w:rsidRPr="009501AE" w14:paraId="02457098" w14:textId="38660BD2">
      <w:pPr>
        <w:spacing w:before="22" w:line="259" w:lineRule="auto"/>
        <w:ind w:firstLine="14"/>
        <w:jc w:val="center"/>
        <w:rPr>
          <w:b/>
          <w:sz w:val="32"/>
          <w:szCs w:val="24"/>
        </w:rPr>
      </w:pPr>
      <w:r w:rsidRPr="009501AE">
        <w:rPr>
          <w:b/>
          <w:color w:val="000000"/>
          <w:sz w:val="24"/>
          <w:shd w:val="clear" w:color="auto" w:fill="FFFFFF"/>
        </w:rPr>
        <w:t>Survey to Collect Economic Data from Recreational Anglers along the Atlantic Coast</w:t>
      </w:r>
    </w:p>
    <w:p w:rsidR="002C17E4" w14:paraId="300E2D50" w14:textId="5446327B">
      <w:pPr>
        <w:spacing w:line="259" w:lineRule="auto"/>
        <w:ind w:hanging="6"/>
        <w:jc w:val="center"/>
        <w:rPr>
          <w:b/>
          <w:sz w:val="24"/>
          <w:szCs w:val="24"/>
        </w:rPr>
      </w:pPr>
      <w:r>
        <w:rPr>
          <w:b/>
          <w:sz w:val="24"/>
          <w:szCs w:val="24"/>
        </w:rPr>
        <w:t>(</w:t>
      </w:r>
      <w:r w:rsidR="00130B2B">
        <w:rPr>
          <w:b/>
          <w:sz w:val="24"/>
          <w:szCs w:val="24"/>
        </w:rPr>
        <w:t>North Atlantic Recreational Fishing Survey I</w:t>
      </w:r>
      <w:r w:rsidR="009B4BF0">
        <w:rPr>
          <w:b/>
          <w:sz w:val="24"/>
          <w:szCs w:val="24"/>
        </w:rPr>
        <w:t>V</w:t>
      </w:r>
      <w:r>
        <w:rPr>
          <w:b/>
          <w:sz w:val="24"/>
          <w:szCs w:val="24"/>
        </w:rPr>
        <w:t>)</w:t>
      </w:r>
    </w:p>
    <w:p w:rsidR="002C17E4" w14:paraId="2AED3081" w14:textId="77777777">
      <w:pPr>
        <w:spacing w:line="259" w:lineRule="auto"/>
        <w:ind w:hanging="6"/>
        <w:jc w:val="center"/>
        <w:rPr>
          <w:b/>
          <w:sz w:val="24"/>
          <w:szCs w:val="24"/>
        </w:rPr>
      </w:pPr>
      <w:r>
        <w:rPr>
          <w:b/>
          <w:sz w:val="24"/>
          <w:szCs w:val="24"/>
        </w:rPr>
        <w:t>OMB Control No. 0648-0783</w:t>
      </w:r>
    </w:p>
    <w:p w:rsidR="002C17E4" w14:paraId="686A818E" w14:textId="77777777">
      <w:pPr>
        <w:spacing w:before="80"/>
        <w:rPr>
          <w:b/>
          <w:color w:val="FF0000"/>
          <w:sz w:val="24"/>
          <w:szCs w:val="24"/>
        </w:rPr>
      </w:pPr>
    </w:p>
    <w:p w:rsidR="002C17E4" w14:paraId="58F9035E" w14:textId="77777777">
      <w:pPr>
        <w:spacing w:before="80"/>
        <w:rPr>
          <w:b/>
          <w:sz w:val="24"/>
          <w:szCs w:val="24"/>
        </w:rPr>
      </w:pPr>
      <w:r>
        <w:rPr>
          <w:b/>
          <w:sz w:val="24"/>
          <w:szCs w:val="24"/>
        </w:rPr>
        <w:t xml:space="preserve">SUPPORTING STATEMENT PART B </w:t>
      </w:r>
    </w:p>
    <w:p w:rsidR="002C17E4" w14:paraId="640324BB" w14:textId="77777777">
      <w:pPr>
        <w:pBdr>
          <w:top w:val="nil"/>
          <w:left w:val="nil"/>
          <w:bottom w:val="nil"/>
          <w:right w:val="nil"/>
          <w:between w:val="nil"/>
        </w:pBdr>
        <w:rPr>
          <w:b/>
          <w:color w:val="000000"/>
          <w:sz w:val="24"/>
          <w:szCs w:val="24"/>
        </w:rPr>
      </w:pPr>
    </w:p>
    <w:p w:rsidR="002C17E4" w14:paraId="67A5163D" w14:textId="77777777">
      <w:pPr>
        <w:spacing w:before="161"/>
        <w:rPr>
          <w:b/>
          <w:sz w:val="24"/>
          <w:szCs w:val="24"/>
        </w:rPr>
      </w:pPr>
      <w:r>
        <w:rPr>
          <w:b/>
          <w:sz w:val="24"/>
          <w:szCs w:val="24"/>
        </w:rPr>
        <w:t>B. Collections of Information Employing Statistical Methods</w:t>
      </w:r>
    </w:p>
    <w:p w:rsidR="002C17E4" w14:paraId="4353091D" w14:textId="77777777">
      <w:pPr>
        <w:pStyle w:val="Heading1"/>
        <w:keepNext w:val="0"/>
        <w:keepLines w:val="0"/>
        <w:numPr>
          <w:ilvl w:val="0"/>
          <w:numId w:val="2"/>
        </w:numPr>
        <w:tabs>
          <w:tab w:val="left" w:pos="360"/>
        </w:tabs>
        <w:spacing w:before="185"/>
        <w:ind w:left="0" w:firstLine="0"/>
        <w:rPr>
          <w:color w:val="000000"/>
        </w:rPr>
      </w:pPr>
      <w:r>
        <w:rPr>
          <w:rFonts w:ascii="Times New Roman" w:eastAsia="Times New Roman" w:hAnsi="Times New Roman" w:cs="Times New Roman"/>
          <w:b/>
          <w:color w:val="000000"/>
          <w:sz w:val="24"/>
          <w:szCs w:val="24"/>
        </w:rPr>
        <w:t>Describe (including a numerical estimate) the potential respondent universe and any sampling or other respondent s</w:t>
      </w:r>
      <w:bookmarkStart w:id="1" w:name="_GoBack"/>
      <w:bookmarkEnd w:id="1"/>
      <w:r>
        <w:rPr>
          <w:rFonts w:ascii="Times New Roman" w:eastAsia="Times New Roman" w:hAnsi="Times New Roman" w:cs="Times New Roman"/>
          <w:b/>
          <w:color w:val="000000"/>
          <w:sz w:val="24"/>
          <w:szCs w:val="24"/>
        </w:rPr>
        <w:t xml:space="preserve">election method to </w:t>
      </w:r>
      <w:r>
        <w:rPr>
          <w:rFonts w:ascii="Times New Roman" w:eastAsia="Times New Roman" w:hAnsi="Times New Roman" w:cs="Times New Roman"/>
          <w:b/>
          <w:color w:val="000000"/>
          <w:sz w:val="24"/>
          <w:szCs w:val="24"/>
        </w:rPr>
        <w:t>be used</w:t>
      </w:r>
      <w:r>
        <w:rPr>
          <w:rFonts w:ascii="Times New Roman" w:eastAsia="Times New Roman" w:hAnsi="Times New Roman" w:cs="Times New Roman"/>
          <w:b/>
          <w:color w:val="000000"/>
          <w:sz w:val="24"/>
          <w:szCs w:val="24"/>
        </w:rPr>
        <w:t xml:space="preserve">. Data on the number of entities (e.g., establishments, State and local government units, households, or persons) in the universe covered by the collection and in the corresponding sample are to </w:t>
      </w:r>
      <w:r>
        <w:rPr>
          <w:rFonts w:ascii="Times New Roman" w:eastAsia="Times New Roman" w:hAnsi="Times New Roman" w:cs="Times New Roman"/>
          <w:b/>
          <w:color w:val="000000"/>
          <w:sz w:val="24"/>
          <w:szCs w:val="24"/>
        </w:rPr>
        <w:t>be provided</w:t>
      </w:r>
      <w:r>
        <w:rPr>
          <w:rFonts w:ascii="Times New Roman" w:eastAsia="Times New Roman" w:hAnsi="Times New Roman" w:cs="Times New Roman"/>
          <w:b/>
          <w:color w:val="000000"/>
          <w:sz w:val="24"/>
          <w:szCs w:val="24"/>
        </w:rPr>
        <w:t xml:space="preserve"> in tabular form for the universe as a whole and for each of the strata in the proposed sample. Indicate expected response rates for the collection as a whole. If the collection </w:t>
      </w:r>
      <w:r>
        <w:rPr>
          <w:rFonts w:ascii="Times New Roman" w:eastAsia="Times New Roman" w:hAnsi="Times New Roman" w:cs="Times New Roman"/>
          <w:b/>
          <w:color w:val="000000"/>
          <w:sz w:val="24"/>
          <w:szCs w:val="24"/>
        </w:rPr>
        <w:t>had been conducted</w:t>
      </w:r>
      <w:r>
        <w:rPr>
          <w:rFonts w:ascii="Times New Roman" w:eastAsia="Times New Roman" w:hAnsi="Times New Roman" w:cs="Times New Roman"/>
          <w:b/>
          <w:color w:val="000000"/>
          <w:sz w:val="24"/>
          <w:szCs w:val="24"/>
        </w:rPr>
        <w:t xml:space="preserve"> previously, include the actual response rate achieved during the last collection.</w:t>
      </w:r>
    </w:p>
    <w:p w:rsidR="002C17E4" w14:paraId="63916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C2ACBBD" w14:textId="7A5B58DE">
      <w:pPr>
        <w:rPr>
          <w:sz w:val="24"/>
          <w:szCs w:val="24"/>
        </w:rPr>
      </w:pPr>
      <w:r>
        <w:rPr>
          <w:sz w:val="24"/>
          <w:szCs w:val="24"/>
        </w:rPr>
        <w:t>The t</w:t>
      </w:r>
      <w:r w:rsidR="00BC588E">
        <w:rPr>
          <w:sz w:val="24"/>
          <w:szCs w:val="24"/>
        </w:rPr>
        <w:t xml:space="preserve">arget population for the NARFS </w:t>
      </w:r>
      <w:r>
        <w:rPr>
          <w:sz w:val="24"/>
          <w:szCs w:val="24"/>
        </w:rPr>
        <w:t>I</w:t>
      </w:r>
      <w:r w:rsidR="00F62B7D">
        <w:rPr>
          <w:sz w:val="24"/>
          <w:szCs w:val="24"/>
        </w:rPr>
        <w:t>V</w:t>
      </w:r>
      <w:r>
        <w:rPr>
          <w:sz w:val="24"/>
          <w:szCs w:val="24"/>
        </w:rPr>
        <w:t xml:space="preserve"> is recreational anglers who have fished for </w:t>
      </w:r>
      <w:r w:rsidR="00F62B7D">
        <w:rPr>
          <w:sz w:val="24"/>
          <w:szCs w:val="24"/>
        </w:rPr>
        <w:t>summer flounder</w:t>
      </w:r>
      <w:r w:rsidR="00400AEE">
        <w:rPr>
          <w:sz w:val="24"/>
          <w:szCs w:val="24"/>
        </w:rPr>
        <w:t>,</w:t>
      </w:r>
      <w:r w:rsidR="00F62B7D">
        <w:rPr>
          <w:sz w:val="24"/>
          <w:szCs w:val="24"/>
        </w:rPr>
        <w:t xml:space="preserve"> black sea bass</w:t>
      </w:r>
      <w:r w:rsidR="00400AEE">
        <w:rPr>
          <w:sz w:val="24"/>
          <w:szCs w:val="24"/>
        </w:rPr>
        <w:t>, or scup</w:t>
      </w:r>
      <w:r w:rsidR="00F62B7D">
        <w:rPr>
          <w:sz w:val="24"/>
          <w:szCs w:val="24"/>
        </w:rPr>
        <w:t xml:space="preserve"> along the North Atlantic coast from Massachusetts to North Carolina</w:t>
      </w:r>
      <w:r>
        <w:rPr>
          <w:sz w:val="24"/>
          <w:szCs w:val="24"/>
        </w:rPr>
        <w:t xml:space="preserve">. Our sample frame </w:t>
      </w:r>
      <w:r>
        <w:rPr>
          <w:sz w:val="24"/>
          <w:szCs w:val="24"/>
        </w:rPr>
        <w:t>will be drawn</w:t>
      </w:r>
      <w:r>
        <w:rPr>
          <w:sz w:val="24"/>
          <w:szCs w:val="24"/>
        </w:rPr>
        <w:t xml:space="preserve"> from 202</w:t>
      </w:r>
      <w:r w:rsidR="00F62B7D">
        <w:rPr>
          <w:sz w:val="24"/>
          <w:szCs w:val="24"/>
        </w:rPr>
        <w:t>4</w:t>
      </w:r>
      <w:r>
        <w:rPr>
          <w:sz w:val="24"/>
          <w:szCs w:val="24"/>
        </w:rPr>
        <w:t xml:space="preserve"> recreational fishing license/registry databases maintained by the</w:t>
      </w:r>
      <w:r w:rsidR="00F62B7D">
        <w:rPr>
          <w:sz w:val="24"/>
          <w:szCs w:val="24"/>
        </w:rPr>
        <w:t>se</w:t>
      </w:r>
      <w:r>
        <w:rPr>
          <w:sz w:val="24"/>
          <w:szCs w:val="24"/>
        </w:rPr>
        <w:t xml:space="preserve"> states. Table 1 displays information about these databases in 202</w:t>
      </w:r>
      <w:r w:rsidR="00F62B7D">
        <w:rPr>
          <w:sz w:val="24"/>
          <w:szCs w:val="24"/>
        </w:rPr>
        <w:t>2</w:t>
      </w:r>
      <w:r>
        <w:rPr>
          <w:sz w:val="24"/>
          <w:szCs w:val="24"/>
        </w:rPr>
        <w:t>. Note that the composition of the 202</w:t>
      </w:r>
      <w:r w:rsidR="00F62B7D">
        <w:rPr>
          <w:sz w:val="24"/>
          <w:szCs w:val="24"/>
        </w:rPr>
        <w:t>4</w:t>
      </w:r>
      <w:r>
        <w:rPr>
          <w:sz w:val="24"/>
          <w:szCs w:val="24"/>
        </w:rPr>
        <w:t xml:space="preserve"> database is unlikely to differ much from that of the 2022 database. </w:t>
      </w:r>
    </w:p>
    <w:p w:rsidR="002C17E4" w14:paraId="70D6FB15" w14:textId="77777777">
      <w:pPr>
        <w:rPr>
          <w:sz w:val="24"/>
          <w:szCs w:val="24"/>
        </w:rPr>
      </w:pPr>
    </w:p>
    <w:p w:rsidR="002C17E4" w14:paraId="026B4447" w14:textId="4AD9B224">
      <w:pPr>
        <w:rPr>
          <w:sz w:val="24"/>
          <w:szCs w:val="24"/>
        </w:rPr>
      </w:pPr>
      <w:r>
        <w:rPr>
          <w:sz w:val="24"/>
          <w:szCs w:val="24"/>
        </w:rPr>
        <w:t xml:space="preserve">Given their lower per-unit cost relative to mail surveys and </w:t>
      </w:r>
      <w:r w:rsidR="00794FB9">
        <w:rPr>
          <w:sz w:val="24"/>
          <w:szCs w:val="24"/>
        </w:rPr>
        <w:t>results of the NARFS II survey,</w:t>
      </w:r>
      <w:r w:rsidR="00AE71CE">
        <w:rPr>
          <w:sz w:val="24"/>
          <w:szCs w:val="24"/>
        </w:rPr>
        <w:t xml:space="preserve"> web surveys </w:t>
      </w:r>
      <w:r w:rsidR="00EB3475">
        <w:rPr>
          <w:sz w:val="24"/>
          <w:szCs w:val="24"/>
        </w:rPr>
        <w:t>will likely</w:t>
      </w:r>
      <w:r w:rsidR="00AE71CE">
        <w:rPr>
          <w:sz w:val="24"/>
          <w:szCs w:val="24"/>
        </w:rPr>
        <w:t xml:space="preserve"> account for </w:t>
      </w:r>
      <w:r w:rsidR="00EB3475">
        <w:rPr>
          <w:sz w:val="24"/>
          <w:szCs w:val="24"/>
        </w:rPr>
        <w:t>approximately 90%</w:t>
      </w:r>
      <w:r>
        <w:rPr>
          <w:sz w:val="24"/>
          <w:szCs w:val="24"/>
        </w:rPr>
        <w:t xml:space="preserve"> of the total number of surveys distributed.</w:t>
      </w:r>
    </w:p>
    <w:p w:rsidR="002C17E4" w14:paraId="6826FDC8" w14:textId="77777777">
      <w:pPr>
        <w:rPr>
          <w:sz w:val="24"/>
          <w:szCs w:val="24"/>
        </w:rPr>
      </w:pPr>
    </w:p>
    <w:p w:rsidR="002C17E4" w14:paraId="3AE2BF05" w14:textId="09196F75">
      <w:pPr>
        <w:rPr>
          <w:sz w:val="24"/>
          <w:szCs w:val="24"/>
        </w:rPr>
      </w:pPr>
      <w:r>
        <w:rPr>
          <w:sz w:val="22"/>
          <w:szCs w:val="22"/>
        </w:rPr>
        <w:t>Table 1. 202</w:t>
      </w:r>
      <w:r w:rsidR="00F62B7D">
        <w:rPr>
          <w:sz w:val="22"/>
          <w:szCs w:val="22"/>
        </w:rPr>
        <w:t>2</w:t>
      </w:r>
      <w:r>
        <w:rPr>
          <w:sz w:val="22"/>
          <w:szCs w:val="22"/>
        </w:rPr>
        <w:t xml:space="preserve"> saltwater recreational fishing licensees by state and contact information availability</w:t>
      </w:r>
    </w:p>
    <w:tbl>
      <w:tblPr>
        <w:tblStyle w:val="a"/>
        <w:tblW w:w="6858" w:type="dxa"/>
        <w:tblBorders>
          <w:top w:val="nil"/>
          <w:left w:val="nil"/>
          <w:bottom w:val="nil"/>
          <w:right w:val="nil"/>
          <w:insideH w:val="nil"/>
          <w:insideV w:val="nil"/>
        </w:tblBorders>
        <w:tblLayout w:type="fixed"/>
        <w:tblLook w:val="0400"/>
      </w:tblPr>
      <w:tblGrid>
        <w:gridCol w:w="1800"/>
        <w:gridCol w:w="1170"/>
        <w:gridCol w:w="1152"/>
        <w:gridCol w:w="1152"/>
        <w:gridCol w:w="1584"/>
      </w:tblGrid>
      <w:tr w14:paraId="2CBDEB0F" w14:textId="77777777">
        <w:tblPrEx>
          <w:tblW w:w="6858" w:type="dxa"/>
          <w:tblBorders>
            <w:top w:val="nil"/>
            <w:left w:val="nil"/>
            <w:bottom w:val="nil"/>
            <w:right w:val="nil"/>
            <w:insideH w:val="nil"/>
            <w:insideV w:val="nil"/>
          </w:tblBorders>
          <w:tblLayout w:type="fixed"/>
          <w:tblLook w:val="0400"/>
        </w:tblPrEx>
        <w:trPr>
          <w:trHeight w:val="576"/>
        </w:trPr>
        <w:tc>
          <w:tcPr>
            <w:tcW w:w="1800" w:type="dxa"/>
            <w:tcBorders>
              <w:top w:val="single" w:sz="4" w:space="0" w:color="000000"/>
              <w:bottom w:val="single" w:sz="4" w:space="0" w:color="000000"/>
            </w:tcBorders>
            <w:vAlign w:val="center"/>
          </w:tcPr>
          <w:p w:rsidR="002C17E4" w14:paraId="27C6F9BC" w14:textId="77777777">
            <w:pPr>
              <w:tabs>
                <w:tab w:val="left" w:pos="720"/>
              </w:tabs>
              <w:rPr>
                <w:sz w:val="22"/>
                <w:szCs w:val="22"/>
              </w:rPr>
            </w:pPr>
            <w:r>
              <w:rPr>
                <w:sz w:val="22"/>
                <w:szCs w:val="22"/>
              </w:rPr>
              <w:t>State</w:t>
            </w:r>
          </w:p>
        </w:tc>
        <w:tc>
          <w:tcPr>
            <w:tcW w:w="1170" w:type="dxa"/>
            <w:tcBorders>
              <w:top w:val="single" w:sz="4" w:space="0" w:color="000000"/>
              <w:bottom w:val="single" w:sz="4" w:space="0" w:color="000000"/>
            </w:tcBorders>
            <w:vAlign w:val="center"/>
          </w:tcPr>
          <w:p w:rsidR="002C17E4" w14:paraId="17676FC0" w14:textId="77777777">
            <w:pPr>
              <w:tabs>
                <w:tab w:val="left" w:pos="720"/>
              </w:tabs>
              <w:jc w:val="center"/>
              <w:rPr>
                <w:sz w:val="22"/>
                <w:szCs w:val="22"/>
              </w:rPr>
            </w:pPr>
            <w:r>
              <w:rPr>
                <w:sz w:val="22"/>
                <w:szCs w:val="22"/>
              </w:rPr>
              <w:t>Total # of licensees</w:t>
            </w:r>
          </w:p>
        </w:tc>
        <w:tc>
          <w:tcPr>
            <w:tcW w:w="1152" w:type="dxa"/>
            <w:tcBorders>
              <w:top w:val="single" w:sz="4" w:space="0" w:color="000000"/>
              <w:bottom w:val="single" w:sz="4" w:space="0" w:color="000000"/>
            </w:tcBorders>
            <w:vAlign w:val="center"/>
          </w:tcPr>
          <w:p w:rsidR="002C17E4" w14:paraId="7636D30B" w14:textId="77777777">
            <w:pPr>
              <w:tabs>
                <w:tab w:val="left" w:pos="720"/>
              </w:tabs>
              <w:jc w:val="center"/>
              <w:rPr>
                <w:sz w:val="22"/>
                <w:szCs w:val="22"/>
              </w:rPr>
            </w:pPr>
            <w:r>
              <w:rPr>
                <w:sz w:val="22"/>
                <w:szCs w:val="22"/>
              </w:rPr>
              <w:t>Mailing address</w:t>
            </w:r>
          </w:p>
        </w:tc>
        <w:tc>
          <w:tcPr>
            <w:tcW w:w="1152" w:type="dxa"/>
            <w:tcBorders>
              <w:top w:val="single" w:sz="4" w:space="0" w:color="000000"/>
              <w:bottom w:val="single" w:sz="4" w:space="0" w:color="000000"/>
            </w:tcBorders>
            <w:vAlign w:val="center"/>
          </w:tcPr>
          <w:p w:rsidR="002C17E4" w14:paraId="304B32FA" w14:textId="77777777">
            <w:pPr>
              <w:tabs>
                <w:tab w:val="left" w:pos="720"/>
              </w:tabs>
              <w:jc w:val="center"/>
              <w:rPr>
                <w:sz w:val="22"/>
                <w:szCs w:val="22"/>
              </w:rPr>
            </w:pPr>
            <w:r>
              <w:rPr>
                <w:sz w:val="22"/>
                <w:szCs w:val="22"/>
              </w:rPr>
              <w:t>Email address</w:t>
            </w:r>
          </w:p>
        </w:tc>
        <w:tc>
          <w:tcPr>
            <w:tcW w:w="1584" w:type="dxa"/>
            <w:tcBorders>
              <w:top w:val="single" w:sz="4" w:space="0" w:color="000000"/>
              <w:bottom w:val="single" w:sz="4" w:space="0" w:color="000000"/>
            </w:tcBorders>
            <w:vAlign w:val="center"/>
          </w:tcPr>
          <w:p w:rsidR="002C17E4" w14:paraId="4FEF5C8A" w14:textId="77777777">
            <w:pPr>
              <w:tabs>
                <w:tab w:val="left" w:pos="720"/>
              </w:tabs>
              <w:jc w:val="center"/>
              <w:rPr>
                <w:sz w:val="22"/>
                <w:szCs w:val="22"/>
              </w:rPr>
            </w:pPr>
            <w:r>
              <w:rPr>
                <w:sz w:val="22"/>
                <w:szCs w:val="22"/>
              </w:rPr>
              <w:t>Mailing and email address</w:t>
            </w:r>
          </w:p>
        </w:tc>
      </w:tr>
      <w:tr w14:paraId="5651D92E" w14:textId="77777777">
        <w:tblPrEx>
          <w:tblW w:w="6858" w:type="dxa"/>
          <w:tblLayout w:type="fixed"/>
          <w:tblLook w:val="0400"/>
        </w:tblPrEx>
        <w:trPr>
          <w:trHeight w:val="360"/>
        </w:trPr>
        <w:tc>
          <w:tcPr>
            <w:tcW w:w="1800" w:type="dxa"/>
            <w:tcBorders>
              <w:top w:val="single" w:sz="4" w:space="0" w:color="000000"/>
            </w:tcBorders>
            <w:vAlign w:val="center"/>
          </w:tcPr>
          <w:p w:rsidR="002C17E4" w:rsidP="00FC13A8" w14:paraId="0CEF5886" w14:textId="5CC99C98">
            <w:pPr>
              <w:tabs>
                <w:tab w:val="left" w:pos="720"/>
              </w:tabs>
              <w:rPr>
                <w:sz w:val="22"/>
                <w:szCs w:val="22"/>
              </w:rPr>
            </w:pPr>
            <w:r>
              <w:rPr>
                <w:sz w:val="22"/>
                <w:szCs w:val="22"/>
              </w:rPr>
              <w:t>Ma</w:t>
            </w:r>
            <w:r w:rsidR="00FC13A8">
              <w:rPr>
                <w:sz w:val="22"/>
                <w:szCs w:val="22"/>
              </w:rPr>
              <w:t>ssachusetts</w:t>
            </w:r>
          </w:p>
        </w:tc>
        <w:tc>
          <w:tcPr>
            <w:tcW w:w="1170" w:type="dxa"/>
            <w:tcBorders>
              <w:top w:val="single" w:sz="4" w:space="0" w:color="000000"/>
            </w:tcBorders>
            <w:vAlign w:val="center"/>
          </w:tcPr>
          <w:p w:rsidR="002C17E4" w14:paraId="5523B763" w14:textId="719D0B5C">
            <w:pPr>
              <w:tabs>
                <w:tab w:val="left" w:pos="720"/>
              </w:tabs>
              <w:jc w:val="right"/>
              <w:rPr>
                <w:sz w:val="22"/>
                <w:szCs w:val="22"/>
              </w:rPr>
            </w:pPr>
            <w:r>
              <w:rPr>
                <w:sz w:val="22"/>
                <w:szCs w:val="22"/>
              </w:rPr>
              <w:t>186,468</w:t>
            </w:r>
          </w:p>
        </w:tc>
        <w:tc>
          <w:tcPr>
            <w:tcW w:w="1152" w:type="dxa"/>
            <w:tcBorders>
              <w:top w:val="single" w:sz="4" w:space="0" w:color="000000"/>
            </w:tcBorders>
            <w:vAlign w:val="center"/>
          </w:tcPr>
          <w:p w:rsidR="002C17E4" w14:paraId="563F3F55" w14:textId="4F027EB7">
            <w:pPr>
              <w:tabs>
                <w:tab w:val="left" w:pos="720"/>
              </w:tabs>
              <w:jc w:val="right"/>
              <w:rPr>
                <w:sz w:val="22"/>
                <w:szCs w:val="22"/>
              </w:rPr>
            </w:pPr>
            <w:r>
              <w:rPr>
                <w:sz w:val="22"/>
                <w:szCs w:val="22"/>
              </w:rPr>
              <w:t>186,439</w:t>
            </w:r>
          </w:p>
        </w:tc>
        <w:tc>
          <w:tcPr>
            <w:tcW w:w="1152" w:type="dxa"/>
            <w:tcBorders>
              <w:top w:val="single" w:sz="4" w:space="0" w:color="000000"/>
            </w:tcBorders>
            <w:vAlign w:val="center"/>
          </w:tcPr>
          <w:p w:rsidR="002C17E4" w14:paraId="536D8F12" w14:textId="3F96512E">
            <w:pPr>
              <w:tabs>
                <w:tab w:val="left" w:pos="720"/>
              </w:tabs>
              <w:jc w:val="right"/>
              <w:rPr>
                <w:sz w:val="22"/>
                <w:szCs w:val="22"/>
              </w:rPr>
            </w:pPr>
            <w:r>
              <w:rPr>
                <w:sz w:val="22"/>
                <w:szCs w:val="22"/>
              </w:rPr>
              <w:t>139,405</w:t>
            </w:r>
          </w:p>
        </w:tc>
        <w:tc>
          <w:tcPr>
            <w:tcW w:w="1584" w:type="dxa"/>
            <w:tcBorders>
              <w:top w:val="single" w:sz="4" w:space="0" w:color="000000"/>
            </w:tcBorders>
            <w:vAlign w:val="center"/>
          </w:tcPr>
          <w:p w:rsidR="002C17E4" w14:paraId="2D1694A9" w14:textId="28395B45">
            <w:pPr>
              <w:tabs>
                <w:tab w:val="left" w:pos="720"/>
              </w:tabs>
              <w:jc w:val="right"/>
              <w:rPr>
                <w:sz w:val="22"/>
                <w:szCs w:val="22"/>
              </w:rPr>
            </w:pPr>
            <w:r>
              <w:rPr>
                <w:sz w:val="22"/>
                <w:szCs w:val="22"/>
              </w:rPr>
              <w:t>139,396</w:t>
            </w:r>
          </w:p>
        </w:tc>
      </w:tr>
      <w:tr w14:paraId="6B41CF6A" w14:textId="77777777">
        <w:tblPrEx>
          <w:tblW w:w="6858" w:type="dxa"/>
          <w:tblLayout w:type="fixed"/>
          <w:tblLook w:val="0400"/>
        </w:tblPrEx>
        <w:trPr>
          <w:trHeight w:val="360"/>
        </w:trPr>
        <w:tc>
          <w:tcPr>
            <w:tcW w:w="1800" w:type="dxa"/>
            <w:vAlign w:val="center"/>
          </w:tcPr>
          <w:p w:rsidR="002C17E4" w14:paraId="1D05A5FC" w14:textId="057056C3">
            <w:pPr>
              <w:tabs>
                <w:tab w:val="left" w:pos="720"/>
              </w:tabs>
              <w:rPr>
                <w:sz w:val="22"/>
                <w:szCs w:val="22"/>
              </w:rPr>
            </w:pPr>
            <w:r>
              <w:rPr>
                <w:sz w:val="22"/>
                <w:szCs w:val="22"/>
              </w:rPr>
              <w:t>Rhode Island</w:t>
            </w:r>
          </w:p>
        </w:tc>
        <w:tc>
          <w:tcPr>
            <w:tcW w:w="1170" w:type="dxa"/>
            <w:vAlign w:val="center"/>
          </w:tcPr>
          <w:p w:rsidR="002C17E4" w14:paraId="7CBD7A14" w14:textId="2AD7BE1C">
            <w:pPr>
              <w:tabs>
                <w:tab w:val="left" w:pos="720"/>
              </w:tabs>
              <w:jc w:val="right"/>
              <w:rPr>
                <w:sz w:val="22"/>
                <w:szCs w:val="22"/>
              </w:rPr>
            </w:pPr>
            <w:r>
              <w:rPr>
                <w:sz w:val="22"/>
                <w:szCs w:val="22"/>
              </w:rPr>
              <w:t>50,336</w:t>
            </w:r>
          </w:p>
        </w:tc>
        <w:tc>
          <w:tcPr>
            <w:tcW w:w="1152" w:type="dxa"/>
            <w:vAlign w:val="center"/>
          </w:tcPr>
          <w:p w:rsidR="002C17E4" w14:paraId="0C0140B0" w14:textId="145B4FA1">
            <w:pPr>
              <w:tabs>
                <w:tab w:val="left" w:pos="720"/>
              </w:tabs>
              <w:jc w:val="right"/>
              <w:rPr>
                <w:sz w:val="22"/>
                <w:szCs w:val="22"/>
              </w:rPr>
            </w:pPr>
            <w:r>
              <w:rPr>
                <w:sz w:val="22"/>
                <w:szCs w:val="22"/>
              </w:rPr>
              <w:t>50,327</w:t>
            </w:r>
          </w:p>
        </w:tc>
        <w:tc>
          <w:tcPr>
            <w:tcW w:w="1152" w:type="dxa"/>
            <w:vAlign w:val="center"/>
          </w:tcPr>
          <w:p w:rsidR="002C17E4" w14:paraId="271B5750" w14:textId="107C62F5">
            <w:pPr>
              <w:tabs>
                <w:tab w:val="left" w:pos="720"/>
              </w:tabs>
              <w:jc w:val="right"/>
              <w:rPr>
                <w:sz w:val="22"/>
                <w:szCs w:val="22"/>
              </w:rPr>
            </w:pPr>
            <w:r>
              <w:rPr>
                <w:sz w:val="22"/>
                <w:szCs w:val="22"/>
              </w:rPr>
              <w:t>37,399</w:t>
            </w:r>
          </w:p>
        </w:tc>
        <w:tc>
          <w:tcPr>
            <w:tcW w:w="1584" w:type="dxa"/>
            <w:vAlign w:val="center"/>
          </w:tcPr>
          <w:p w:rsidR="002C17E4" w14:paraId="5EF15474" w14:textId="408E9092">
            <w:pPr>
              <w:tabs>
                <w:tab w:val="left" w:pos="720"/>
              </w:tabs>
              <w:jc w:val="right"/>
              <w:rPr>
                <w:sz w:val="22"/>
                <w:szCs w:val="22"/>
              </w:rPr>
            </w:pPr>
            <w:r>
              <w:rPr>
                <w:sz w:val="22"/>
                <w:szCs w:val="22"/>
              </w:rPr>
              <w:t>37,397</w:t>
            </w:r>
          </w:p>
        </w:tc>
      </w:tr>
      <w:tr w14:paraId="3457564F" w14:textId="77777777">
        <w:tblPrEx>
          <w:tblW w:w="6858" w:type="dxa"/>
          <w:tblLayout w:type="fixed"/>
          <w:tblLook w:val="0400"/>
        </w:tblPrEx>
        <w:trPr>
          <w:trHeight w:val="360"/>
        </w:trPr>
        <w:tc>
          <w:tcPr>
            <w:tcW w:w="1800" w:type="dxa"/>
            <w:vAlign w:val="center"/>
          </w:tcPr>
          <w:p w:rsidR="00FC13A8" w14:paraId="61E0EE77" w14:textId="434C8A89">
            <w:pPr>
              <w:tabs>
                <w:tab w:val="left" w:pos="720"/>
              </w:tabs>
              <w:rPr>
                <w:sz w:val="22"/>
                <w:szCs w:val="22"/>
              </w:rPr>
            </w:pPr>
            <w:r>
              <w:rPr>
                <w:sz w:val="22"/>
                <w:szCs w:val="22"/>
              </w:rPr>
              <w:t>Connecticut</w:t>
            </w:r>
          </w:p>
        </w:tc>
        <w:tc>
          <w:tcPr>
            <w:tcW w:w="1170" w:type="dxa"/>
            <w:vAlign w:val="center"/>
          </w:tcPr>
          <w:p w:rsidR="00FC13A8" w14:paraId="0D293C00" w14:textId="71F4EC13">
            <w:pPr>
              <w:tabs>
                <w:tab w:val="left" w:pos="720"/>
              </w:tabs>
              <w:jc w:val="right"/>
              <w:rPr>
                <w:sz w:val="22"/>
                <w:szCs w:val="22"/>
              </w:rPr>
            </w:pPr>
            <w:r>
              <w:rPr>
                <w:sz w:val="22"/>
                <w:szCs w:val="22"/>
              </w:rPr>
              <w:t>97,409</w:t>
            </w:r>
          </w:p>
        </w:tc>
        <w:tc>
          <w:tcPr>
            <w:tcW w:w="1152" w:type="dxa"/>
            <w:vAlign w:val="center"/>
          </w:tcPr>
          <w:p w:rsidR="00FC13A8" w14:paraId="01EF8DA4" w14:textId="39EA44BA">
            <w:pPr>
              <w:tabs>
                <w:tab w:val="left" w:pos="720"/>
              </w:tabs>
              <w:jc w:val="right"/>
              <w:rPr>
                <w:sz w:val="22"/>
                <w:szCs w:val="22"/>
              </w:rPr>
            </w:pPr>
            <w:r>
              <w:rPr>
                <w:sz w:val="22"/>
                <w:szCs w:val="22"/>
              </w:rPr>
              <w:t>97,401</w:t>
            </w:r>
          </w:p>
        </w:tc>
        <w:tc>
          <w:tcPr>
            <w:tcW w:w="1152" w:type="dxa"/>
            <w:vAlign w:val="center"/>
          </w:tcPr>
          <w:p w:rsidR="00FC13A8" w14:paraId="5E19848C" w14:textId="12CE4B53">
            <w:pPr>
              <w:tabs>
                <w:tab w:val="left" w:pos="720"/>
              </w:tabs>
              <w:jc w:val="right"/>
              <w:rPr>
                <w:sz w:val="22"/>
                <w:szCs w:val="22"/>
              </w:rPr>
            </w:pPr>
            <w:r>
              <w:rPr>
                <w:sz w:val="22"/>
                <w:szCs w:val="22"/>
              </w:rPr>
              <w:t>45,372</w:t>
            </w:r>
          </w:p>
        </w:tc>
        <w:tc>
          <w:tcPr>
            <w:tcW w:w="1584" w:type="dxa"/>
            <w:vAlign w:val="center"/>
          </w:tcPr>
          <w:p w:rsidR="00FC13A8" w14:paraId="13FEE301" w14:textId="465E4440">
            <w:pPr>
              <w:tabs>
                <w:tab w:val="left" w:pos="720"/>
              </w:tabs>
              <w:jc w:val="right"/>
              <w:rPr>
                <w:sz w:val="22"/>
                <w:szCs w:val="22"/>
              </w:rPr>
            </w:pPr>
            <w:r>
              <w:rPr>
                <w:sz w:val="22"/>
                <w:szCs w:val="22"/>
              </w:rPr>
              <w:t>45,369</w:t>
            </w:r>
          </w:p>
        </w:tc>
      </w:tr>
      <w:tr w14:paraId="5D3504B3" w14:textId="77777777">
        <w:tblPrEx>
          <w:tblW w:w="6858" w:type="dxa"/>
          <w:tblLayout w:type="fixed"/>
          <w:tblLook w:val="0400"/>
        </w:tblPrEx>
        <w:trPr>
          <w:trHeight w:val="360"/>
        </w:trPr>
        <w:tc>
          <w:tcPr>
            <w:tcW w:w="1800" w:type="dxa"/>
            <w:vAlign w:val="center"/>
          </w:tcPr>
          <w:p w:rsidR="00FC13A8" w14:paraId="1502F77A" w14:textId="26DFE82B">
            <w:pPr>
              <w:tabs>
                <w:tab w:val="left" w:pos="720"/>
              </w:tabs>
              <w:rPr>
                <w:sz w:val="22"/>
                <w:szCs w:val="22"/>
              </w:rPr>
            </w:pPr>
            <w:r>
              <w:rPr>
                <w:sz w:val="22"/>
                <w:szCs w:val="22"/>
              </w:rPr>
              <w:t>New York</w:t>
            </w:r>
          </w:p>
        </w:tc>
        <w:tc>
          <w:tcPr>
            <w:tcW w:w="1170" w:type="dxa"/>
            <w:vAlign w:val="center"/>
          </w:tcPr>
          <w:p w:rsidR="00FC13A8" w14:paraId="2DDCB440" w14:textId="62A777D6">
            <w:pPr>
              <w:tabs>
                <w:tab w:val="left" w:pos="720"/>
              </w:tabs>
              <w:jc w:val="right"/>
              <w:rPr>
                <w:sz w:val="22"/>
                <w:szCs w:val="22"/>
              </w:rPr>
            </w:pPr>
            <w:r>
              <w:rPr>
                <w:sz w:val="22"/>
                <w:szCs w:val="22"/>
              </w:rPr>
              <w:t>766,604</w:t>
            </w:r>
          </w:p>
        </w:tc>
        <w:tc>
          <w:tcPr>
            <w:tcW w:w="1152" w:type="dxa"/>
            <w:vAlign w:val="center"/>
          </w:tcPr>
          <w:p w:rsidR="00FC13A8" w14:paraId="06FBC62F" w14:textId="4C2AE468">
            <w:pPr>
              <w:tabs>
                <w:tab w:val="left" w:pos="720"/>
              </w:tabs>
              <w:jc w:val="right"/>
              <w:rPr>
                <w:sz w:val="22"/>
                <w:szCs w:val="22"/>
              </w:rPr>
            </w:pPr>
            <w:r>
              <w:rPr>
                <w:sz w:val="22"/>
                <w:szCs w:val="22"/>
              </w:rPr>
              <w:t>766,604</w:t>
            </w:r>
          </w:p>
        </w:tc>
        <w:tc>
          <w:tcPr>
            <w:tcW w:w="1152" w:type="dxa"/>
            <w:vAlign w:val="center"/>
          </w:tcPr>
          <w:p w:rsidR="00FC13A8" w14:paraId="03EE9EC4" w14:textId="45BE63AC">
            <w:pPr>
              <w:tabs>
                <w:tab w:val="left" w:pos="720"/>
              </w:tabs>
              <w:jc w:val="right"/>
              <w:rPr>
                <w:sz w:val="22"/>
                <w:szCs w:val="22"/>
              </w:rPr>
            </w:pPr>
            <w:r>
              <w:rPr>
                <w:sz w:val="22"/>
                <w:szCs w:val="22"/>
              </w:rPr>
              <w:t>647,330</w:t>
            </w:r>
          </w:p>
        </w:tc>
        <w:tc>
          <w:tcPr>
            <w:tcW w:w="1584" w:type="dxa"/>
            <w:vAlign w:val="center"/>
          </w:tcPr>
          <w:p w:rsidR="00FC13A8" w14:paraId="744D86B0" w14:textId="6B0DFA91">
            <w:pPr>
              <w:tabs>
                <w:tab w:val="left" w:pos="720"/>
              </w:tabs>
              <w:jc w:val="right"/>
              <w:rPr>
                <w:sz w:val="22"/>
                <w:szCs w:val="22"/>
              </w:rPr>
            </w:pPr>
            <w:r>
              <w:rPr>
                <w:sz w:val="22"/>
                <w:szCs w:val="22"/>
              </w:rPr>
              <w:t>647,330</w:t>
            </w:r>
          </w:p>
        </w:tc>
      </w:tr>
      <w:tr w14:paraId="27F3DED9" w14:textId="77777777">
        <w:tblPrEx>
          <w:tblW w:w="6858" w:type="dxa"/>
          <w:tblLayout w:type="fixed"/>
          <w:tblLook w:val="0400"/>
        </w:tblPrEx>
        <w:trPr>
          <w:trHeight w:val="360"/>
        </w:trPr>
        <w:tc>
          <w:tcPr>
            <w:tcW w:w="1800" w:type="dxa"/>
            <w:vAlign w:val="center"/>
          </w:tcPr>
          <w:p w:rsidR="00FC13A8" w14:paraId="56E08F94" w14:textId="13AAF3F3">
            <w:pPr>
              <w:tabs>
                <w:tab w:val="left" w:pos="720"/>
              </w:tabs>
              <w:rPr>
                <w:sz w:val="22"/>
                <w:szCs w:val="22"/>
              </w:rPr>
            </w:pPr>
            <w:r>
              <w:rPr>
                <w:sz w:val="22"/>
                <w:szCs w:val="22"/>
              </w:rPr>
              <w:t>New Jersey</w:t>
            </w:r>
          </w:p>
        </w:tc>
        <w:tc>
          <w:tcPr>
            <w:tcW w:w="1170" w:type="dxa"/>
            <w:vAlign w:val="center"/>
          </w:tcPr>
          <w:p w:rsidR="00FC13A8" w14:paraId="7FF0F236" w14:textId="1BD0B122">
            <w:pPr>
              <w:tabs>
                <w:tab w:val="left" w:pos="720"/>
              </w:tabs>
              <w:jc w:val="right"/>
              <w:rPr>
                <w:sz w:val="22"/>
                <w:szCs w:val="22"/>
              </w:rPr>
            </w:pPr>
            <w:r>
              <w:rPr>
                <w:sz w:val="22"/>
                <w:szCs w:val="22"/>
              </w:rPr>
              <w:t>146,144</w:t>
            </w:r>
          </w:p>
        </w:tc>
        <w:tc>
          <w:tcPr>
            <w:tcW w:w="1152" w:type="dxa"/>
            <w:vAlign w:val="center"/>
          </w:tcPr>
          <w:p w:rsidR="00FC13A8" w14:paraId="5988EC77" w14:textId="66E6ACE1">
            <w:pPr>
              <w:tabs>
                <w:tab w:val="left" w:pos="720"/>
              </w:tabs>
              <w:jc w:val="right"/>
              <w:rPr>
                <w:sz w:val="22"/>
                <w:szCs w:val="22"/>
              </w:rPr>
            </w:pPr>
            <w:r>
              <w:rPr>
                <w:sz w:val="22"/>
                <w:szCs w:val="22"/>
              </w:rPr>
              <w:t>146,144</w:t>
            </w:r>
          </w:p>
        </w:tc>
        <w:tc>
          <w:tcPr>
            <w:tcW w:w="1152" w:type="dxa"/>
            <w:vAlign w:val="center"/>
          </w:tcPr>
          <w:p w:rsidR="00FC13A8" w14:paraId="74E46BF7" w14:textId="5A7BE9C7">
            <w:pPr>
              <w:tabs>
                <w:tab w:val="left" w:pos="720"/>
              </w:tabs>
              <w:jc w:val="right"/>
              <w:rPr>
                <w:sz w:val="22"/>
                <w:szCs w:val="22"/>
              </w:rPr>
            </w:pPr>
            <w:r>
              <w:rPr>
                <w:sz w:val="22"/>
                <w:szCs w:val="22"/>
              </w:rPr>
              <w:t>136,629</w:t>
            </w:r>
          </w:p>
        </w:tc>
        <w:tc>
          <w:tcPr>
            <w:tcW w:w="1584" w:type="dxa"/>
            <w:vAlign w:val="center"/>
          </w:tcPr>
          <w:p w:rsidR="00FC13A8" w14:paraId="7A0EE1A8" w14:textId="5D2AA3B6">
            <w:pPr>
              <w:tabs>
                <w:tab w:val="left" w:pos="720"/>
              </w:tabs>
              <w:jc w:val="right"/>
              <w:rPr>
                <w:sz w:val="22"/>
                <w:szCs w:val="22"/>
              </w:rPr>
            </w:pPr>
            <w:r>
              <w:rPr>
                <w:sz w:val="22"/>
                <w:szCs w:val="22"/>
              </w:rPr>
              <w:t>136,629</w:t>
            </w:r>
          </w:p>
        </w:tc>
      </w:tr>
      <w:tr w14:paraId="1A5755D9" w14:textId="77777777">
        <w:tblPrEx>
          <w:tblW w:w="6858" w:type="dxa"/>
          <w:tblLayout w:type="fixed"/>
          <w:tblLook w:val="0400"/>
        </w:tblPrEx>
        <w:trPr>
          <w:trHeight w:val="360"/>
        </w:trPr>
        <w:tc>
          <w:tcPr>
            <w:tcW w:w="1800" w:type="dxa"/>
            <w:vAlign w:val="center"/>
          </w:tcPr>
          <w:p w:rsidR="00FC13A8" w14:paraId="73BC2FFB" w14:textId="79F9C51E">
            <w:pPr>
              <w:tabs>
                <w:tab w:val="left" w:pos="720"/>
              </w:tabs>
              <w:rPr>
                <w:sz w:val="22"/>
                <w:szCs w:val="22"/>
              </w:rPr>
            </w:pPr>
            <w:r>
              <w:rPr>
                <w:sz w:val="22"/>
                <w:szCs w:val="22"/>
              </w:rPr>
              <w:t>Delaware</w:t>
            </w:r>
          </w:p>
        </w:tc>
        <w:tc>
          <w:tcPr>
            <w:tcW w:w="1170" w:type="dxa"/>
            <w:vAlign w:val="center"/>
          </w:tcPr>
          <w:p w:rsidR="00FC13A8" w14:paraId="158994BE" w14:textId="35D5A880">
            <w:pPr>
              <w:tabs>
                <w:tab w:val="left" w:pos="720"/>
              </w:tabs>
              <w:jc w:val="right"/>
              <w:rPr>
                <w:sz w:val="22"/>
                <w:szCs w:val="22"/>
              </w:rPr>
            </w:pPr>
            <w:r>
              <w:rPr>
                <w:sz w:val="22"/>
                <w:szCs w:val="22"/>
              </w:rPr>
              <w:t>101,006</w:t>
            </w:r>
          </w:p>
        </w:tc>
        <w:tc>
          <w:tcPr>
            <w:tcW w:w="1152" w:type="dxa"/>
            <w:vAlign w:val="center"/>
          </w:tcPr>
          <w:p w:rsidR="00FC13A8" w14:paraId="5A1BE782" w14:textId="15F9FBB4">
            <w:pPr>
              <w:tabs>
                <w:tab w:val="left" w:pos="720"/>
              </w:tabs>
              <w:jc w:val="right"/>
              <w:rPr>
                <w:sz w:val="22"/>
                <w:szCs w:val="22"/>
              </w:rPr>
            </w:pPr>
            <w:r>
              <w:rPr>
                <w:sz w:val="22"/>
                <w:szCs w:val="22"/>
              </w:rPr>
              <w:t>101,005</w:t>
            </w:r>
          </w:p>
        </w:tc>
        <w:tc>
          <w:tcPr>
            <w:tcW w:w="1152" w:type="dxa"/>
            <w:vAlign w:val="center"/>
          </w:tcPr>
          <w:p w:rsidR="00FC13A8" w14:paraId="7B8D3FB0" w14:textId="64F2F1B1">
            <w:pPr>
              <w:tabs>
                <w:tab w:val="left" w:pos="720"/>
              </w:tabs>
              <w:jc w:val="right"/>
              <w:rPr>
                <w:sz w:val="22"/>
                <w:szCs w:val="22"/>
              </w:rPr>
            </w:pPr>
            <w:r>
              <w:rPr>
                <w:sz w:val="22"/>
                <w:szCs w:val="22"/>
              </w:rPr>
              <w:t>16,963</w:t>
            </w:r>
          </w:p>
        </w:tc>
        <w:tc>
          <w:tcPr>
            <w:tcW w:w="1584" w:type="dxa"/>
            <w:vAlign w:val="center"/>
          </w:tcPr>
          <w:p w:rsidR="00FC13A8" w14:paraId="74D13E7E" w14:textId="459584AA">
            <w:pPr>
              <w:tabs>
                <w:tab w:val="left" w:pos="720"/>
              </w:tabs>
              <w:jc w:val="right"/>
              <w:rPr>
                <w:sz w:val="22"/>
                <w:szCs w:val="22"/>
              </w:rPr>
            </w:pPr>
            <w:r>
              <w:rPr>
                <w:sz w:val="22"/>
                <w:szCs w:val="22"/>
              </w:rPr>
              <w:t>16,963</w:t>
            </w:r>
          </w:p>
        </w:tc>
      </w:tr>
      <w:tr w14:paraId="23ADD407" w14:textId="77777777">
        <w:tblPrEx>
          <w:tblW w:w="6858" w:type="dxa"/>
          <w:tblLayout w:type="fixed"/>
          <w:tblLook w:val="0400"/>
        </w:tblPrEx>
        <w:trPr>
          <w:trHeight w:val="360"/>
        </w:trPr>
        <w:tc>
          <w:tcPr>
            <w:tcW w:w="1800" w:type="dxa"/>
            <w:vAlign w:val="center"/>
          </w:tcPr>
          <w:p w:rsidR="00FC13A8" w14:paraId="21142872" w14:textId="317A9CB7">
            <w:pPr>
              <w:tabs>
                <w:tab w:val="left" w:pos="720"/>
              </w:tabs>
              <w:rPr>
                <w:sz w:val="22"/>
                <w:szCs w:val="22"/>
              </w:rPr>
            </w:pPr>
            <w:r>
              <w:rPr>
                <w:sz w:val="22"/>
                <w:szCs w:val="22"/>
              </w:rPr>
              <w:t>Maryland</w:t>
            </w:r>
          </w:p>
        </w:tc>
        <w:tc>
          <w:tcPr>
            <w:tcW w:w="1170" w:type="dxa"/>
            <w:vAlign w:val="center"/>
          </w:tcPr>
          <w:p w:rsidR="00FC13A8" w14:paraId="1D6054CA" w14:textId="0A4E059D">
            <w:pPr>
              <w:tabs>
                <w:tab w:val="left" w:pos="720"/>
              </w:tabs>
              <w:jc w:val="right"/>
              <w:rPr>
                <w:sz w:val="22"/>
                <w:szCs w:val="22"/>
              </w:rPr>
            </w:pPr>
            <w:r>
              <w:rPr>
                <w:sz w:val="22"/>
                <w:szCs w:val="22"/>
              </w:rPr>
              <w:t>455,341</w:t>
            </w:r>
          </w:p>
        </w:tc>
        <w:tc>
          <w:tcPr>
            <w:tcW w:w="1152" w:type="dxa"/>
            <w:vAlign w:val="center"/>
          </w:tcPr>
          <w:p w:rsidR="00FC13A8" w14:paraId="13A185C7" w14:textId="03ED46DC">
            <w:pPr>
              <w:tabs>
                <w:tab w:val="left" w:pos="720"/>
              </w:tabs>
              <w:jc w:val="right"/>
              <w:rPr>
                <w:sz w:val="22"/>
                <w:szCs w:val="22"/>
              </w:rPr>
            </w:pPr>
            <w:r>
              <w:rPr>
                <w:sz w:val="22"/>
                <w:szCs w:val="22"/>
              </w:rPr>
              <w:t>455,341</w:t>
            </w:r>
          </w:p>
        </w:tc>
        <w:tc>
          <w:tcPr>
            <w:tcW w:w="1152" w:type="dxa"/>
            <w:vAlign w:val="center"/>
          </w:tcPr>
          <w:p w:rsidR="00FC13A8" w14:paraId="3695E634" w14:textId="6014B2A2">
            <w:pPr>
              <w:tabs>
                <w:tab w:val="left" w:pos="720"/>
              </w:tabs>
              <w:jc w:val="right"/>
              <w:rPr>
                <w:sz w:val="22"/>
                <w:szCs w:val="22"/>
              </w:rPr>
            </w:pPr>
            <w:r>
              <w:rPr>
                <w:sz w:val="22"/>
                <w:szCs w:val="22"/>
              </w:rPr>
              <w:t>242,057</w:t>
            </w:r>
          </w:p>
        </w:tc>
        <w:tc>
          <w:tcPr>
            <w:tcW w:w="1584" w:type="dxa"/>
            <w:vAlign w:val="center"/>
          </w:tcPr>
          <w:p w:rsidR="00FC13A8" w14:paraId="2FAD3A99" w14:textId="2C6A3562">
            <w:pPr>
              <w:tabs>
                <w:tab w:val="left" w:pos="720"/>
              </w:tabs>
              <w:jc w:val="right"/>
              <w:rPr>
                <w:sz w:val="22"/>
                <w:szCs w:val="22"/>
              </w:rPr>
            </w:pPr>
            <w:r>
              <w:rPr>
                <w:sz w:val="22"/>
                <w:szCs w:val="22"/>
              </w:rPr>
              <w:t>242,057</w:t>
            </w:r>
          </w:p>
        </w:tc>
      </w:tr>
      <w:tr w14:paraId="59894827" w14:textId="77777777">
        <w:tblPrEx>
          <w:tblW w:w="6858" w:type="dxa"/>
          <w:tblLayout w:type="fixed"/>
          <w:tblLook w:val="0400"/>
        </w:tblPrEx>
        <w:trPr>
          <w:trHeight w:val="360"/>
        </w:trPr>
        <w:tc>
          <w:tcPr>
            <w:tcW w:w="1800" w:type="dxa"/>
            <w:vAlign w:val="center"/>
          </w:tcPr>
          <w:p w:rsidR="00FC13A8" w14:paraId="72865D41" w14:textId="28C6E8B2">
            <w:pPr>
              <w:tabs>
                <w:tab w:val="left" w:pos="720"/>
              </w:tabs>
              <w:rPr>
                <w:sz w:val="22"/>
                <w:szCs w:val="22"/>
              </w:rPr>
            </w:pPr>
            <w:r>
              <w:rPr>
                <w:sz w:val="22"/>
                <w:szCs w:val="22"/>
              </w:rPr>
              <w:t>Virginia</w:t>
            </w:r>
          </w:p>
        </w:tc>
        <w:tc>
          <w:tcPr>
            <w:tcW w:w="1170" w:type="dxa"/>
            <w:vAlign w:val="center"/>
          </w:tcPr>
          <w:p w:rsidR="00FC13A8" w14:paraId="27B47F06" w14:textId="508CC63A">
            <w:pPr>
              <w:tabs>
                <w:tab w:val="left" w:pos="720"/>
              </w:tabs>
              <w:jc w:val="right"/>
              <w:rPr>
                <w:sz w:val="22"/>
                <w:szCs w:val="22"/>
              </w:rPr>
            </w:pPr>
            <w:r>
              <w:rPr>
                <w:sz w:val="22"/>
                <w:szCs w:val="22"/>
              </w:rPr>
              <w:t>433,555</w:t>
            </w:r>
          </w:p>
        </w:tc>
        <w:tc>
          <w:tcPr>
            <w:tcW w:w="1152" w:type="dxa"/>
            <w:vAlign w:val="center"/>
          </w:tcPr>
          <w:p w:rsidR="00FC13A8" w14:paraId="5279DF1F" w14:textId="25D4558D">
            <w:pPr>
              <w:tabs>
                <w:tab w:val="left" w:pos="720"/>
              </w:tabs>
              <w:jc w:val="right"/>
              <w:rPr>
                <w:sz w:val="22"/>
                <w:szCs w:val="22"/>
              </w:rPr>
            </w:pPr>
            <w:r>
              <w:rPr>
                <w:sz w:val="22"/>
                <w:szCs w:val="22"/>
              </w:rPr>
              <w:t>433,555</w:t>
            </w:r>
          </w:p>
        </w:tc>
        <w:tc>
          <w:tcPr>
            <w:tcW w:w="1152" w:type="dxa"/>
            <w:vAlign w:val="center"/>
          </w:tcPr>
          <w:p w:rsidR="00FC13A8" w14:paraId="28718F37" w14:textId="4B3AFE1D">
            <w:pPr>
              <w:tabs>
                <w:tab w:val="left" w:pos="720"/>
              </w:tabs>
              <w:jc w:val="right"/>
              <w:rPr>
                <w:sz w:val="22"/>
                <w:szCs w:val="22"/>
              </w:rPr>
            </w:pPr>
            <w:r>
              <w:rPr>
                <w:sz w:val="22"/>
                <w:szCs w:val="22"/>
              </w:rPr>
              <w:t>292,450</w:t>
            </w:r>
          </w:p>
        </w:tc>
        <w:tc>
          <w:tcPr>
            <w:tcW w:w="1584" w:type="dxa"/>
            <w:vAlign w:val="center"/>
          </w:tcPr>
          <w:p w:rsidR="00FC13A8" w14:paraId="278FFA7D" w14:textId="60331440">
            <w:pPr>
              <w:tabs>
                <w:tab w:val="left" w:pos="720"/>
              </w:tabs>
              <w:jc w:val="right"/>
              <w:rPr>
                <w:sz w:val="22"/>
                <w:szCs w:val="22"/>
              </w:rPr>
            </w:pPr>
            <w:r>
              <w:rPr>
                <w:sz w:val="22"/>
                <w:szCs w:val="22"/>
              </w:rPr>
              <w:t>292,450</w:t>
            </w:r>
          </w:p>
        </w:tc>
      </w:tr>
      <w:tr w14:paraId="39E40B4E" w14:textId="77777777">
        <w:tblPrEx>
          <w:tblW w:w="6858" w:type="dxa"/>
          <w:tblLayout w:type="fixed"/>
          <w:tblLook w:val="0400"/>
        </w:tblPrEx>
        <w:trPr>
          <w:trHeight w:val="360"/>
        </w:trPr>
        <w:tc>
          <w:tcPr>
            <w:tcW w:w="1800" w:type="dxa"/>
            <w:tcBorders>
              <w:bottom w:val="single" w:sz="4" w:space="0" w:color="000000"/>
            </w:tcBorders>
            <w:vAlign w:val="center"/>
          </w:tcPr>
          <w:p w:rsidR="002C17E4" w14:paraId="56BEF737" w14:textId="1C0BDC0E">
            <w:pPr>
              <w:tabs>
                <w:tab w:val="left" w:pos="720"/>
              </w:tabs>
              <w:rPr>
                <w:sz w:val="22"/>
                <w:szCs w:val="22"/>
              </w:rPr>
            </w:pPr>
            <w:r>
              <w:rPr>
                <w:sz w:val="22"/>
                <w:szCs w:val="22"/>
              </w:rPr>
              <w:t>North Carolina</w:t>
            </w:r>
          </w:p>
        </w:tc>
        <w:tc>
          <w:tcPr>
            <w:tcW w:w="1170" w:type="dxa"/>
            <w:tcBorders>
              <w:bottom w:val="single" w:sz="4" w:space="0" w:color="000000"/>
            </w:tcBorders>
            <w:vAlign w:val="center"/>
          </w:tcPr>
          <w:p w:rsidR="002C17E4" w14:paraId="771ECD6C" w14:textId="0CDB10EB">
            <w:pPr>
              <w:tabs>
                <w:tab w:val="left" w:pos="720"/>
              </w:tabs>
              <w:jc w:val="right"/>
              <w:rPr>
                <w:sz w:val="22"/>
                <w:szCs w:val="22"/>
              </w:rPr>
            </w:pPr>
            <w:r>
              <w:rPr>
                <w:sz w:val="22"/>
                <w:szCs w:val="22"/>
              </w:rPr>
              <w:t>513,002</w:t>
            </w:r>
          </w:p>
        </w:tc>
        <w:tc>
          <w:tcPr>
            <w:tcW w:w="1152" w:type="dxa"/>
            <w:tcBorders>
              <w:bottom w:val="single" w:sz="4" w:space="0" w:color="000000"/>
            </w:tcBorders>
            <w:vAlign w:val="center"/>
          </w:tcPr>
          <w:p w:rsidR="002C17E4" w14:paraId="73BB9D45" w14:textId="7C974622">
            <w:pPr>
              <w:tabs>
                <w:tab w:val="left" w:pos="720"/>
              </w:tabs>
              <w:jc w:val="right"/>
              <w:rPr>
                <w:sz w:val="22"/>
                <w:szCs w:val="22"/>
              </w:rPr>
            </w:pPr>
            <w:r>
              <w:rPr>
                <w:sz w:val="22"/>
                <w:szCs w:val="22"/>
              </w:rPr>
              <w:t>513,002</w:t>
            </w:r>
          </w:p>
        </w:tc>
        <w:tc>
          <w:tcPr>
            <w:tcW w:w="1152" w:type="dxa"/>
            <w:tcBorders>
              <w:bottom w:val="single" w:sz="4" w:space="0" w:color="000000"/>
            </w:tcBorders>
            <w:vAlign w:val="center"/>
          </w:tcPr>
          <w:p w:rsidR="002C17E4" w14:paraId="7F8D55C6" w14:textId="28D3339A">
            <w:pPr>
              <w:tabs>
                <w:tab w:val="left" w:pos="720"/>
              </w:tabs>
              <w:jc w:val="right"/>
              <w:rPr>
                <w:sz w:val="22"/>
                <w:szCs w:val="22"/>
              </w:rPr>
            </w:pPr>
            <w:r>
              <w:rPr>
                <w:sz w:val="22"/>
                <w:szCs w:val="22"/>
              </w:rPr>
              <w:t>359,101</w:t>
            </w:r>
          </w:p>
        </w:tc>
        <w:tc>
          <w:tcPr>
            <w:tcW w:w="1584" w:type="dxa"/>
            <w:tcBorders>
              <w:bottom w:val="single" w:sz="4" w:space="0" w:color="000000"/>
            </w:tcBorders>
            <w:vAlign w:val="center"/>
          </w:tcPr>
          <w:p w:rsidR="002C17E4" w14:paraId="6C209AEB" w14:textId="33B445A9">
            <w:pPr>
              <w:tabs>
                <w:tab w:val="left" w:pos="720"/>
              </w:tabs>
              <w:jc w:val="right"/>
              <w:rPr>
                <w:sz w:val="22"/>
                <w:szCs w:val="22"/>
              </w:rPr>
            </w:pPr>
            <w:r>
              <w:rPr>
                <w:sz w:val="22"/>
                <w:szCs w:val="22"/>
              </w:rPr>
              <w:t>359,101</w:t>
            </w:r>
          </w:p>
        </w:tc>
      </w:tr>
      <w:tr w14:paraId="04812C85" w14:textId="77777777">
        <w:tblPrEx>
          <w:tblW w:w="6858" w:type="dxa"/>
          <w:tblLayout w:type="fixed"/>
          <w:tblLook w:val="0400"/>
        </w:tblPrEx>
        <w:trPr>
          <w:trHeight w:val="360"/>
        </w:trPr>
        <w:tc>
          <w:tcPr>
            <w:tcW w:w="1800" w:type="dxa"/>
            <w:tcBorders>
              <w:bottom w:val="single" w:sz="4" w:space="0" w:color="000000"/>
            </w:tcBorders>
            <w:vAlign w:val="center"/>
          </w:tcPr>
          <w:p w:rsidR="002C17E4" w14:paraId="7C927265" w14:textId="77777777">
            <w:pPr>
              <w:tabs>
                <w:tab w:val="left" w:pos="720"/>
              </w:tabs>
              <w:rPr>
                <w:sz w:val="22"/>
                <w:szCs w:val="22"/>
              </w:rPr>
            </w:pPr>
            <w:r>
              <w:rPr>
                <w:sz w:val="22"/>
                <w:szCs w:val="22"/>
              </w:rPr>
              <w:t>Total</w:t>
            </w:r>
          </w:p>
        </w:tc>
        <w:tc>
          <w:tcPr>
            <w:tcW w:w="1170" w:type="dxa"/>
            <w:tcBorders>
              <w:bottom w:val="single" w:sz="4" w:space="0" w:color="000000"/>
            </w:tcBorders>
            <w:vAlign w:val="center"/>
          </w:tcPr>
          <w:p w:rsidR="002C17E4" w14:paraId="193B7C56" w14:textId="75F8DD4D">
            <w:pPr>
              <w:tabs>
                <w:tab w:val="left" w:pos="720"/>
              </w:tabs>
              <w:jc w:val="right"/>
              <w:rPr>
                <w:sz w:val="22"/>
                <w:szCs w:val="22"/>
              </w:rPr>
            </w:pPr>
            <w:r>
              <w:rPr>
                <w:sz w:val="22"/>
                <w:szCs w:val="22"/>
              </w:rPr>
              <w:t>2,749,865</w:t>
            </w:r>
          </w:p>
        </w:tc>
        <w:tc>
          <w:tcPr>
            <w:tcW w:w="1152" w:type="dxa"/>
            <w:tcBorders>
              <w:bottom w:val="single" w:sz="4" w:space="0" w:color="000000"/>
            </w:tcBorders>
            <w:vAlign w:val="center"/>
          </w:tcPr>
          <w:p w:rsidR="002C17E4" w14:paraId="1A1DBB99" w14:textId="0FF7181C">
            <w:pPr>
              <w:tabs>
                <w:tab w:val="left" w:pos="720"/>
              </w:tabs>
              <w:jc w:val="right"/>
              <w:rPr>
                <w:sz w:val="22"/>
                <w:szCs w:val="22"/>
              </w:rPr>
            </w:pPr>
            <w:r>
              <w:rPr>
                <w:sz w:val="22"/>
                <w:szCs w:val="22"/>
              </w:rPr>
              <w:t>2,749,818</w:t>
            </w:r>
          </w:p>
        </w:tc>
        <w:tc>
          <w:tcPr>
            <w:tcW w:w="1152" w:type="dxa"/>
            <w:tcBorders>
              <w:bottom w:val="single" w:sz="4" w:space="0" w:color="000000"/>
            </w:tcBorders>
            <w:vAlign w:val="center"/>
          </w:tcPr>
          <w:p w:rsidR="002C17E4" w14:paraId="01B29395" w14:textId="25FA3B1E">
            <w:pPr>
              <w:tabs>
                <w:tab w:val="left" w:pos="720"/>
              </w:tabs>
              <w:jc w:val="right"/>
              <w:rPr>
                <w:sz w:val="22"/>
                <w:szCs w:val="22"/>
              </w:rPr>
            </w:pPr>
            <w:r>
              <w:rPr>
                <w:sz w:val="22"/>
                <w:szCs w:val="22"/>
              </w:rPr>
              <w:t>1,916,706</w:t>
            </w:r>
          </w:p>
        </w:tc>
        <w:tc>
          <w:tcPr>
            <w:tcW w:w="1584" w:type="dxa"/>
            <w:tcBorders>
              <w:bottom w:val="single" w:sz="4" w:space="0" w:color="000000"/>
            </w:tcBorders>
            <w:vAlign w:val="center"/>
          </w:tcPr>
          <w:p w:rsidR="002C17E4" w14:paraId="3AD47B0B" w14:textId="3EAAFBD1">
            <w:pPr>
              <w:tabs>
                <w:tab w:val="left" w:pos="720"/>
              </w:tabs>
              <w:jc w:val="right"/>
              <w:rPr>
                <w:sz w:val="22"/>
                <w:szCs w:val="22"/>
              </w:rPr>
            </w:pPr>
            <w:r>
              <w:rPr>
                <w:sz w:val="22"/>
                <w:szCs w:val="22"/>
              </w:rPr>
              <w:t>1,916,692</w:t>
            </w:r>
          </w:p>
        </w:tc>
      </w:tr>
    </w:tbl>
    <w:p w:rsidR="002C17E4" w14:paraId="6A959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76BF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414DA54E" w14:textId="174EF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discussed in our response to question A1, the NARFS I</w:t>
      </w:r>
      <w:r w:rsidR="00794FB9">
        <w:rPr>
          <w:sz w:val="24"/>
          <w:szCs w:val="24"/>
        </w:rPr>
        <w:t>V</w:t>
      </w:r>
      <w:r>
        <w:rPr>
          <w:sz w:val="24"/>
          <w:szCs w:val="24"/>
        </w:rPr>
        <w:t xml:space="preserve"> will follow the same email/mail sampling methodology used for </w:t>
      </w:r>
      <w:r w:rsidR="00EB3475">
        <w:rPr>
          <w:sz w:val="24"/>
          <w:szCs w:val="24"/>
        </w:rPr>
        <w:t xml:space="preserve">all of </w:t>
      </w:r>
      <w:r>
        <w:rPr>
          <w:sz w:val="24"/>
          <w:szCs w:val="24"/>
        </w:rPr>
        <w:t xml:space="preserve">the </w:t>
      </w:r>
      <w:r w:rsidR="00794FB9">
        <w:rPr>
          <w:sz w:val="24"/>
          <w:szCs w:val="24"/>
        </w:rPr>
        <w:t xml:space="preserve">previous </w:t>
      </w:r>
      <w:r>
        <w:rPr>
          <w:sz w:val="24"/>
          <w:szCs w:val="24"/>
        </w:rPr>
        <w:t xml:space="preserve">NARFS </w:t>
      </w:r>
      <w:r w:rsidR="00794FB9">
        <w:rPr>
          <w:sz w:val="24"/>
          <w:szCs w:val="24"/>
        </w:rPr>
        <w:t>surveys</w:t>
      </w:r>
      <w:r>
        <w:rPr>
          <w:sz w:val="24"/>
          <w:szCs w:val="24"/>
        </w:rPr>
        <w:t xml:space="preserve">. </w:t>
      </w:r>
      <w:r>
        <w:rPr>
          <w:color w:val="000000"/>
          <w:sz w:val="24"/>
          <w:szCs w:val="24"/>
        </w:rPr>
        <w:t>T</w:t>
      </w:r>
      <w:r>
        <w:rPr>
          <w:sz w:val="24"/>
          <w:szCs w:val="24"/>
        </w:rPr>
        <w:t>he NARFS I</w:t>
      </w:r>
      <w:r w:rsidR="00794FB9">
        <w:rPr>
          <w:sz w:val="24"/>
          <w:szCs w:val="24"/>
        </w:rPr>
        <w:t>V</w:t>
      </w:r>
      <w:r>
        <w:rPr>
          <w:sz w:val="24"/>
          <w:szCs w:val="24"/>
        </w:rPr>
        <w:t xml:space="preserve"> sampling methodology involves sending mail invitations containing a web link to participate to a list of potential respondents drawn using stratified random sampling from the state l</w:t>
      </w:r>
      <w:r w:rsidR="00822A6F">
        <w:rPr>
          <w:sz w:val="24"/>
          <w:szCs w:val="24"/>
        </w:rPr>
        <w:t xml:space="preserve">icense/registration databases. </w:t>
      </w:r>
      <w:r>
        <w:rPr>
          <w:sz w:val="24"/>
          <w:szCs w:val="24"/>
        </w:rPr>
        <w:t xml:space="preserve">We expect </w:t>
      </w:r>
      <w:r w:rsidR="00EB3475">
        <w:rPr>
          <w:sz w:val="24"/>
          <w:szCs w:val="24"/>
        </w:rPr>
        <w:t>about 90%</w:t>
      </w:r>
      <w:r>
        <w:rPr>
          <w:sz w:val="24"/>
          <w:szCs w:val="24"/>
        </w:rPr>
        <w:t xml:space="preserve"> of the completed responses will come from the web version of the survey, with about </w:t>
      </w:r>
      <w:r w:rsidR="00AE71CE">
        <w:rPr>
          <w:sz w:val="24"/>
          <w:szCs w:val="24"/>
        </w:rPr>
        <w:t>10</w:t>
      </w:r>
      <w:r w:rsidR="00EB3475">
        <w:rPr>
          <w:sz w:val="24"/>
          <w:szCs w:val="24"/>
        </w:rPr>
        <w:t>%</w:t>
      </w:r>
      <w:r w:rsidR="00AE71CE">
        <w:rPr>
          <w:sz w:val="24"/>
          <w:szCs w:val="24"/>
        </w:rPr>
        <w:t xml:space="preserve"> </w:t>
      </w:r>
      <w:r>
        <w:rPr>
          <w:sz w:val="24"/>
          <w:szCs w:val="24"/>
        </w:rPr>
        <w:t xml:space="preserve">of the completed responses derived from the mail version of the survey. This expectation </w:t>
      </w:r>
      <w:r>
        <w:rPr>
          <w:sz w:val="24"/>
          <w:szCs w:val="24"/>
        </w:rPr>
        <w:t>was realized</w:t>
      </w:r>
      <w:r>
        <w:rPr>
          <w:sz w:val="24"/>
          <w:szCs w:val="24"/>
        </w:rPr>
        <w:t xml:space="preserve"> in the NARFS I</w:t>
      </w:r>
      <w:r w:rsidR="00AE71CE">
        <w:rPr>
          <w:sz w:val="24"/>
          <w:szCs w:val="24"/>
        </w:rPr>
        <w:t>I</w:t>
      </w:r>
      <w:r>
        <w:rPr>
          <w:sz w:val="24"/>
          <w:szCs w:val="24"/>
        </w:rPr>
        <w:t xml:space="preserve"> as </w:t>
      </w:r>
      <w:r w:rsidR="00AE71CE">
        <w:rPr>
          <w:sz w:val="24"/>
          <w:szCs w:val="24"/>
        </w:rPr>
        <w:t>90</w:t>
      </w:r>
      <w:r>
        <w:rPr>
          <w:sz w:val="24"/>
          <w:szCs w:val="24"/>
        </w:rPr>
        <w:t>% of the respondents that completed the survey used the web version; the remaining 1</w:t>
      </w:r>
      <w:r w:rsidR="00AE71CE">
        <w:rPr>
          <w:sz w:val="24"/>
          <w:szCs w:val="24"/>
        </w:rPr>
        <w:t>0</w:t>
      </w:r>
      <w:r>
        <w:rPr>
          <w:sz w:val="24"/>
          <w:szCs w:val="24"/>
        </w:rPr>
        <w:t xml:space="preserve">% that completed the survey did so by filling out the mail version. </w:t>
      </w:r>
    </w:p>
    <w:p w:rsidR="002C17E4" w14:paraId="5ACB7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49F98DC3" w14:textId="30E36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expected response rate</w:t>
      </w:r>
      <w:r w:rsidR="00EB3475">
        <w:rPr>
          <w:sz w:val="24"/>
          <w:szCs w:val="24"/>
        </w:rPr>
        <w:t>s</w:t>
      </w:r>
      <w:r>
        <w:rPr>
          <w:sz w:val="24"/>
          <w:szCs w:val="24"/>
        </w:rPr>
        <w:t xml:space="preserve"> from the NARFS </w:t>
      </w:r>
      <w:r w:rsidR="00AE6F6F">
        <w:rPr>
          <w:sz w:val="24"/>
          <w:szCs w:val="24"/>
        </w:rPr>
        <w:t>II</w:t>
      </w:r>
      <w:r>
        <w:rPr>
          <w:sz w:val="24"/>
          <w:szCs w:val="24"/>
        </w:rPr>
        <w:t xml:space="preserve"> provides the basis for that expected in NARFS I</w:t>
      </w:r>
      <w:r w:rsidR="00AE6F6F">
        <w:rPr>
          <w:sz w:val="24"/>
          <w:szCs w:val="24"/>
        </w:rPr>
        <w:t>V</w:t>
      </w:r>
      <w:r>
        <w:rPr>
          <w:sz w:val="24"/>
          <w:szCs w:val="24"/>
        </w:rPr>
        <w:t>.</w:t>
      </w:r>
      <w:r>
        <w:rPr>
          <w:rStyle w:val="FootnoteReference"/>
          <w:sz w:val="24"/>
          <w:szCs w:val="24"/>
        </w:rPr>
        <w:footnoteReference w:id="2"/>
      </w:r>
      <w:r>
        <w:rPr>
          <w:sz w:val="24"/>
          <w:szCs w:val="24"/>
        </w:rPr>
        <w:t xml:space="preserve"> Table 2 shows the NARFS </w:t>
      </w:r>
      <w:r w:rsidR="00822A6F">
        <w:rPr>
          <w:sz w:val="24"/>
          <w:szCs w:val="24"/>
        </w:rPr>
        <w:t>I</w:t>
      </w:r>
      <w:r>
        <w:rPr>
          <w:sz w:val="24"/>
          <w:szCs w:val="24"/>
        </w:rPr>
        <w:t>I response rates</w:t>
      </w:r>
      <w:r w:rsidR="00822A6F">
        <w:rPr>
          <w:sz w:val="24"/>
          <w:szCs w:val="24"/>
        </w:rPr>
        <w:t>.</w:t>
      </w:r>
      <w:r>
        <w:rPr>
          <w:sz w:val="24"/>
          <w:szCs w:val="24"/>
        </w:rPr>
        <w:t xml:space="preserve"> Survey invites are the total number of license-holders that the NARFS I</w:t>
      </w:r>
      <w:r w:rsidR="00822A6F">
        <w:rPr>
          <w:sz w:val="24"/>
          <w:szCs w:val="24"/>
        </w:rPr>
        <w:t>I</w:t>
      </w:r>
      <w:r>
        <w:rPr>
          <w:sz w:val="24"/>
          <w:szCs w:val="24"/>
        </w:rPr>
        <w:t xml:space="preserve"> attempted to contact. Eligible completes are sampled records from anglers that fished for </w:t>
      </w:r>
      <w:r w:rsidR="00822A6F">
        <w:rPr>
          <w:sz w:val="24"/>
          <w:szCs w:val="24"/>
        </w:rPr>
        <w:t>summer flounder</w:t>
      </w:r>
      <w:r w:rsidR="00400AEE">
        <w:rPr>
          <w:sz w:val="24"/>
          <w:szCs w:val="24"/>
        </w:rPr>
        <w:t>,</w:t>
      </w:r>
      <w:r w:rsidR="00822A6F">
        <w:rPr>
          <w:sz w:val="24"/>
          <w:szCs w:val="24"/>
        </w:rPr>
        <w:t xml:space="preserve"> black sea bass</w:t>
      </w:r>
      <w:r w:rsidR="00400AEE">
        <w:rPr>
          <w:sz w:val="24"/>
          <w:szCs w:val="24"/>
        </w:rPr>
        <w:t>, or scup</w:t>
      </w:r>
      <w:r>
        <w:rPr>
          <w:sz w:val="24"/>
          <w:szCs w:val="24"/>
        </w:rPr>
        <w:t xml:space="preserve"> </w:t>
      </w:r>
      <w:r w:rsidR="00822A6F">
        <w:rPr>
          <w:sz w:val="24"/>
          <w:szCs w:val="24"/>
        </w:rPr>
        <w:t>d</w:t>
      </w:r>
      <w:r>
        <w:rPr>
          <w:sz w:val="24"/>
          <w:szCs w:val="24"/>
        </w:rPr>
        <w:t>u</w:t>
      </w:r>
      <w:r w:rsidR="000D1C44">
        <w:rPr>
          <w:sz w:val="24"/>
          <w:szCs w:val="24"/>
        </w:rPr>
        <w:t>ring the previous five years</w:t>
      </w:r>
      <w:r>
        <w:rPr>
          <w:sz w:val="24"/>
          <w:szCs w:val="24"/>
        </w:rPr>
        <w:t>.  NARFS I</w:t>
      </w:r>
      <w:r w:rsidR="00822A6F">
        <w:rPr>
          <w:sz w:val="24"/>
          <w:szCs w:val="24"/>
        </w:rPr>
        <w:t>V</w:t>
      </w:r>
      <w:r>
        <w:rPr>
          <w:sz w:val="24"/>
          <w:szCs w:val="24"/>
        </w:rPr>
        <w:t xml:space="preserve"> will use the same five-year eligibility definition. Finally, ineligible completes shown in Table 2 refer to anglers that completed the NARFS I</w:t>
      </w:r>
      <w:r w:rsidR="00822A6F">
        <w:rPr>
          <w:sz w:val="24"/>
          <w:szCs w:val="24"/>
        </w:rPr>
        <w:t>I</w:t>
      </w:r>
      <w:r>
        <w:rPr>
          <w:sz w:val="24"/>
          <w:szCs w:val="24"/>
        </w:rPr>
        <w:t xml:space="preserve">, but did not fish for </w:t>
      </w:r>
      <w:r w:rsidR="00822A6F">
        <w:rPr>
          <w:sz w:val="24"/>
          <w:szCs w:val="24"/>
        </w:rPr>
        <w:t>summer flounder</w:t>
      </w:r>
      <w:r w:rsidR="00400AEE">
        <w:rPr>
          <w:sz w:val="24"/>
          <w:szCs w:val="24"/>
        </w:rPr>
        <w:t xml:space="preserve">, </w:t>
      </w:r>
      <w:r w:rsidR="00822A6F">
        <w:rPr>
          <w:sz w:val="24"/>
          <w:szCs w:val="24"/>
        </w:rPr>
        <w:t>black sea bass</w:t>
      </w:r>
      <w:r w:rsidR="00400AEE">
        <w:rPr>
          <w:sz w:val="24"/>
          <w:szCs w:val="24"/>
        </w:rPr>
        <w:t>, or scup</w:t>
      </w:r>
      <w:r w:rsidR="00822A6F">
        <w:rPr>
          <w:sz w:val="24"/>
          <w:szCs w:val="24"/>
        </w:rPr>
        <w:t xml:space="preserve"> </w:t>
      </w:r>
      <w:r>
        <w:rPr>
          <w:sz w:val="24"/>
          <w:szCs w:val="24"/>
        </w:rPr>
        <w:t xml:space="preserve">during the previous five years. These anglers </w:t>
      </w:r>
      <w:r>
        <w:rPr>
          <w:sz w:val="24"/>
          <w:szCs w:val="24"/>
        </w:rPr>
        <w:t>were only asked</w:t>
      </w:r>
      <w:r>
        <w:rPr>
          <w:sz w:val="24"/>
          <w:szCs w:val="24"/>
        </w:rPr>
        <w:t xml:space="preserve"> to answer a subset of the total questions in the survey since they did not fish for the target species during the previous five years. NARFS I</w:t>
      </w:r>
      <w:r w:rsidR="00822A6F">
        <w:rPr>
          <w:sz w:val="24"/>
          <w:szCs w:val="24"/>
        </w:rPr>
        <w:t>V</w:t>
      </w:r>
      <w:r>
        <w:rPr>
          <w:sz w:val="24"/>
          <w:szCs w:val="24"/>
        </w:rPr>
        <w:t xml:space="preserve"> will follow this same approach. Anglers that indicate they did not fish for </w:t>
      </w:r>
      <w:r w:rsidR="00822A6F">
        <w:rPr>
          <w:sz w:val="24"/>
          <w:szCs w:val="24"/>
        </w:rPr>
        <w:t>black sea bass or summer flounder</w:t>
      </w:r>
      <w:r>
        <w:rPr>
          <w:sz w:val="24"/>
          <w:szCs w:val="24"/>
        </w:rPr>
        <w:t xml:space="preserve"> during the past five years will only be asked the first </w:t>
      </w:r>
      <w:r>
        <w:rPr>
          <w:sz w:val="24"/>
          <w:szCs w:val="24"/>
        </w:rPr>
        <w:t>question,</w:t>
      </w:r>
      <w:r>
        <w:rPr>
          <w:sz w:val="24"/>
          <w:szCs w:val="24"/>
        </w:rPr>
        <w:t xml:space="preserve"> then will be directed to skip to the last section of the survey (Section D) to answer demographic questions.  Please see Part A, Question 2 that explains the need for collecting a brief subset of information from anglers not targeting the species of interest.  As shown in Table 2, the overall NARFS I</w:t>
      </w:r>
      <w:r w:rsidR="00822A6F">
        <w:rPr>
          <w:sz w:val="24"/>
          <w:szCs w:val="24"/>
        </w:rPr>
        <w:t>I</w:t>
      </w:r>
      <w:r>
        <w:rPr>
          <w:sz w:val="24"/>
          <w:szCs w:val="24"/>
        </w:rPr>
        <w:t xml:space="preserve"> completion response rate was approximately 3</w:t>
      </w:r>
      <w:r w:rsidR="00B86E1A">
        <w:rPr>
          <w:sz w:val="24"/>
          <w:szCs w:val="24"/>
        </w:rPr>
        <w:t>9</w:t>
      </w:r>
      <w:r>
        <w:rPr>
          <w:sz w:val="24"/>
          <w:szCs w:val="24"/>
        </w:rPr>
        <w:t xml:space="preserve">% with eligible respondents comprising about </w:t>
      </w:r>
      <w:r w:rsidR="00920862">
        <w:rPr>
          <w:sz w:val="24"/>
          <w:szCs w:val="24"/>
        </w:rPr>
        <w:t>76</w:t>
      </w:r>
      <w:r>
        <w:rPr>
          <w:sz w:val="24"/>
          <w:szCs w:val="24"/>
        </w:rPr>
        <w:t>% (</w:t>
      </w:r>
      <w:r w:rsidR="00B86E1A">
        <w:rPr>
          <w:sz w:val="24"/>
          <w:szCs w:val="24"/>
        </w:rPr>
        <w:t>1,</w:t>
      </w:r>
      <w:r w:rsidR="00920862">
        <w:rPr>
          <w:sz w:val="24"/>
          <w:szCs w:val="24"/>
        </w:rPr>
        <w:t>172</w:t>
      </w:r>
      <w:r>
        <w:rPr>
          <w:sz w:val="24"/>
          <w:szCs w:val="24"/>
        </w:rPr>
        <w:t>/1,</w:t>
      </w:r>
      <w:r w:rsidR="00920862">
        <w:rPr>
          <w:sz w:val="24"/>
          <w:szCs w:val="24"/>
        </w:rPr>
        <w:t>544</w:t>
      </w:r>
      <w:r>
        <w:rPr>
          <w:sz w:val="24"/>
          <w:szCs w:val="24"/>
        </w:rPr>
        <w:t xml:space="preserve">*100) of the completed surveys.  </w:t>
      </w:r>
    </w:p>
    <w:p w:rsidR="002C17E4" w14:paraId="05C05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3E7D14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F83115E" w14:textId="573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Table 2. NARFS </w:t>
      </w:r>
      <w:r w:rsidR="00375AB1">
        <w:rPr>
          <w:sz w:val="24"/>
          <w:szCs w:val="24"/>
        </w:rPr>
        <w:t>II</w:t>
      </w:r>
      <w:r>
        <w:rPr>
          <w:sz w:val="24"/>
          <w:szCs w:val="24"/>
        </w:rPr>
        <w:t xml:space="preserve"> Survey Disposition</w:t>
      </w:r>
    </w:p>
    <w:tbl>
      <w:tblPr>
        <w:tblStyle w:val="a0"/>
        <w:tblW w:w="9180" w:type="dxa"/>
        <w:tblLayout w:type="fixed"/>
        <w:tblLook w:val="0400"/>
      </w:tblPr>
      <w:tblGrid>
        <w:gridCol w:w="1850"/>
        <w:gridCol w:w="2110"/>
        <w:gridCol w:w="1350"/>
        <w:gridCol w:w="1440"/>
        <w:gridCol w:w="2430"/>
      </w:tblGrid>
      <w:tr w14:paraId="18E1C478" w14:textId="77777777" w:rsidTr="00B86E1A">
        <w:tblPrEx>
          <w:tblW w:w="9180" w:type="dxa"/>
          <w:tblLayout w:type="fixed"/>
          <w:tblLook w:val="0400"/>
        </w:tblPrEx>
        <w:trPr>
          <w:trHeight w:val="20"/>
        </w:trPr>
        <w:tc>
          <w:tcPr>
            <w:tcW w:w="1850" w:type="dxa"/>
            <w:tcBorders>
              <w:top w:val="single" w:sz="4" w:space="0" w:color="000000"/>
              <w:left w:val="nil"/>
              <w:right w:val="nil"/>
            </w:tcBorders>
            <w:shd w:val="clear" w:color="auto" w:fill="auto"/>
          </w:tcPr>
          <w:p w:rsidR="002C17E4" w14:paraId="423E3E55" w14:textId="4E2FD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110" w:type="dxa"/>
            <w:tcBorders>
              <w:top w:val="single" w:sz="4" w:space="0" w:color="000000"/>
              <w:left w:val="nil"/>
              <w:bottom w:val="single" w:sz="4" w:space="0" w:color="auto"/>
              <w:right w:val="nil"/>
            </w:tcBorders>
            <w:shd w:val="clear" w:color="auto" w:fill="auto"/>
            <w:vAlign w:val="center"/>
          </w:tcPr>
          <w:p w:rsidR="002C17E4" w14:paraId="68EA0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Survey Invites</w:t>
            </w:r>
          </w:p>
        </w:tc>
        <w:tc>
          <w:tcPr>
            <w:tcW w:w="1350" w:type="dxa"/>
            <w:tcBorders>
              <w:top w:val="single" w:sz="4" w:space="0" w:color="000000"/>
              <w:left w:val="nil"/>
              <w:bottom w:val="single" w:sz="4" w:space="0" w:color="auto"/>
              <w:right w:val="nil"/>
            </w:tcBorders>
            <w:shd w:val="clear" w:color="auto" w:fill="auto"/>
            <w:vAlign w:val="center"/>
          </w:tcPr>
          <w:p w:rsidR="002C17E4" w14:paraId="76292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Completes</w:t>
            </w:r>
          </w:p>
        </w:tc>
        <w:tc>
          <w:tcPr>
            <w:tcW w:w="1440" w:type="dxa"/>
            <w:tcBorders>
              <w:top w:val="single" w:sz="4" w:space="0" w:color="000000"/>
              <w:left w:val="nil"/>
              <w:bottom w:val="single" w:sz="4" w:space="0" w:color="auto"/>
              <w:right w:val="nil"/>
            </w:tcBorders>
            <w:shd w:val="clear" w:color="auto" w:fill="auto"/>
            <w:vAlign w:val="center"/>
          </w:tcPr>
          <w:p w:rsidR="002C17E4" w14:paraId="2437D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Ineligible Completes</w:t>
            </w:r>
          </w:p>
        </w:tc>
        <w:tc>
          <w:tcPr>
            <w:tcW w:w="2430" w:type="dxa"/>
            <w:tcBorders>
              <w:top w:val="single" w:sz="4" w:space="0" w:color="000000"/>
              <w:left w:val="nil"/>
              <w:bottom w:val="single" w:sz="4" w:space="0" w:color="auto"/>
              <w:right w:val="nil"/>
            </w:tcBorders>
          </w:tcPr>
          <w:p w:rsidR="002C17E4" w14:paraId="0E6A23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Eligible and Ineligible Completes</w:t>
            </w:r>
          </w:p>
        </w:tc>
      </w:tr>
      <w:tr w14:paraId="43E7CBB5" w14:textId="77777777" w:rsidTr="00B86E1A">
        <w:tblPrEx>
          <w:tblW w:w="9180" w:type="dxa"/>
          <w:tblLayout w:type="fixed"/>
          <w:tblLook w:val="0400"/>
        </w:tblPrEx>
        <w:trPr>
          <w:trHeight w:val="20"/>
        </w:trPr>
        <w:tc>
          <w:tcPr>
            <w:tcW w:w="1850" w:type="dxa"/>
            <w:tcBorders>
              <w:left w:val="nil"/>
              <w:right w:val="nil"/>
            </w:tcBorders>
            <w:shd w:val="clear" w:color="auto" w:fill="auto"/>
          </w:tcPr>
          <w:p w:rsidR="00822A6F" w14:paraId="69ADC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110" w:type="dxa"/>
            <w:tcBorders>
              <w:top w:val="single" w:sz="4" w:space="0" w:color="auto"/>
              <w:left w:val="nil"/>
              <w:right w:val="nil"/>
            </w:tcBorders>
            <w:shd w:val="clear" w:color="auto" w:fill="auto"/>
            <w:vAlign w:val="center"/>
          </w:tcPr>
          <w:p w:rsidR="00822A6F" w14:paraId="4AB35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Borders>
              <w:top w:val="single" w:sz="4" w:space="0" w:color="auto"/>
              <w:left w:val="nil"/>
              <w:right w:val="nil"/>
            </w:tcBorders>
            <w:shd w:val="clear" w:color="auto" w:fill="auto"/>
            <w:vAlign w:val="center"/>
          </w:tcPr>
          <w:p w:rsidR="00822A6F" w14:paraId="5D7B04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Borders>
              <w:top w:val="single" w:sz="4" w:space="0" w:color="auto"/>
              <w:left w:val="nil"/>
              <w:right w:val="nil"/>
            </w:tcBorders>
            <w:shd w:val="clear" w:color="auto" w:fill="auto"/>
            <w:vAlign w:val="bottom"/>
          </w:tcPr>
          <w:p w:rsidR="00822A6F" w14:paraId="535F7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430" w:type="dxa"/>
            <w:tcBorders>
              <w:top w:val="single" w:sz="4" w:space="0" w:color="auto"/>
              <w:left w:val="nil"/>
              <w:right w:val="nil"/>
            </w:tcBorders>
          </w:tcPr>
          <w:p w:rsidR="00822A6F" w14:paraId="0F9AE2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14:paraId="1B80BBF3" w14:textId="77777777" w:rsidTr="00B86E1A">
        <w:tblPrEx>
          <w:tblW w:w="9180" w:type="dxa"/>
          <w:tblLayout w:type="fixed"/>
          <w:tblLook w:val="0400"/>
        </w:tblPrEx>
        <w:trPr>
          <w:trHeight w:val="494"/>
        </w:trPr>
        <w:tc>
          <w:tcPr>
            <w:tcW w:w="1850" w:type="dxa"/>
            <w:tcBorders>
              <w:bottom w:val="single" w:sz="4" w:space="0" w:color="auto"/>
            </w:tcBorders>
            <w:shd w:val="clear" w:color="auto" w:fill="auto"/>
          </w:tcPr>
          <w:p w:rsidR="002C17E4" w14:paraId="23561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Total</w:t>
            </w:r>
          </w:p>
          <w:p w:rsidR="002C17E4" w:rsidP="00E41B0D" w14:paraId="388C0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of total invites</w:t>
            </w:r>
          </w:p>
        </w:tc>
        <w:tc>
          <w:tcPr>
            <w:tcW w:w="2110" w:type="dxa"/>
            <w:tcBorders>
              <w:bottom w:val="single" w:sz="4" w:space="0" w:color="auto"/>
            </w:tcBorders>
            <w:shd w:val="clear" w:color="auto" w:fill="auto"/>
            <w:vAlign w:val="center"/>
          </w:tcPr>
          <w:p w:rsidR="002C17E4" w14:paraId="6EC7F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4,000</w:t>
            </w:r>
          </w:p>
          <w:p w:rsidR="002C17E4" w14:paraId="07950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Borders>
              <w:bottom w:val="single" w:sz="4" w:space="0" w:color="auto"/>
            </w:tcBorders>
            <w:shd w:val="clear" w:color="auto" w:fill="auto"/>
            <w:vAlign w:val="bottom"/>
          </w:tcPr>
          <w:p w:rsidR="002C17E4" w14:paraId="7C8A52B9" w14:textId="6804B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1,172</w:t>
            </w:r>
          </w:p>
          <w:p w:rsidR="002C17E4" w:rsidP="00E41B0D" w14:paraId="61948DD3" w14:textId="24D5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29.3</w:t>
            </w:r>
            <w:r w:rsidR="00130B2B">
              <w:t>%</w:t>
            </w:r>
          </w:p>
        </w:tc>
        <w:tc>
          <w:tcPr>
            <w:tcW w:w="1440" w:type="dxa"/>
            <w:tcBorders>
              <w:bottom w:val="single" w:sz="4" w:space="0" w:color="auto"/>
            </w:tcBorders>
            <w:shd w:val="clear" w:color="auto" w:fill="auto"/>
            <w:vAlign w:val="bottom"/>
          </w:tcPr>
          <w:p w:rsidR="002C17E4" w14:paraId="1B11B2FE" w14:textId="2EF0D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372</w:t>
            </w:r>
          </w:p>
          <w:p w:rsidR="002C17E4" w:rsidP="00B86E1A" w14:paraId="110C7DDD" w14:textId="7636C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9.3</w:t>
            </w:r>
            <w:r w:rsidR="00130B2B">
              <w:t>%</w:t>
            </w:r>
          </w:p>
        </w:tc>
        <w:tc>
          <w:tcPr>
            <w:tcW w:w="2430" w:type="dxa"/>
            <w:tcBorders>
              <w:bottom w:val="single" w:sz="4" w:space="0" w:color="auto"/>
            </w:tcBorders>
          </w:tcPr>
          <w:p w:rsidR="002C17E4" w14:paraId="2745349E" w14:textId="749F5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w:t>
            </w:r>
            <w:r w:rsidR="00B86E1A">
              <w:t>544</w:t>
            </w:r>
          </w:p>
          <w:p w:rsidR="002C17E4" w:rsidP="00B86E1A" w14:paraId="2500671E" w14:textId="2309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w:t>
            </w:r>
            <w:r w:rsidR="00B86E1A">
              <w:t>8</w:t>
            </w:r>
            <w:r>
              <w:t>.</w:t>
            </w:r>
            <w:r w:rsidR="00B86E1A">
              <w:t>6</w:t>
            </w:r>
            <w:r>
              <w:t xml:space="preserve">%   </w:t>
            </w:r>
          </w:p>
        </w:tc>
      </w:tr>
    </w:tbl>
    <w:p w:rsidR="002C17E4" w14:paraId="34B70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6CD8C0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2632134" w14:textId="2D5B2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the NARFS I</w:t>
      </w:r>
      <w:r w:rsidR="00920862">
        <w:rPr>
          <w:sz w:val="24"/>
          <w:szCs w:val="24"/>
        </w:rPr>
        <w:t>V</w:t>
      </w:r>
      <w:r>
        <w:rPr>
          <w:sz w:val="24"/>
          <w:szCs w:val="24"/>
        </w:rPr>
        <w:t xml:space="preserve"> </w:t>
      </w:r>
      <w:r w:rsidR="000D1C44">
        <w:rPr>
          <w:sz w:val="24"/>
          <w:szCs w:val="24"/>
        </w:rPr>
        <w:t>will be designed</w:t>
      </w:r>
      <w:r w:rsidR="000D1C44">
        <w:rPr>
          <w:sz w:val="24"/>
          <w:szCs w:val="24"/>
        </w:rPr>
        <w:t xml:space="preserve"> as </w:t>
      </w:r>
      <w:r>
        <w:rPr>
          <w:sz w:val="24"/>
          <w:szCs w:val="24"/>
        </w:rPr>
        <w:t>an update to the NARFS I</w:t>
      </w:r>
      <w:r w:rsidR="00920862">
        <w:rPr>
          <w:sz w:val="24"/>
          <w:szCs w:val="24"/>
        </w:rPr>
        <w:t>I</w:t>
      </w:r>
      <w:r>
        <w:rPr>
          <w:sz w:val="24"/>
          <w:szCs w:val="24"/>
        </w:rPr>
        <w:t>, focused on the same species, using the same sampling methodology, we are expecting a similar overall and eligible respondent survey completion rate. Thus, we are expecting a completion rate of approximately 3</w:t>
      </w:r>
      <w:r w:rsidR="00920862">
        <w:rPr>
          <w:sz w:val="24"/>
          <w:szCs w:val="24"/>
        </w:rPr>
        <w:t>9</w:t>
      </w:r>
      <w:r>
        <w:rPr>
          <w:sz w:val="24"/>
          <w:szCs w:val="24"/>
        </w:rPr>
        <w:t xml:space="preserve">%, with eligible respondents (those that have fished for </w:t>
      </w:r>
      <w:r w:rsidR="00920862">
        <w:rPr>
          <w:sz w:val="24"/>
          <w:szCs w:val="24"/>
        </w:rPr>
        <w:t>summer flounder</w:t>
      </w:r>
      <w:r w:rsidR="00400AEE">
        <w:rPr>
          <w:sz w:val="24"/>
          <w:szCs w:val="24"/>
        </w:rPr>
        <w:t>,</w:t>
      </w:r>
      <w:r w:rsidR="00920862">
        <w:rPr>
          <w:sz w:val="24"/>
          <w:szCs w:val="24"/>
        </w:rPr>
        <w:t xml:space="preserve"> black sea bass</w:t>
      </w:r>
      <w:r w:rsidR="00400AEE">
        <w:rPr>
          <w:sz w:val="24"/>
          <w:szCs w:val="24"/>
        </w:rPr>
        <w:t>, or scup</w:t>
      </w:r>
      <w:r>
        <w:rPr>
          <w:sz w:val="24"/>
          <w:szCs w:val="24"/>
        </w:rPr>
        <w:t xml:space="preserve"> in the </w:t>
      </w:r>
      <w:r>
        <w:rPr>
          <w:sz w:val="24"/>
          <w:szCs w:val="24"/>
        </w:rPr>
        <w:t>previous</w:t>
      </w:r>
      <w:r>
        <w:rPr>
          <w:sz w:val="24"/>
          <w:szCs w:val="24"/>
        </w:rPr>
        <w:t xml:space="preserve"> five years) comprising about </w:t>
      </w:r>
      <w:r w:rsidR="00920862">
        <w:rPr>
          <w:sz w:val="24"/>
          <w:szCs w:val="24"/>
        </w:rPr>
        <w:t>76</w:t>
      </w:r>
      <w:r>
        <w:rPr>
          <w:sz w:val="24"/>
          <w:szCs w:val="24"/>
        </w:rPr>
        <w:t xml:space="preserve">% of the completed surveys.   </w:t>
      </w:r>
    </w:p>
    <w:p w:rsidR="002C17E4" w14:paraId="3FFDA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13AC8B6" w14:textId="04C8F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Identical to the previous NARFS surveys</w:t>
      </w:r>
      <w:r w:rsidR="00130B2B">
        <w:rPr>
          <w:sz w:val="24"/>
          <w:szCs w:val="24"/>
        </w:rPr>
        <w:t xml:space="preserve">, we intend to send out 4,000 survey invites allocated across </w:t>
      </w:r>
      <w:r w:rsidR="00130B2B">
        <w:rPr>
          <w:color w:val="000000"/>
          <w:sz w:val="24"/>
          <w:szCs w:val="24"/>
        </w:rPr>
        <w:t xml:space="preserve">states according to the proportion of angler trips targeting/catching the species of interest.  </w:t>
      </w:r>
      <w:r>
        <w:rPr>
          <w:color w:val="000000"/>
          <w:sz w:val="24"/>
          <w:szCs w:val="24"/>
        </w:rPr>
        <w:t xml:space="preserve">Overall, </w:t>
      </w:r>
      <w:r w:rsidR="00130B2B">
        <w:rPr>
          <w:sz w:val="24"/>
          <w:szCs w:val="24"/>
        </w:rPr>
        <w:t>we are expecting 1,</w:t>
      </w:r>
      <w:r>
        <w:rPr>
          <w:sz w:val="24"/>
          <w:szCs w:val="24"/>
        </w:rPr>
        <w:t>544</w:t>
      </w:r>
      <w:r w:rsidR="00130B2B">
        <w:rPr>
          <w:sz w:val="24"/>
          <w:szCs w:val="24"/>
        </w:rPr>
        <w:t xml:space="preserve"> completed surveys. Approximately 39% (51</w:t>
      </w:r>
      <w:r>
        <w:rPr>
          <w:sz w:val="24"/>
          <w:szCs w:val="24"/>
        </w:rPr>
        <w:t>5</w:t>
      </w:r>
      <w:r w:rsidR="00130B2B">
        <w:rPr>
          <w:sz w:val="24"/>
          <w:szCs w:val="24"/>
        </w:rPr>
        <w:t xml:space="preserve">) of the completed surveys </w:t>
      </w:r>
      <w:r w:rsidR="00130B2B">
        <w:rPr>
          <w:sz w:val="24"/>
          <w:szCs w:val="24"/>
        </w:rPr>
        <w:t>are expected</w:t>
      </w:r>
      <w:r w:rsidR="00130B2B">
        <w:rPr>
          <w:sz w:val="24"/>
          <w:szCs w:val="24"/>
        </w:rPr>
        <w:t xml:space="preserve"> to be from anglers targeting and/or catching </w:t>
      </w:r>
      <w:r>
        <w:rPr>
          <w:sz w:val="24"/>
          <w:szCs w:val="24"/>
        </w:rPr>
        <w:t>summer flounder</w:t>
      </w:r>
      <w:r w:rsidR="00400AEE">
        <w:rPr>
          <w:sz w:val="24"/>
          <w:szCs w:val="24"/>
        </w:rPr>
        <w:t>,</w:t>
      </w:r>
      <w:r>
        <w:rPr>
          <w:sz w:val="24"/>
          <w:szCs w:val="24"/>
        </w:rPr>
        <w:t xml:space="preserve"> black sea bass</w:t>
      </w:r>
      <w:r w:rsidR="00400AEE">
        <w:rPr>
          <w:sz w:val="24"/>
          <w:szCs w:val="24"/>
        </w:rPr>
        <w:t>, or scup</w:t>
      </w:r>
      <w:r w:rsidR="00130B2B">
        <w:rPr>
          <w:sz w:val="24"/>
          <w:szCs w:val="24"/>
        </w:rPr>
        <w:t xml:space="preserve">.  </w:t>
      </w:r>
    </w:p>
    <w:p w:rsidR="002C17E4" w14:paraId="4732A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7D094EE8" w14:textId="06AB43AD">
      <w:pPr>
        <w:widowControl/>
        <w:jc w:val="both"/>
        <w:rPr>
          <w:sz w:val="24"/>
          <w:szCs w:val="24"/>
        </w:rPr>
      </w:pPr>
      <w:r>
        <w:rPr>
          <w:sz w:val="24"/>
          <w:szCs w:val="24"/>
        </w:rPr>
        <w:t>Implementation of NARFS I</w:t>
      </w:r>
      <w:r w:rsidR="00250834">
        <w:rPr>
          <w:sz w:val="24"/>
          <w:szCs w:val="24"/>
        </w:rPr>
        <w:t>V</w:t>
      </w:r>
      <w:r>
        <w:rPr>
          <w:sz w:val="24"/>
          <w:szCs w:val="24"/>
        </w:rPr>
        <w:t xml:space="preserve"> will follow procedures suggested by </w:t>
      </w:r>
      <w:r>
        <w:rPr>
          <w:sz w:val="24"/>
          <w:szCs w:val="24"/>
        </w:rPr>
        <w:t>Dillman</w:t>
      </w:r>
      <w:r>
        <w:rPr>
          <w:sz w:val="24"/>
          <w:szCs w:val="24"/>
        </w:rPr>
        <w:t xml:space="preserve"> et al. (2009).  These procedures </w:t>
      </w:r>
      <w:r>
        <w:rPr>
          <w:sz w:val="24"/>
          <w:szCs w:val="24"/>
        </w:rPr>
        <w:t>have been followed</w:t>
      </w:r>
      <w:r>
        <w:rPr>
          <w:sz w:val="24"/>
          <w:szCs w:val="24"/>
        </w:rPr>
        <w:t xml:space="preserve"> extensively in survey research to increase response rates for mail and web surveys. Repeated contacts with respondents through one or more mediums (phone, email, </w:t>
      </w:r>
      <w:r w:rsidR="00586EE4">
        <w:rPr>
          <w:sz w:val="24"/>
          <w:szCs w:val="24"/>
        </w:rPr>
        <w:t>or</w:t>
      </w:r>
      <w:r>
        <w:rPr>
          <w:sz w:val="24"/>
          <w:szCs w:val="24"/>
        </w:rPr>
        <w:t xml:space="preserve"> mail), allow flexibility regarding how potential respondents choose to respond and serve to maximize the overall survey response rate. As stated above, for NARFS I</w:t>
      </w:r>
      <w:r w:rsidR="00250834">
        <w:rPr>
          <w:sz w:val="24"/>
          <w:szCs w:val="24"/>
        </w:rPr>
        <w:t>V</w:t>
      </w:r>
      <w:r>
        <w:rPr>
          <w:sz w:val="24"/>
          <w:szCs w:val="24"/>
        </w:rPr>
        <w:t xml:space="preserve"> we plan to use email and mail surveys. The implementation schedule for NARFS I</w:t>
      </w:r>
      <w:r w:rsidR="00250834">
        <w:rPr>
          <w:sz w:val="24"/>
          <w:szCs w:val="24"/>
        </w:rPr>
        <w:t>V</w:t>
      </w:r>
      <w:r>
        <w:rPr>
          <w:sz w:val="24"/>
          <w:szCs w:val="24"/>
        </w:rPr>
        <w:t xml:space="preserve"> </w:t>
      </w:r>
      <w:r>
        <w:rPr>
          <w:sz w:val="24"/>
          <w:szCs w:val="24"/>
        </w:rPr>
        <w:t>is described</w:t>
      </w:r>
      <w:r>
        <w:rPr>
          <w:sz w:val="24"/>
          <w:szCs w:val="24"/>
        </w:rPr>
        <w:t xml:space="preserve"> below.</w:t>
      </w:r>
    </w:p>
    <w:p w:rsidR="002C17E4" w14:paraId="69250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4C81DABB" w14:textId="77777777">
      <w:pPr>
        <w:widowControl/>
        <w:tabs>
          <w:tab w:val="left" w:pos="720"/>
        </w:tabs>
        <w:jc w:val="both"/>
        <w:rPr>
          <w:sz w:val="24"/>
          <w:szCs w:val="24"/>
          <w:u w:val="single"/>
        </w:rPr>
      </w:pPr>
      <w:r>
        <w:rPr>
          <w:sz w:val="24"/>
          <w:szCs w:val="24"/>
          <w:u w:val="single"/>
        </w:rPr>
        <w:t xml:space="preserve">Track A: Mail push-to-web invitation letter for respondents that have an email address on file. </w:t>
      </w:r>
    </w:p>
    <w:p w:rsidR="002C17E4" w14:paraId="2CB11AFE" w14:textId="1D3F7254">
      <w:pPr>
        <w:widowControl/>
        <w:rPr>
          <w:sz w:val="24"/>
          <w:szCs w:val="24"/>
        </w:rPr>
      </w:pPr>
      <w:r>
        <w:rPr>
          <w:sz w:val="24"/>
          <w:szCs w:val="24"/>
        </w:rPr>
        <w:t xml:space="preserve">This will be the initial invitation track for those with email addresses.  Approximately </w:t>
      </w:r>
      <w:r w:rsidR="00250834">
        <w:rPr>
          <w:sz w:val="24"/>
          <w:szCs w:val="24"/>
        </w:rPr>
        <w:t xml:space="preserve">70% </w:t>
      </w:r>
      <w:r>
        <w:rPr>
          <w:sz w:val="24"/>
          <w:szCs w:val="24"/>
        </w:rPr>
        <w:t>of the saltwat</w:t>
      </w:r>
      <w:r w:rsidR="00250834">
        <w:rPr>
          <w:sz w:val="24"/>
          <w:szCs w:val="24"/>
        </w:rPr>
        <w:t>er recreational license holders from Massachusetts to North C</w:t>
      </w:r>
      <w:r>
        <w:rPr>
          <w:sz w:val="24"/>
          <w:szCs w:val="24"/>
        </w:rPr>
        <w:t>a</w:t>
      </w:r>
      <w:r w:rsidR="00250834">
        <w:rPr>
          <w:sz w:val="24"/>
          <w:szCs w:val="24"/>
        </w:rPr>
        <w:t xml:space="preserve">rolina </w:t>
      </w:r>
      <w:r>
        <w:rPr>
          <w:sz w:val="24"/>
          <w:szCs w:val="24"/>
        </w:rPr>
        <w:t>provided email addresses in 202</w:t>
      </w:r>
      <w:r w:rsidR="00250834">
        <w:rPr>
          <w:sz w:val="24"/>
          <w:szCs w:val="24"/>
        </w:rPr>
        <w:t>2</w:t>
      </w:r>
      <w:r>
        <w:rPr>
          <w:sz w:val="24"/>
          <w:szCs w:val="24"/>
        </w:rPr>
        <w:t xml:space="preserve"> (Table 1).  We expect similar percentages for the 202</w:t>
      </w:r>
      <w:r w:rsidR="00250834">
        <w:rPr>
          <w:sz w:val="24"/>
          <w:szCs w:val="24"/>
        </w:rPr>
        <w:t>4</w:t>
      </w:r>
      <w:r>
        <w:rPr>
          <w:sz w:val="24"/>
          <w:szCs w:val="24"/>
        </w:rPr>
        <w:t xml:space="preserve"> license frames that we will use for NARFS I</w:t>
      </w:r>
      <w:r w:rsidR="00250834">
        <w:rPr>
          <w:sz w:val="24"/>
          <w:szCs w:val="24"/>
        </w:rPr>
        <w:t>V</w:t>
      </w:r>
      <w:r>
        <w:rPr>
          <w:sz w:val="24"/>
          <w:szCs w:val="24"/>
        </w:rPr>
        <w:t xml:space="preserve">. The mail push-to-web letter provides an opportunity to explain the survey’s purpose and elicit cooperation. The letters will introduce the survey, demonstrate its relevance, encourage web participation, and assure confidentiality. Subsequent contacts with Track A participants who do not respond after receiving the mail push-to-web letter are as follows: </w:t>
      </w:r>
    </w:p>
    <w:p w:rsidR="002C17E4" w14:paraId="21653AB2" w14:textId="77777777">
      <w:pPr>
        <w:widowControl/>
        <w:numPr>
          <w:ilvl w:val="0"/>
          <w:numId w:val="3"/>
        </w:numPr>
        <w:rPr>
          <w:sz w:val="24"/>
          <w:szCs w:val="24"/>
        </w:rPr>
      </w:pPr>
      <w:r>
        <w:rPr>
          <w:sz w:val="24"/>
          <w:szCs w:val="24"/>
        </w:rPr>
        <w:t xml:space="preserve">An email invitation, which reinforces the importance of the survey and reminds those who did not respond about the survey. The reminder email will contain a web link to the survey, in the hopes that that will make it easier for participants to respond online. </w:t>
      </w:r>
    </w:p>
    <w:p w:rsidR="002C17E4" w14:paraId="43898FE3" w14:textId="77777777">
      <w:pPr>
        <w:widowControl/>
        <w:numPr>
          <w:ilvl w:val="0"/>
          <w:numId w:val="3"/>
        </w:numPr>
        <w:rPr>
          <w:sz w:val="24"/>
          <w:szCs w:val="24"/>
        </w:rPr>
      </w:pPr>
      <w:r>
        <w:rPr>
          <w:sz w:val="24"/>
          <w:szCs w:val="24"/>
        </w:rPr>
        <w:t>A reminder email, which reinforces the importance of the survey and reminds those who did not respond about the survey. The reminder email will contain a web link to the survey.</w:t>
      </w:r>
    </w:p>
    <w:p w:rsidR="002C17E4" w14:paraId="0F61CD69" w14:textId="77777777">
      <w:pPr>
        <w:widowControl/>
        <w:numPr>
          <w:ilvl w:val="0"/>
          <w:numId w:val="3"/>
        </w:numPr>
        <w:rPr>
          <w:sz w:val="24"/>
          <w:szCs w:val="24"/>
        </w:rPr>
      </w:pPr>
      <w:r>
        <w:rPr>
          <w:sz w:val="24"/>
          <w:szCs w:val="24"/>
        </w:rPr>
        <w:t>A reminder letter, which reinforces the importance of the survey and reminds those who did not respond about the survey. The reminder letter will contain a web address to access the survey online.</w:t>
      </w:r>
    </w:p>
    <w:p w:rsidR="002C17E4" w14:paraId="3611F5BC" w14:textId="7A7A2AB4">
      <w:pPr>
        <w:widowControl/>
        <w:numPr>
          <w:ilvl w:val="0"/>
          <w:numId w:val="3"/>
        </w:numPr>
        <w:rPr>
          <w:sz w:val="24"/>
          <w:szCs w:val="24"/>
        </w:rPr>
      </w:pPr>
      <w:r>
        <w:rPr>
          <w:sz w:val="24"/>
          <w:szCs w:val="24"/>
        </w:rPr>
        <w:t>A mail package that includes the paper version of NARFS II</w:t>
      </w:r>
      <w:r w:rsidR="00001F3F">
        <w:rPr>
          <w:sz w:val="24"/>
          <w:szCs w:val="24"/>
        </w:rPr>
        <w:t>V</w:t>
      </w:r>
      <w:r>
        <w:rPr>
          <w:sz w:val="24"/>
          <w:szCs w:val="24"/>
        </w:rPr>
        <w:t xml:space="preserve"> and a cover letter explaining the importance of the survey. </w:t>
      </w:r>
    </w:p>
    <w:p w:rsidR="002C17E4" w14:paraId="6A0CF6CD" w14:textId="77777777">
      <w:pPr>
        <w:widowControl/>
        <w:ind w:left="720"/>
        <w:rPr>
          <w:sz w:val="24"/>
          <w:szCs w:val="24"/>
        </w:rPr>
      </w:pPr>
    </w:p>
    <w:p w:rsidR="002C17E4" w14:paraId="0E64F795" w14:textId="77777777">
      <w:pPr>
        <w:widowControl/>
        <w:tabs>
          <w:tab w:val="left" w:pos="720"/>
        </w:tabs>
        <w:jc w:val="both"/>
        <w:rPr>
          <w:sz w:val="24"/>
          <w:szCs w:val="24"/>
          <w:u w:val="single"/>
        </w:rPr>
      </w:pPr>
      <w:r>
        <w:rPr>
          <w:sz w:val="24"/>
          <w:szCs w:val="24"/>
          <w:u w:val="single"/>
        </w:rPr>
        <w:t>Track B: Mail push-to-web invitation letter for respondents without an email address on file.</w:t>
      </w:r>
    </w:p>
    <w:p w:rsidR="002C17E4" w14:paraId="527AD230" w14:textId="77777777">
      <w:pPr>
        <w:widowControl/>
        <w:tabs>
          <w:tab w:val="left" w:pos="720"/>
        </w:tabs>
        <w:jc w:val="both"/>
        <w:rPr>
          <w:sz w:val="24"/>
          <w:szCs w:val="24"/>
          <w:u w:val="single"/>
        </w:rPr>
      </w:pPr>
    </w:p>
    <w:p w:rsidR="002C17E4" w14:paraId="4CDE6B15" w14:textId="77777777">
      <w:pPr>
        <w:widowControl/>
        <w:tabs>
          <w:tab w:val="left" w:pos="720"/>
        </w:tabs>
        <w:jc w:val="both"/>
        <w:rPr>
          <w:sz w:val="24"/>
          <w:szCs w:val="24"/>
        </w:rPr>
      </w:pPr>
      <w:r>
        <w:rPr>
          <w:sz w:val="24"/>
          <w:szCs w:val="24"/>
        </w:rPr>
        <w:t xml:space="preserve">Track B is very similar to Track A, with the exception that these participants will not receive email contacts.  Any subsequent contact after the first mail push-to-web contact </w:t>
      </w:r>
      <w:r>
        <w:rPr>
          <w:sz w:val="24"/>
          <w:szCs w:val="24"/>
        </w:rPr>
        <w:t>will be made</w:t>
      </w:r>
      <w:r>
        <w:rPr>
          <w:sz w:val="24"/>
          <w:szCs w:val="24"/>
        </w:rPr>
        <w:t xml:space="preserve"> by mail. </w:t>
      </w:r>
    </w:p>
    <w:p w:rsidR="002C17E4" w14:paraId="0BBED0D6" w14:textId="77777777">
      <w:pPr>
        <w:widowControl/>
        <w:tabs>
          <w:tab w:val="left" w:pos="720"/>
        </w:tabs>
        <w:jc w:val="both"/>
        <w:rPr>
          <w:sz w:val="24"/>
          <w:szCs w:val="24"/>
          <w:u w:val="single"/>
        </w:rPr>
      </w:pPr>
    </w:p>
    <w:p w:rsidR="002C17E4" w14:paraId="325E4ACE" w14:textId="07659C32">
      <w:pPr>
        <w:widowControl/>
        <w:tabs>
          <w:tab w:val="left" w:pos="720"/>
        </w:tabs>
        <w:jc w:val="both"/>
        <w:rPr>
          <w:sz w:val="24"/>
          <w:szCs w:val="24"/>
        </w:rPr>
      </w:pPr>
      <w:bookmarkStart w:id="2" w:name="_30j0zll" w:colFirst="0" w:colLast="0"/>
      <w:bookmarkEnd w:id="2"/>
      <w:r>
        <w:rPr>
          <w:sz w:val="24"/>
          <w:szCs w:val="24"/>
        </w:rPr>
        <w:t>A version of the NARFS I</w:t>
      </w:r>
      <w:r w:rsidR="00001F3F">
        <w:rPr>
          <w:sz w:val="24"/>
          <w:szCs w:val="24"/>
        </w:rPr>
        <w:t>V</w:t>
      </w:r>
      <w:r>
        <w:rPr>
          <w:sz w:val="24"/>
          <w:szCs w:val="24"/>
        </w:rPr>
        <w:t xml:space="preserve"> survey instrument and associated cover letters are included as an attachment. </w:t>
      </w:r>
    </w:p>
    <w:p w:rsidR="002C17E4" w14:paraId="66688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C17E4" w14:paraId="535C4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C17E4" w14:paraId="17511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C17E4" w:rsidRPr="00C633EA" w14:paraId="1D4C7921" w14:textId="77777777">
      <w:pPr>
        <w:keepNext/>
        <w:keepLines/>
        <w:numPr>
          <w:ilvl w:val="0"/>
          <w:numId w:val="4"/>
        </w:numPr>
        <w:pBdr>
          <w:top w:val="nil"/>
          <w:left w:val="nil"/>
          <w:bottom w:val="nil"/>
          <w:right w:val="nil"/>
          <w:between w:val="nil"/>
        </w:pBdr>
        <w:spacing w:before="40"/>
      </w:pPr>
      <w:r w:rsidRPr="00C633EA">
        <w:rPr>
          <w:b/>
          <w:color w:val="000000"/>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C17E4" w14:paraId="19CFA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4E1A853F" w14:textId="679E0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Statistical methodology for stratification and sample selection</w:t>
      </w:r>
    </w:p>
    <w:p w:rsidR="00836A30" w14:paraId="3507E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2C17E4" w14:paraId="6A768EB0" w14:textId="1781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random sampling strategy </w:t>
      </w:r>
      <w:r>
        <w:rPr>
          <w:sz w:val="24"/>
          <w:szCs w:val="24"/>
        </w:rPr>
        <w:t>will be used</w:t>
      </w:r>
      <w:r>
        <w:rPr>
          <w:sz w:val="24"/>
          <w:szCs w:val="24"/>
        </w:rPr>
        <w:t xml:space="preserve"> to focus efforts on the population of interest and reduce implementation costs. Participants will be drawn from each state license database (</w:t>
      </w:r>
      <m:oMath>
        <m:r>
          <w:rPr>
            <w:rFonts w:ascii="Cambria Math" w:eastAsia="Cambria Math" w:hAnsi="Cambria Math" w:cs="Cambria Math"/>
            <w:sz w:val="24"/>
            <w:szCs w:val="24"/>
          </w:rPr>
          <m:t>g</m:t>
        </m:r>
      </m:oMath>
      <w:r>
        <w:rPr>
          <w:sz w:val="24"/>
          <w:szCs w:val="24"/>
        </w:rPr>
        <w:t>) in proportion to that state’s contribution to the total number of recreational fishing trips taken during 202</w:t>
      </w:r>
      <w:r w:rsidR="00001F3F">
        <w:rPr>
          <w:sz w:val="24"/>
          <w:szCs w:val="24"/>
        </w:rPr>
        <w:t>4</w:t>
      </w:r>
      <w:r>
        <w:rPr>
          <w:sz w:val="24"/>
          <w:szCs w:val="24"/>
        </w:rPr>
        <w:t xml:space="preserve"> that caught or targeted </w:t>
      </w:r>
      <w:r w:rsidR="00836A30">
        <w:rPr>
          <w:sz w:val="24"/>
          <w:szCs w:val="24"/>
        </w:rPr>
        <w:t>summer flounder or black sea bass</w:t>
      </w:r>
      <w:r>
        <w:rPr>
          <w:sz w:val="24"/>
          <w:szCs w:val="24"/>
        </w:rPr>
        <w:t xml:space="preserve">. </w:t>
      </w:r>
    </w:p>
    <w:p w:rsidR="002C17E4" w14:paraId="614CD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BD72A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Estimation procedure</w:t>
      </w:r>
    </w:p>
    <w:p w:rsidR="002C17E4" w14:paraId="689712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6BEE559" w14:textId="02FAB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most critical input for estimating the angler behavioral model are the data collected from Section B of NARFS I</w:t>
      </w:r>
      <w:r w:rsidR="00001F3F">
        <w:rPr>
          <w:sz w:val="24"/>
          <w:szCs w:val="24"/>
        </w:rPr>
        <w:t>V</w:t>
      </w:r>
      <w:r>
        <w:rPr>
          <w:sz w:val="24"/>
          <w:szCs w:val="24"/>
        </w:rPr>
        <w:t xml:space="preserve">, the discrete Choice Experiment (CE). </w:t>
      </w:r>
      <w:r>
        <w:rPr>
          <w:sz w:val="24"/>
          <w:szCs w:val="24"/>
        </w:rPr>
        <w:t xml:space="preserve">Each of the six questions in this section presents respondents with three options—two hypothetical </w:t>
      </w:r>
      <w:r w:rsidR="00934F0A">
        <w:rPr>
          <w:sz w:val="24"/>
          <w:szCs w:val="24"/>
        </w:rPr>
        <w:t>summer flounder</w:t>
      </w:r>
      <w:r w:rsidR="00400AEE">
        <w:rPr>
          <w:sz w:val="24"/>
          <w:szCs w:val="24"/>
        </w:rPr>
        <w:t>,</w:t>
      </w:r>
      <w:r w:rsidR="00934F0A">
        <w:rPr>
          <w:sz w:val="24"/>
          <w:szCs w:val="24"/>
        </w:rPr>
        <w:t xml:space="preserve"> black sea bass</w:t>
      </w:r>
      <w:r w:rsidR="00400AEE">
        <w:rPr>
          <w:sz w:val="24"/>
          <w:szCs w:val="24"/>
        </w:rPr>
        <w:t>, and scup</w:t>
      </w:r>
      <w:r>
        <w:rPr>
          <w:sz w:val="24"/>
          <w:szCs w:val="24"/>
        </w:rPr>
        <w:t xml:space="preserve"> fishing trips that vary in catch levels, probabilities of keeping a given number of fish, and cost, and the option to not go recreational saltwater fishing—and asks them to indicate which of the three options would be their first if they were presented with these alternatives in the real world.</w:t>
      </w:r>
      <w:r>
        <w:rPr>
          <w:sz w:val="24"/>
          <w:szCs w:val="24"/>
        </w:rPr>
        <w:t xml:space="preserve"> We use these data to estimate a vector of parameters that represent risk and ambiguity attitudes, and marginal utilities of fishing trip attributes included in the discrete choice experiment (see Part A, Table 1 for a summary of attributes). </w:t>
      </w:r>
    </w:p>
    <w:p w:rsidR="002C17E4" w14:paraId="64713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42715690" w14:textId="09586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will analyze the discrete choice experiment data collected by NARFS IV using random utility maximization (RUM) models, which decompose utility into its observable and unobservable components (McFadden 1973). RUM models assume that when faced with multiple alternatives, individual </w:t>
      </w:r>
      <w:r>
        <w:rPr>
          <w:i/>
          <w:sz w:val="24"/>
          <w:szCs w:val="24"/>
        </w:rPr>
        <w:t xml:space="preserve">n </w:t>
      </w:r>
      <w:r>
        <w:rPr>
          <w:sz w:val="24"/>
          <w:szCs w:val="24"/>
        </w:rPr>
        <w:t xml:space="preserve">will select alternative </w:t>
      </w:r>
      <m:oMath>
        <m:r>
          <w:rPr>
            <w:rFonts w:ascii="Cambria Math" w:eastAsia="Cambria Math" w:hAnsi="Cambria Math" w:cs="Cambria Math"/>
            <w:sz w:val="24"/>
            <w:szCs w:val="24"/>
          </w:rPr>
          <m:t>i</m:t>
        </m:r>
      </m:oMath>
      <w:r>
        <w:rPr>
          <w:sz w:val="24"/>
          <w:szCs w:val="24"/>
        </w:rPr>
        <w:t xml:space="preserve"> (from among other alternatives j) that maximizes utility</w:t>
      </w:r>
      <w:r>
        <w:rPr>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ni</m:t>
            </m:r>
          </m:sub>
        </m:sSub>
      </m:oMath>
      <w:r>
        <w:rPr>
          <w:sz w:val="24"/>
          <w:szCs w:val="24"/>
        </w:rPr>
        <w:t>.</w:t>
      </w:r>
    </w:p>
    <w:tbl>
      <w:tblPr>
        <w:tblW w:w="9090" w:type="dxa"/>
        <w:tblBorders>
          <w:top w:val="nil"/>
          <w:left w:val="nil"/>
          <w:bottom w:val="nil"/>
          <w:right w:val="nil"/>
          <w:insideH w:val="nil"/>
          <w:insideV w:val="nil"/>
        </w:tblBorders>
        <w:tblLayout w:type="fixed"/>
        <w:tblLook w:val="0400"/>
      </w:tblPr>
      <w:tblGrid>
        <w:gridCol w:w="506"/>
        <w:gridCol w:w="8314"/>
        <w:gridCol w:w="270"/>
      </w:tblGrid>
      <w:tr w14:paraId="13D36C4F" w14:textId="77777777" w:rsidTr="00836A30">
        <w:tblPrEx>
          <w:tblW w:w="9090" w:type="dxa"/>
          <w:tblBorders>
            <w:top w:val="nil"/>
            <w:left w:val="nil"/>
            <w:bottom w:val="nil"/>
            <w:right w:val="nil"/>
            <w:insideH w:val="nil"/>
            <w:insideV w:val="nil"/>
          </w:tblBorders>
          <w:tblLayout w:type="fixed"/>
          <w:tblLook w:val="0400"/>
        </w:tblPrEx>
        <w:trPr>
          <w:trHeight w:val="144"/>
        </w:trPr>
        <w:tc>
          <w:tcPr>
            <w:tcW w:w="9090" w:type="dxa"/>
            <w:gridSpan w:val="3"/>
          </w:tcPr>
          <w:p w:rsidR="00836A30" w:rsidP="00836A30" w14:paraId="1112A8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279AE7CA" w14:textId="77777777" w:rsidTr="00836A30">
        <w:tblPrEx>
          <w:tblW w:w="9090" w:type="dxa"/>
          <w:tblLayout w:type="fixed"/>
          <w:tblLook w:val="0400"/>
        </w:tblPrEx>
        <w:trPr>
          <w:trHeight w:val="432"/>
        </w:trPr>
        <w:tc>
          <w:tcPr>
            <w:tcW w:w="506" w:type="dxa"/>
          </w:tcPr>
          <w:p w:rsidR="00836A30" w:rsidP="00836A30" w14:paraId="30EED3F7" w14:textId="77777777">
            <w:pPr>
              <w:numPr>
                <w:ilvl w:val="0"/>
                <w:numId w:val="8"/>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eastAsia="Arial" w:hAnsi="Arial" w:cs="Arial"/>
                <w:color w:val="000000"/>
                <w:sz w:val="22"/>
                <w:szCs w:val="22"/>
              </w:rPr>
              <w:t xml:space="preserve">   </w:t>
            </w:r>
          </w:p>
        </w:tc>
        <w:tc>
          <w:tcPr>
            <w:tcW w:w="8314" w:type="dxa"/>
            <w:vAlign w:val="center"/>
          </w:tcPr>
          <w:p w:rsidR="00836A30" w:rsidP="00836A30" w14:paraId="55466639" w14:textId="77777777">
            <w:pPr>
              <w:numPr>
                <w:ilvl w:val="0"/>
                <w:numId w:val="7"/>
              </w:numPr>
              <w:pBdr>
                <w:top w:val="nil"/>
                <w:left w:val="nil"/>
                <w:bottom w:val="nil"/>
                <w:right w:val="nil"/>
                <w:between w:val="nil"/>
              </w:pBdr>
              <w:jc w:val="center"/>
              <w:rPr>
                <w:rFonts w:ascii="Cambria Math" w:eastAsia="Cambria Math" w:hAnsi="Cambria Math" w:cs="Cambria Math"/>
                <w:color w:val="000000"/>
                <w:sz w:val="22"/>
                <w:szCs w:val="22"/>
              </w:rPr>
            </w:pPr>
            <m:oMath>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U</m:t>
                  </m:r>
                </m:e>
                <m:sub>
                  <m:r>
                    <w:rPr>
                      <w:rFonts w:ascii="Cambria Math" w:eastAsia="Cambria Math" w:hAnsi="Cambria Math" w:cs="Cambria Math"/>
                      <w:color w:val="000000"/>
                      <w:sz w:val="22"/>
                      <w:szCs w:val="22"/>
                    </w:rPr>
                    <m:t>ni</m:t>
                  </m:r>
                </m:sub>
              </m:sSub>
              <m:r>
                <w:rPr>
                  <w:rFonts w:ascii="Cambria Math" w:eastAsia="Cambria Math" w:hAnsi="Cambria Math" w:cs="Cambria Math"/>
                  <w:color w:val="000000"/>
                  <w:sz w:val="22"/>
                  <w:szCs w:val="22"/>
                </w:rPr>
                <m:t>&gt;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U</m:t>
                  </m:r>
                </m:e>
                <m:sub>
                  <m:r>
                    <w:rPr>
                      <w:rFonts w:ascii="Cambria Math" w:eastAsia="Cambria Math" w:hAnsi="Cambria Math" w:cs="Cambria Math"/>
                      <w:color w:val="000000"/>
                      <w:sz w:val="22"/>
                      <w:szCs w:val="22"/>
                    </w:rPr>
                    <m:t>nj</m:t>
                  </m:r>
                </m:sub>
              </m:sSub>
              <m:r>
                <w:rPr>
                  <w:rFonts w:ascii="Cambria Math" w:eastAsia="Cambria Math" w:hAnsi="Cambria Math" w:cs="Cambria Math"/>
                  <w:color w:val="000000"/>
                  <w:sz w:val="22"/>
                  <w:szCs w:val="22"/>
                </w:rPr>
                <m:t xml:space="preserve"> ∀ j≠i</m:t>
              </m:r>
            </m:oMath>
          </w:p>
        </w:tc>
        <w:tc>
          <w:tcPr>
            <w:tcW w:w="270" w:type="dxa"/>
            <w:vAlign w:val="center"/>
          </w:tcPr>
          <w:p w:rsidR="00836A30" w:rsidP="00836A30" w14:paraId="08CC7B17" w14:textId="77777777">
            <w:pPr>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4B785BB0" w14:textId="77777777" w:rsidTr="00836A30">
        <w:tblPrEx>
          <w:tblW w:w="9090" w:type="dxa"/>
          <w:tblLayout w:type="fixed"/>
          <w:tblLook w:val="0400"/>
        </w:tblPrEx>
        <w:trPr>
          <w:trHeight w:val="288"/>
        </w:trPr>
        <w:tc>
          <w:tcPr>
            <w:tcW w:w="506" w:type="dxa"/>
          </w:tcPr>
          <w:p w:rsidR="00836A30" w:rsidP="00836A30" w14:paraId="7CBB00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836A30" w:rsidP="00836A30" w14:paraId="2D088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70" w:type="dxa"/>
            <w:vAlign w:val="center"/>
          </w:tcPr>
          <w:p w:rsidR="00836A30" w:rsidP="00836A30" w14:paraId="3C740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836A30" w:rsidP="00836A30" w14:paraId="63625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Partitioning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ni</m:t>
            </m:r>
          </m:sub>
        </m:sSub>
      </m:oMath>
      <w:r>
        <w:rPr>
          <w:sz w:val="24"/>
          <w:szCs w:val="24"/>
        </w:rPr>
        <w:t xml:space="preserve"> into its two component parts, the choice of alternative </w:t>
      </w:r>
      <m:oMath>
        <m:r>
          <w:rPr>
            <w:rFonts w:ascii="Cambria Math" w:eastAsia="Cambria Math" w:hAnsi="Cambria Math" w:cs="Cambria Math"/>
            <w:sz w:val="24"/>
            <w:szCs w:val="24"/>
          </w:rPr>
          <m:t>i</m:t>
        </m:r>
      </m:oMath>
      <w:r>
        <w:rPr>
          <w:sz w:val="24"/>
          <w:szCs w:val="24"/>
        </w:rPr>
        <w:t xml:space="preserve"> is such that</w:t>
      </w:r>
    </w:p>
    <w:tbl>
      <w:tblPr>
        <w:tblW w:w="9360" w:type="dxa"/>
        <w:tblBorders>
          <w:top w:val="nil"/>
          <w:left w:val="nil"/>
          <w:bottom w:val="nil"/>
          <w:right w:val="nil"/>
          <w:insideH w:val="nil"/>
          <w:insideV w:val="nil"/>
        </w:tblBorders>
        <w:tblLayout w:type="fixed"/>
        <w:tblLook w:val="0400"/>
      </w:tblPr>
      <w:tblGrid>
        <w:gridCol w:w="506"/>
        <w:gridCol w:w="8314"/>
        <w:gridCol w:w="540"/>
      </w:tblGrid>
      <w:tr w14:paraId="0B604D45" w14:textId="77777777" w:rsidTr="00836A30">
        <w:tblPrEx>
          <w:tblW w:w="9360" w:type="dxa"/>
          <w:tblBorders>
            <w:top w:val="nil"/>
            <w:left w:val="nil"/>
            <w:bottom w:val="nil"/>
            <w:right w:val="nil"/>
            <w:insideH w:val="nil"/>
            <w:insideV w:val="nil"/>
          </w:tblBorders>
          <w:tblLayout w:type="fixed"/>
          <w:tblLook w:val="0400"/>
        </w:tblPrEx>
        <w:trPr>
          <w:trHeight w:val="144"/>
        </w:trPr>
        <w:tc>
          <w:tcPr>
            <w:tcW w:w="506" w:type="dxa"/>
          </w:tcPr>
          <w:p w:rsidR="00836A30" w:rsidP="00836A30" w14:paraId="4FA26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836A30" w:rsidP="00836A30" w14:paraId="2490F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836A30" w:rsidP="00836A30" w14:paraId="67A6F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14:paraId="55DF662E" w14:textId="77777777" w:rsidTr="00836A30">
        <w:tblPrEx>
          <w:tblW w:w="9360" w:type="dxa"/>
          <w:tblLayout w:type="fixed"/>
          <w:tblLook w:val="0400"/>
        </w:tblPrEx>
        <w:trPr>
          <w:trHeight w:val="432"/>
        </w:trPr>
        <w:tc>
          <w:tcPr>
            <w:tcW w:w="506" w:type="dxa"/>
          </w:tcPr>
          <w:p w:rsidR="00836A30" w:rsidP="00836A30" w14:paraId="088115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836A30" w:rsidP="00836A30" w14:paraId="5B267E00" w14:textId="77777777">
            <w:pPr>
              <w:numPr>
                <w:ilvl w:val="0"/>
                <w:numId w:val="9"/>
              </w:numPr>
              <w:pBdr>
                <w:top w:val="nil"/>
                <w:left w:val="nil"/>
                <w:bottom w:val="nil"/>
                <w:right w:val="nil"/>
                <w:between w:val="nil"/>
              </w:pBdr>
              <w:jc w:val="center"/>
            </w:pPr>
            <m:oMath>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V</m:t>
                  </m:r>
                </m:e>
                <m:sub>
                  <m:r>
                    <w:rPr>
                      <w:rFonts w:ascii="Cambria Math" w:eastAsia="Cambria Math" w:hAnsi="Cambria Math" w:cs="Cambria Math"/>
                      <w:color w:val="000000"/>
                      <w:sz w:val="22"/>
                      <w:szCs w:val="22"/>
                    </w:rPr>
                    <m:t>ni</m:t>
                  </m:r>
                </m:sub>
              </m:sSub>
              <m:r>
                <w:rPr>
                  <w:rFonts w:ascii="Cambria Math" w:eastAsia="Cambria Math" w:hAnsi="Cambria Math" w:cs="Cambria Math"/>
                  <w:color w:val="000000"/>
                  <w:sz w:val="22"/>
                  <w:szCs w:val="22"/>
                </w:rPr>
                <m:t xml:space="preserve"> +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ε</m:t>
                  </m:r>
                </m:e>
                <m:sub>
                  <m:r>
                    <w:rPr>
                      <w:rFonts w:ascii="Cambria Math" w:eastAsia="Cambria Math" w:hAnsi="Cambria Math" w:cs="Cambria Math"/>
                      <w:color w:val="000000"/>
                      <w:sz w:val="22"/>
                      <w:szCs w:val="22"/>
                    </w:rPr>
                    <m:t>ni</m:t>
                  </m:r>
                </m:sub>
              </m:sSub>
              <m:r>
                <w:rPr>
                  <w:rFonts w:ascii="Cambria Math" w:eastAsia="Cambria Math" w:hAnsi="Cambria Math" w:cs="Cambria Math"/>
                  <w:color w:val="000000"/>
                  <w:sz w:val="22"/>
                  <w:szCs w:val="22"/>
                </w:rPr>
                <m:t>&gt;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V</m:t>
                  </m:r>
                </m:e>
                <m:sub>
                  <m:r>
                    <w:rPr>
                      <w:rFonts w:ascii="Cambria Math" w:eastAsia="Cambria Math" w:hAnsi="Cambria Math" w:cs="Cambria Math"/>
                      <w:color w:val="000000"/>
                      <w:sz w:val="22"/>
                      <w:szCs w:val="22"/>
                    </w:rPr>
                    <m:t>nj</m:t>
                  </m:r>
                </m:sub>
              </m:sSub>
              <m:r>
                <w:rPr>
                  <w:rFonts w:ascii="Cambria Math" w:eastAsia="Cambria Math" w:hAnsi="Cambria Math" w:cs="Cambria Math"/>
                  <w:color w:val="000000"/>
                  <w:sz w:val="22"/>
                  <w:szCs w:val="22"/>
                </w:rPr>
                <m:t xml:space="preserve"> +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ε</m:t>
                  </m:r>
                </m:e>
                <m:sub>
                  <m:r>
                    <w:rPr>
                      <w:rFonts w:ascii="Cambria Math" w:eastAsia="Cambria Math" w:hAnsi="Cambria Math" w:cs="Cambria Math"/>
                      <w:color w:val="000000"/>
                      <w:sz w:val="22"/>
                      <w:szCs w:val="22"/>
                    </w:rPr>
                    <m:t>nj</m:t>
                  </m:r>
                </m:sub>
              </m:sSub>
              <m:r>
                <w:rPr>
                  <w:rFonts w:ascii="Cambria Math" w:eastAsia="Cambria Math" w:hAnsi="Cambria Math" w:cs="Cambria Math"/>
                  <w:color w:val="000000"/>
                  <w:sz w:val="22"/>
                  <w:szCs w:val="22"/>
                </w:rPr>
                <m:t xml:space="preserve"> ∀ j≠i,</m:t>
              </m:r>
            </m:oMath>
          </w:p>
        </w:tc>
        <w:tc>
          <w:tcPr>
            <w:tcW w:w="540" w:type="dxa"/>
            <w:vAlign w:val="center"/>
          </w:tcPr>
          <w:p w:rsidR="00836A30" w:rsidP="00836A30" w14:paraId="6EBCA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14:paraId="122B777B" w14:textId="77777777" w:rsidTr="00836A30">
        <w:tblPrEx>
          <w:tblW w:w="9360" w:type="dxa"/>
          <w:tblLayout w:type="fixed"/>
          <w:tblLook w:val="0400"/>
        </w:tblPrEx>
        <w:trPr>
          <w:trHeight w:val="288"/>
        </w:trPr>
        <w:tc>
          <w:tcPr>
            <w:tcW w:w="506" w:type="dxa"/>
          </w:tcPr>
          <w:p w:rsidR="00836A30" w:rsidP="00836A30" w14:paraId="765FE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836A30" w:rsidP="00836A30" w14:paraId="57282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836A30" w:rsidP="00836A30" w14:paraId="3B539F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bl>
    <w:p w:rsidR="00836A30" w:rsidP="00836A30" w14:paraId="2893737D" w14:textId="468BD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where</w:t>
      </w:r>
      <w:r>
        <w:rPr>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nj</m:t>
            </m:r>
          </m:sub>
        </m:sSub>
      </m:oMath>
      <w:r>
        <w:rPr>
          <w:sz w:val="24"/>
          <w:szCs w:val="24"/>
        </w:rPr>
        <w:t xml:space="preserve">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ni</m:t>
            </m:r>
          </m:sub>
        </m:sSub>
      </m:oMath>
      <w:r>
        <w:rPr>
          <w:sz w:val="24"/>
          <w:szCs w:val="24"/>
        </w:rPr>
        <w:t xml:space="preserve">  are indirect utilities derived  from alternatives </w:t>
      </w:r>
      <w:r w:rsidR="000117BF">
        <w:rPr>
          <w:i/>
          <w:iCs/>
          <w:sz w:val="24"/>
          <w:szCs w:val="24"/>
        </w:rPr>
        <w:t>j</w:t>
      </w:r>
      <w:r>
        <w:rPr>
          <w:sz w:val="24"/>
          <w:szCs w:val="24"/>
        </w:rPr>
        <w:t xml:space="preserve"> and </w:t>
      </w:r>
      <w:r w:rsidR="000117BF">
        <w:rPr>
          <w:i/>
          <w:iCs/>
          <w:sz w:val="24"/>
          <w:szCs w:val="24"/>
        </w:rPr>
        <w:t>i</w:t>
      </w:r>
      <w:r>
        <w:rPr>
          <w:sz w:val="24"/>
          <w:szCs w:val="24"/>
        </w:rPr>
        <w:t>, respectively</w:t>
      </w:r>
      <w:r w:rsidR="000117BF">
        <w:rPr>
          <w:sz w:val="24"/>
          <w:szCs w:val="24"/>
        </w:rPr>
        <w:t>,</w:t>
      </w:r>
      <w:r>
        <w:rPr>
          <w:sz w:val="24"/>
          <w:szCs w:val="24"/>
        </w:rPr>
        <w:t xml:space="preserve"> and </w:t>
      </w:r>
      <m:oMath>
        <m:sSub>
          <m:sSubPr>
            <m:ctrlPr>
              <w:rPr>
                <w:rFonts w:ascii="Cambria Math" w:eastAsia="Cambria Math" w:hAnsi="Cambria Math" w:cs="Cambria Math"/>
                <w:sz w:val="24"/>
                <w:szCs w:val="24"/>
              </w:rPr>
            </m:ctrlPr>
          </m:sSubPr>
          <m:e>
            <m:r>
              <w:rPr>
                <w:rFonts w:ascii="Cambria Math" w:hAnsi="Cambria Math"/>
              </w:rPr>
              <m:t>ε</m:t>
            </m:r>
          </m:e>
          <m:sub>
            <m:r>
              <w:rPr>
                <w:rFonts w:ascii="Cambria Math" w:eastAsia="Cambria Math" w:hAnsi="Cambria Math" w:cs="Cambria Math"/>
                <w:sz w:val="24"/>
                <w:szCs w:val="24"/>
              </w:rPr>
              <m:t>nj</m:t>
            </m:r>
          </m:sub>
        </m:sSub>
      </m:oMath>
      <w:r>
        <w:rPr>
          <w:sz w:val="24"/>
          <w:szCs w:val="24"/>
        </w:rPr>
        <w:t xml:space="preserve"> and </w:t>
      </w:r>
      <m:oMath>
        <m:sSub>
          <m:sSubPr>
            <m:ctrlPr>
              <w:rPr>
                <w:rFonts w:ascii="Cambria Math" w:eastAsia="Cambria Math" w:hAnsi="Cambria Math" w:cs="Cambria Math"/>
                <w:sz w:val="24"/>
                <w:szCs w:val="24"/>
              </w:rPr>
            </m:ctrlPr>
          </m:sSubPr>
          <m:e>
            <m:r>
              <w:rPr>
                <w:rFonts w:ascii="Cambria Math" w:hAnsi="Cambria Math"/>
              </w:rPr>
              <m:t>ε</m:t>
            </m:r>
          </m:e>
          <m:sub>
            <m:r>
              <w:rPr>
                <w:rFonts w:ascii="Cambria Math" w:eastAsia="Cambria Math" w:hAnsi="Cambria Math" w:cs="Cambria Math"/>
                <w:sz w:val="24"/>
                <w:szCs w:val="24"/>
              </w:rPr>
              <m:t>ni</m:t>
            </m:r>
          </m:sub>
        </m:sSub>
      </m:oMath>
      <w:r>
        <w:rPr>
          <w:sz w:val="24"/>
          <w:szCs w:val="24"/>
        </w:rPr>
        <w:t xml:space="preserve"> are their respective</w:t>
      </w:r>
      <w:r w:rsidRPr="00A97E48">
        <w:rPr>
          <w:sz w:val="24"/>
          <w:szCs w:val="24"/>
        </w:rPr>
        <w:t xml:space="preserve"> error terms</w:t>
      </w:r>
      <w:r>
        <w:rPr>
          <w:sz w:val="24"/>
          <w:szCs w:val="24"/>
        </w:rPr>
        <w:t xml:space="preserve">. Unlike standard specifications, which typically assume that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ni</m:t>
            </m:r>
          </m:sub>
        </m:sSub>
      </m:oMath>
      <w:r>
        <w:rPr>
          <w:sz w:val="24"/>
          <w:szCs w:val="24"/>
        </w:rPr>
        <w:t xml:space="preserve">  is linear in parameters</w:t>
      </w:r>
      <w:r>
        <w:rPr>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ni</m:t>
            </m:r>
          </m:sub>
        </m:sSub>
        <m:r>
          <w:rPr>
            <w:rFonts w:ascii="Cambria Math" w:eastAsia="Cambria Math" w:hAnsi="Cambria Math" w:cs="Cambria Math"/>
            <w:sz w:val="24"/>
            <w:szCs w:val="24"/>
          </w:rPr>
          <m:t>=β'</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ni</m:t>
            </m:r>
          </m:sub>
        </m:sSub>
      </m:oMath>
      <w:r>
        <w:rPr>
          <w:sz w:val="24"/>
          <w:szCs w:val="24"/>
        </w:rPr>
        <w:t xml:space="preserve">, we are interested in eliciting angler’s risk and ambiguity preferences in catch space (Foster and Just, 1989, Leggett, 2002, de Palma and Picard 2004, Holzer and McConnell 2017). Thus, we assume a quasilinear </w:t>
      </w:r>
      <w:r>
        <w:rPr>
          <w:sz w:val="24"/>
          <w:szCs w:val="24"/>
        </w:rPr>
        <w:t>specification</w:t>
      </w:r>
      <w:r>
        <w:rPr>
          <w:sz w:val="24"/>
          <w:szCs w:val="24"/>
        </w:rPr>
        <w:t xml:space="preserve"> in which risk preferenc</w:t>
      </w:r>
      <w:r>
        <w:rPr>
          <w:sz w:val="24"/>
          <w:szCs w:val="24"/>
        </w:rPr>
        <w:t>es</w:t>
      </w:r>
      <w:r>
        <w:rPr>
          <w:sz w:val="24"/>
          <w:szCs w:val="24"/>
        </w:rPr>
        <w:t xml:space="preserve"> associated with the random catch are represented by a von Neumann-Morgenstern utility function with constant absolute risk aversion (CARA),</w:t>
      </w:r>
    </w:p>
    <w:p w:rsidR="00836A30" w:rsidP="00836A30" w14:paraId="3BC25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36A30" w:rsidP="00836A30" w14:paraId="29DE3A7C" w14:textId="77777777">
      <w:pPr>
        <w:numPr>
          <w:ilvl w:val="0"/>
          <w:numId w:val="9"/>
        </w:numPr>
        <w:pBdr>
          <w:top w:val="nil"/>
          <w:left w:val="nil"/>
          <w:bottom w:val="nil"/>
          <w:right w:val="nil"/>
          <w:between w:val="nil"/>
        </w:pBdr>
        <w:jc w:val="cente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u</m:t>
            </m:r>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 </m:t>
                </m:r>
                <m:r>
                  <w:rPr>
                    <w:rFonts w:ascii="Cambria Math" w:hAnsi="Cambria Math"/>
                    <w:sz w:val="24"/>
                    <w:szCs w:val="24"/>
                  </w:rPr>
                  <m:t>r</m:t>
                </m:r>
                <m:r>
                  <m:rPr>
                    <m:sty m:val="p"/>
                  </m:rPr>
                  <w:rPr>
                    <w:rFonts w:ascii="Cambria Math" w:hAnsi="Cambria Math"/>
                    <w:sz w:val="24"/>
                    <w:szCs w:val="24"/>
                  </w:rPr>
                  <m:t>,</m:t>
                </m:r>
                <m:r>
                  <m:rPr>
                    <m:sty m:val="bi"/>
                  </m:rPr>
                  <w:rPr>
                    <w:rFonts w:ascii="Cambria Math" w:hAnsi="Cambria Math"/>
                    <w:sz w:val="24"/>
                    <w:szCs w:val="24"/>
                  </w:rPr>
                  <m:t>β</m:t>
                </m:r>
              </m:e>
            </m:d>
            <m:r>
              <m:rPr>
                <m:sty m:val="p"/>
              </m:rPr>
              <w:rPr>
                <w:rFonts w:ascii="Cambria Math" w:hAnsi="Cambria Math"/>
                <w:sz w:val="24"/>
                <w:szCs w:val="24"/>
              </w:rPr>
              <m:t>+</m:t>
            </m:r>
            <m:r>
              <w:rPr>
                <w:rFonts w:ascii="Cambria Math" w:hAnsi="Cambria Math"/>
                <w:sz w:val="24"/>
                <w:szCs w:val="24"/>
              </w:rPr>
              <m:t>λ</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e>
        </m:nary>
      </m:oMath>
    </w:p>
    <w:p w:rsidR="00836A30" w:rsidP="00836A30" w14:paraId="4D767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53F99021" w14:textId="362F0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where </w:t>
      </w:r>
      <w:r>
        <w:rPr>
          <w:i/>
          <w:sz w:val="24"/>
          <w:szCs w:val="24"/>
        </w:rPr>
        <w:t>k</w:t>
      </w:r>
      <w:r>
        <w:rPr>
          <w:sz w:val="24"/>
          <w:szCs w:val="24"/>
        </w:rPr>
        <w:t xml:space="preserve"> indexes the possible catch outcomes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k</m:t>
            </m:r>
          </m:sup>
        </m:sSubSup>
      </m:oMath>
      <w:r>
        <w:rPr>
          <w:sz w:val="24"/>
          <w:szCs w:val="24"/>
        </w:rPr>
        <w:t xml:space="preserve">, </w:t>
      </w:r>
      <m:oMath>
        <m:sSubSup>
          <m:sSubSupPr>
            <m:ctrlPr>
              <w:rPr>
                <w:rFonts w:ascii="Cambria Math" w:eastAsia="Cambria Math" w:hAnsi="Cambria Math" w:cs="Cambria Math"/>
                <w:sz w:val="24"/>
                <w:szCs w:val="24"/>
              </w:rPr>
            </m:ctrlPr>
          </m:sSubSupPr>
          <m:e>
            <m:r>
              <w:rPr>
                <w:rFonts w:ascii="Cambria Math" w:hAnsi="Cambria Math"/>
              </w:rPr>
              <m:t>π</m:t>
            </m:r>
          </m:e>
          <m:sub>
            <m:r>
              <w:rPr>
                <w:rFonts w:ascii="Cambria Math" w:eastAsia="Cambria Math" w:hAnsi="Cambria Math" w:cs="Cambria Math"/>
                <w:sz w:val="24"/>
                <w:szCs w:val="24"/>
              </w:rPr>
              <m:t>ni</m:t>
            </m:r>
          </m:sub>
          <m:sup>
            <m:r>
              <w:rPr>
                <w:rFonts w:ascii="Cambria Math" w:eastAsia="Cambria Math" w:hAnsi="Cambria Math" w:cs="Cambria Math"/>
                <w:sz w:val="24"/>
                <w:szCs w:val="24"/>
              </w:rPr>
              <m:t>k</m:t>
            </m:r>
          </m:sup>
        </m:sSubSup>
      </m:oMath>
      <w:r>
        <w:rPr>
          <w:sz w:val="24"/>
          <w:szCs w:val="24"/>
        </w:rPr>
        <w:t xml:space="preserve"> is the probability that outcome </w:t>
      </w:r>
      <w:r>
        <w:rPr>
          <w:i/>
          <w:sz w:val="24"/>
          <w:szCs w:val="24"/>
        </w:rPr>
        <w:t>k</w:t>
      </w:r>
      <w:r>
        <w:rPr>
          <w:sz w:val="24"/>
          <w:szCs w:val="24"/>
        </w:rPr>
        <w:t xml:space="preserve"> occurs,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ni</m:t>
            </m:r>
          </m:sub>
        </m:sSub>
        <m:r>
          <w:rPr>
            <w:rFonts w:ascii="Cambria Math" w:eastAsia="Cambria Math" w:hAnsi="Cambria Math" w:cs="Cambria Math"/>
            <w:sz w:val="24"/>
            <w:szCs w:val="24"/>
          </w:rPr>
          <m:t xml:space="preserve"> </m:t>
        </m:r>
      </m:oMath>
      <w:r w:rsidR="000117BF">
        <w:rPr>
          <w:sz w:val="24"/>
          <w:szCs w:val="24"/>
        </w:rPr>
        <w:t xml:space="preserve">denotes </w:t>
      </w:r>
      <w:r>
        <w:rPr>
          <w:sz w:val="24"/>
          <w:szCs w:val="24"/>
        </w:rPr>
        <w:t xml:space="preserve">a vector of non-random site attributes,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n</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ni</m:t>
            </m:r>
          </m:sub>
        </m:sSub>
      </m:oMath>
      <w:r>
        <w:rPr>
          <w:sz w:val="24"/>
          <w:szCs w:val="24"/>
        </w:rPr>
        <w:t xml:space="preserve"> </w:t>
      </w:r>
      <w:r w:rsidR="000117BF">
        <w:rPr>
          <w:sz w:val="24"/>
          <w:szCs w:val="24"/>
        </w:rPr>
        <w:t xml:space="preserve">is </w:t>
      </w:r>
      <w:r>
        <w:rPr>
          <w:sz w:val="24"/>
          <w:szCs w:val="24"/>
        </w:rPr>
        <w:t xml:space="preserve">income net of trips costs,  </w:t>
      </w:r>
      <w:r>
        <w:rPr>
          <w:i/>
          <w:sz w:val="24"/>
          <w:szCs w:val="24"/>
        </w:rPr>
        <w:t>r</w:t>
      </w:r>
      <w:r>
        <w:rPr>
          <w:sz w:val="24"/>
          <w:szCs w:val="24"/>
        </w:rPr>
        <w:t xml:space="preserve">  denotes the Arrow-Pratt coefficient of absolute risk aversion, and </w:t>
      </w:r>
      <m:oMath>
        <m:r>
          <w:rPr>
            <w:rFonts w:ascii="Cambria Math" w:hAnsi="Cambria Math"/>
          </w:rPr>
          <m:t>β</m:t>
        </m:r>
      </m:oMath>
      <w:r>
        <w:rPr>
          <w:b/>
          <w:sz w:val="24"/>
          <w:szCs w:val="24"/>
        </w:rPr>
        <w:t xml:space="preserve"> </w:t>
      </w:r>
      <w:r>
        <w:rPr>
          <w:sz w:val="24"/>
          <w:szCs w:val="24"/>
        </w:rPr>
        <w:t>and</w:t>
      </w:r>
      <w:r>
        <w:rPr>
          <w:sz w:val="24"/>
          <w:szCs w:val="24"/>
        </w:rPr>
        <w:t xml:space="preserve"> </w:t>
      </w:r>
      <m:oMath>
        <m:r>
          <w:rPr>
            <w:rFonts w:ascii="Cambria Math" w:hAnsi="Cambria Math"/>
          </w:rPr>
          <m:t>λ</m:t>
        </m:r>
      </m:oMath>
      <w:r>
        <w:rPr>
          <w:sz w:val="24"/>
          <w:szCs w:val="24"/>
        </w:rPr>
        <w:t xml:space="preserve"> are parameters to be estimated. Function </w:t>
      </w:r>
      <m:oMath>
        <m:r>
          <w:rPr>
            <w:rFonts w:ascii="Cambria Math" w:eastAsia="Cambria Math" w:hAnsi="Cambria Math" w:cs="Cambria Math"/>
            <w:sz w:val="24"/>
            <w:szCs w:val="24"/>
          </w:rPr>
          <m:t>u</m:t>
        </m:r>
      </m:oMath>
      <w:r>
        <w:rPr>
          <w:sz w:val="24"/>
          <w:szCs w:val="24"/>
        </w:rPr>
        <w:t xml:space="preserve"> </w:t>
      </w:r>
      <w:r>
        <w:rPr>
          <w:sz w:val="24"/>
          <w:szCs w:val="24"/>
        </w:rPr>
        <w:t>is given</w:t>
      </w:r>
      <w:r>
        <w:rPr>
          <w:sz w:val="24"/>
          <w:szCs w:val="24"/>
        </w:rPr>
        <w:t xml:space="preserve"> by</w:t>
      </w:r>
    </w:p>
    <w:p w:rsidR="00836A30" w:rsidP="00836A30" w14:paraId="281B3215" w14:textId="77777777">
      <w:pPr>
        <w:rPr>
          <w:sz w:val="24"/>
          <w:szCs w:val="24"/>
        </w:rPr>
      </w:pPr>
    </w:p>
    <w:p w:rsidR="00836A30" w:rsidP="00836A30" w14:paraId="365D1F47"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4"/>
          <w:szCs w:val="24"/>
        </w:rPr>
      </w:pPr>
      <m:oMath>
        <m:r>
          <w:rPr>
            <w:rFonts w:ascii="Cambria Math" w:hAnsi="Cambria Math"/>
            <w:sz w:val="24"/>
            <w:szCs w:val="24"/>
          </w:rPr>
          <m:t>u</m:t>
        </m:r>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m:t>
                    </m:r>
                    <m:r>
                      <m:rPr>
                        <m:sty m:val="bi"/>
                      </m:rPr>
                      <w:rPr>
                        <w:rFonts w:ascii="Cambria Math" w:hAnsi="Cambria Math"/>
                        <w:sz w:val="24"/>
                        <w:szCs w:val="24"/>
                      </w:rPr>
                      <m:t>β</m:t>
                    </m:r>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e>
                </m:d>
              </m:sup>
            </m:sSup>
          </m:num>
          <m:den>
            <m:r>
              <w:rPr>
                <w:rFonts w:ascii="Cambria Math" w:hAnsi="Cambria Math"/>
                <w:sz w:val="24"/>
                <w:szCs w:val="24"/>
              </w:rPr>
              <m:t>r</m:t>
            </m:r>
          </m:den>
        </m:f>
      </m:oMath>
    </w:p>
    <w:p w:rsidR="00836A30" w:rsidP="00836A30" w14:paraId="2D85C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7FB77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and</w:t>
      </w:r>
      <w:r>
        <w:rPr>
          <w:sz w:val="24"/>
          <w:szCs w:val="24"/>
        </w:rPr>
        <w:t xml:space="preserve"> combining both expressions, we write </w:t>
      </w:r>
    </w:p>
    <w:p w:rsidR="00836A30" w:rsidP="00836A30" w14:paraId="3BC22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23A0077C"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4"/>
          <w:szCs w:val="24"/>
        </w:rP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i/>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k</m:t>
                </m:r>
              </m:sup>
            </m:sSub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m:t>
                            </m:r>
                            <m:r>
                              <m:rPr>
                                <m:sty m:val="bi"/>
                              </m:rPr>
                              <w:rPr>
                                <w:rFonts w:ascii="Cambria Math" w:hAnsi="Cambria Math"/>
                                <w:sz w:val="24"/>
                                <w:szCs w:val="24"/>
                              </w:rPr>
                              <m:t>β</m:t>
                            </m:r>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e>
                        </m:d>
                      </m:sup>
                    </m:sSup>
                  </m:num>
                  <m:den>
                    <m:r>
                      <w:rPr>
                        <w:rFonts w:ascii="Cambria Math" w:hAnsi="Cambria Math"/>
                        <w:sz w:val="24"/>
                        <w:szCs w:val="24"/>
                      </w:rPr>
                      <m:t>r</m:t>
                    </m:r>
                  </m:den>
                </m:f>
              </m:e>
            </m:d>
            <m:r>
              <m:rPr>
                <m:sty m:val="p"/>
              </m:rPr>
              <w:rPr>
                <w:rFonts w:ascii="Cambria Math" w:hAnsi="Cambria Math"/>
                <w:sz w:val="24"/>
                <w:szCs w:val="24"/>
              </w:rPr>
              <m:t>+</m:t>
            </m:r>
            <m:r>
              <w:rPr>
                <w:rFonts w:ascii="Cambria Math" w:hAnsi="Cambria Math"/>
                <w:sz w:val="24"/>
                <w:szCs w:val="24"/>
              </w:rPr>
              <m:t>λ</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e>
        </m:nary>
      </m:oMath>
    </w:p>
    <w:p w:rsidR="00836A30" w:rsidP="00836A30" w14:paraId="4D4BE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74EF7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that</w:t>
      </w:r>
      <w:r>
        <w:rPr>
          <w:sz w:val="24"/>
          <w:szCs w:val="24"/>
        </w:rPr>
        <w:t xml:space="preserve"> relates observed attributes to utility. In our choice experiments, while the catch is deterministic, the keep (essentially determined by whether those fish are legal size) is stochastic. </w:t>
      </w:r>
    </w:p>
    <w:p w:rsidR="00836A30" w:rsidP="00836A30" w14:paraId="230CB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3AFD0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Because the </w:t>
      </w:r>
      <m:oMath>
        <m:r>
          <w:rPr>
            <w:rFonts w:ascii="Cambria Math" w:hAnsi="Cambria Math"/>
          </w:rPr>
          <m:t>ε</m:t>
        </m:r>
      </m:oMath>
      <w:r>
        <w:rPr>
          <w:sz w:val="24"/>
          <w:szCs w:val="24"/>
        </w:rPr>
        <w:t xml:space="preserve">’s are stochastic, it is not possible to determine absolute levels of utility; however, probabilistic inference about individuals' choices can be made under the standard assumption for logit models that these terms are independently and identically distributed Type I extreme values. The probability that angler </w:t>
      </w:r>
      <m:oMath>
        <m:r>
          <w:rPr>
            <w:rFonts w:ascii="Cambria Math" w:eastAsia="Cambria Math" w:hAnsi="Cambria Math" w:cs="Cambria Math"/>
            <w:sz w:val="24"/>
            <w:szCs w:val="24"/>
          </w:rPr>
          <m:t>n</m:t>
        </m:r>
      </m:oMath>
      <w:r>
        <w:rPr>
          <w:sz w:val="24"/>
          <w:szCs w:val="24"/>
        </w:rPr>
        <w:t xml:space="preserve"> selects fishing alternative </w:t>
      </w:r>
      <m:oMath>
        <m:r>
          <w:rPr>
            <w:rFonts w:ascii="Cambria Math" w:eastAsia="Cambria Math" w:hAnsi="Cambria Math" w:cs="Cambria Math"/>
            <w:sz w:val="24"/>
            <w:szCs w:val="24"/>
          </w:rPr>
          <m:t>i</m:t>
        </m:r>
      </m:oMath>
      <w:r>
        <w:rPr>
          <w:sz w:val="24"/>
          <w:szCs w:val="24"/>
        </w:rPr>
        <w:t xml:space="preserve"> is</w:t>
      </w:r>
    </w:p>
    <w:tbl>
      <w:tblPr>
        <w:tblW w:w="9360" w:type="dxa"/>
        <w:tblBorders>
          <w:top w:val="nil"/>
          <w:left w:val="nil"/>
          <w:bottom w:val="nil"/>
          <w:right w:val="nil"/>
          <w:insideH w:val="nil"/>
          <w:insideV w:val="nil"/>
        </w:tblBorders>
        <w:tblLayout w:type="fixed"/>
        <w:tblLook w:val="0400"/>
      </w:tblPr>
      <w:tblGrid>
        <w:gridCol w:w="503"/>
        <w:gridCol w:w="8317"/>
        <w:gridCol w:w="540"/>
      </w:tblGrid>
      <w:tr w14:paraId="2B2EEC39" w14:textId="77777777" w:rsidTr="00836A30">
        <w:tblPrEx>
          <w:tblW w:w="9360" w:type="dxa"/>
          <w:tblBorders>
            <w:top w:val="nil"/>
            <w:left w:val="nil"/>
            <w:bottom w:val="nil"/>
            <w:right w:val="nil"/>
            <w:insideH w:val="nil"/>
            <w:insideV w:val="nil"/>
          </w:tblBorders>
          <w:tblLayout w:type="fixed"/>
          <w:tblLook w:val="0400"/>
        </w:tblPrEx>
        <w:trPr>
          <w:trHeight w:val="144"/>
        </w:trPr>
        <w:tc>
          <w:tcPr>
            <w:tcW w:w="9360" w:type="dxa"/>
            <w:gridSpan w:val="3"/>
          </w:tcPr>
          <w:p w:rsidR="00836A30" w:rsidP="00836A30" w14:paraId="179E3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2D5B87FA" w14:textId="77777777" w:rsidTr="00836A30">
        <w:tblPrEx>
          <w:tblW w:w="9360" w:type="dxa"/>
          <w:tblLayout w:type="fixed"/>
          <w:tblLook w:val="0400"/>
        </w:tblPrEx>
        <w:trPr>
          <w:trHeight w:val="432"/>
        </w:trPr>
        <w:tc>
          <w:tcPr>
            <w:tcW w:w="503" w:type="dxa"/>
          </w:tcPr>
          <w:p w:rsidR="00836A30" w:rsidP="00836A30" w14:paraId="42290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836A30" w:rsidP="00836A30" w14:paraId="3AECF968"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2"/>
                <w:szCs w:val="22"/>
              </w:rPr>
            </w:pPr>
            <m:oMath>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=Pr</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nj</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ni</m:t>
                          </m:r>
                        </m:sub>
                      </m:sSub>
                    </m:e>
                  </m:d>
                  <m:r>
                    <m:rPr>
                      <m:sty m:val="p"/>
                    </m:rPr>
                    <w:rPr>
                      <w:rFonts w:ascii="Cambria Math" w:hAnsi="Cambria Math"/>
                    </w:rPr>
                    <m:t>&lt;</m:t>
                  </m:r>
                  <m:sSub>
                    <m:sSubPr>
                      <m:ctrlPr>
                        <w:rPr>
                          <w:rFonts w:ascii="Cambria Math" w:hAnsi="Cambria Math"/>
                          <w:i/>
                        </w:rPr>
                      </m:ctrlPr>
                    </m:sSubPr>
                    <m:e>
                      <m:r>
                        <w:rPr>
                          <w:rFonts w:ascii="Cambria Math" w:hAnsi="Cambria Math"/>
                        </w:rPr>
                        <m:t>V</m:t>
                      </m:r>
                    </m:e>
                    <m:sub>
                      <m:r>
                        <w:rPr>
                          <w:rFonts w:ascii="Cambria Math" w:hAnsi="Cambria Math"/>
                        </w:rPr>
                        <m:t>ni</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nj</m:t>
                      </m:r>
                    </m:sub>
                  </m:sSub>
                </m:e>
              </m:d>
              <m:r>
                <w:rPr>
                  <w:rFonts w:ascii="Cambria Math" w:hAnsi="Cambria Math"/>
                </w:rPr>
                <m:t xml:space="preserve">  ∀ j≠i</m:t>
              </m:r>
            </m:oMath>
          </w:p>
        </w:tc>
        <w:tc>
          <w:tcPr>
            <w:tcW w:w="540" w:type="dxa"/>
            <w:vAlign w:val="center"/>
          </w:tcPr>
          <w:p w:rsidR="00836A30" w:rsidP="00836A30" w14:paraId="3028E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C1BA892" w14:textId="77777777" w:rsidTr="00836A30">
        <w:tblPrEx>
          <w:tblW w:w="9360" w:type="dxa"/>
          <w:tblLayout w:type="fixed"/>
          <w:tblLook w:val="0400"/>
        </w:tblPrEx>
        <w:trPr>
          <w:trHeight w:val="288"/>
        </w:trPr>
        <w:tc>
          <w:tcPr>
            <w:tcW w:w="503" w:type="dxa"/>
          </w:tcPr>
          <w:p w:rsidR="00836A30" w:rsidP="00836A30" w14:paraId="2B7C4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836A30" w:rsidP="00836A30" w14:paraId="59E136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0" w:type="dxa"/>
            <w:vAlign w:val="center"/>
          </w:tcPr>
          <w:p w:rsidR="00836A30" w:rsidP="00836A30" w14:paraId="2FE480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836A30" w:rsidP="00836A30" w14:paraId="7C1EE0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Train (2003) calculates this probability for a multinomial logit (MNL) model as</w:t>
      </w:r>
    </w:p>
    <w:tbl>
      <w:tblPr>
        <w:tblW w:w="9350" w:type="dxa"/>
        <w:tblBorders>
          <w:top w:val="nil"/>
          <w:left w:val="nil"/>
          <w:bottom w:val="nil"/>
          <w:right w:val="nil"/>
          <w:insideH w:val="nil"/>
          <w:insideV w:val="nil"/>
        </w:tblBorders>
        <w:tblLayout w:type="fixed"/>
        <w:tblLook w:val="0400"/>
      </w:tblPr>
      <w:tblGrid>
        <w:gridCol w:w="535"/>
        <w:gridCol w:w="8280"/>
        <w:gridCol w:w="535"/>
      </w:tblGrid>
      <w:tr w14:paraId="702E56C5" w14:textId="77777777" w:rsidTr="00836A30">
        <w:tblPrEx>
          <w:tblW w:w="9350" w:type="dxa"/>
          <w:tblBorders>
            <w:top w:val="nil"/>
            <w:left w:val="nil"/>
            <w:bottom w:val="nil"/>
            <w:right w:val="nil"/>
            <w:insideH w:val="nil"/>
            <w:insideV w:val="nil"/>
          </w:tblBorders>
          <w:tblLayout w:type="fixed"/>
          <w:tblLook w:val="0400"/>
        </w:tblPrEx>
        <w:trPr>
          <w:trHeight w:val="144"/>
        </w:trPr>
        <w:tc>
          <w:tcPr>
            <w:tcW w:w="535" w:type="dxa"/>
          </w:tcPr>
          <w:p w:rsidR="00836A30" w:rsidP="00836A30" w14:paraId="479C30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4DECE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836A30" w:rsidP="00836A30" w14:paraId="13D51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342F49D2" w14:textId="77777777" w:rsidTr="00836A30">
        <w:tblPrEx>
          <w:tblW w:w="9350" w:type="dxa"/>
          <w:tblLayout w:type="fixed"/>
          <w:tblLook w:val="0400"/>
        </w:tblPrEx>
        <w:trPr>
          <w:trHeight w:val="864"/>
        </w:trPr>
        <w:tc>
          <w:tcPr>
            <w:tcW w:w="535" w:type="dxa"/>
          </w:tcPr>
          <w:p w:rsidR="00836A30" w:rsidP="00836A30" w14:paraId="3CC3AD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39DEB4E8"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2"/>
                <w:szCs w:val="22"/>
              </w:rPr>
            </w:pPr>
            <m:oMath>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oMath>
          </w:p>
        </w:tc>
        <w:tc>
          <w:tcPr>
            <w:tcW w:w="535" w:type="dxa"/>
            <w:vAlign w:val="center"/>
          </w:tcPr>
          <w:p w:rsidR="00836A30" w:rsidP="00836A30" w14:paraId="2FCF06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039A0F90" w14:textId="77777777" w:rsidTr="00836A30">
        <w:tblPrEx>
          <w:tblW w:w="9350" w:type="dxa"/>
          <w:tblLayout w:type="fixed"/>
          <w:tblLook w:val="0400"/>
        </w:tblPrEx>
        <w:trPr>
          <w:trHeight w:val="288"/>
        </w:trPr>
        <w:tc>
          <w:tcPr>
            <w:tcW w:w="535" w:type="dxa"/>
          </w:tcPr>
          <w:p w:rsidR="00836A30" w:rsidP="00836A30" w14:paraId="152FD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67D2B9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836A30" w:rsidP="00836A30" w14:paraId="1A1DC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836A30" w:rsidP="00836A30" w14:paraId="4853B5C5" w14:textId="6FD5B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Next, to specify the contribution to the likelihood from the choices involving ambiguity, we use the </w:t>
      </w:r>
      <w:r>
        <w:rPr>
          <w:i/>
          <w:sz w:val="24"/>
          <w:szCs w:val="24"/>
        </w:rPr>
        <w:t>α</w:t>
      </w:r>
      <w:r>
        <w:rPr>
          <w:sz w:val="24"/>
          <w:szCs w:val="24"/>
        </w:rPr>
        <w:t>-</w:t>
      </w:r>
      <w:r>
        <w:rPr>
          <w:sz w:val="24"/>
          <w:szCs w:val="24"/>
        </w:rPr>
        <w:t>Maxmin</w:t>
      </w:r>
      <w:r>
        <w:rPr>
          <w:sz w:val="24"/>
          <w:szCs w:val="24"/>
        </w:rPr>
        <w:t xml:space="preserve"> Expected Utility (</w:t>
      </w:r>
      <w:r>
        <w:rPr>
          <w:i/>
          <w:sz w:val="24"/>
          <w:szCs w:val="24"/>
        </w:rPr>
        <w:t>α</w:t>
      </w:r>
      <w:r>
        <w:rPr>
          <w:sz w:val="24"/>
          <w:szCs w:val="24"/>
        </w:rPr>
        <w:t>-MEU) model with fixed priors (</w:t>
      </w:r>
      <w:r>
        <w:rPr>
          <w:sz w:val="24"/>
          <w:szCs w:val="24"/>
        </w:rPr>
        <w:t>Gilboa</w:t>
      </w:r>
      <w:r>
        <w:rPr>
          <w:sz w:val="24"/>
          <w:szCs w:val="24"/>
        </w:rPr>
        <w:t xml:space="preserve"> et al. 1989, </w:t>
      </w:r>
      <w:r>
        <w:rPr>
          <w:sz w:val="24"/>
          <w:szCs w:val="24"/>
        </w:rPr>
        <w:t>Ghirardato</w:t>
      </w:r>
      <w:r>
        <w:rPr>
          <w:sz w:val="24"/>
          <w:szCs w:val="24"/>
        </w:rPr>
        <w:t xml:space="preserve"> et al. 2004). To illustrate, assume that angler </w:t>
      </w:r>
      <w:r>
        <w:rPr>
          <w:i/>
          <w:sz w:val="24"/>
          <w:szCs w:val="24"/>
        </w:rPr>
        <w:t>n</w:t>
      </w:r>
      <w:r>
        <w:rPr>
          <w:sz w:val="24"/>
          <w:szCs w:val="24"/>
        </w:rPr>
        <w:t xml:space="preserve"> is presented with an hypothetical trip </w:t>
      </w:r>
      <w:r>
        <w:rPr>
          <w:i/>
          <w:sz w:val="24"/>
          <w:szCs w:val="24"/>
        </w:rPr>
        <w:t>i</w:t>
      </w:r>
      <w:r>
        <w:rPr>
          <w:sz w:val="24"/>
          <w:szCs w:val="24"/>
        </w:rPr>
        <w:t xml:space="preserve"> that is characterized by three possible outcomes in terms of the number of legal-sized summer flounder kept, denoted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1</m:t>
            </m:r>
          </m:sup>
        </m:sSubSup>
      </m:oMath>
      <w:r>
        <w:rPr>
          <w:sz w:val="24"/>
          <w:szCs w:val="24"/>
        </w:rPr>
        <w:t xml:space="preserve">,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2</m:t>
            </m:r>
          </m:sup>
        </m:sSubSup>
      </m:oMath>
      <w:r>
        <w:rPr>
          <w:sz w:val="24"/>
          <w:szCs w:val="24"/>
        </w:rPr>
        <w:t xml:space="preserve"> and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3</m:t>
            </m:r>
          </m:sup>
        </m:sSubSup>
      </m:oMath>
      <w:r>
        <w:rPr>
          <w:sz w:val="24"/>
          <w:szCs w:val="24"/>
        </w:rPr>
        <w:t>, with known probability for outcome</w:t>
      </w:r>
      <m:oMath>
        <m:r>
          <w:rPr>
            <w:rFonts w:ascii="Cambria Math" w:eastAsia="Cambria Math" w:hAnsi="Cambria Math" w:cs="Cambria Math"/>
            <w:sz w:val="24"/>
            <w:szCs w:val="24"/>
          </w:rPr>
          <m:t xml:space="preserve"> </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1</m:t>
            </m:r>
          </m:sup>
        </m:sSubSup>
      </m:oMath>
      <w:r>
        <w:rPr>
          <w:sz w:val="24"/>
          <w:szCs w:val="24"/>
        </w:rPr>
        <w:t xml:space="preserve"> given by </w:t>
      </w:r>
      <m:oMath>
        <m:sSubSup>
          <m:sSubSupPr>
            <m:ctrlPr>
              <w:rPr>
                <w:rFonts w:ascii="Cambria Math" w:eastAsia="Cambria Math" w:hAnsi="Cambria Math" w:cs="Cambria Math"/>
                <w:sz w:val="24"/>
                <w:szCs w:val="24"/>
              </w:rPr>
            </m:ctrlPr>
          </m:sSubSupPr>
          <m:e>
            <m:r>
              <w:rPr>
                <w:rFonts w:ascii="Cambria Math" w:hAnsi="Cambria Math"/>
              </w:rPr>
              <m:t>π</m:t>
            </m:r>
          </m:e>
          <m:sub>
            <m:r>
              <w:rPr>
                <w:rFonts w:ascii="Cambria Math" w:eastAsia="Cambria Math" w:hAnsi="Cambria Math" w:cs="Cambria Math"/>
                <w:sz w:val="24"/>
                <w:szCs w:val="24"/>
              </w:rPr>
              <m:t>ni</m:t>
            </m:r>
          </m:sub>
          <m:sup>
            <m:r>
              <w:rPr>
                <w:rFonts w:ascii="Cambria Math" w:eastAsia="Cambria Math" w:hAnsi="Cambria Math" w:cs="Cambria Math"/>
                <w:sz w:val="24"/>
                <w:szCs w:val="24"/>
              </w:rPr>
              <m:t>1</m:t>
            </m:r>
          </m:sup>
        </m:sSubSup>
      </m:oMath>
      <w:r>
        <w:rPr>
          <w:sz w:val="24"/>
          <w:szCs w:val="24"/>
        </w:rPr>
        <w:t xml:space="preserve">. If the probabilities associated with outcomes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2</m:t>
            </m:r>
          </m:sup>
        </m:sSubSup>
      </m:oMath>
      <w:r>
        <w:rPr>
          <w:sz w:val="24"/>
          <w:szCs w:val="24"/>
        </w:rPr>
        <w:t xml:space="preserve"> </w:t>
      </w:r>
      <w:r>
        <w:rPr>
          <w:sz w:val="24"/>
          <w:szCs w:val="24"/>
        </w:rPr>
        <w:t xml:space="preserve">and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3</m:t>
            </m:r>
          </m:sup>
        </m:sSubSup>
      </m:oMath>
      <w:r>
        <w:rPr>
          <w:sz w:val="24"/>
          <w:szCs w:val="24"/>
        </w:rPr>
        <w:t>, are not specified, the angler faces uncertainty (i.e. unknown objective probabiliti</w:t>
      </w:r>
      <w:r>
        <w:rPr>
          <w:sz w:val="24"/>
          <w:szCs w:val="24"/>
        </w:rPr>
        <w:t>es</w:t>
      </w:r>
      <w:r>
        <w:rPr>
          <w:sz w:val="24"/>
          <w:szCs w:val="24"/>
        </w:rPr>
        <w:t>). In this case, we specify his/her utility as follows (</w:t>
      </w:r>
      <w:r>
        <w:rPr>
          <w:sz w:val="24"/>
          <w:szCs w:val="24"/>
        </w:rPr>
        <w:t>Potamines</w:t>
      </w:r>
      <w:r>
        <w:rPr>
          <w:sz w:val="24"/>
          <w:szCs w:val="24"/>
        </w:rPr>
        <w:t xml:space="preserve"> and Zhang 2012, </w:t>
      </w:r>
      <w:r>
        <w:rPr>
          <w:sz w:val="24"/>
          <w:szCs w:val="24"/>
        </w:rPr>
        <w:t>Ahn</w:t>
      </w:r>
      <w:r>
        <w:rPr>
          <w:sz w:val="24"/>
          <w:szCs w:val="24"/>
        </w:rPr>
        <w:t xml:space="preserve"> et al. 2014, </w:t>
      </w:r>
      <w:r>
        <w:rPr>
          <w:sz w:val="24"/>
          <w:szCs w:val="24"/>
        </w:rPr>
        <w:t>Gneezy</w:t>
      </w:r>
      <w:r>
        <w:rPr>
          <w:sz w:val="24"/>
          <w:szCs w:val="24"/>
        </w:rPr>
        <w:t xml:space="preserve"> et al. 2015).</w:t>
      </w:r>
    </w:p>
    <w:p w:rsidR="00836A30" w:rsidP="00836A30" w14:paraId="4E711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36A30" w:rsidP="00836A30" w14:paraId="62C1A0CD"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4"/>
          <w:szCs w:val="24"/>
        </w:rP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i/>
                <w:sz w:val="24"/>
                <w:szCs w:val="24"/>
              </w:rPr>
            </m:ctrlPr>
          </m:dPr>
          <m:e>
            <m:ctrlPr>
              <w:rPr>
                <w:rFonts w:ascii="Cambria Math" w:hAnsi="Cambria Math"/>
                <w:b/>
                <w:i/>
                <w:iCs/>
                <w:sz w:val="24"/>
                <w:szCs w:val="24"/>
              </w:rPr>
            </m:ctrlPr>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1</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e>
        </m:d>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min</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1-α</m:t>
            </m:r>
          </m:e>
        </m:d>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e>
        </m:d>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max</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oMath>
    </w:p>
    <w:p w:rsidR="00836A30" w:rsidP="00836A30" w14:paraId="3942B3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36A30" w:rsidP="00836A30" w14:paraId="4EFEB5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where</w:t>
      </w:r>
      <w:r>
        <w:rPr>
          <w:sz w:val="24"/>
          <w:szCs w:val="24"/>
        </w:rPr>
        <w:t xml:space="preserve">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min</m:t>
            </m:r>
          </m:sup>
        </m:sSubSup>
        <m:r>
          <w:rPr>
            <w:rFonts w:ascii="Cambria Math" w:eastAsia="Cambria Math" w:hAnsi="Cambria Math" w:cs="Cambria Math"/>
            <w:sz w:val="24"/>
            <w:szCs w:val="24"/>
          </w:rPr>
          <m:t>=min⁡{</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2</m:t>
            </m:r>
          </m:sup>
        </m:sSubSup>
        <m:r>
          <w:rPr>
            <w:rFonts w:ascii="Cambria Math" w:eastAsia="Cambria Math" w:hAnsi="Cambria Math" w:cs="Cambria Math"/>
            <w:sz w:val="24"/>
            <w:szCs w:val="24"/>
          </w:rPr>
          <m:t>,</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3</m:t>
            </m:r>
          </m:sup>
        </m:sSubSup>
        <m:r>
          <w:rPr>
            <w:rFonts w:ascii="Cambria Math" w:eastAsia="Cambria Math" w:hAnsi="Cambria Math" w:cs="Cambria Math"/>
            <w:sz w:val="24"/>
            <w:szCs w:val="24"/>
          </w:rPr>
          <m:t>}</m:t>
        </m:r>
      </m:oMath>
      <w:r>
        <w:rPr>
          <w:sz w:val="24"/>
          <w:szCs w:val="24"/>
        </w:rPr>
        <w:t xml:space="preserve"> and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max</m:t>
            </m:r>
          </m:sup>
        </m:sSubSup>
        <m:r>
          <w:rPr>
            <w:rFonts w:ascii="Cambria Math" w:eastAsia="Cambria Math" w:hAnsi="Cambria Math" w:cs="Cambria Math"/>
            <w:sz w:val="24"/>
            <w:szCs w:val="24"/>
          </w:rPr>
          <m:t>=max⁡{</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2</m:t>
            </m:r>
          </m:sup>
        </m:sSubSup>
        <m:r>
          <w:rPr>
            <w:rFonts w:ascii="Cambria Math" w:eastAsia="Cambria Math" w:hAnsi="Cambria Math" w:cs="Cambria Math"/>
            <w:sz w:val="24"/>
            <w:szCs w:val="24"/>
          </w:rPr>
          <m:t>,</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z</m:t>
            </m:r>
          </m:e>
          <m:sub>
            <m:r>
              <w:rPr>
                <w:rFonts w:ascii="Cambria Math" w:eastAsia="Cambria Math" w:hAnsi="Cambria Math" w:cs="Cambria Math"/>
                <w:sz w:val="24"/>
                <w:szCs w:val="24"/>
              </w:rPr>
              <m:t>ni</m:t>
            </m:r>
          </m:sub>
          <m:sup>
            <m:r>
              <w:rPr>
                <w:rFonts w:ascii="Cambria Math" w:eastAsia="Cambria Math" w:hAnsi="Cambria Math" w:cs="Cambria Math"/>
                <w:sz w:val="24"/>
                <w:szCs w:val="24"/>
              </w:rPr>
              <m:t>3</m:t>
            </m:r>
          </m:sup>
        </m:sSubSup>
        <m:r>
          <w:rPr>
            <w:rFonts w:ascii="Cambria Math" w:eastAsia="Cambria Math" w:hAnsi="Cambria Math" w:cs="Cambria Math"/>
            <w:sz w:val="24"/>
            <w:szCs w:val="24"/>
          </w:rPr>
          <m:t>}</m:t>
        </m:r>
      </m:oMath>
      <w:r>
        <w:rPr>
          <w:sz w:val="24"/>
          <w:szCs w:val="24"/>
        </w:rPr>
        <w:t xml:space="preserve">. Thus, above the unknown probabilities are skewed using weights </w:t>
      </w:r>
      <m:oMath>
        <m:r>
          <w:rPr>
            <w:rFonts w:ascii="Cambria Math" w:eastAsia="Cambria Math" w:hAnsi="Cambria Math" w:cs="Cambria Math"/>
            <w:sz w:val="24"/>
            <w:szCs w:val="24"/>
          </w:rPr>
          <m:t>0≥α≥1</m:t>
        </m:r>
      </m:oMath>
      <w:r>
        <w:rPr>
          <w:sz w:val="24"/>
          <w:szCs w:val="24"/>
        </w:rPr>
        <w:t xml:space="preserve"> and </w:t>
      </w:r>
      <m:oMath>
        <m:r>
          <w:rPr>
            <w:rFonts w:ascii="Cambria Math" w:eastAsia="Cambria Math" w:hAnsi="Cambria Math" w:cs="Cambria Math"/>
            <w:sz w:val="24"/>
            <w:szCs w:val="24"/>
          </w:rPr>
          <m:t>1-α</m:t>
        </m:r>
      </m:oMath>
      <w:r>
        <w:rPr>
          <w:sz w:val="24"/>
          <w:szCs w:val="24"/>
        </w:rPr>
        <w:t xml:space="preserve"> for the low and high keep, respectively. The pa</w:t>
      </w:r>
      <w:r>
        <w:rPr>
          <w:sz w:val="24"/>
          <w:szCs w:val="24"/>
        </w:rPr>
        <w:t>rameter</w:t>
      </w:r>
      <w:r>
        <w:rPr>
          <w:sz w:val="24"/>
          <w:szCs w:val="24"/>
        </w:rPr>
        <w:t xml:space="preserve"> α represents the attitude towards ambiguity:  </w:t>
      </w:r>
      <m:oMath>
        <m:r>
          <w:rPr>
            <w:rFonts w:ascii="Cambria Math" w:eastAsia="Cambria Math" w:hAnsi="Cambria Math" w:cs="Cambria Math"/>
            <w:sz w:val="24"/>
            <w:szCs w:val="24"/>
          </w:rPr>
          <m:t>1/2&lt;α≤1</m:t>
        </m:r>
      </m:oMath>
      <w:r>
        <w:rPr>
          <w:sz w:val="24"/>
          <w:szCs w:val="24"/>
        </w:rPr>
        <w:t xml:space="preserve"> indicates preferences </w:t>
      </w:r>
      <w:r>
        <w:rPr>
          <w:sz w:val="24"/>
          <w:szCs w:val="24"/>
        </w:rPr>
        <w:t>that are ambiguity averse</w:t>
      </w:r>
      <m:oMath>
        <m:r>
          <w:rPr>
            <w:rFonts w:ascii="Cambria Math" w:eastAsia="Cambria Math" w:hAnsi="Cambria Math" w:cs="Cambria Math"/>
            <w:sz w:val="24"/>
            <w:szCs w:val="24"/>
          </w:rPr>
          <m:t xml:space="preserve">  0≤α&lt;1/2</m:t>
        </m:r>
      </m:oMath>
      <w:r>
        <w:rPr>
          <w:sz w:val="24"/>
          <w:szCs w:val="24"/>
        </w:rPr>
        <w:t xml:space="preserve"> indicates preferences that are ambiguity seeking, and if </w:t>
      </w:r>
      <m:oMath>
        <m:r>
          <w:rPr>
            <w:rFonts w:ascii="Cambria Math" w:eastAsia="Cambria Math" w:hAnsi="Cambria Math" w:cs="Cambria Math"/>
            <w:sz w:val="24"/>
            <w:szCs w:val="24"/>
          </w:rPr>
          <m:t>α=1/2</m:t>
        </m:r>
      </m:oMath>
      <w:r>
        <w:rPr>
          <w:sz w:val="24"/>
          <w:szCs w:val="24"/>
        </w:rPr>
        <w:t xml:space="preserve"> we have the standard subjective expected utility specification</w:t>
      </w:r>
      <w:r>
        <w:rPr>
          <w:sz w:val="24"/>
          <w:szCs w:val="24"/>
        </w:rPr>
        <w:t>. The pro</w:t>
      </w:r>
      <w:r>
        <w:rPr>
          <w:sz w:val="24"/>
          <w:szCs w:val="24"/>
        </w:rPr>
        <w:t>bability</w:t>
      </w:r>
      <w:r>
        <w:rPr>
          <w:sz w:val="24"/>
          <w:szCs w:val="24"/>
        </w:rPr>
        <w:t xml:space="preserve"> of choosing the trip option with unknown probabilities </w:t>
      </w:r>
      <w:r>
        <w:rPr>
          <w:sz w:val="24"/>
          <w:szCs w:val="24"/>
        </w:rPr>
        <w:t>can be expressed</w:t>
      </w:r>
      <w:r>
        <w:rPr>
          <w:sz w:val="24"/>
          <w:szCs w:val="24"/>
        </w:rPr>
        <w:t xml:space="preserve"> as</w:t>
      </w:r>
    </w:p>
    <w:p w:rsidR="00836A30" w:rsidP="00836A30" w14:paraId="1C94B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6A30" w:rsidP="00836A30" w14:paraId="10481BA0"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4"/>
          <w:szCs w:val="24"/>
        </w:rPr>
      </w:pPr>
      <m:oMath>
        <m:sSubSup>
          <m:sSubSupPr>
            <m:ctrlPr>
              <w:rPr>
                <w:rFonts w:ascii="Cambria Math" w:hAnsi="Cambria Math"/>
                <w:i/>
                <w:sz w:val="24"/>
                <w:szCs w:val="24"/>
              </w:rPr>
            </m:ctrlPr>
          </m:sSubSupPr>
          <m:e>
            <m:r>
              <m:rPr>
                <m:sty m:val="p"/>
              </m:rPr>
              <w:rPr>
                <w:rFonts w:ascii="Cambria Math" w:hAnsi="Cambria Math"/>
                <w:sz w:val="24"/>
                <w:szCs w:val="24"/>
              </w:rPr>
              <m:t>Π</m:t>
            </m:r>
          </m:e>
          <m:sub>
            <m:r>
              <w:rPr>
                <w:rFonts w:ascii="Cambria Math" w:hAnsi="Cambria Math"/>
                <w:sz w:val="24"/>
                <w:szCs w:val="24"/>
              </w:rPr>
              <m:t>ni</m:t>
            </m:r>
          </m:sub>
          <m:sup>
            <m:r>
              <m:rPr>
                <m:sty m:val="p"/>
              </m:rPr>
              <w:rPr>
                <w:rFonts w:ascii="Cambria Math" w:hAnsi="Cambria Math"/>
                <w:sz w:val="24"/>
                <w:szCs w:val="24"/>
              </w:rPr>
              <m:t>Ambiguity</m:t>
            </m:r>
          </m:sup>
        </m:sSub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sup>
            </m:sSup>
          </m:num>
          <m:den>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J</m:t>
                </m:r>
              </m:sup>
              <m:e>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d>
                      <m:dPr>
                        <m:ctrlPr>
                          <w:rPr>
                            <w:rFonts w:ascii="Cambria Math" w:hAnsi="Cambria Math"/>
                            <w:i/>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nj</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nj</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sup>
                </m:sSup>
              </m:e>
            </m:nary>
          </m:den>
        </m:f>
      </m:oMath>
    </w:p>
    <w:p w:rsidR="00836A30" w:rsidP="00836A30" w14:paraId="395894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36A30" w:rsidP="00836A30" w14:paraId="163789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probability of each individual in the sample choosing the alternative </w:t>
      </w:r>
      <w:r>
        <w:rPr>
          <w:sz w:val="24"/>
          <w:szCs w:val="24"/>
        </w:rPr>
        <w:t>they</w:t>
      </w:r>
      <w:r>
        <w:rPr>
          <w:sz w:val="24"/>
          <w:szCs w:val="24"/>
        </w:rPr>
        <w:t xml:space="preserve"> were observed to actually choose is </w:t>
      </w:r>
    </w:p>
    <w:tbl>
      <w:tblPr>
        <w:tblW w:w="9350" w:type="dxa"/>
        <w:tblBorders>
          <w:top w:val="nil"/>
          <w:left w:val="nil"/>
          <w:bottom w:val="nil"/>
          <w:right w:val="nil"/>
          <w:insideH w:val="nil"/>
          <w:insideV w:val="nil"/>
        </w:tblBorders>
        <w:tblLayout w:type="fixed"/>
        <w:tblLook w:val="0400"/>
      </w:tblPr>
      <w:tblGrid>
        <w:gridCol w:w="535"/>
        <w:gridCol w:w="8280"/>
        <w:gridCol w:w="535"/>
      </w:tblGrid>
      <w:tr w14:paraId="07E837F1" w14:textId="77777777" w:rsidTr="00836A30">
        <w:tblPrEx>
          <w:tblW w:w="9350" w:type="dxa"/>
          <w:tblBorders>
            <w:top w:val="nil"/>
            <w:left w:val="nil"/>
            <w:bottom w:val="nil"/>
            <w:right w:val="nil"/>
            <w:insideH w:val="nil"/>
            <w:insideV w:val="nil"/>
          </w:tblBorders>
          <w:tblLayout w:type="fixed"/>
          <w:tblLook w:val="0400"/>
        </w:tblPrEx>
        <w:trPr>
          <w:trHeight w:val="144"/>
        </w:trPr>
        <w:tc>
          <w:tcPr>
            <w:tcW w:w="535" w:type="dxa"/>
          </w:tcPr>
          <w:p w:rsidR="00836A30" w:rsidP="00836A30" w14:paraId="6B8FF5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0CC85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836A30" w:rsidP="00836A30" w14:paraId="7D3C2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3704F2F" w14:textId="77777777" w:rsidTr="00836A30">
        <w:tblPrEx>
          <w:tblW w:w="9350" w:type="dxa"/>
          <w:tblLayout w:type="fixed"/>
          <w:tblLook w:val="0400"/>
        </w:tblPrEx>
        <w:trPr>
          <w:trHeight w:val="981"/>
        </w:trPr>
        <w:tc>
          <w:tcPr>
            <w:tcW w:w="535" w:type="dxa"/>
          </w:tcPr>
          <w:p w:rsidR="00836A30" w:rsidP="00836A30" w14:paraId="72B6D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6B7E660A"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2"/>
                <w:szCs w:val="22"/>
              </w:rPr>
            </w:pPr>
            <m:oMath>
              <m:r>
                <w:rPr>
                  <w:rFonts w:ascii="Cambria Math" w:hAnsi="Cambria Math"/>
                </w:rPr>
                <m:t>L(α,r,</m:t>
              </m:r>
              <m:r>
                <m:rPr>
                  <m:sty m:val="bi"/>
                </m:rPr>
                <w:rPr>
                  <w:rFonts w:ascii="Cambria Math" w:hAnsi="Cambria Math"/>
                </w:rPr>
                <m:t>β</m:t>
              </m:r>
              <m:r>
                <w:rPr>
                  <w:rFonts w:ascii="Cambria Math" w:hAnsi="Cambria Math"/>
                </w:rPr>
                <m:t>,λ)=</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nary>
                    <m:naryPr>
                      <m:chr m:val="∏"/>
                      <m:limLoc m:val="undOvr"/>
                      <m:supHide/>
                      <m:ctrlPr>
                        <w:rPr>
                          <w:rFonts w:ascii="Cambria Math" w:hAnsi="Cambria Math"/>
                          <w:i/>
                        </w:rPr>
                      </m:ctrlPr>
                    </m:naryPr>
                    <m:sub>
                      <m:r>
                        <w:rPr>
                          <w:rFonts w:ascii="Cambria Math" w:hAnsi="Cambria Math"/>
                        </w:rPr>
                        <m:t>i</m:t>
                      </m:r>
                    </m:sub>
                    <m:sup/>
                    <m:e>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m:t>
                          </m:r>
                        </m:e>
                        <m:sup>
                          <m:sSub>
                            <m:sSubPr>
                              <m:ctrlPr>
                                <w:rPr>
                                  <w:rFonts w:ascii="Cambria Math" w:hAnsi="Cambria Math"/>
                                  <w:i/>
                                </w:rPr>
                              </m:ctrlPr>
                            </m:sSubPr>
                            <m:e>
                              <m:r>
                                <w:rPr>
                                  <w:rFonts w:ascii="Cambria Math" w:hAnsi="Cambria Math"/>
                                </w:rPr>
                                <m:t>y</m:t>
                              </m:r>
                            </m:e>
                            <m:sub>
                              <m:r>
                                <w:rPr>
                                  <w:rFonts w:ascii="Cambria Math" w:hAnsi="Cambria Math"/>
                                </w:rPr>
                                <m:t>ni</m:t>
                              </m:r>
                            </m:sub>
                          </m:sSub>
                        </m:sup>
                      </m:sSup>
                    </m:e>
                  </m:nary>
                  <m:nary>
                    <m:naryPr>
                      <m:chr m:val="∏"/>
                      <m:limLoc m:val="undOvr"/>
                      <m:supHide/>
                      <m:ctrlPr>
                        <w:rPr>
                          <w:rFonts w:ascii="Cambria Math" w:hAnsi="Cambria Math"/>
                          <w:i/>
                        </w:rPr>
                      </m:ctrlPr>
                    </m:naryPr>
                    <m:sub>
                      <m:r>
                        <w:rPr>
                          <w:rFonts w:ascii="Cambria Math" w:hAnsi="Cambria Math"/>
                        </w:rPr>
                        <m:t>i'</m:t>
                      </m:r>
                    </m:sub>
                    <m:sup/>
                    <m:e>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Ambiguity</m:t>
                              </m:r>
                            </m:sup>
                          </m:sSubSup>
                          <m:r>
                            <w:rPr>
                              <w:rFonts w:ascii="Cambria Math" w:hAnsi="Cambria Math"/>
                            </w:rPr>
                            <m:t>)</m:t>
                          </m:r>
                        </m:e>
                        <m:sup>
                          <m:sSub>
                            <m:sSubPr>
                              <m:ctrlPr>
                                <w:rPr>
                                  <w:rFonts w:ascii="Cambria Math" w:hAnsi="Cambria Math"/>
                                  <w:i/>
                                </w:rPr>
                              </m:ctrlPr>
                            </m:sSubPr>
                            <m:e>
                              <m:r>
                                <w:rPr>
                                  <w:rFonts w:ascii="Cambria Math" w:hAnsi="Cambria Math"/>
                                </w:rPr>
                                <m:t>y</m:t>
                              </m:r>
                            </m:e>
                            <m:sub>
                              <m:r>
                                <w:rPr>
                                  <w:rFonts w:ascii="Cambria Math" w:hAnsi="Cambria Math"/>
                                </w:rPr>
                                <m:t>ni</m:t>
                              </m:r>
                            </m:sub>
                          </m:sSub>
                          <m:r>
                            <w:rPr>
                              <w:rFonts w:ascii="Cambria Math" w:hAnsi="Cambria Math"/>
                            </w:rPr>
                            <m:t>'</m:t>
                          </m:r>
                        </m:sup>
                      </m:sSup>
                    </m:e>
                  </m:nary>
                  <m:r>
                    <w:rPr>
                      <w:rFonts w:ascii="Cambria Math" w:hAnsi="Cambria Math"/>
                    </w:rPr>
                    <m:t>,</m:t>
                  </m:r>
                </m:e>
              </m:nary>
            </m:oMath>
          </w:p>
        </w:tc>
        <w:tc>
          <w:tcPr>
            <w:tcW w:w="535" w:type="dxa"/>
            <w:vAlign w:val="center"/>
          </w:tcPr>
          <w:p w:rsidR="00836A30" w:rsidP="00836A30" w14:paraId="6B1D70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26AC205F" w14:textId="77777777" w:rsidTr="00836A30">
        <w:tblPrEx>
          <w:tblW w:w="9350" w:type="dxa"/>
          <w:tblLayout w:type="fixed"/>
          <w:tblLook w:val="0400"/>
        </w:tblPrEx>
        <w:trPr>
          <w:trHeight w:val="288"/>
        </w:trPr>
        <w:tc>
          <w:tcPr>
            <w:tcW w:w="535" w:type="dxa"/>
          </w:tcPr>
          <w:p w:rsidR="00836A30" w:rsidP="00836A30" w14:paraId="669AA2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836A30" w:rsidP="00836A30" w14:paraId="5560A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836A30" w:rsidP="00836A30" w14:paraId="788F25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836A30" w:rsidP="00836A30" w14:paraId="34629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where</w:t>
      </w:r>
      <w:r>
        <w:rPr>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ni</m:t>
            </m:r>
          </m:sub>
        </m:sSub>
        <m:r>
          <w:rPr>
            <w:rFonts w:ascii="Cambria Math" w:eastAsia="Cambria Math" w:hAnsi="Cambria Math" w:cs="Cambria Math"/>
            <w:sz w:val="24"/>
            <w:szCs w:val="24"/>
          </w:rPr>
          <m:t>=1</m:t>
        </m:r>
      </m:oMath>
      <w:r>
        <w:rPr>
          <w:sz w:val="24"/>
          <w:szCs w:val="24"/>
        </w:rPr>
        <w:t xml:space="preserve"> if an individual </w:t>
      </w:r>
      <w:r>
        <w:rPr>
          <w:i/>
          <w:sz w:val="24"/>
          <w:szCs w:val="24"/>
        </w:rPr>
        <w:t>n</w:t>
      </w:r>
      <w:r>
        <w:rPr>
          <w:sz w:val="24"/>
          <w:szCs w:val="24"/>
        </w:rPr>
        <w:t xml:space="preserve"> is observed to choose alternative </w:t>
      </w:r>
      <w:r>
        <w:rPr>
          <w:i/>
          <w:sz w:val="24"/>
          <w:szCs w:val="24"/>
        </w:rPr>
        <w:t>i</w:t>
      </w:r>
      <w:r>
        <w:rPr>
          <w:sz w:val="24"/>
          <w:szCs w:val="24"/>
        </w:rPr>
        <w:t xml:space="preserve"> in the choice experiments only involving risk, and zero otherwise. Similarly,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ni</m:t>
            </m:r>
          </m:sub>
        </m:sSub>
        <m:r>
          <w:rPr>
            <w:rFonts w:ascii="Cambria Math" w:eastAsia="Cambria Math" w:hAnsi="Cambria Math" w:cs="Cambria Math"/>
            <w:sz w:val="24"/>
            <w:szCs w:val="24"/>
          </w:rPr>
          <m:t>'=1</m:t>
        </m:r>
      </m:oMath>
      <w:r>
        <w:rPr>
          <w:sz w:val="24"/>
          <w:szCs w:val="24"/>
        </w:rPr>
        <w:t xml:space="preserve"> if an individual is observed to choose alternative </w:t>
      </w:r>
      <w:r>
        <w:rPr>
          <w:i/>
          <w:sz w:val="24"/>
          <w:szCs w:val="24"/>
        </w:rPr>
        <w:t>i</w:t>
      </w:r>
      <w:r>
        <w:rPr>
          <w:sz w:val="24"/>
          <w:szCs w:val="24"/>
        </w:rPr>
        <w:t xml:space="preserve"> in the choice experiments involving ambiguity, and zero otherwise. We will jointly estimate, using maximum likelihood, parameters </w:t>
      </w:r>
      <m:oMath>
        <m:r>
          <w:rPr>
            <w:rFonts w:ascii="Cambria Math" w:eastAsia="Cambria Math" w:hAnsi="Cambria Math" w:cs="Cambria Math"/>
            <w:sz w:val="24"/>
            <w:szCs w:val="24"/>
          </w:rPr>
          <m:t>α,r,β,λ,</m:t>
        </m:r>
      </m:oMath>
      <w:r>
        <w:rPr>
          <w:sz w:val="24"/>
          <w:szCs w:val="24"/>
        </w:rPr>
        <w:t xml:space="preserve"> which maximize</w:t>
      </w:r>
    </w:p>
    <w:tbl>
      <w:tblPr>
        <w:tblW w:w="9616" w:type="dxa"/>
        <w:tblBorders>
          <w:top w:val="nil"/>
          <w:left w:val="nil"/>
          <w:bottom w:val="nil"/>
          <w:right w:val="nil"/>
          <w:insideH w:val="nil"/>
          <w:insideV w:val="nil"/>
        </w:tblBorders>
        <w:tblLayout w:type="fixed"/>
        <w:tblLook w:val="0400"/>
      </w:tblPr>
      <w:tblGrid>
        <w:gridCol w:w="549"/>
        <w:gridCol w:w="8518"/>
        <w:gridCol w:w="549"/>
      </w:tblGrid>
      <w:tr w14:paraId="400D017A" w14:textId="77777777" w:rsidTr="00836A30">
        <w:tblPrEx>
          <w:tblW w:w="9616" w:type="dxa"/>
          <w:tblBorders>
            <w:top w:val="nil"/>
            <w:left w:val="nil"/>
            <w:bottom w:val="nil"/>
            <w:right w:val="nil"/>
            <w:insideH w:val="nil"/>
            <w:insideV w:val="nil"/>
          </w:tblBorders>
          <w:tblLayout w:type="fixed"/>
          <w:tblLook w:val="0400"/>
        </w:tblPrEx>
        <w:trPr>
          <w:trHeight w:val="388"/>
        </w:trPr>
        <w:tc>
          <w:tcPr>
            <w:tcW w:w="549" w:type="dxa"/>
          </w:tcPr>
          <w:p w:rsidR="00836A30" w:rsidP="00836A30" w14:paraId="469C1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836A30" w:rsidP="00836A30" w14:paraId="6C9814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836A30" w:rsidP="00836A30" w14:paraId="21511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377B35E9" w14:textId="77777777" w:rsidTr="00836A30">
        <w:tblPrEx>
          <w:tblW w:w="9616" w:type="dxa"/>
          <w:tblLayout w:type="fixed"/>
          <w:tblLook w:val="0400"/>
        </w:tblPrEx>
        <w:trPr>
          <w:trHeight w:val="2043"/>
        </w:trPr>
        <w:tc>
          <w:tcPr>
            <w:tcW w:w="549" w:type="dxa"/>
          </w:tcPr>
          <w:p w:rsidR="00836A30" w:rsidP="00836A30" w14:paraId="4DFE7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836A30" w:rsidP="00836A30" w14:paraId="3610C8B3" w14:textId="77777777">
            <w:pPr>
              <w:numPr>
                <w:ilvl w:val="0"/>
                <w:numId w:val="9"/>
              </w:numPr>
              <w:pBdr>
                <w:top w:val="nil"/>
                <w:left w:val="nil"/>
                <w:bottom w:val="nil"/>
                <w:right w:val="nil"/>
                <w:between w:val="nil"/>
              </w:pBdr>
              <w:jc w:val="center"/>
              <w:rPr>
                <w:rFonts w:ascii="Cambria Math" w:eastAsia="Cambria Math" w:hAnsi="Cambria Math" w:cs="Cambria Math"/>
                <w:color w:val="000000"/>
                <w:sz w:val="22"/>
                <w:szCs w:val="22"/>
              </w:rPr>
            </w:pPr>
            <m:oMath>
              <m:r>
                <w:rPr>
                  <w:rFonts w:ascii="Cambria Math" w:hAnsi="Cambria Math"/>
                </w:rPr>
                <m:t>L</m:t>
              </m:r>
              <m:d>
                <m:dPr>
                  <m:ctrlPr>
                    <w:rPr>
                      <w:rFonts w:ascii="Cambria Math" w:hAnsi="Cambria Math"/>
                      <w:i/>
                    </w:rPr>
                  </m:ctrlPr>
                </m:dPr>
                <m:e>
                  <m:r>
                    <w:rPr>
                      <w:rFonts w:ascii="Cambria Math" w:hAnsi="Cambria Math"/>
                    </w:rPr>
                    <m:t>α,r,</m:t>
                  </m:r>
                  <m:r>
                    <m:rPr>
                      <m:sty m:val="bi"/>
                    </m:rPr>
                    <w:rPr>
                      <w:rFonts w:ascii="Cambria Math" w:hAnsi="Cambria Math"/>
                    </w:rPr>
                    <m:t>β</m:t>
                  </m:r>
                  <m:r>
                    <w:rPr>
                      <w:rFonts w:ascii="Cambria Math" w:hAnsi="Cambria Math"/>
                    </w:rPr>
                    <m:t>,λ</m:t>
                  </m:r>
                </m:e>
              </m:d>
              <m:r>
                <w:rPr>
                  <w:rFonts w:ascii="Cambria Math" w:hAnsi="Cambria Math"/>
                </w:rPr>
                <m:t>=</m:t>
              </m:r>
              <m:nary>
                <m:naryPr>
                  <m:chr m:val="∑"/>
                  <m:limLoc m:val="undOvr"/>
                  <m:supHide/>
                  <m:ctrlPr>
                    <w:rPr>
                      <w:rFonts w:ascii="Cambria Math" w:hAnsi="Cambria Math"/>
                      <w:i/>
                    </w:rPr>
                  </m:ctrlPr>
                </m:naryPr>
                <m:sub>
                  <m:r>
                    <w:rPr>
                      <w:rFonts w:ascii="Cambria Math" w:hAnsi="Cambria Math"/>
                    </w:rPr>
                    <m:t>n</m:t>
                  </m:r>
                </m:sub>
                <m:sup/>
                <m:e>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y</m:t>
                              </m:r>
                            </m:e>
                            <m:sub>
                              <m:r>
                                <w:rPr>
                                  <w:rFonts w:ascii="Cambria Math" w:hAnsi="Cambria Math"/>
                                </w:rPr>
                                <m:t>ni</m:t>
                              </m:r>
                            </m:sub>
                          </m:sSub>
                          <m:r>
                            <m:rPr>
                              <m:sty m:val="p"/>
                            </m:rPr>
                            <w:rPr>
                              <w:rFonts w:ascii="Cambria Math" w:hAnsi="Cambria Math"/>
                            </w:rPr>
                            <m:t>ln</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e>
                          </m:d>
                          <m:r>
                            <w:rPr>
                              <w:rFonts w:ascii="Cambria Math" w:hAnsi="Cambria Math"/>
                            </w:rPr>
                            <m:t>+</m:t>
                          </m:r>
                          <m:nary>
                            <m:naryPr>
                              <m:chr m:val="∑"/>
                              <m:limLoc m:val="undOvr"/>
                              <m:supHide/>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y</m:t>
                                  </m:r>
                                </m:e>
                                <m:sub>
                                  <m:r>
                                    <w:rPr>
                                      <w:rFonts w:ascii="Cambria Math" w:hAnsi="Cambria Math"/>
                                    </w:rPr>
                                    <m:t>ni</m:t>
                                  </m:r>
                                </m:sub>
                              </m:sSub>
                              <m:r>
                                <m:rPr>
                                  <m:sty m:val="p"/>
                                </m:rPr>
                                <w:rPr>
                                  <w:rFonts w:ascii="Cambria Math" w:hAnsi="Cambria Math"/>
                                </w:rPr>
                                <m:t>'ln</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 xml:space="preserve">;α, </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;α,</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e>
                              </m:d>
                            </m:e>
                          </m:nary>
                        </m:e>
                      </m:nary>
                    </m:e>
                  </m:d>
                </m:e>
              </m:nary>
            </m:oMath>
          </w:p>
          <w:p w:rsidR="00836A30" w:rsidP="00836A30" w14:paraId="3CF04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6A30" w:rsidP="00836A30" w14:paraId="68681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836A30" w:rsidP="00836A30" w14:paraId="7C612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14:paraId="07A6D9B2" w14:textId="77777777">
      <w:pPr>
        <w:tabs>
          <w:tab w:val="left" w:pos="720"/>
        </w:tabs>
        <w:spacing w:before="120"/>
        <w:rPr>
          <w:sz w:val="24"/>
          <w:szCs w:val="24"/>
          <w:u w:val="single"/>
        </w:rPr>
      </w:pPr>
      <w:r>
        <w:rPr>
          <w:sz w:val="24"/>
          <w:szCs w:val="24"/>
          <w:u w:val="single"/>
        </w:rPr>
        <w:t>Degree of accuracy needed for the purpose described in the justification</w:t>
      </w:r>
    </w:p>
    <w:p w:rsidR="002C17E4" w14:paraId="26FA29E7" w14:textId="77777777">
      <w:pPr>
        <w:pBdr>
          <w:top w:val="nil"/>
          <w:left w:val="nil"/>
          <w:bottom w:val="nil"/>
          <w:right w:val="nil"/>
          <w:between w:val="nil"/>
        </w:pBdr>
        <w:tabs>
          <w:tab w:val="left" w:pos="720"/>
        </w:tabs>
        <w:spacing w:before="120"/>
        <w:ind w:left="360"/>
        <w:rPr>
          <w:color w:val="000000"/>
          <w:sz w:val="24"/>
          <w:szCs w:val="24"/>
        </w:rPr>
      </w:pPr>
    </w:p>
    <w:p w:rsidR="002C17E4" w14:paraId="66264B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number of completed surveys needed to estimate the behavioral model parameters with adequate precision </w:t>
      </w:r>
      <w:r>
        <w:rPr>
          <w:sz w:val="24"/>
          <w:szCs w:val="24"/>
        </w:rPr>
        <w:t>is based</w:t>
      </w:r>
      <w:r>
        <w:rPr>
          <w:sz w:val="24"/>
          <w:szCs w:val="24"/>
        </w:rPr>
        <w:t xml:space="preserve"> on the experimental design of the CE.  We evaluated the minimum sample size required for the ensuing CE economic model using the most widely accepted approach described by Orme (2010).  </w:t>
      </w:r>
    </w:p>
    <w:p w:rsidR="002C17E4" w14:paraId="661DC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20896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approach suggested by Orme for determining the minimum sample size for CE modelling, is to set  </w:t>
      </w:r>
    </w:p>
    <w:tbl>
      <w:tblPr>
        <w:tblStyle w:val="a7"/>
        <w:tblW w:w="10080" w:type="dxa"/>
        <w:tblBorders>
          <w:top w:val="nil"/>
          <w:left w:val="nil"/>
          <w:bottom w:val="nil"/>
          <w:right w:val="nil"/>
          <w:insideH w:val="nil"/>
          <w:insideV w:val="nil"/>
        </w:tblBorders>
        <w:tblLayout w:type="fixed"/>
        <w:tblLook w:val="0400"/>
      </w:tblPr>
      <w:tblGrid>
        <w:gridCol w:w="572"/>
        <w:gridCol w:w="8891"/>
        <w:gridCol w:w="617"/>
      </w:tblGrid>
      <w:tr w14:paraId="0892635F" w14:textId="77777777">
        <w:tblPrEx>
          <w:tblW w:w="10080" w:type="dxa"/>
          <w:tblBorders>
            <w:top w:val="nil"/>
            <w:left w:val="nil"/>
            <w:bottom w:val="nil"/>
            <w:right w:val="nil"/>
            <w:insideH w:val="nil"/>
            <w:insideV w:val="nil"/>
          </w:tblBorders>
          <w:tblLayout w:type="fixed"/>
          <w:tblLook w:val="0400"/>
        </w:tblPrEx>
        <w:trPr>
          <w:trHeight w:val="144"/>
        </w:trPr>
        <w:tc>
          <w:tcPr>
            <w:tcW w:w="10080" w:type="dxa"/>
            <w:gridSpan w:val="3"/>
          </w:tcPr>
          <w:p w:rsidR="002C17E4" w14:paraId="523CFBBD" w14:textId="77777777">
            <w:pPr>
              <w:jc w:val="center"/>
            </w:pPr>
          </w:p>
        </w:tc>
      </w:tr>
      <w:tr w14:paraId="078AEF77" w14:textId="77777777">
        <w:tblPrEx>
          <w:tblW w:w="10080" w:type="dxa"/>
          <w:tblLayout w:type="fixed"/>
          <w:tblLook w:val="0400"/>
        </w:tblPrEx>
        <w:trPr>
          <w:trHeight w:val="576"/>
        </w:trPr>
        <w:tc>
          <w:tcPr>
            <w:tcW w:w="572" w:type="dxa"/>
          </w:tcPr>
          <w:p w:rsidR="002C17E4" w14:paraId="72FAE197" w14:textId="77777777"/>
        </w:tc>
        <w:tc>
          <w:tcPr>
            <w:tcW w:w="8891" w:type="dxa"/>
            <w:vAlign w:val="center"/>
          </w:tcPr>
          <w:p w:rsidR="002C17E4" w14:paraId="1DAD52E5" w14:textId="77777777">
            <w:pPr>
              <w:numPr>
                <w:ilvl w:val="0"/>
                <w:numId w:val="1"/>
              </w:numPr>
              <w:pBdr>
                <w:top w:val="nil"/>
                <w:left w:val="nil"/>
                <w:bottom w:val="nil"/>
                <w:right w:val="nil"/>
                <w:between w:val="nil"/>
              </w:pBdr>
              <w:jc w:val="center"/>
              <w:rPr>
                <w:rFonts w:ascii="Cambria Math" w:eastAsia="Cambria Math" w:hAnsi="Cambria Math" w:cs="Cambria Math"/>
                <w:color w:val="000000"/>
                <w:sz w:val="22"/>
                <w:szCs w:val="22"/>
              </w:rPr>
            </w:pP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nta</m:t>
                  </m:r>
                </m:num>
                <m:den>
                  <m:r>
                    <w:rPr>
                      <w:rFonts w:ascii="Cambria Math" w:eastAsia="Cambria Math" w:hAnsi="Cambria Math" w:cs="Cambria Math"/>
                      <w:color w:val="000000"/>
                      <w:sz w:val="22"/>
                      <w:szCs w:val="22"/>
                    </w:rPr>
                    <m:t>c</m:t>
                  </m:r>
                </m:den>
              </m:f>
              <m:r>
                <w:rPr>
                  <w:rFonts w:ascii="Cambria Math" w:eastAsia="Cambria Math" w:hAnsi="Cambria Math" w:cs="Cambria Math"/>
                  <w:color w:val="000000"/>
                  <w:sz w:val="22"/>
                  <w:szCs w:val="22"/>
                </w:rPr>
                <m:t>≥500</m:t>
              </m:r>
            </m:oMath>
          </w:p>
          <w:p w:rsidR="002C17E4" w14:paraId="1D51EA8B" w14:textId="77777777"/>
        </w:tc>
        <w:tc>
          <w:tcPr>
            <w:tcW w:w="617" w:type="dxa"/>
            <w:vAlign w:val="center"/>
          </w:tcPr>
          <w:p w:rsidR="002C17E4" w14:paraId="6A9F97AE" w14:textId="77777777">
            <w:pPr>
              <w:jc w:val="right"/>
            </w:pPr>
          </w:p>
        </w:tc>
      </w:tr>
      <w:tr w14:paraId="7DBC4045" w14:textId="77777777">
        <w:tblPrEx>
          <w:tblW w:w="10080" w:type="dxa"/>
          <w:tblLayout w:type="fixed"/>
          <w:tblLook w:val="0400"/>
        </w:tblPrEx>
        <w:trPr>
          <w:trHeight w:val="288"/>
        </w:trPr>
        <w:tc>
          <w:tcPr>
            <w:tcW w:w="572" w:type="dxa"/>
          </w:tcPr>
          <w:p w:rsidR="002C17E4" w14:paraId="7811685E" w14:textId="77777777"/>
        </w:tc>
        <w:tc>
          <w:tcPr>
            <w:tcW w:w="8891" w:type="dxa"/>
            <w:vAlign w:val="center"/>
          </w:tcPr>
          <w:p w:rsidR="002C17E4" w14:paraId="4EDDCA92" w14:textId="77777777"/>
        </w:tc>
        <w:tc>
          <w:tcPr>
            <w:tcW w:w="617" w:type="dxa"/>
            <w:vAlign w:val="center"/>
          </w:tcPr>
          <w:p w:rsidR="002C17E4" w14:paraId="2DB11696" w14:textId="77777777">
            <w:pPr>
              <w:jc w:val="center"/>
            </w:pPr>
          </w:p>
        </w:tc>
      </w:tr>
    </w:tbl>
    <w:p w:rsidR="002C17E4" w14:paraId="39FA97B8" w14:textId="4BAF4265">
      <w:pPr>
        <w:widowControl/>
        <w:rPr>
          <w:sz w:val="24"/>
          <w:szCs w:val="24"/>
        </w:rPr>
      </w:pPr>
      <w:r>
        <w:rPr>
          <w:sz w:val="24"/>
          <w:szCs w:val="24"/>
        </w:rPr>
        <w:t xml:space="preserve">where </w:t>
      </w:r>
      <m:oMath>
        <m:r>
          <w:rPr>
            <w:rFonts w:ascii="Cambria Math" w:eastAsia="Cambria Math" w:hAnsi="Cambria Math" w:cs="Cambria Math"/>
            <w:sz w:val="24"/>
            <w:szCs w:val="24"/>
          </w:rPr>
          <m:t>n</m:t>
        </m:r>
      </m:oMath>
      <w:r>
        <w:rPr>
          <w:sz w:val="24"/>
          <w:szCs w:val="24"/>
        </w:rPr>
        <w:t xml:space="preserve"> is the number of respondents, </w:t>
      </w:r>
      <m:oMath>
        <m:r>
          <w:rPr>
            <w:rFonts w:ascii="Cambria Math" w:eastAsia="Cambria Math" w:hAnsi="Cambria Math" w:cs="Cambria Math"/>
            <w:sz w:val="24"/>
            <w:szCs w:val="24"/>
          </w:rPr>
          <m:t>t</m:t>
        </m:r>
      </m:oMath>
      <w:r>
        <w:rPr>
          <w:sz w:val="24"/>
          <w:szCs w:val="24"/>
        </w:rPr>
        <w:t xml:space="preserve"> is the number of choice tasks per respondent, </w:t>
      </w:r>
      <m:oMath>
        <m:r>
          <w:rPr>
            <w:rFonts w:ascii="Cambria Math" w:eastAsia="Cambria Math" w:hAnsi="Cambria Math" w:cs="Cambria Math"/>
            <w:sz w:val="24"/>
            <w:szCs w:val="24"/>
          </w:rPr>
          <m:t>a</m:t>
        </m:r>
      </m:oMath>
      <w:r>
        <w:rPr>
          <w:sz w:val="24"/>
          <w:szCs w:val="24"/>
        </w:rPr>
        <w:t xml:space="preserve"> is the number of alternatives per choice task excluding the opt-out alternative, and </w:t>
      </w:r>
      <m:oMath>
        <m:r>
          <w:rPr>
            <w:rFonts w:ascii="Cambria Math" w:eastAsia="Cambria Math" w:hAnsi="Cambria Math" w:cs="Cambria Math"/>
            <w:sz w:val="24"/>
            <w:szCs w:val="24"/>
          </w:rPr>
          <m:t>c</m:t>
        </m:r>
      </m:oMath>
      <w:r>
        <w:rPr>
          <w:sz w:val="24"/>
          <w:szCs w:val="24"/>
        </w:rPr>
        <w:t xml:space="preserve"> is the largest number of levels for any one attribute for a main effects model. While the value of 500 refers to the n</w:t>
      </w:r>
      <w:r>
        <w:rPr>
          <w:sz w:val="24"/>
          <w:szCs w:val="24"/>
        </w:rPr>
        <w:t>umber</w:t>
      </w:r>
      <w:r>
        <w:rPr>
          <w:sz w:val="24"/>
          <w:szCs w:val="24"/>
        </w:rPr>
        <w:t xml:space="preserve"> of </w:t>
      </w:r>
      <w:r>
        <w:rPr>
          <w:sz w:val="24"/>
          <w:szCs w:val="24"/>
        </w:rPr>
        <w:t>times</w:t>
      </w:r>
      <w:r>
        <w:rPr>
          <w:sz w:val="24"/>
          <w:szCs w:val="24"/>
        </w:rPr>
        <w:t xml:space="preserve"> each main effect level of interest should be represented across the design to have ample stability in the ensuing parameter estimates, Orme (2010) notes that this value “was intended to be a minimum threshold when researchers cannot afford to do better. It would be better, when possible, to have 1,000 or more representations per main-effect level”.</w:t>
      </w:r>
      <w:r>
        <w:rPr>
          <w:rFonts w:ascii="NimbusRomNo9L-Regu" w:eastAsia="NimbusRomNo9L-Regu" w:hAnsi="NimbusRomNo9L-Regu" w:cs="NimbusRomNo9L-Regu"/>
        </w:rPr>
        <w:t xml:space="preserve"> </w:t>
      </w:r>
      <w:r>
        <w:rPr>
          <w:sz w:val="24"/>
          <w:szCs w:val="24"/>
        </w:rPr>
        <w:t xml:space="preserve">When its right-hand side is set to 500, solving Equation (12) for </w:t>
      </w:r>
      <m:oMath>
        <m:r>
          <w:rPr>
            <w:rFonts w:ascii="Cambria Math" w:eastAsia="Cambria Math" w:hAnsi="Cambria Math" w:cs="Cambria Math"/>
            <w:sz w:val="24"/>
            <w:szCs w:val="24"/>
          </w:rPr>
          <m:t>n</m:t>
        </m:r>
      </m:oMath>
      <w:r>
        <w:rPr>
          <w:sz w:val="24"/>
          <w:szCs w:val="24"/>
        </w:rPr>
        <w:t xml:space="preserve"> based on our main-effects experimental </w:t>
      </w:r>
      <w:r>
        <w:rPr>
          <w:sz w:val="24"/>
          <w:szCs w:val="24"/>
        </w:rPr>
        <w:t>design (</w:t>
      </w:r>
      <m:oMath>
        <m:r>
          <w:rPr>
            <w:rFonts w:ascii="Cambria Math" w:eastAsia="Cambria Math" w:hAnsi="Cambria Math" w:cs="Cambria Math"/>
            <w:sz w:val="24"/>
            <w:szCs w:val="24"/>
          </w:rPr>
          <m:t>t</m:t>
        </m:r>
      </m:oMath>
      <w:r>
        <w:rPr>
          <w:sz w:val="24"/>
          <w:szCs w:val="24"/>
        </w:rPr>
        <w:t xml:space="preserve"> = </w:t>
      </w:r>
      <w:r>
        <w:rPr>
          <w:sz w:val="24"/>
          <w:szCs w:val="24"/>
        </w:rPr>
        <w:t>6</w:t>
      </w:r>
      <w:r>
        <w:rPr>
          <w:sz w:val="24"/>
          <w:szCs w:val="24"/>
          <w:vertAlign w:val="superscript"/>
        </w:rPr>
        <w:footnoteReference w:id="3"/>
      </w:r>
      <w:r>
        <w:rPr>
          <w:sz w:val="24"/>
          <w:szCs w:val="24"/>
        </w:rPr>
        <w:t xml:space="preserve">, </w:t>
      </w:r>
      <m:oMath>
        <m:r>
          <w:rPr>
            <w:rFonts w:ascii="Cambria Math" w:eastAsia="Cambria Math" w:hAnsi="Cambria Math" w:cs="Cambria Math"/>
            <w:sz w:val="24"/>
            <w:szCs w:val="24"/>
          </w:rPr>
          <m:t>a</m:t>
        </m:r>
      </m:oMath>
      <w:r>
        <w:rPr>
          <w:sz w:val="24"/>
          <w:szCs w:val="24"/>
        </w:rPr>
        <w:t xml:space="preserve"> = 2, </w:t>
      </w:r>
      <m:oMath>
        <m:r>
          <w:rPr>
            <w:rFonts w:ascii="Cambria Math" w:eastAsia="Cambria Math" w:hAnsi="Cambria Math" w:cs="Cambria Math"/>
            <w:sz w:val="24"/>
            <w:szCs w:val="24"/>
          </w:rPr>
          <m:t>c</m:t>
        </m:r>
      </m:oMath>
      <w:r>
        <w:rPr>
          <w:sz w:val="24"/>
          <w:szCs w:val="24"/>
        </w:rPr>
        <w:t xml:space="preserve"> = 6) yields 250; when the right-hand side of Equation (12) is set to 1,000, </w:t>
      </w:r>
      <m:oMath>
        <m:r>
          <w:rPr>
            <w:rFonts w:ascii="Cambria Math" w:eastAsia="Cambria Math" w:hAnsi="Cambria Math" w:cs="Cambria Math"/>
            <w:sz w:val="24"/>
            <w:szCs w:val="24"/>
          </w:rPr>
          <m:t>n</m:t>
        </m:r>
      </m:oMath>
      <w:r>
        <w:rPr>
          <w:sz w:val="24"/>
          <w:szCs w:val="24"/>
        </w:rPr>
        <w:t xml:space="preserve"> = 500. Taken together, the general rule of thumb provided by Orme (2010) suggests that the minimum sample size for the NARFS I</w:t>
      </w:r>
      <w:r w:rsidR="00001F3F">
        <w:rPr>
          <w:sz w:val="24"/>
          <w:szCs w:val="24"/>
        </w:rPr>
        <w:t>V</w:t>
      </w:r>
      <w:r>
        <w:rPr>
          <w:sz w:val="24"/>
          <w:szCs w:val="24"/>
        </w:rPr>
        <w:t xml:space="preserve"> should be between 250 and 500. </w:t>
      </w:r>
    </w:p>
    <w:p w:rsidR="002C17E4" w14:paraId="5D9B4309" w14:textId="77777777">
      <w:pPr>
        <w:widowControl/>
        <w:rPr>
          <w:sz w:val="24"/>
          <w:szCs w:val="24"/>
        </w:rPr>
      </w:pPr>
    </w:p>
    <w:p w:rsidR="002C17E4" w14:paraId="28679E44" w14:textId="2A99DC93">
      <w:pPr>
        <w:widowControl/>
        <w:rPr>
          <w:sz w:val="24"/>
          <w:szCs w:val="24"/>
        </w:rPr>
      </w:pPr>
      <w:r>
        <w:rPr>
          <w:sz w:val="24"/>
          <w:szCs w:val="24"/>
        </w:rPr>
        <w:t>Given results of the Orme (2010) approach used to determine the mi</w:t>
      </w:r>
      <w:r w:rsidR="00E41B0D">
        <w:rPr>
          <w:sz w:val="24"/>
          <w:szCs w:val="24"/>
        </w:rPr>
        <w:t xml:space="preserve">nimum sample size required for </w:t>
      </w:r>
      <w:r>
        <w:rPr>
          <w:sz w:val="24"/>
          <w:szCs w:val="24"/>
        </w:rPr>
        <w:t>NARFS I</w:t>
      </w:r>
      <w:r w:rsidR="00001F3F">
        <w:rPr>
          <w:sz w:val="24"/>
          <w:szCs w:val="24"/>
        </w:rPr>
        <w:t>V</w:t>
      </w:r>
      <w:r>
        <w:rPr>
          <w:sz w:val="24"/>
          <w:szCs w:val="24"/>
        </w:rPr>
        <w:t xml:space="preserve">, we seek to obtain at least 500 surveys completed by eligible anglers.  Meeting this objective conditional on an expected </w:t>
      </w:r>
      <w:r>
        <w:rPr>
          <w:sz w:val="24"/>
          <w:szCs w:val="24"/>
        </w:rPr>
        <w:t>3</w:t>
      </w:r>
      <w:r w:rsidR="00001F3F">
        <w:rPr>
          <w:sz w:val="24"/>
          <w:szCs w:val="24"/>
        </w:rPr>
        <w:t>9</w:t>
      </w:r>
      <w:r>
        <w:rPr>
          <w:sz w:val="24"/>
          <w:szCs w:val="24"/>
        </w:rPr>
        <w:t>%</w:t>
      </w:r>
      <w:r>
        <w:rPr>
          <w:sz w:val="24"/>
          <w:szCs w:val="24"/>
        </w:rPr>
        <w:t xml:space="preserve"> overall survey response completion rate, with eligible survey respondents comprising </w:t>
      </w:r>
      <w:r w:rsidR="00001F3F">
        <w:rPr>
          <w:sz w:val="24"/>
          <w:szCs w:val="24"/>
        </w:rPr>
        <w:t>76</w:t>
      </w:r>
      <w:r>
        <w:rPr>
          <w:sz w:val="24"/>
          <w:szCs w:val="24"/>
        </w:rPr>
        <w:t xml:space="preserve">% of the completed surveys, requires distributing a minimum of </w:t>
      </w:r>
      <w:r w:rsidR="00AE2555">
        <w:rPr>
          <w:sz w:val="24"/>
          <w:szCs w:val="24"/>
        </w:rPr>
        <w:t>1,687</w:t>
      </w:r>
      <w:r>
        <w:rPr>
          <w:sz w:val="24"/>
          <w:szCs w:val="24"/>
        </w:rPr>
        <w:t xml:space="preserve"> surveys across the three states.  See Question 1 above for a description of the expected survey response rates. Distributing 4,000 surveys in the </w:t>
      </w:r>
      <w:r w:rsidR="00AE2555">
        <w:rPr>
          <w:sz w:val="24"/>
          <w:szCs w:val="24"/>
        </w:rPr>
        <w:t>second</w:t>
      </w:r>
      <w:r>
        <w:rPr>
          <w:sz w:val="24"/>
          <w:szCs w:val="24"/>
        </w:rPr>
        <w:t xml:space="preserve"> NARFS resulted in </w:t>
      </w:r>
      <w:r w:rsidR="00AE2555">
        <w:rPr>
          <w:sz w:val="24"/>
          <w:szCs w:val="24"/>
        </w:rPr>
        <w:t>1,173 surveys completed by eligible anglers</w:t>
      </w:r>
      <w:r>
        <w:rPr>
          <w:sz w:val="24"/>
          <w:szCs w:val="24"/>
        </w:rPr>
        <w:t>, which exceeds the minimum sample size range suggested by the Orme (2010) test.  As we expect response rate</w:t>
      </w:r>
      <w:r w:rsidR="00AE2555">
        <w:rPr>
          <w:sz w:val="24"/>
          <w:szCs w:val="24"/>
        </w:rPr>
        <w:t>s</w:t>
      </w:r>
      <w:r>
        <w:rPr>
          <w:sz w:val="24"/>
          <w:szCs w:val="24"/>
        </w:rPr>
        <w:t xml:space="preserve"> to be </w:t>
      </w:r>
      <w:r w:rsidR="00AE2555">
        <w:rPr>
          <w:sz w:val="24"/>
          <w:szCs w:val="24"/>
        </w:rPr>
        <w:t>similar to NARFS II,</w:t>
      </w:r>
      <w:r>
        <w:rPr>
          <w:sz w:val="24"/>
          <w:szCs w:val="24"/>
        </w:rPr>
        <w:t xml:space="preserve"> our sample size of 4,000 should be more than sufficient to provide representative population estimates.  </w:t>
      </w:r>
    </w:p>
    <w:p w:rsidR="002C17E4" w14:paraId="2A2F630F" w14:textId="77777777">
      <w:pPr>
        <w:pBdr>
          <w:top w:val="nil"/>
          <w:left w:val="nil"/>
          <w:bottom w:val="nil"/>
          <w:right w:val="nil"/>
          <w:between w:val="nil"/>
        </w:pBdr>
        <w:tabs>
          <w:tab w:val="left" w:pos="720"/>
        </w:tabs>
        <w:spacing w:before="120"/>
        <w:rPr>
          <w:color w:val="000000"/>
          <w:sz w:val="24"/>
          <w:szCs w:val="24"/>
        </w:rPr>
      </w:pPr>
    </w:p>
    <w:p w:rsidR="002C17E4" w14:paraId="76F7ED72" w14:textId="77777777">
      <w:pPr>
        <w:tabs>
          <w:tab w:val="left" w:pos="720"/>
        </w:tabs>
        <w:spacing w:before="120" w:after="240"/>
        <w:rPr>
          <w:sz w:val="24"/>
          <w:szCs w:val="24"/>
          <w:u w:val="single"/>
        </w:rPr>
      </w:pPr>
      <w:r>
        <w:rPr>
          <w:sz w:val="24"/>
          <w:szCs w:val="24"/>
          <w:u w:val="single"/>
        </w:rPr>
        <w:t>Unusual problems requiring specialized sampling procedures</w:t>
      </w:r>
    </w:p>
    <w:p w:rsidR="002C17E4" w14:paraId="205D14B2" w14:textId="1F2A38E2">
      <w:pPr>
        <w:tabs>
          <w:tab w:val="left" w:pos="720"/>
        </w:tabs>
        <w:spacing w:before="120"/>
        <w:rPr>
          <w:sz w:val="24"/>
          <w:szCs w:val="24"/>
        </w:rPr>
      </w:pPr>
      <w:r>
        <w:rPr>
          <w:sz w:val="24"/>
          <w:szCs w:val="24"/>
        </w:rPr>
        <w:t xml:space="preserve">The proposed stratified random sampling design of saltwater recreational license holders provided the necessary data for the first </w:t>
      </w:r>
      <w:r w:rsidR="00AE2555">
        <w:rPr>
          <w:sz w:val="24"/>
          <w:szCs w:val="24"/>
        </w:rPr>
        <w:t>t</w:t>
      </w:r>
      <w:r w:rsidR="00B86FE1">
        <w:rPr>
          <w:sz w:val="24"/>
          <w:szCs w:val="24"/>
        </w:rPr>
        <w:t>wo</w:t>
      </w:r>
      <w:r w:rsidR="00AE2555">
        <w:rPr>
          <w:sz w:val="24"/>
          <w:szCs w:val="24"/>
        </w:rPr>
        <w:t xml:space="preserve"> </w:t>
      </w:r>
      <w:r>
        <w:rPr>
          <w:sz w:val="24"/>
          <w:szCs w:val="24"/>
        </w:rPr>
        <w:t xml:space="preserve">NARFS and we </w:t>
      </w:r>
      <w:r>
        <w:rPr>
          <w:sz w:val="24"/>
          <w:szCs w:val="24"/>
        </w:rPr>
        <w:t>don’t</w:t>
      </w:r>
      <w:r>
        <w:rPr>
          <w:sz w:val="24"/>
          <w:szCs w:val="24"/>
        </w:rPr>
        <w:t xml:space="preserve"> anticipate any changes for NARFS I</w:t>
      </w:r>
      <w:r w:rsidR="00AE2555">
        <w:rPr>
          <w:sz w:val="24"/>
          <w:szCs w:val="24"/>
        </w:rPr>
        <w:t>V</w:t>
      </w:r>
      <w:r>
        <w:rPr>
          <w:sz w:val="24"/>
          <w:szCs w:val="24"/>
        </w:rPr>
        <w:t>.</w:t>
      </w:r>
    </w:p>
    <w:p w:rsidR="002C17E4" w14:paraId="2DEFA1E5" w14:textId="77777777">
      <w:pPr>
        <w:tabs>
          <w:tab w:val="left" w:pos="720"/>
        </w:tabs>
        <w:spacing w:before="120"/>
        <w:rPr>
          <w:sz w:val="24"/>
          <w:szCs w:val="24"/>
        </w:rPr>
      </w:pPr>
    </w:p>
    <w:p w:rsidR="002C17E4" w14:paraId="5D228EA1" w14:textId="77777777">
      <w:pPr>
        <w:tabs>
          <w:tab w:val="left" w:pos="720"/>
        </w:tabs>
        <w:spacing w:before="120" w:after="240"/>
        <w:rPr>
          <w:sz w:val="24"/>
          <w:szCs w:val="24"/>
          <w:u w:val="single"/>
        </w:rPr>
      </w:pPr>
      <w:r>
        <w:rPr>
          <w:sz w:val="24"/>
          <w:szCs w:val="24"/>
          <w:u w:val="single"/>
        </w:rPr>
        <w:t>Any use of periodic (less frequent than annual) data collection cycles to reduce burden</w:t>
      </w:r>
    </w:p>
    <w:p w:rsidR="002C17E4" w14:paraId="11C6986C" w14:textId="4CB62BA5">
      <w:pPr>
        <w:tabs>
          <w:tab w:val="left" w:pos="720"/>
        </w:tabs>
        <w:spacing w:before="120"/>
        <w:rPr>
          <w:sz w:val="24"/>
          <w:szCs w:val="24"/>
        </w:rPr>
      </w:pPr>
      <w:r>
        <w:rPr>
          <w:sz w:val="24"/>
          <w:szCs w:val="24"/>
        </w:rPr>
        <w:t>NARFS I</w:t>
      </w:r>
      <w:r w:rsidR="00AE2555">
        <w:rPr>
          <w:sz w:val="24"/>
          <w:szCs w:val="24"/>
        </w:rPr>
        <w:t>V</w:t>
      </w:r>
      <w:r>
        <w:rPr>
          <w:sz w:val="24"/>
          <w:szCs w:val="24"/>
        </w:rPr>
        <w:t xml:space="preserve"> will be a one-off data collection effort conducted at a single point in time.  Respondents </w:t>
      </w:r>
      <w:r>
        <w:rPr>
          <w:sz w:val="24"/>
          <w:szCs w:val="24"/>
        </w:rPr>
        <w:t>will be asked</w:t>
      </w:r>
      <w:r>
        <w:rPr>
          <w:sz w:val="24"/>
          <w:szCs w:val="24"/>
        </w:rPr>
        <w:t xml:space="preserve"> to respond to a single questionnaire with no follow-up data requested.  </w:t>
      </w:r>
    </w:p>
    <w:p w:rsidR="002C17E4" w14:paraId="0AD22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Pr="00C633EA" w14:paraId="3BAA8F05" w14:textId="77777777">
      <w:pPr>
        <w:keepNext/>
        <w:keepLines/>
        <w:numPr>
          <w:ilvl w:val="0"/>
          <w:numId w:val="4"/>
        </w:numPr>
        <w:pBdr>
          <w:top w:val="nil"/>
          <w:left w:val="nil"/>
          <w:bottom w:val="nil"/>
          <w:right w:val="nil"/>
          <w:between w:val="nil"/>
        </w:pBdr>
        <w:spacing w:before="40"/>
      </w:pPr>
      <w:bookmarkStart w:id="3" w:name="_1fob9te" w:colFirst="0" w:colLast="0"/>
      <w:bookmarkEnd w:id="3"/>
      <w:r w:rsidRPr="00C633EA">
        <w:rPr>
          <w:b/>
          <w:color w:val="000000"/>
          <w:sz w:val="24"/>
          <w:szCs w:val="24"/>
        </w:rPr>
        <w:t xml:space="preserve">Describe the methods used to maximize response rates and to deal with nonresponse. The accuracy and reliability of the information collected </w:t>
      </w:r>
      <w:r w:rsidRPr="00C633EA">
        <w:rPr>
          <w:b/>
          <w:color w:val="000000"/>
          <w:sz w:val="24"/>
          <w:szCs w:val="24"/>
        </w:rPr>
        <w:t>must be shown</w:t>
      </w:r>
      <w:r w:rsidRPr="00C633EA">
        <w:rPr>
          <w:b/>
          <w:color w:val="000000"/>
          <w:sz w:val="24"/>
          <w:szCs w:val="24"/>
        </w:rPr>
        <w:t xml:space="preserve"> to be adequate for the intended uses. For collections based on sampling, a special justification </w:t>
      </w:r>
      <w:r w:rsidRPr="00C633EA">
        <w:rPr>
          <w:b/>
          <w:color w:val="000000"/>
          <w:sz w:val="24"/>
          <w:szCs w:val="24"/>
        </w:rPr>
        <w:t>must be provided</w:t>
      </w:r>
      <w:r w:rsidRPr="00C633EA">
        <w:rPr>
          <w:b/>
          <w:color w:val="000000"/>
          <w:sz w:val="24"/>
          <w:szCs w:val="24"/>
        </w:rPr>
        <w:t xml:space="preserve"> if they will not yield "reliable" data that can be generalized to the universe studied.</w:t>
      </w:r>
    </w:p>
    <w:p w:rsidR="002C17E4" w14:paraId="193D8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67DCCB20" w14:textId="5141E3A6">
      <w:pPr>
        <w:rPr>
          <w:sz w:val="24"/>
          <w:szCs w:val="24"/>
        </w:rPr>
      </w:pPr>
      <w:r>
        <w:rPr>
          <w:sz w:val="24"/>
          <w:szCs w:val="24"/>
        </w:rPr>
        <w:t>As was don</w:t>
      </w:r>
      <w:r w:rsidR="00AE2555">
        <w:rPr>
          <w:sz w:val="24"/>
          <w:szCs w:val="24"/>
        </w:rPr>
        <w:t xml:space="preserve">e for the first two </w:t>
      </w:r>
      <w:r>
        <w:rPr>
          <w:sz w:val="24"/>
          <w:szCs w:val="24"/>
        </w:rPr>
        <w:t>NARFS, we will be offering a $2 incentive and have instituted survey design features to improve unit and item non-response.  The findings from the $2 incentive experiment on survey response in the first NARFS showed that sampled anglers who received the incentive were significantly more likely to respond to the questionnaire than respondents that did not receive the incentive (38.46% versus 25.31% respectively; chi-square = 56.45, p &lt; 0.001).  Based on these findings and other research conducted on small monetary prepaid incentives, discussed under A9, NARFS I</w:t>
      </w:r>
      <w:r w:rsidR="00AE2555">
        <w:rPr>
          <w:sz w:val="24"/>
          <w:szCs w:val="24"/>
        </w:rPr>
        <w:t>V</w:t>
      </w:r>
      <w:r>
        <w:rPr>
          <w:sz w:val="24"/>
          <w:szCs w:val="24"/>
        </w:rPr>
        <w:t xml:space="preserve"> will include a $2 incentive for all survey invites.  By providing the $2 incentive in all survey invitations, </w:t>
      </w:r>
      <w:r w:rsidR="00AE2555">
        <w:rPr>
          <w:sz w:val="24"/>
          <w:szCs w:val="24"/>
        </w:rPr>
        <w:t>as was done for NARFS II</w:t>
      </w:r>
      <w:r>
        <w:rPr>
          <w:sz w:val="24"/>
          <w:szCs w:val="24"/>
        </w:rPr>
        <w:t xml:space="preserve">, we expect </w:t>
      </w:r>
      <w:r w:rsidR="00AE2555">
        <w:rPr>
          <w:sz w:val="24"/>
          <w:szCs w:val="24"/>
        </w:rPr>
        <w:t xml:space="preserve">similar </w:t>
      </w:r>
      <w:r>
        <w:rPr>
          <w:sz w:val="24"/>
          <w:szCs w:val="24"/>
        </w:rPr>
        <w:t>survey response rate</w:t>
      </w:r>
      <w:r w:rsidR="00AE2555">
        <w:rPr>
          <w:sz w:val="24"/>
          <w:szCs w:val="24"/>
        </w:rPr>
        <w:t>s to NARFS II</w:t>
      </w:r>
      <w:r>
        <w:rPr>
          <w:sz w:val="24"/>
          <w:szCs w:val="24"/>
        </w:rPr>
        <w:t xml:space="preserve">.  </w:t>
      </w:r>
    </w:p>
    <w:p w:rsidR="002C17E4" w14:paraId="1C697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5E07122" w14:textId="38516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Additionally, the survey design features implemented in the </w:t>
      </w:r>
      <w:r w:rsidR="00AE2555">
        <w:rPr>
          <w:sz w:val="24"/>
          <w:szCs w:val="24"/>
        </w:rPr>
        <w:t>first two</w:t>
      </w:r>
      <w:r>
        <w:rPr>
          <w:sz w:val="24"/>
          <w:szCs w:val="24"/>
        </w:rPr>
        <w:t xml:space="preserve"> NARFS resulted in low </w:t>
      </w:r>
      <w:r>
        <w:rPr>
          <w:sz w:val="24"/>
          <w:szCs w:val="24"/>
        </w:rPr>
        <w:t>unit and item non-response so will adopt these same features.  In NARFS</w:t>
      </w:r>
      <w:r w:rsidR="00B77732">
        <w:rPr>
          <w:sz w:val="24"/>
          <w:szCs w:val="24"/>
        </w:rPr>
        <w:t xml:space="preserve"> II</w:t>
      </w:r>
      <w:r>
        <w:rPr>
          <w:sz w:val="24"/>
          <w:szCs w:val="24"/>
        </w:rPr>
        <w:t xml:space="preserve">, </w:t>
      </w:r>
      <w:r w:rsidR="00B77732">
        <w:rPr>
          <w:sz w:val="24"/>
          <w:szCs w:val="24"/>
        </w:rPr>
        <w:t xml:space="preserve">approximately 90% of </w:t>
      </w:r>
      <w:r>
        <w:rPr>
          <w:sz w:val="24"/>
          <w:szCs w:val="24"/>
        </w:rPr>
        <w:t>sampled license holders accessed the web questionnaire either by going to the survey website and entering their unique passcode or by clicking on a unique link provided in a subsequent email contact. Approximately 9</w:t>
      </w:r>
      <w:r w:rsidR="00B77732">
        <w:rPr>
          <w:sz w:val="24"/>
          <w:szCs w:val="24"/>
        </w:rPr>
        <w:t>3</w:t>
      </w:r>
      <w:r>
        <w:rPr>
          <w:sz w:val="24"/>
          <w:szCs w:val="24"/>
        </w:rPr>
        <w:t xml:space="preserve">% of the sampled license holders that accessed the web questionnaire ultimately completed. The high completion percentage speaks favorably to the clarity of questions and instructions in the questionnaire as well as the screen presentation of these elements on desktop and mobile devices. </w:t>
      </w:r>
      <w:r w:rsidR="00FC77CA">
        <w:rPr>
          <w:sz w:val="24"/>
          <w:szCs w:val="24"/>
        </w:rPr>
        <w:t>To ensure a positive user experience, t</w:t>
      </w:r>
      <w:r>
        <w:rPr>
          <w:sz w:val="24"/>
          <w:szCs w:val="24"/>
        </w:rPr>
        <w:t xml:space="preserve">he CE questions </w:t>
      </w:r>
      <w:r>
        <w:rPr>
          <w:sz w:val="24"/>
          <w:szCs w:val="24"/>
        </w:rPr>
        <w:t>were optimized</w:t>
      </w:r>
      <w:r>
        <w:rPr>
          <w:sz w:val="24"/>
          <w:szCs w:val="24"/>
        </w:rPr>
        <w:t xml:space="preserve"> for appearance on both desktop and mobile devices </w:t>
      </w:r>
      <w:r w:rsidR="00B86FE1">
        <w:rPr>
          <w:sz w:val="24"/>
          <w:szCs w:val="24"/>
        </w:rPr>
        <w:t xml:space="preserve">in the first two NARFS </w:t>
      </w:r>
      <w:r>
        <w:rPr>
          <w:sz w:val="24"/>
          <w:szCs w:val="24"/>
        </w:rPr>
        <w:t>and we will follow the same design for NARFS I</w:t>
      </w:r>
      <w:r w:rsidR="00B77732">
        <w:rPr>
          <w:sz w:val="24"/>
          <w:szCs w:val="24"/>
        </w:rPr>
        <w:t>V</w:t>
      </w:r>
      <w:r>
        <w:rPr>
          <w:sz w:val="24"/>
          <w:szCs w:val="24"/>
        </w:rPr>
        <w:t xml:space="preserve">. Measures </w:t>
      </w:r>
      <w:r>
        <w:rPr>
          <w:sz w:val="24"/>
          <w:szCs w:val="24"/>
        </w:rPr>
        <w:t>were also taken</w:t>
      </w:r>
      <w:r>
        <w:rPr>
          <w:sz w:val="24"/>
          <w:szCs w:val="24"/>
        </w:rPr>
        <w:t xml:space="preserve"> to mitigate item non-response within the CE questions such the use of soft validations with messages tailored to each preference question.  A hide/reveal of the second preference question </w:t>
      </w:r>
      <w:r>
        <w:rPr>
          <w:sz w:val="24"/>
          <w:szCs w:val="24"/>
        </w:rPr>
        <w:t>was implemented</w:t>
      </w:r>
      <w:r>
        <w:rPr>
          <w:sz w:val="24"/>
          <w:szCs w:val="24"/>
        </w:rPr>
        <w:t xml:space="preserve"> to improve data quality such that respondents could not pick the same choice twice within a given scenario. </w:t>
      </w:r>
      <w:r w:rsidR="00B77732">
        <w:rPr>
          <w:sz w:val="24"/>
          <w:szCs w:val="24"/>
        </w:rPr>
        <w:t xml:space="preserve">Fewer than twenty of the </w:t>
      </w:r>
      <w:r>
        <w:rPr>
          <w:sz w:val="24"/>
          <w:szCs w:val="24"/>
        </w:rPr>
        <w:t xml:space="preserve">web respondents skipped one of the CE questions, meaning 98% of web respondents fully completed the most important section of the questionnaire. The measures taken to optimize user experience, improve data quality, and minimize item nonresponse coupled with clearly and concisely written questions and instructions contributed significantly to this successful completion rate. </w:t>
      </w:r>
    </w:p>
    <w:p w:rsidR="002C17E4" w14:paraId="5E60E3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46175B6B" w14:textId="2A4A35F9">
      <w:pPr>
        <w:rPr>
          <w:color w:val="000000"/>
          <w:sz w:val="24"/>
          <w:szCs w:val="24"/>
        </w:rPr>
      </w:pPr>
      <w:r>
        <w:rPr>
          <w:sz w:val="24"/>
          <w:szCs w:val="24"/>
        </w:rPr>
        <w:t>We statistically tested for survey nonresponse bias in the first NARFS using data collected from a telephone survey. We found that survey non-response bias had no impact on the estimation results. Given the high cost, additional burden on society, extremely low telephone contact rate achieved in the first NARFS (6.9%), and the finding that non-response bias was not a factor in the NARFS I, we do not plan to conduct a nonresponse survey for NARFS I</w:t>
      </w:r>
      <w:r w:rsidR="00B77732">
        <w:rPr>
          <w:sz w:val="24"/>
          <w:szCs w:val="24"/>
        </w:rPr>
        <w:t>V</w:t>
      </w:r>
      <w:r>
        <w:rPr>
          <w:sz w:val="24"/>
          <w:szCs w:val="24"/>
        </w:rPr>
        <w:t>. We anticipate the $2 monetary incentive will help mitigate survey nonresponse bias by attracting participation from those who otherwise might not respond to the survey. We will also adopt the same survey design features that were so successful in NARFS</w:t>
      </w:r>
      <w:r w:rsidR="00B77732">
        <w:rPr>
          <w:sz w:val="24"/>
          <w:szCs w:val="24"/>
        </w:rPr>
        <w:t xml:space="preserve"> II</w:t>
      </w:r>
      <w:r>
        <w:rPr>
          <w:sz w:val="24"/>
          <w:szCs w:val="24"/>
        </w:rPr>
        <w:t xml:space="preserve">, which will help maximize survey completion rates, improve unit and item nonresponse, and promote a better respondent experience.  </w:t>
      </w:r>
      <w:r>
        <w:rPr>
          <w:color w:val="000000"/>
          <w:sz w:val="24"/>
          <w:szCs w:val="24"/>
        </w:rPr>
        <w:t xml:space="preserve">Additionally, </w:t>
      </w:r>
      <w:r w:rsidR="002C358F">
        <w:rPr>
          <w:color w:val="000000"/>
          <w:sz w:val="24"/>
          <w:szCs w:val="24"/>
        </w:rPr>
        <w:t xml:space="preserve">for the first time, </w:t>
      </w:r>
      <w:r>
        <w:rPr>
          <w:color w:val="000000"/>
          <w:sz w:val="24"/>
          <w:szCs w:val="24"/>
        </w:rPr>
        <w:t xml:space="preserve">we </w:t>
      </w:r>
      <w:r w:rsidR="002C358F">
        <w:rPr>
          <w:color w:val="000000"/>
          <w:sz w:val="24"/>
          <w:szCs w:val="24"/>
        </w:rPr>
        <w:t xml:space="preserve">plan to </w:t>
      </w:r>
      <w:r>
        <w:rPr>
          <w:color w:val="000000"/>
          <w:sz w:val="24"/>
          <w:szCs w:val="24"/>
        </w:rPr>
        <w:t xml:space="preserve">use responses to </w:t>
      </w:r>
      <w:r w:rsidR="002C358F">
        <w:rPr>
          <w:color w:val="000000"/>
          <w:sz w:val="24"/>
          <w:szCs w:val="24"/>
        </w:rPr>
        <w:t>the</w:t>
      </w:r>
      <w:r>
        <w:rPr>
          <w:color w:val="000000"/>
          <w:sz w:val="24"/>
          <w:szCs w:val="24"/>
        </w:rPr>
        <w:t xml:space="preserve"> series of demographic questions contained in Section D of the questionnaire to assess relative sample representativeness by comparing the characteristics of our sample to the characteristics of the population of recreational anglers at large, which </w:t>
      </w:r>
      <w:r w:rsidR="002C358F">
        <w:rPr>
          <w:color w:val="000000"/>
          <w:sz w:val="24"/>
          <w:szCs w:val="24"/>
        </w:rPr>
        <w:t xml:space="preserve">were recently collected </w:t>
      </w:r>
      <w:r>
        <w:rPr>
          <w:color w:val="000000"/>
          <w:sz w:val="24"/>
          <w:szCs w:val="24"/>
        </w:rPr>
        <w:t xml:space="preserve">in NOAA-sponsored nationwide angler expenditure </w:t>
      </w:r>
      <w:r w:rsidR="002C358F">
        <w:rPr>
          <w:color w:val="000000"/>
          <w:sz w:val="24"/>
          <w:szCs w:val="24"/>
        </w:rPr>
        <w:t>survey</w:t>
      </w:r>
      <w:r>
        <w:rPr>
          <w:color w:val="000000"/>
          <w:sz w:val="24"/>
          <w:szCs w:val="24"/>
        </w:rPr>
        <w:t xml:space="preserve">. </w:t>
      </w:r>
    </w:p>
    <w:p w:rsidR="002C17E4" w14:paraId="091AF10A" w14:textId="77777777">
      <w:pPr>
        <w:rPr>
          <w:sz w:val="24"/>
          <w:szCs w:val="24"/>
        </w:rPr>
      </w:pPr>
    </w:p>
    <w:p w:rsidR="00B77732" w14:paraId="11D85F98" w14:textId="77B38C5B">
      <w:pPr>
        <w:rPr>
          <w:sz w:val="24"/>
          <w:szCs w:val="24"/>
        </w:rPr>
      </w:pPr>
      <w:r>
        <w:rPr>
          <w:sz w:val="24"/>
          <w:szCs w:val="24"/>
        </w:rPr>
        <w:t>Data collected from NARFS I</w:t>
      </w:r>
      <w:r>
        <w:rPr>
          <w:sz w:val="24"/>
          <w:szCs w:val="24"/>
        </w:rPr>
        <w:t>V</w:t>
      </w:r>
      <w:r>
        <w:rPr>
          <w:sz w:val="24"/>
          <w:szCs w:val="24"/>
        </w:rPr>
        <w:t xml:space="preserve"> will improve our ability to understand and predict how changes in management options and regulations may change fishing mortality and the number of trips anglers take for </w:t>
      </w:r>
      <w:r>
        <w:rPr>
          <w:sz w:val="24"/>
          <w:szCs w:val="24"/>
        </w:rPr>
        <w:t>summer flounder</w:t>
      </w:r>
      <w:r w:rsidR="00400AEE">
        <w:rPr>
          <w:sz w:val="24"/>
          <w:szCs w:val="24"/>
        </w:rPr>
        <w:t>,</w:t>
      </w:r>
      <w:r>
        <w:rPr>
          <w:sz w:val="24"/>
          <w:szCs w:val="24"/>
        </w:rPr>
        <w:t xml:space="preserve"> black sea bass</w:t>
      </w:r>
      <w:r w:rsidR="00400AEE">
        <w:rPr>
          <w:sz w:val="24"/>
          <w:szCs w:val="24"/>
        </w:rPr>
        <w:t>, and scup</w:t>
      </w:r>
      <w:r>
        <w:rPr>
          <w:sz w:val="24"/>
          <w:szCs w:val="24"/>
        </w:rPr>
        <w:t xml:space="preserve">. </w:t>
      </w:r>
      <w:r w:rsidRPr="00B5181F">
        <w:rPr>
          <w:sz w:val="24"/>
          <w:szCs w:val="24"/>
        </w:rPr>
        <w:t xml:space="preserve">The survey data will provide the information fisheries managers need to conduct updated </w:t>
      </w:r>
      <w:r>
        <w:rPr>
          <w:sz w:val="24"/>
          <w:szCs w:val="24"/>
        </w:rPr>
        <w:t>a</w:t>
      </w:r>
      <w:r w:rsidRPr="00B5181F">
        <w:rPr>
          <w:sz w:val="24"/>
          <w:szCs w:val="24"/>
        </w:rPr>
        <w:t xml:space="preserve">nalysis of the socio-economic effects to recreational anglers and to coastal communities of proposed changes in fishing regulations. The recreational fishing community and regional fisheries management councils </w:t>
      </w:r>
      <w:r>
        <w:rPr>
          <w:sz w:val="24"/>
          <w:szCs w:val="24"/>
        </w:rPr>
        <w:t xml:space="preserve">now rely on </w:t>
      </w:r>
      <w:r w:rsidRPr="00B5181F">
        <w:rPr>
          <w:sz w:val="24"/>
          <w:szCs w:val="24"/>
        </w:rPr>
        <w:t xml:space="preserve">species-specific socio-economic studies of recreational fishing </w:t>
      </w:r>
      <w:r>
        <w:rPr>
          <w:sz w:val="24"/>
          <w:szCs w:val="24"/>
        </w:rPr>
        <w:t xml:space="preserve">for </w:t>
      </w:r>
      <w:r w:rsidRPr="00B5181F">
        <w:rPr>
          <w:sz w:val="24"/>
          <w:szCs w:val="24"/>
        </w:rPr>
        <w:t>analys</w:t>
      </w:r>
      <w:r>
        <w:rPr>
          <w:sz w:val="24"/>
          <w:szCs w:val="24"/>
        </w:rPr>
        <w:t>e</w:t>
      </w:r>
      <w:r w:rsidRPr="00B5181F">
        <w:rPr>
          <w:sz w:val="24"/>
          <w:szCs w:val="24"/>
        </w:rPr>
        <w:t>s of fisheries policies. This survey address</w:t>
      </w:r>
      <w:r>
        <w:rPr>
          <w:sz w:val="24"/>
          <w:szCs w:val="24"/>
        </w:rPr>
        <w:t>es</w:t>
      </w:r>
      <w:r w:rsidRPr="00B5181F">
        <w:rPr>
          <w:sz w:val="24"/>
          <w:szCs w:val="24"/>
        </w:rPr>
        <w:t xml:space="preserve"> th</w:t>
      </w:r>
      <w:r>
        <w:rPr>
          <w:sz w:val="24"/>
          <w:szCs w:val="24"/>
        </w:rPr>
        <w:t>e</w:t>
      </w:r>
      <w:r w:rsidRPr="00B5181F">
        <w:rPr>
          <w:sz w:val="24"/>
          <w:szCs w:val="24"/>
        </w:rPr>
        <w:t xml:space="preserve"> need for species-specific studies</w:t>
      </w:r>
      <w:r>
        <w:rPr>
          <w:sz w:val="24"/>
          <w:szCs w:val="24"/>
        </w:rPr>
        <w:t xml:space="preserve"> of summer flounder</w:t>
      </w:r>
      <w:r w:rsidR="00400AEE">
        <w:rPr>
          <w:sz w:val="24"/>
          <w:szCs w:val="24"/>
        </w:rPr>
        <w:t>,</w:t>
      </w:r>
      <w:r>
        <w:rPr>
          <w:sz w:val="24"/>
          <w:szCs w:val="24"/>
        </w:rPr>
        <w:t xml:space="preserve"> black sea bass</w:t>
      </w:r>
      <w:r w:rsidR="00400AEE">
        <w:rPr>
          <w:sz w:val="24"/>
          <w:szCs w:val="24"/>
        </w:rPr>
        <w:t>, and scup</w:t>
      </w:r>
      <w:r w:rsidRPr="00B5181F">
        <w:rPr>
          <w:sz w:val="24"/>
          <w:szCs w:val="24"/>
        </w:rPr>
        <w:t>.</w:t>
      </w:r>
    </w:p>
    <w:p w:rsidR="00B77732" w14:paraId="09D9A547" w14:textId="77777777">
      <w:pPr>
        <w:rPr>
          <w:sz w:val="24"/>
          <w:szCs w:val="24"/>
        </w:rPr>
      </w:pPr>
    </w:p>
    <w:p w:rsidR="002C17E4" w14:paraId="64BFF9C1" w14:textId="77777777">
      <w:pPr>
        <w:rPr>
          <w:sz w:val="24"/>
          <w:szCs w:val="24"/>
        </w:rPr>
      </w:pPr>
    </w:p>
    <w:p w:rsidR="002C17E4" w14:paraId="33DD5255" w14:textId="77777777">
      <w:pPr>
        <w:widowControl/>
        <w:tabs>
          <w:tab w:val="left" w:pos="720"/>
        </w:tabs>
        <w:rPr>
          <w:sz w:val="24"/>
          <w:szCs w:val="24"/>
          <w:u w:val="single"/>
        </w:rPr>
      </w:pPr>
    </w:p>
    <w:p w:rsidR="002C17E4" w14:paraId="4CAC4BF6" w14:textId="77777777">
      <w:pPr>
        <w:widowControl/>
        <w:tabs>
          <w:tab w:val="left" w:pos="720"/>
        </w:tabs>
        <w:rPr>
          <w:sz w:val="24"/>
          <w:szCs w:val="24"/>
        </w:rPr>
      </w:pPr>
      <w:r>
        <w:rPr>
          <w:sz w:val="24"/>
          <w:szCs w:val="24"/>
        </w:rPr>
        <w:t xml:space="preserve"> </w:t>
      </w:r>
    </w:p>
    <w:p w:rsidR="002C17E4" w14:paraId="08EB0858" w14:textId="77777777">
      <w:pPr>
        <w:widowControl/>
        <w:tabs>
          <w:tab w:val="left" w:pos="720"/>
        </w:tabs>
        <w:rPr>
          <w:sz w:val="24"/>
          <w:szCs w:val="24"/>
          <w:u w:val="single"/>
        </w:rPr>
      </w:pPr>
    </w:p>
    <w:p w:rsidR="002C17E4" w14:paraId="3BABC1A1" w14:textId="77777777">
      <w:pPr>
        <w:widowControl/>
        <w:spacing w:after="160"/>
        <w:rPr>
          <w:sz w:val="24"/>
          <w:szCs w:val="24"/>
        </w:rPr>
      </w:pPr>
    </w:p>
    <w:p w:rsidR="002C17E4" w:rsidRPr="00C633EA" w14:paraId="47301707" w14:textId="77777777">
      <w:pPr>
        <w:keepNext/>
        <w:keepLines/>
        <w:numPr>
          <w:ilvl w:val="0"/>
          <w:numId w:val="4"/>
        </w:numPr>
        <w:pBdr>
          <w:top w:val="nil"/>
          <w:left w:val="nil"/>
          <w:bottom w:val="nil"/>
          <w:right w:val="nil"/>
          <w:between w:val="nil"/>
        </w:pBdr>
        <w:spacing w:before="40"/>
      </w:pPr>
      <w:r w:rsidRPr="00C633EA">
        <w:rPr>
          <w:b/>
          <w:color w:val="000000"/>
          <w:sz w:val="24"/>
          <w:szCs w:val="24"/>
        </w:rPr>
        <w:t xml:space="preserve">Describe any tests of procedures or methods to be undertaken. Tests are encouraged as effective means to refine collections, but if ten or more test respondents are </w:t>
      </w:r>
      <w:r w:rsidRPr="00C633EA">
        <w:rPr>
          <w:b/>
          <w:color w:val="000000"/>
          <w:sz w:val="24"/>
          <w:szCs w:val="24"/>
        </w:rPr>
        <w:t>involved</w:t>
      </w:r>
      <w:r w:rsidRPr="00C633EA">
        <w:rPr>
          <w:b/>
          <w:color w:val="000000"/>
          <w:sz w:val="24"/>
          <w:szCs w:val="24"/>
        </w:rPr>
        <w:t xml:space="preserve"> OMB must give prior approval.</w:t>
      </w:r>
    </w:p>
    <w:p w:rsidR="002C17E4" w14:paraId="1AF043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E623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tested and refined the proposed survey instrument prior to conducting both the NARFS I and the NARFS II.  This survey will use the implementation and methodological lessons learned from both of those surveys.</w:t>
      </w:r>
    </w:p>
    <w:p w:rsidR="002C17E4" w14:paraId="69620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71F6C8CC" w14:textId="6CCC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Prior to conducting NARFS I</w:t>
      </w:r>
      <w:r w:rsidR="00B77732">
        <w:rPr>
          <w:sz w:val="24"/>
          <w:szCs w:val="24"/>
        </w:rPr>
        <w:t xml:space="preserve"> </w:t>
      </w:r>
      <w:r>
        <w:rPr>
          <w:sz w:val="24"/>
          <w:szCs w:val="24"/>
        </w:rPr>
        <w:t xml:space="preserve">we conducted focus group sessions with recreational cod and haddock anglers in the study region during November of 2018. Using the license databases described in B1, we recruited focus groups participants who differed in terms of gender, age, and Atlantic cod/haddock fishing experience to obtain feedback from a diverse mix of anglers. The first two of these focus groups </w:t>
      </w:r>
      <w:r>
        <w:rPr>
          <w:sz w:val="24"/>
          <w:szCs w:val="24"/>
        </w:rPr>
        <w:t>were held</w:t>
      </w:r>
      <w:r>
        <w:rPr>
          <w:sz w:val="24"/>
          <w:szCs w:val="24"/>
        </w:rPr>
        <w:t xml:space="preserve"> in Braintree, MA, and the second two groups were held in Portland, ME. We used feedback received from those focus groups to (a) conform survey language to regional differences in dialect and ensure consistent interpretation of survey questions across the study region, and (b) design contextually realistic and straightforward choice experiment questions.</w:t>
      </w:r>
    </w:p>
    <w:p w:rsidR="002C17E4" w14:paraId="23823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4CA8E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During the focus groups conducted for NARFS II, we tested the design of the improved approach to display uncertainty in the number of fish kept (i.e. pie charts with probability labels) with undergraduate students at the University of Maryland.  The respondents overwhelmingly preferred this approach to the alternative of describing probabilities using frequency bar graphs. Then, to test the efficacy of the proposed survey instrument, we conducted focus group sessions with recreational anglers in the study region during March of 2019. Using 2018 license frames, we recruited focus group participants who differed in terms of gender, age, education, income level, and summer flounder/black sea bass fishing experience to obtain feedback from a diverse mix of anglers.  Both focus groups </w:t>
      </w:r>
      <w:r>
        <w:rPr>
          <w:sz w:val="24"/>
          <w:szCs w:val="24"/>
        </w:rPr>
        <w:t>were held</w:t>
      </w:r>
      <w:r>
        <w:rPr>
          <w:sz w:val="24"/>
          <w:szCs w:val="24"/>
        </w:rPr>
        <w:t xml:space="preserve"> in Cranford, New Jersey. After a brief introduction to provide context on the main purpose of the survey, focus participants </w:t>
      </w:r>
      <w:r>
        <w:rPr>
          <w:sz w:val="24"/>
          <w:szCs w:val="24"/>
        </w:rPr>
        <w:t>were asked</w:t>
      </w:r>
      <w:r>
        <w:rPr>
          <w:sz w:val="24"/>
          <w:szCs w:val="24"/>
        </w:rPr>
        <w:t xml:space="preserve"> to answer the survey. Then, we facilitated the discussion on each of the sections in the survey, with particular emphasis on the CE questions and the pie charts describing uncertainty in the keep of summer flounder and black sea bass.  </w:t>
      </w:r>
    </w:p>
    <w:p w:rsidR="002C17E4" w14:paraId="79DC0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A458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used feedback received from these focus groups to (a) design contextually realistic choice experiment questions, (b) discuss the most intuitive design of choice experiments involving probabilistic outcomes, including the appropriate number of random outcomes, and (c) discuss the need to incorporate questions in which the probabilities are unknown a priori (i.e. hence the need to include scenario to deal with ambiguity regarding the catch).</w:t>
      </w:r>
    </w:p>
    <w:p w:rsidR="002C17E4" w14:paraId="29390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2C17E4" w14:paraId="0BD8C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5B8D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6F66D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57274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94E4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6BD97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1021A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8B25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BEFE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0D01C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18ADF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14:paraId="658002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Pr="00C633EA" w14:paraId="7AF3A9F8" w14:textId="77777777">
      <w:pPr>
        <w:keepNext/>
        <w:keepLines/>
        <w:numPr>
          <w:ilvl w:val="0"/>
          <w:numId w:val="4"/>
        </w:numPr>
        <w:pBdr>
          <w:top w:val="nil"/>
          <w:left w:val="nil"/>
          <w:bottom w:val="nil"/>
          <w:right w:val="nil"/>
          <w:between w:val="nil"/>
        </w:pBdr>
        <w:spacing w:before="40"/>
      </w:pPr>
      <w:r w:rsidRPr="00C633EA">
        <w:rPr>
          <w:b/>
          <w:color w:val="000000"/>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2C17E4" w14:paraId="70CC8A59" w14:textId="77777777">
      <w:pPr>
        <w:rPr>
          <w:sz w:val="24"/>
          <w:szCs w:val="24"/>
        </w:rPr>
      </w:pPr>
    </w:p>
    <w:p w:rsidR="002C17E4" w14:paraId="71E470E4" w14:textId="77777777">
      <w:pPr>
        <w:rPr>
          <w:sz w:val="24"/>
          <w:szCs w:val="24"/>
        </w:rPr>
      </w:pPr>
      <w:r>
        <w:rPr>
          <w:sz w:val="24"/>
          <w:szCs w:val="24"/>
          <w:u w:val="single"/>
        </w:rPr>
        <w:t>Design, analysis, report</w:t>
      </w:r>
    </w:p>
    <w:p w:rsidR="002C17E4" w14:paraId="63CBBEB5" w14:textId="77777777">
      <w:pPr>
        <w:rPr>
          <w:sz w:val="24"/>
          <w:szCs w:val="24"/>
        </w:rPr>
      </w:pPr>
      <w:r>
        <w:rPr>
          <w:sz w:val="24"/>
          <w:szCs w:val="24"/>
        </w:rPr>
        <w:t xml:space="preserve">Andrew </w:t>
      </w:r>
      <w:r>
        <w:rPr>
          <w:sz w:val="24"/>
          <w:szCs w:val="24"/>
        </w:rPr>
        <w:t>Carr</w:t>
      </w:r>
      <w:r>
        <w:rPr>
          <w:sz w:val="24"/>
          <w:szCs w:val="24"/>
        </w:rPr>
        <w:t>-Harris (co-P.I.)</w:t>
      </w:r>
    </w:p>
    <w:p w:rsidR="002C17E4" w14:paraId="1A60048A" w14:textId="77777777">
      <w:pPr>
        <w:rPr>
          <w:sz w:val="24"/>
          <w:szCs w:val="24"/>
        </w:rPr>
      </w:pPr>
      <w:r>
        <w:rPr>
          <w:sz w:val="24"/>
          <w:szCs w:val="24"/>
        </w:rPr>
        <w:t>Northeast Fisheries Science Center</w:t>
      </w:r>
    </w:p>
    <w:p w:rsidR="002C17E4" w14:paraId="709AF35A" w14:textId="77777777">
      <w:pPr>
        <w:rPr>
          <w:sz w:val="24"/>
          <w:szCs w:val="24"/>
        </w:rPr>
      </w:pPr>
      <w:r>
        <w:rPr>
          <w:sz w:val="24"/>
          <w:szCs w:val="24"/>
        </w:rPr>
        <w:t>Phone: 914-330-7881</w:t>
      </w:r>
    </w:p>
    <w:p w:rsidR="002C17E4" w14:paraId="0376C001" w14:textId="77777777">
      <w:pPr>
        <w:rPr>
          <w:sz w:val="24"/>
          <w:szCs w:val="24"/>
        </w:rPr>
      </w:pPr>
    </w:p>
    <w:p w:rsidR="002C17E4" w14:paraId="7DB0A706" w14:textId="77777777">
      <w:pPr>
        <w:rPr>
          <w:sz w:val="24"/>
          <w:szCs w:val="24"/>
        </w:rPr>
      </w:pPr>
      <w:r>
        <w:rPr>
          <w:sz w:val="24"/>
          <w:szCs w:val="24"/>
        </w:rPr>
        <w:t xml:space="preserve">Scott </w:t>
      </w:r>
      <w:r>
        <w:rPr>
          <w:sz w:val="24"/>
          <w:szCs w:val="24"/>
        </w:rPr>
        <w:t>Steinback</w:t>
      </w:r>
      <w:r>
        <w:rPr>
          <w:sz w:val="24"/>
          <w:szCs w:val="24"/>
        </w:rPr>
        <w:t xml:space="preserve"> (co-P.I.)</w:t>
      </w:r>
    </w:p>
    <w:p w:rsidR="002C17E4" w14:paraId="7D048803" w14:textId="77777777">
      <w:pPr>
        <w:rPr>
          <w:sz w:val="24"/>
          <w:szCs w:val="24"/>
        </w:rPr>
      </w:pPr>
      <w:r>
        <w:rPr>
          <w:sz w:val="24"/>
          <w:szCs w:val="24"/>
        </w:rPr>
        <w:t>Northeast Fisheries Science Center</w:t>
      </w:r>
    </w:p>
    <w:p w:rsidR="002C17E4" w14:paraId="31E2DE97" w14:textId="77777777">
      <w:pPr>
        <w:rPr>
          <w:sz w:val="24"/>
          <w:szCs w:val="24"/>
        </w:rPr>
      </w:pPr>
      <w:r>
        <w:rPr>
          <w:sz w:val="24"/>
          <w:szCs w:val="24"/>
        </w:rPr>
        <w:t>Phone: 508-274-8067</w:t>
      </w:r>
    </w:p>
    <w:p w:rsidR="002C17E4" w14:paraId="6782184D" w14:textId="77777777">
      <w:pPr>
        <w:rPr>
          <w:sz w:val="24"/>
          <w:szCs w:val="24"/>
        </w:rPr>
      </w:pPr>
    </w:p>
    <w:p w:rsidR="002C17E4" w14:paraId="04EB2CD3" w14:textId="77777777">
      <w:pPr>
        <w:rPr>
          <w:sz w:val="24"/>
          <w:szCs w:val="24"/>
        </w:rPr>
      </w:pPr>
      <w:r>
        <w:rPr>
          <w:sz w:val="24"/>
          <w:szCs w:val="24"/>
        </w:rPr>
        <w:t>Sabrina Lovell (co-P.I.)</w:t>
      </w:r>
    </w:p>
    <w:p w:rsidR="002C17E4" w14:paraId="4D234EE0" w14:textId="77777777">
      <w:pPr>
        <w:rPr>
          <w:sz w:val="24"/>
          <w:szCs w:val="24"/>
        </w:rPr>
      </w:pPr>
      <w:r>
        <w:rPr>
          <w:sz w:val="24"/>
          <w:szCs w:val="24"/>
        </w:rPr>
        <w:t>Office of Science and Technology</w:t>
      </w:r>
    </w:p>
    <w:p w:rsidR="002C17E4" w14:paraId="5E95D85E" w14:textId="77777777">
      <w:pPr>
        <w:rPr>
          <w:sz w:val="24"/>
          <w:szCs w:val="24"/>
        </w:rPr>
      </w:pPr>
      <w:r>
        <w:rPr>
          <w:sz w:val="24"/>
          <w:szCs w:val="24"/>
        </w:rPr>
        <w:t>Phone: 301-427-8153</w:t>
      </w:r>
    </w:p>
    <w:p w:rsidR="002C17E4" w14:paraId="359A64B1" w14:textId="77777777">
      <w:pPr>
        <w:widowControl/>
        <w:pBdr>
          <w:top w:val="nil"/>
          <w:left w:val="nil"/>
          <w:bottom w:val="nil"/>
          <w:right w:val="nil"/>
          <w:between w:val="nil"/>
        </w:pBdr>
        <w:spacing w:before="180"/>
        <w:rPr>
          <w:color w:val="000000"/>
          <w:sz w:val="24"/>
          <w:szCs w:val="24"/>
        </w:rPr>
      </w:pPr>
      <w:r>
        <w:rPr>
          <w:color w:val="000000"/>
          <w:sz w:val="24"/>
          <w:szCs w:val="24"/>
          <w:u w:val="single"/>
        </w:rPr>
        <w:t xml:space="preserve">Data collection </w:t>
      </w:r>
    </w:p>
    <w:p w:rsidR="002C17E4" w14:paraId="7F15AC45" w14:textId="77777777">
      <w:pPr>
        <w:widowControl/>
        <w:pBdr>
          <w:top w:val="nil"/>
          <w:left w:val="nil"/>
          <w:bottom w:val="nil"/>
          <w:right w:val="nil"/>
          <w:between w:val="nil"/>
        </w:pBdr>
        <w:rPr>
          <w:color w:val="000000"/>
          <w:sz w:val="24"/>
          <w:szCs w:val="24"/>
        </w:rPr>
      </w:pPr>
      <w:r>
        <w:rPr>
          <w:color w:val="000000"/>
          <w:sz w:val="24"/>
          <w:szCs w:val="24"/>
        </w:rPr>
        <w:t>Gustavo Rubio</w:t>
      </w:r>
    </w:p>
    <w:p w:rsidR="002C17E4" w14:paraId="7D7EC853" w14:textId="77777777">
      <w:pPr>
        <w:widowControl/>
        <w:pBdr>
          <w:top w:val="nil"/>
          <w:left w:val="nil"/>
          <w:bottom w:val="nil"/>
          <w:right w:val="nil"/>
          <w:between w:val="nil"/>
        </w:pBdr>
        <w:rPr>
          <w:color w:val="000000"/>
          <w:sz w:val="24"/>
          <w:szCs w:val="24"/>
        </w:rPr>
      </w:pPr>
      <w:r>
        <w:rPr>
          <w:color w:val="000000"/>
          <w:sz w:val="24"/>
          <w:szCs w:val="24"/>
        </w:rPr>
        <w:t>ECS Federal, contracting company</w:t>
      </w:r>
    </w:p>
    <w:p w:rsidR="002C17E4" w14:paraId="03D822B3" w14:textId="77777777">
      <w:pPr>
        <w:widowControl/>
        <w:pBdr>
          <w:top w:val="nil"/>
          <w:left w:val="nil"/>
          <w:bottom w:val="nil"/>
          <w:right w:val="nil"/>
          <w:between w:val="nil"/>
        </w:pBdr>
        <w:spacing w:after="180"/>
        <w:rPr>
          <w:color w:val="000000"/>
          <w:sz w:val="24"/>
          <w:szCs w:val="24"/>
        </w:rPr>
      </w:pPr>
      <w:r>
        <w:rPr>
          <w:color w:val="000000"/>
          <w:sz w:val="24"/>
          <w:szCs w:val="24"/>
        </w:rPr>
        <w:t>Phone: 301-427-8180</w:t>
      </w:r>
    </w:p>
    <w:p w:rsidR="002C17E4" w14:paraId="15B7DAF6" w14:textId="77777777">
      <w:pPr>
        <w:rPr>
          <w:sz w:val="24"/>
          <w:szCs w:val="24"/>
        </w:rPr>
      </w:pPr>
    </w:p>
    <w:p w:rsidR="002C17E4" w14:paraId="4957D01B" w14:textId="77777777">
      <w:pPr>
        <w:rPr>
          <w:sz w:val="24"/>
          <w:szCs w:val="24"/>
        </w:rPr>
      </w:pPr>
    </w:p>
    <w:p w:rsidR="002C17E4" w14:paraId="48D77340" w14:textId="77777777">
      <w:pPr>
        <w:rPr>
          <w:sz w:val="24"/>
          <w:szCs w:val="24"/>
        </w:rPr>
      </w:pPr>
    </w:p>
    <w:p w:rsidR="002C17E4" w14:paraId="0C6D371E" w14:textId="77777777">
      <w:pPr>
        <w:rPr>
          <w:sz w:val="24"/>
          <w:szCs w:val="24"/>
        </w:rPr>
      </w:pPr>
    </w:p>
    <w:p w:rsidR="002C17E4" w14:paraId="54E83DB5" w14:textId="77777777">
      <w:pPr>
        <w:rPr>
          <w:sz w:val="24"/>
          <w:szCs w:val="24"/>
        </w:rPr>
      </w:pPr>
    </w:p>
    <w:p w:rsidR="002C17E4" w14:paraId="6C94315A" w14:textId="77777777">
      <w:pPr>
        <w:rPr>
          <w:sz w:val="24"/>
          <w:szCs w:val="24"/>
        </w:rPr>
      </w:pPr>
    </w:p>
    <w:p w:rsidR="002C17E4" w14:paraId="0C36396B" w14:textId="77777777">
      <w:pPr>
        <w:rPr>
          <w:sz w:val="24"/>
          <w:szCs w:val="24"/>
        </w:rPr>
      </w:pPr>
    </w:p>
    <w:p w:rsidR="002C17E4" w14:paraId="17456AC2" w14:textId="77777777">
      <w:pPr>
        <w:rPr>
          <w:sz w:val="24"/>
          <w:szCs w:val="24"/>
        </w:rPr>
      </w:pPr>
    </w:p>
    <w:p w:rsidR="002C17E4" w14:paraId="5D1D4062" w14:textId="77777777">
      <w:pPr>
        <w:rPr>
          <w:sz w:val="24"/>
          <w:szCs w:val="24"/>
        </w:rPr>
      </w:pPr>
    </w:p>
    <w:p w:rsidR="002C17E4" w14:paraId="463BDA60" w14:textId="77777777">
      <w:pPr>
        <w:rPr>
          <w:sz w:val="24"/>
          <w:szCs w:val="24"/>
        </w:rPr>
      </w:pPr>
    </w:p>
    <w:p w:rsidR="002C17E4" w14:paraId="01356880" w14:textId="77777777">
      <w:pPr>
        <w:rPr>
          <w:sz w:val="24"/>
          <w:szCs w:val="24"/>
        </w:rPr>
      </w:pPr>
    </w:p>
    <w:p w:rsidR="002C17E4" w14:paraId="78F69EE2" w14:textId="77777777">
      <w:pPr>
        <w:rPr>
          <w:sz w:val="24"/>
          <w:szCs w:val="24"/>
        </w:rPr>
      </w:pPr>
    </w:p>
    <w:p w:rsidR="002C17E4" w14:paraId="283A40A3" w14:textId="77777777">
      <w:pPr>
        <w:rPr>
          <w:sz w:val="24"/>
          <w:szCs w:val="24"/>
        </w:rPr>
      </w:pPr>
    </w:p>
    <w:p w:rsidR="002C17E4" w14:paraId="5DCE67E2" w14:textId="77777777">
      <w:pPr>
        <w:rPr>
          <w:sz w:val="24"/>
          <w:szCs w:val="24"/>
        </w:rPr>
      </w:pPr>
    </w:p>
    <w:p w:rsidR="002C17E4" w14:paraId="52742B8E" w14:textId="77777777">
      <w:pPr>
        <w:rPr>
          <w:sz w:val="24"/>
          <w:szCs w:val="24"/>
        </w:rPr>
      </w:pPr>
    </w:p>
    <w:p w:rsidR="002C17E4" w14:paraId="4DB7DA5A" w14:textId="77777777">
      <w:pPr>
        <w:rPr>
          <w:sz w:val="24"/>
          <w:szCs w:val="24"/>
        </w:rPr>
      </w:pPr>
    </w:p>
    <w:p w:rsidR="002C17E4" w14:paraId="21407A86" w14:textId="77777777">
      <w:pPr>
        <w:rPr>
          <w:sz w:val="24"/>
          <w:szCs w:val="24"/>
        </w:rPr>
      </w:pPr>
    </w:p>
    <w:p w:rsidR="002C17E4" w14:paraId="41A939A0" w14:textId="77777777">
      <w:pPr>
        <w:rPr>
          <w:sz w:val="24"/>
          <w:szCs w:val="24"/>
        </w:rPr>
      </w:pPr>
    </w:p>
    <w:p w:rsidR="002C17E4" w14:paraId="14148BE4" w14:textId="77777777">
      <w:pPr>
        <w:rPr>
          <w:sz w:val="24"/>
          <w:szCs w:val="24"/>
        </w:rPr>
      </w:pPr>
    </w:p>
    <w:p w:rsidR="002C17E4" w14:paraId="7347585B" w14:textId="77777777">
      <w:pPr>
        <w:rPr>
          <w:sz w:val="24"/>
          <w:szCs w:val="24"/>
        </w:rPr>
      </w:pPr>
    </w:p>
    <w:p w:rsidR="002C17E4" w14:paraId="1315938C" w14:textId="77777777">
      <w:pPr>
        <w:rPr>
          <w:sz w:val="24"/>
          <w:szCs w:val="24"/>
        </w:rPr>
      </w:pPr>
    </w:p>
    <w:p w:rsidR="002C17E4" w14:paraId="3DCA1855" w14:textId="77777777">
      <w:pPr>
        <w:rPr>
          <w:sz w:val="24"/>
          <w:szCs w:val="24"/>
        </w:rPr>
      </w:pPr>
    </w:p>
    <w:p w:rsidR="002C17E4" w14:paraId="0D1450BF" w14:textId="77777777">
      <w:pPr>
        <w:rPr>
          <w:sz w:val="24"/>
          <w:szCs w:val="24"/>
        </w:rPr>
      </w:pPr>
    </w:p>
    <w:p w:rsidR="002C17E4" w14:paraId="5F6A5706" w14:textId="77777777">
      <w:pPr>
        <w:rPr>
          <w:sz w:val="24"/>
          <w:szCs w:val="24"/>
        </w:rPr>
      </w:pPr>
    </w:p>
    <w:p w:rsidR="002C17E4" w14:paraId="0D995E65" w14:textId="77777777">
      <w:pPr>
        <w:rPr>
          <w:sz w:val="24"/>
          <w:szCs w:val="24"/>
        </w:rPr>
      </w:pPr>
    </w:p>
    <w:p w:rsidR="002C17E4" w14:paraId="4FC6FAAB" w14:textId="77777777">
      <w:pPr>
        <w:rPr>
          <w:sz w:val="24"/>
          <w:szCs w:val="24"/>
        </w:rPr>
      </w:pPr>
    </w:p>
    <w:p w:rsidR="002C17E4" w14:paraId="1F8B51E2" w14:textId="77777777">
      <w:pPr>
        <w:rPr>
          <w:sz w:val="24"/>
          <w:szCs w:val="24"/>
        </w:rPr>
      </w:pPr>
      <w:r>
        <w:rPr>
          <w:sz w:val="24"/>
          <w:szCs w:val="24"/>
        </w:rPr>
        <w:t>REFERENCES</w:t>
      </w:r>
    </w:p>
    <w:p w:rsidR="002C17E4" w14:paraId="3ED103D3" w14:textId="77777777">
      <w:pPr>
        <w:rPr>
          <w:sz w:val="24"/>
          <w:szCs w:val="24"/>
        </w:rPr>
      </w:pPr>
    </w:p>
    <w:p w:rsidR="00E050F5" w:rsidP="00E050F5" w14:paraId="4FAB1822" w14:textId="77777777">
      <w:pPr>
        <w:pBdr>
          <w:top w:val="nil"/>
          <w:left w:val="nil"/>
          <w:bottom w:val="nil"/>
          <w:right w:val="nil"/>
          <w:between w:val="nil"/>
        </w:pBdr>
        <w:spacing w:before="161"/>
        <w:rPr>
          <w:color w:val="000000"/>
          <w:sz w:val="24"/>
          <w:szCs w:val="24"/>
        </w:rPr>
      </w:pPr>
      <w:r>
        <w:rPr>
          <w:color w:val="000000"/>
          <w:sz w:val="24"/>
          <w:szCs w:val="24"/>
        </w:rPr>
        <w:t>Ahn</w:t>
      </w:r>
      <w:r>
        <w:rPr>
          <w:color w:val="000000"/>
          <w:sz w:val="24"/>
          <w:szCs w:val="24"/>
        </w:rPr>
        <w:t xml:space="preserve">, D., </w:t>
      </w:r>
      <w:r>
        <w:rPr>
          <w:color w:val="000000"/>
          <w:sz w:val="24"/>
          <w:szCs w:val="24"/>
        </w:rPr>
        <w:t>Syngjoo</w:t>
      </w:r>
      <w:r>
        <w:rPr>
          <w:color w:val="000000"/>
          <w:sz w:val="24"/>
          <w:szCs w:val="24"/>
        </w:rPr>
        <w:t xml:space="preserve">, C., Gale, D. and S. </w:t>
      </w:r>
      <w:r>
        <w:rPr>
          <w:color w:val="000000"/>
          <w:sz w:val="24"/>
          <w:szCs w:val="24"/>
        </w:rPr>
        <w:t>Kariv</w:t>
      </w:r>
      <w:r>
        <w:rPr>
          <w:color w:val="000000"/>
          <w:sz w:val="24"/>
          <w:szCs w:val="24"/>
        </w:rPr>
        <w:t xml:space="preserve">, 2014. "Estimating Ambiguity Aversion in a Portfolio Choice Experiment". </w:t>
      </w:r>
      <w:r>
        <w:rPr>
          <w:i/>
          <w:color w:val="000000"/>
          <w:sz w:val="24"/>
          <w:szCs w:val="24"/>
        </w:rPr>
        <w:t>Quantitative Economics</w:t>
      </w:r>
      <w:r>
        <w:rPr>
          <w:color w:val="000000"/>
          <w:sz w:val="24"/>
          <w:szCs w:val="24"/>
        </w:rPr>
        <w:t>, 5, 195-223.</w:t>
      </w:r>
    </w:p>
    <w:p w:rsidR="00E050F5" w:rsidP="00E050F5" w14:paraId="71C9B221" w14:textId="77777777">
      <w:pPr>
        <w:pBdr>
          <w:top w:val="nil"/>
          <w:left w:val="nil"/>
          <w:bottom w:val="nil"/>
          <w:right w:val="nil"/>
          <w:between w:val="nil"/>
        </w:pBdr>
        <w:spacing w:before="161"/>
        <w:rPr>
          <w:color w:val="000000"/>
          <w:sz w:val="24"/>
          <w:szCs w:val="24"/>
        </w:rPr>
      </w:pPr>
      <w:r>
        <w:rPr>
          <w:color w:val="000000"/>
          <w:sz w:val="24"/>
          <w:szCs w:val="24"/>
        </w:rPr>
        <w:t>Aas</w:t>
      </w:r>
      <w:r>
        <w:rPr>
          <w:color w:val="000000"/>
          <w:sz w:val="24"/>
          <w:szCs w:val="24"/>
        </w:rPr>
        <w:t xml:space="preserve">, </w:t>
      </w:r>
      <w:r>
        <w:rPr>
          <w:color w:val="000000"/>
          <w:sz w:val="24"/>
          <w:szCs w:val="24"/>
        </w:rPr>
        <w:t>Øystein</w:t>
      </w:r>
      <w:r>
        <w:rPr>
          <w:color w:val="000000"/>
          <w:sz w:val="24"/>
          <w:szCs w:val="24"/>
        </w:rPr>
        <w:t xml:space="preserve">, Wolfgang </w:t>
      </w:r>
      <w:r>
        <w:rPr>
          <w:color w:val="000000"/>
          <w:sz w:val="24"/>
          <w:szCs w:val="24"/>
        </w:rPr>
        <w:t>Haider</w:t>
      </w:r>
      <w:r>
        <w:rPr>
          <w:color w:val="000000"/>
          <w:sz w:val="24"/>
          <w:szCs w:val="24"/>
        </w:rPr>
        <w:t xml:space="preserve">, and Len Hunt. 2000. “Angler Responses to Potential Harvest Regulations in a Norwegian Sport Fishery: A Conjoint-Based Choice Modeling Approach.” </w:t>
      </w:r>
      <w:r>
        <w:rPr>
          <w:i/>
          <w:color w:val="000000"/>
          <w:sz w:val="24"/>
          <w:szCs w:val="24"/>
        </w:rPr>
        <w:t>North American Journal of Fisheries Management</w:t>
      </w:r>
      <w:r>
        <w:rPr>
          <w:color w:val="000000"/>
          <w:sz w:val="24"/>
          <w:szCs w:val="24"/>
        </w:rPr>
        <w:t xml:space="preserve"> 20 (4): 940–50.</w:t>
      </w:r>
    </w:p>
    <w:p w:rsidR="00E050F5" w:rsidP="00E050F5" w14:paraId="61C39DC3" w14:textId="77777777">
      <w:pPr>
        <w:pBdr>
          <w:top w:val="nil"/>
          <w:left w:val="nil"/>
          <w:bottom w:val="nil"/>
          <w:right w:val="nil"/>
          <w:between w:val="nil"/>
        </w:pBdr>
        <w:spacing w:before="161"/>
        <w:rPr>
          <w:color w:val="000000"/>
          <w:sz w:val="24"/>
          <w:szCs w:val="24"/>
        </w:rPr>
      </w:pPr>
      <w:r>
        <w:rPr>
          <w:color w:val="000000"/>
          <w:sz w:val="24"/>
          <w:szCs w:val="24"/>
        </w:rPr>
        <w:t xml:space="preserve">Anderson, L., S. Lee, and P. Levin. 2013. “Costs of Delaying Conservation: Regulations and the Recreational Values of Exploited and Co-Occurring Species.” </w:t>
      </w:r>
      <w:r>
        <w:rPr>
          <w:i/>
          <w:color w:val="000000"/>
          <w:sz w:val="24"/>
          <w:szCs w:val="24"/>
        </w:rPr>
        <w:t>Land Economics</w:t>
      </w:r>
      <w:r>
        <w:rPr>
          <w:color w:val="000000"/>
          <w:sz w:val="24"/>
          <w:szCs w:val="24"/>
        </w:rPr>
        <w:t xml:space="preserve"> 89 (2): 371–85.</w:t>
      </w:r>
    </w:p>
    <w:p w:rsidR="00E050F5" w:rsidP="00E050F5" w14:paraId="288832C2" w14:textId="77777777">
      <w:pPr>
        <w:pBdr>
          <w:top w:val="nil"/>
          <w:left w:val="nil"/>
          <w:bottom w:val="nil"/>
          <w:right w:val="nil"/>
          <w:between w:val="nil"/>
        </w:pBdr>
        <w:spacing w:before="161"/>
        <w:rPr>
          <w:color w:val="000000"/>
          <w:sz w:val="24"/>
          <w:szCs w:val="24"/>
        </w:rPr>
      </w:pPr>
      <w:r>
        <w:rPr>
          <w:color w:val="000000"/>
          <w:sz w:val="24"/>
          <w:szCs w:val="24"/>
        </w:rPr>
        <w:t xml:space="preserve">Anderson, L, and T Lee. 2013. “Untangling the Recreational Value of Wild and Hatchery Salmon.” </w:t>
      </w:r>
      <w:r>
        <w:rPr>
          <w:i/>
          <w:color w:val="000000"/>
          <w:sz w:val="24"/>
          <w:szCs w:val="24"/>
        </w:rPr>
        <w:t>Marine Resource Economics</w:t>
      </w:r>
      <w:r>
        <w:rPr>
          <w:color w:val="000000"/>
          <w:sz w:val="24"/>
          <w:szCs w:val="24"/>
        </w:rPr>
        <w:t xml:space="preserve"> 28 (2): 175–97.</w:t>
      </w:r>
    </w:p>
    <w:p w:rsidR="00E050F5" w:rsidP="00E050F5" w14:paraId="0C100C0E" w14:textId="77777777">
      <w:pPr>
        <w:pBdr>
          <w:top w:val="nil"/>
          <w:left w:val="nil"/>
          <w:bottom w:val="nil"/>
          <w:right w:val="nil"/>
          <w:between w:val="nil"/>
        </w:pBdr>
        <w:spacing w:before="161"/>
        <w:rPr>
          <w:color w:val="000000"/>
          <w:sz w:val="24"/>
          <w:szCs w:val="24"/>
        </w:rPr>
      </w:pPr>
      <w:r>
        <w:rPr>
          <w:color w:val="000000"/>
          <w:sz w:val="24"/>
          <w:szCs w:val="24"/>
        </w:rPr>
        <w:t>Bekker-Grob</w:t>
      </w:r>
      <w:r>
        <w:rPr>
          <w:color w:val="000000"/>
          <w:sz w:val="24"/>
          <w:szCs w:val="24"/>
        </w:rPr>
        <w:t xml:space="preserve">, Esther W. de, Bas </w:t>
      </w:r>
      <w:r>
        <w:rPr>
          <w:color w:val="000000"/>
          <w:sz w:val="24"/>
          <w:szCs w:val="24"/>
        </w:rPr>
        <w:t>Donkers</w:t>
      </w:r>
      <w:r>
        <w:rPr>
          <w:color w:val="000000"/>
          <w:sz w:val="24"/>
          <w:szCs w:val="24"/>
        </w:rPr>
        <w:t xml:space="preserve">, Marcel F. </w:t>
      </w:r>
      <w:r>
        <w:rPr>
          <w:color w:val="000000"/>
          <w:sz w:val="24"/>
          <w:szCs w:val="24"/>
        </w:rPr>
        <w:t>Jonker</w:t>
      </w:r>
      <w:r>
        <w:rPr>
          <w:color w:val="000000"/>
          <w:sz w:val="24"/>
          <w:szCs w:val="24"/>
        </w:rPr>
        <w:t xml:space="preserve">, and </w:t>
      </w:r>
      <w:r>
        <w:rPr>
          <w:color w:val="000000"/>
          <w:sz w:val="24"/>
          <w:szCs w:val="24"/>
        </w:rPr>
        <w:t>Elly</w:t>
      </w:r>
      <w:r>
        <w:rPr>
          <w:color w:val="000000"/>
          <w:sz w:val="24"/>
          <w:szCs w:val="24"/>
        </w:rPr>
        <w:t xml:space="preserve"> A. </w:t>
      </w:r>
      <w:r>
        <w:rPr>
          <w:color w:val="000000"/>
          <w:sz w:val="24"/>
          <w:szCs w:val="24"/>
        </w:rPr>
        <w:t>Stolk</w:t>
      </w:r>
      <w:r>
        <w:rPr>
          <w:color w:val="000000"/>
          <w:sz w:val="24"/>
          <w:szCs w:val="24"/>
        </w:rPr>
        <w:t xml:space="preserve">. 2015. “Sample Size Requirements for Discrete-Choice Experiments in Healthcare: A Practical Guide.” </w:t>
      </w:r>
      <w:r>
        <w:rPr>
          <w:i/>
          <w:color w:val="000000"/>
          <w:sz w:val="24"/>
          <w:szCs w:val="24"/>
        </w:rPr>
        <w:t>Patient</w:t>
      </w:r>
      <w:r>
        <w:rPr>
          <w:color w:val="000000"/>
          <w:sz w:val="24"/>
          <w:szCs w:val="24"/>
        </w:rPr>
        <w:t xml:space="preserve"> </w:t>
      </w:r>
      <w:r>
        <w:rPr>
          <w:color w:val="000000"/>
          <w:sz w:val="24"/>
          <w:szCs w:val="24"/>
        </w:rPr>
        <w:t>8</w:t>
      </w:r>
      <w:r>
        <w:rPr>
          <w:color w:val="000000"/>
          <w:sz w:val="24"/>
          <w:szCs w:val="24"/>
        </w:rPr>
        <w:t xml:space="preserve"> (5): 373–84.</w:t>
      </w:r>
    </w:p>
    <w:p w:rsidR="00E050F5" w:rsidP="00E050F5" w14:paraId="5EAB24D0" w14:textId="77777777">
      <w:pPr>
        <w:pBdr>
          <w:top w:val="nil"/>
          <w:left w:val="nil"/>
          <w:bottom w:val="nil"/>
          <w:right w:val="nil"/>
          <w:between w:val="nil"/>
        </w:pBdr>
        <w:spacing w:before="161"/>
        <w:rPr>
          <w:color w:val="000000"/>
          <w:sz w:val="24"/>
          <w:szCs w:val="24"/>
        </w:rPr>
      </w:pPr>
      <w:r>
        <w:rPr>
          <w:color w:val="000000"/>
          <w:sz w:val="24"/>
          <w:szCs w:val="24"/>
        </w:rPr>
        <w:t xml:space="preserve">Carter, David W., and Christopher </w:t>
      </w:r>
      <w:r>
        <w:rPr>
          <w:color w:val="000000"/>
          <w:sz w:val="24"/>
          <w:szCs w:val="24"/>
        </w:rPr>
        <w:t>Liese</w:t>
      </w:r>
      <w:r>
        <w:rPr>
          <w:color w:val="000000"/>
          <w:sz w:val="24"/>
          <w:szCs w:val="24"/>
        </w:rPr>
        <w:t xml:space="preserve">. 2012. “The Economic Value of Catching and Keeping or Releasing Saltwater Sport Fish in the Southeast USA.” </w:t>
      </w:r>
      <w:r>
        <w:rPr>
          <w:i/>
          <w:color w:val="000000"/>
          <w:sz w:val="24"/>
          <w:szCs w:val="24"/>
        </w:rPr>
        <w:t>North American Journal of Fisheries Management</w:t>
      </w:r>
      <w:r>
        <w:rPr>
          <w:color w:val="000000"/>
          <w:sz w:val="24"/>
          <w:szCs w:val="24"/>
        </w:rPr>
        <w:t xml:space="preserve"> 32 (4): 613–25. http://dx.doi.org/10.1080/02755947.2012.675943.</w:t>
      </w:r>
    </w:p>
    <w:p w:rsidR="00E050F5" w:rsidP="00E050F5" w14:paraId="66B03473" w14:textId="77777777">
      <w:pPr>
        <w:pBdr>
          <w:top w:val="nil"/>
          <w:left w:val="nil"/>
          <w:bottom w:val="nil"/>
          <w:right w:val="nil"/>
          <w:between w:val="nil"/>
        </w:pBdr>
        <w:spacing w:before="161"/>
        <w:rPr>
          <w:color w:val="000000"/>
          <w:sz w:val="24"/>
          <w:szCs w:val="24"/>
        </w:rPr>
      </w:pPr>
      <w:r>
        <w:rPr>
          <w:color w:val="000000"/>
          <w:sz w:val="24"/>
          <w:szCs w:val="24"/>
        </w:rPr>
        <w:t xml:space="preserve">Cha, </w:t>
      </w:r>
      <w:r>
        <w:rPr>
          <w:color w:val="000000"/>
          <w:sz w:val="24"/>
          <w:szCs w:val="24"/>
        </w:rPr>
        <w:t>Wonkyu</w:t>
      </w:r>
      <w:r>
        <w:rPr>
          <w:color w:val="000000"/>
          <w:sz w:val="24"/>
          <w:szCs w:val="24"/>
        </w:rPr>
        <w:t xml:space="preserve">, and Richard T. </w:t>
      </w:r>
      <w:r>
        <w:rPr>
          <w:color w:val="000000"/>
          <w:sz w:val="24"/>
          <w:szCs w:val="24"/>
        </w:rPr>
        <w:t>Melstrom</w:t>
      </w:r>
      <w:r>
        <w:rPr>
          <w:color w:val="000000"/>
          <w:sz w:val="24"/>
          <w:szCs w:val="24"/>
        </w:rPr>
        <w:t xml:space="preserve">. 2018. “Catch-and-Release Regulations and Paddlefish Angler Preferences.” </w:t>
      </w:r>
      <w:r>
        <w:rPr>
          <w:i/>
          <w:color w:val="000000"/>
          <w:sz w:val="24"/>
          <w:szCs w:val="24"/>
        </w:rPr>
        <w:t>Journal of Environmental Management</w:t>
      </w:r>
      <w:r>
        <w:rPr>
          <w:color w:val="000000"/>
          <w:sz w:val="24"/>
          <w:szCs w:val="24"/>
        </w:rPr>
        <w:t xml:space="preserve"> 214: 1–8.</w:t>
      </w:r>
    </w:p>
    <w:p w:rsidR="00E050F5" w:rsidP="00E050F5" w14:paraId="10D90768" w14:textId="77777777">
      <w:pPr>
        <w:pBdr>
          <w:top w:val="nil"/>
          <w:left w:val="nil"/>
          <w:bottom w:val="nil"/>
          <w:right w:val="nil"/>
          <w:between w:val="nil"/>
        </w:pBdr>
        <w:spacing w:before="161"/>
        <w:rPr>
          <w:color w:val="000000"/>
          <w:sz w:val="24"/>
          <w:szCs w:val="24"/>
        </w:rPr>
      </w:pPr>
      <w:r w:rsidRPr="00C2574E">
        <w:rPr>
          <w:color w:val="000000"/>
          <w:sz w:val="24"/>
          <w:szCs w:val="24"/>
        </w:rPr>
        <w:t>de</w:t>
      </w:r>
      <w:r w:rsidRPr="00C2574E">
        <w:rPr>
          <w:color w:val="000000"/>
          <w:sz w:val="24"/>
          <w:szCs w:val="24"/>
        </w:rPr>
        <w:t xml:space="preserve"> Palma, A., and N. Picard. </w:t>
      </w:r>
      <w:r>
        <w:rPr>
          <w:color w:val="000000"/>
          <w:sz w:val="24"/>
          <w:szCs w:val="24"/>
        </w:rPr>
        <w:t xml:space="preserve">2005. " Route choice decision under travel time uncertainty". </w:t>
      </w:r>
      <w:r>
        <w:rPr>
          <w:i/>
          <w:color w:val="000000"/>
          <w:sz w:val="24"/>
          <w:szCs w:val="24"/>
        </w:rPr>
        <w:t>Transportation Research Part A</w:t>
      </w:r>
      <w:r>
        <w:rPr>
          <w:color w:val="000000"/>
          <w:sz w:val="24"/>
          <w:szCs w:val="24"/>
        </w:rPr>
        <w:t>, 39, 295-324.</w:t>
      </w:r>
    </w:p>
    <w:p w:rsidR="00E050F5" w:rsidP="00E050F5" w14:paraId="70FDDC46" w14:textId="77777777">
      <w:pPr>
        <w:pBdr>
          <w:top w:val="nil"/>
          <w:left w:val="nil"/>
          <w:bottom w:val="nil"/>
          <w:right w:val="nil"/>
          <w:between w:val="nil"/>
        </w:pBdr>
        <w:spacing w:before="161"/>
        <w:rPr>
          <w:color w:val="000000"/>
          <w:sz w:val="24"/>
          <w:szCs w:val="24"/>
        </w:rPr>
      </w:pPr>
      <w:r>
        <w:rPr>
          <w:color w:val="000000"/>
          <w:sz w:val="24"/>
          <w:szCs w:val="24"/>
        </w:rPr>
        <w:t>Dillman</w:t>
      </w:r>
      <w:r>
        <w:rPr>
          <w:color w:val="000000"/>
          <w:sz w:val="24"/>
          <w:szCs w:val="24"/>
        </w:rPr>
        <w:t xml:space="preserve">, Donald A., Jolene D. Smyth, and Leah M. Christian. 2009. </w:t>
      </w:r>
      <w:r>
        <w:rPr>
          <w:i/>
          <w:color w:val="000000"/>
          <w:sz w:val="24"/>
          <w:szCs w:val="24"/>
        </w:rPr>
        <w:t>Internet, Mail, and Mixed-Mode Surveys: The Tailored Design Method</w:t>
      </w:r>
      <w:r>
        <w:rPr>
          <w:color w:val="000000"/>
          <w:sz w:val="24"/>
          <w:szCs w:val="24"/>
        </w:rPr>
        <w:t xml:space="preserve">. 3rd </w:t>
      </w:r>
      <w:r>
        <w:rPr>
          <w:color w:val="000000"/>
          <w:sz w:val="24"/>
          <w:szCs w:val="24"/>
        </w:rPr>
        <w:t>ed</w:t>
      </w:r>
      <w:r>
        <w:rPr>
          <w:color w:val="000000"/>
          <w:sz w:val="24"/>
          <w:szCs w:val="24"/>
        </w:rPr>
        <w:t>. New York: Wiley.</w:t>
      </w:r>
    </w:p>
    <w:p w:rsidR="00E050F5" w:rsidP="00E050F5" w14:paraId="55F84BCF" w14:textId="77777777">
      <w:pPr>
        <w:pBdr>
          <w:top w:val="nil"/>
          <w:left w:val="nil"/>
          <w:bottom w:val="nil"/>
          <w:right w:val="nil"/>
          <w:between w:val="nil"/>
        </w:pBdr>
        <w:spacing w:before="161"/>
        <w:rPr>
          <w:color w:val="131413"/>
          <w:sz w:val="24"/>
          <w:szCs w:val="24"/>
        </w:rPr>
      </w:pPr>
      <w:r>
        <w:rPr>
          <w:color w:val="000000"/>
          <w:sz w:val="24"/>
          <w:szCs w:val="24"/>
        </w:rPr>
        <w:t>Dimmock</w:t>
      </w:r>
      <w:r>
        <w:rPr>
          <w:color w:val="000000"/>
          <w:sz w:val="24"/>
          <w:szCs w:val="24"/>
        </w:rPr>
        <w:t xml:space="preserve">, S.G., </w:t>
      </w:r>
      <w:r>
        <w:rPr>
          <w:color w:val="000000"/>
          <w:sz w:val="24"/>
          <w:szCs w:val="24"/>
        </w:rPr>
        <w:t>Kouwenberg</w:t>
      </w:r>
      <w:r>
        <w:rPr>
          <w:color w:val="000000"/>
          <w:sz w:val="24"/>
          <w:szCs w:val="24"/>
        </w:rPr>
        <w:t xml:space="preserve">, R., Mitchell, O.S., and K. </w:t>
      </w:r>
      <w:r>
        <w:rPr>
          <w:color w:val="000000"/>
          <w:sz w:val="24"/>
          <w:szCs w:val="24"/>
        </w:rPr>
        <w:t>Peijnenburg</w:t>
      </w:r>
      <w:r>
        <w:rPr>
          <w:color w:val="000000"/>
          <w:sz w:val="24"/>
          <w:szCs w:val="24"/>
        </w:rPr>
        <w:t>. 2015. "</w:t>
      </w:r>
      <w:r>
        <w:rPr>
          <w:color w:val="131413"/>
          <w:sz w:val="24"/>
          <w:szCs w:val="24"/>
        </w:rPr>
        <w:t xml:space="preserve">Estimating Ambiguity Preferences and Perceptions in Multiple Prior Models: Evidence from the Field." </w:t>
      </w:r>
      <w:r>
        <w:rPr>
          <w:i/>
          <w:color w:val="131413"/>
          <w:sz w:val="24"/>
          <w:szCs w:val="24"/>
        </w:rPr>
        <w:t>Journal of Risk and Uncertainty</w:t>
      </w:r>
      <w:r>
        <w:rPr>
          <w:color w:val="131413"/>
          <w:sz w:val="24"/>
          <w:szCs w:val="24"/>
        </w:rPr>
        <w:t>, 51:219-244.</w:t>
      </w:r>
    </w:p>
    <w:p w:rsidR="00E050F5" w:rsidP="00E050F5" w14:paraId="31813112" w14:textId="77777777">
      <w:pPr>
        <w:pBdr>
          <w:top w:val="nil"/>
          <w:left w:val="nil"/>
          <w:bottom w:val="nil"/>
          <w:right w:val="nil"/>
          <w:between w:val="nil"/>
        </w:pBdr>
        <w:spacing w:before="161"/>
        <w:rPr>
          <w:color w:val="000000"/>
          <w:sz w:val="24"/>
          <w:szCs w:val="24"/>
        </w:rPr>
      </w:pPr>
      <w:r>
        <w:rPr>
          <w:color w:val="000000"/>
          <w:sz w:val="24"/>
          <w:szCs w:val="24"/>
        </w:rPr>
        <w:t xml:space="preserve">Duffield, John, Chris </w:t>
      </w:r>
      <w:r>
        <w:rPr>
          <w:color w:val="000000"/>
          <w:sz w:val="24"/>
          <w:szCs w:val="24"/>
        </w:rPr>
        <w:t>Neher</w:t>
      </w:r>
      <w:r>
        <w:rPr>
          <w:color w:val="000000"/>
          <w:sz w:val="24"/>
          <w:szCs w:val="24"/>
        </w:rPr>
        <w:t xml:space="preserve">, Stewart Allen, David Patterson, and Brad </w:t>
      </w:r>
      <w:r>
        <w:rPr>
          <w:color w:val="000000"/>
          <w:sz w:val="24"/>
          <w:szCs w:val="24"/>
        </w:rPr>
        <w:t>Gentner</w:t>
      </w:r>
      <w:r>
        <w:rPr>
          <w:color w:val="000000"/>
          <w:sz w:val="24"/>
          <w:szCs w:val="24"/>
        </w:rPr>
        <w:t xml:space="preserve">. 2012. “Modeling the Behavior of Marlin Anglers in the Western Pacific.” </w:t>
      </w:r>
      <w:r>
        <w:rPr>
          <w:i/>
          <w:color w:val="000000"/>
          <w:sz w:val="24"/>
          <w:szCs w:val="24"/>
        </w:rPr>
        <w:t>Marine Resource Economics</w:t>
      </w:r>
      <w:r>
        <w:rPr>
          <w:color w:val="000000"/>
          <w:sz w:val="24"/>
          <w:szCs w:val="24"/>
        </w:rPr>
        <w:t xml:space="preserve"> 27 (4): 343–57.</w:t>
      </w:r>
    </w:p>
    <w:p w:rsidR="00E050F5" w:rsidP="00E050F5" w14:paraId="44445675" w14:textId="77777777">
      <w:pPr>
        <w:pBdr>
          <w:top w:val="nil"/>
          <w:left w:val="nil"/>
          <w:bottom w:val="nil"/>
          <w:right w:val="nil"/>
          <w:between w:val="nil"/>
        </w:pBdr>
        <w:spacing w:before="161"/>
        <w:rPr>
          <w:color w:val="000000"/>
          <w:sz w:val="24"/>
          <w:szCs w:val="24"/>
        </w:rPr>
      </w:pPr>
      <w:r>
        <w:rPr>
          <w:color w:val="000000"/>
          <w:sz w:val="24"/>
          <w:szCs w:val="24"/>
        </w:rPr>
        <w:t xml:space="preserve">Foster, William, and Richard E. Just. 1989. "Measuring Welfare Effects of Product Contamination with Consumer Uncertainty". </w:t>
      </w:r>
      <w:r>
        <w:rPr>
          <w:i/>
          <w:color w:val="000000"/>
          <w:sz w:val="24"/>
          <w:szCs w:val="24"/>
        </w:rPr>
        <w:t>Journal of Environmental Economics and Management,</w:t>
      </w:r>
      <w:r>
        <w:rPr>
          <w:color w:val="000000"/>
          <w:sz w:val="24"/>
          <w:szCs w:val="24"/>
        </w:rPr>
        <w:t xml:space="preserve"> 17:266–83.</w:t>
      </w:r>
    </w:p>
    <w:p w:rsidR="00E050F5" w:rsidP="00E050F5" w14:paraId="0CB594F5" w14:textId="77777777">
      <w:pPr>
        <w:pBdr>
          <w:top w:val="nil"/>
          <w:left w:val="nil"/>
          <w:bottom w:val="nil"/>
          <w:right w:val="nil"/>
          <w:between w:val="nil"/>
        </w:pBdr>
        <w:spacing w:before="161"/>
        <w:rPr>
          <w:color w:val="000000"/>
          <w:sz w:val="24"/>
          <w:szCs w:val="24"/>
        </w:rPr>
      </w:pPr>
      <w:r>
        <w:rPr>
          <w:color w:val="000000"/>
          <w:sz w:val="24"/>
          <w:szCs w:val="24"/>
        </w:rPr>
        <w:t>Ghirardato</w:t>
      </w:r>
      <w:r>
        <w:rPr>
          <w:color w:val="000000"/>
          <w:sz w:val="24"/>
          <w:szCs w:val="24"/>
        </w:rPr>
        <w:t xml:space="preserve">, P., </w:t>
      </w:r>
      <w:r>
        <w:rPr>
          <w:color w:val="000000"/>
          <w:sz w:val="24"/>
          <w:szCs w:val="24"/>
        </w:rPr>
        <w:t>Maccheroni</w:t>
      </w:r>
      <w:r>
        <w:rPr>
          <w:color w:val="000000"/>
          <w:sz w:val="24"/>
          <w:szCs w:val="24"/>
        </w:rPr>
        <w:t xml:space="preserve">, F., and </w:t>
      </w:r>
      <w:r>
        <w:rPr>
          <w:color w:val="000000"/>
          <w:sz w:val="24"/>
          <w:szCs w:val="24"/>
        </w:rPr>
        <w:t>Marinacci</w:t>
      </w:r>
      <w:r>
        <w:rPr>
          <w:color w:val="000000"/>
          <w:sz w:val="24"/>
          <w:szCs w:val="24"/>
        </w:rPr>
        <w:t xml:space="preserve">, M. 2004. "Differentiating Ambiguity and Ambiguity Attitude". </w:t>
      </w:r>
      <w:r>
        <w:rPr>
          <w:i/>
          <w:color w:val="000000"/>
          <w:sz w:val="24"/>
          <w:szCs w:val="24"/>
        </w:rPr>
        <w:t>Journal of Economic Theory</w:t>
      </w:r>
      <w:r>
        <w:rPr>
          <w:color w:val="000000"/>
          <w:sz w:val="24"/>
          <w:szCs w:val="24"/>
        </w:rPr>
        <w:t>, 118(2), 133-173.</w:t>
      </w:r>
    </w:p>
    <w:p w:rsidR="00E050F5" w:rsidP="00E050F5" w14:paraId="2D20354D" w14:textId="77777777">
      <w:pPr>
        <w:pBdr>
          <w:top w:val="nil"/>
          <w:left w:val="nil"/>
          <w:bottom w:val="nil"/>
          <w:right w:val="nil"/>
          <w:between w:val="nil"/>
        </w:pBdr>
        <w:spacing w:before="161"/>
        <w:rPr>
          <w:color w:val="000000"/>
          <w:sz w:val="24"/>
          <w:szCs w:val="24"/>
        </w:rPr>
      </w:pPr>
      <w:r>
        <w:rPr>
          <w:color w:val="000000"/>
          <w:sz w:val="24"/>
          <w:szCs w:val="24"/>
        </w:rPr>
        <w:t>Gilboa</w:t>
      </w:r>
      <w:r>
        <w:rPr>
          <w:color w:val="000000"/>
          <w:sz w:val="24"/>
          <w:szCs w:val="24"/>
        </w:rPr>
        <w:t xml:space="preserve">, I., and </w:t>
      </w:r>
      <w:r>
        <w:rPr>
          <w:color w:val="000000"/>
          <w:sz w:val="24"/>
          <w:szCs w:val="24"/>
        </w:rPr>
        <w:t>Schmeidler</w:t>
      </w:r>
      <w:r>
        <w:rPr>
          <w:color w:val="000000"/>
          <w:sz w:val="24"/>
          <w:szCs w:val="24"/>
        </w:rPr>
        <w:t>, D. 1989. "</w:t>
      </w:r>
      <w:r>
        <w:rPr>
          <w:color w:val="000000"/>
          <w:sz w:val="24"/>
          <w:szCs w:val="24"/>
        </w:rPr>
        <w:t>Maximin</w:t>
      </w:r>
      <w:r>
        <w:rPr>
          <w:color w:val="000000"/>
          <w:sz w:val="24"/>
          <w:szCs w:val="24"/>
        </w:rPr>
        <w:t xml:space="preserve"> Expected Utility with Non-Unique Prior". </w:t>
      </w:r>
      <w:r>
        <w:rPr>
          <w:i/>
          <w:color w:val="000000"/>
          <w:sz w:val="24"/>
          <w:szCs w:val="24"/>
        </w:rPr>
        <w:t>Journal of Mathematical Economics</w:t>
      </w:r>
      <w:r>
        <w:rPr>
          <w:color w:val="000000"/>
          <w:sz w:val="24"/>
          <w:szCs w:val="24"/>
        </w:rPr>
        <w:t>, 18(2) 141-153.</w:t>
      </w:r>
    </w:p>
    <w:p w:rsidR="00E050F5" w:rsidP="00E050F5" w14:paraId="47A98A96" w14:textId="77777777">
      <w:pPr>
        <w:pBdr>
          <w:top w:val="nil"/>
          <w:left w:val="nil"/>
          <w:bottom w:val="nil"/>
          <w:right w:val="nil"/>
          <w:between w:val="nil"/>
        </w:pBdr>
        <w:spacing w:before="161"/>
        <w:rPr>
          <w:color w:val="000000"/>
          <w:sz w:val="24"/>
          <w:szCs w:val="24"/>
        </w:rPr>
      </w:pPr>
      <w:r>
        <w:rPr>
          <w:color w:val="000000"/>
          <w:sz w:val="24"/>
          <w:szCs w:val="24"/>
        </w:rPr>
        <w:t>Gneezy</w:t>
      </w:r>
      <w:r>
        <w:rPr>
          <w:color w:val="000000"/>
          <w:sz w:val="24"/>
          <w:szCs w:val="24"/>
        </w:rPr>
        <w:t xml:space="preserve">, U., </w:t>
      </w:r>
      <w:r>
        <w:rPr>
          <w:color w:val="000000"/>
          <w:sz w:val="24"/>
          <w:szCs w:val="24"/>
        </w:rPr>
        <w:t>Imas</w:t>
      </w:r>
      <w:r>
        <w:rPr>
          <w:color w:val="000000"/>
          <w:sz w:val="24"/>
          <w:szCs w:val="24"/>
        </w:rPr>
        <w:t xml:space="preserve">, A., and J, List. 2015. "Estimating Individual </w:t>
      </w:r>
      <w:r>
        <w:rPr>
          <w:color w:val="000000"/>
          <w:sz w:val="24"/>
          <w:szCs w:val="24"/>
        </w:rPr>
        <w:t>Ambuity</w:t>
      </w:r>
      <w:r>
        <w:rPr>
          <w:color w:val="000000"/>
          <w:sz w:val="24"/>
          <w:szCs w:val="24"/>
        </w:rPr>
        <w:t xml:space="preserve"> Aversion: A Simple </w:t>
      </w:r>
      <w:r>
        <w:rPr>
          <w:color w:val="000000"/>
          <w:sz w:val="24"/>
          <w:szCs w:val="24"/>
        </w:rPr>
        <w:t>Approach". NBER Working Paper No. 20982.</w:t>
      </w:r>
    </w:p>
    <w:p w:rsidR="00E050F5" w:rsidP="00E050F5" w14:paraId="4E367E7F" w14:textId="77777777">
      <w:pPr>
        <w:pBdr>
          <w:top w:val="nil"/>
          <w:left w:val="nil"/>
          <w:bottom w:val="nil"/>
          <w:right w:val="nil"/>
          <w:between w:val="nil"/>
        </w:pBdr>
        <w:spacing w:before="161"/>
        <w:rPr>
          <w:color w:val="000000"/>
          <w:sz w:val="24"/>
          <w:szCs w:val="24"/>
        </w:rPr>
      </w:pPr>
      <w:r>
        <w:rPr>
          <w:color w:val="000000"/>
          <w:sz w:val="24"/>
          <w:szCs w:val="24"/>
        </w:rPr>
        <w:t xml:space="preserve">Goldsmith, William M., Andrew M. </w:t>
      </w:r>
      <w:r>
        <w:rPr>
          <w:color w:val="000000"/>
          <w:sz w:val="24"/>
          <w:szCs w:val="24"/>
        </w:rPr>
        <w:t>Scheld</w:t>
      </w:r>
      <w:r>
        <w:rPr>
          <w:color w:val="000000"/>
          <w:sz w:val="24"/>
          <w:szCs w:val="24"/>
        </w:rPr>
        <w:t xml:space="preserve">, and John E. Graves. 2018. “Characterizing the Preferences and Values of U.S. Recreational Atlantic Bluefin Tuna Anglers.” </w:t>
      </w:r>
      <w:r>
        <w:rPr>
          <w:i/>
          <w:color w:val="000000"/>
          <w:sz w:val="24"/>
          <w:szCs w:val="24"/>
        </w:rPr>
        <w:t>North American Journal of Fisheries Management</w:t>
      </w:r>
      <w:r>
        <w:rPr>
          <w:color w:val="000000"/>
          <w:sz w:val="24"/>
          <w:szCs w:val="24"/>
        </w:rPr>
        <w:t xml:space="preserve"> 38 (3): 680–97</w:t>
      </w:r>
    </w:p>
    <w:p w:rsidR="00E050F5" w:rsidP="00E050F5" w14:paraId="1B9FBE75" w14:textId="77777777">
      <w:pPr>
        <w:pBdr>
          <w:top w:val="nil"/>
          <w:left w:val="nil"/>
          <w:bottom w:val="nil"/>
          <w:right w:val="nil"/>
          <w:between w:val="nil"/>
        </w:pBdr>
        <w:spacing w:before="161"/>
        <w:rPr>
          <w:color w:val="000000"/>
          <w:sz w:val="24"/>
          <w:szCs w:val="24"/>
        </w:rPr>
      </w:pPr>
      <w:r>
        <w:rPr>
          <w:color w:val="000000"/>
          <w:sz w:val="24"/>
          <w:szCs w:val="24"/>
        </w:rPr>
        <w:t xml:space="preserve">Groves, Robert M., Mick P. Couper, Stanley Presser, Eleanor Singer, Roger </w:t>
      </w:r>
      <w:r>
        <w:rPr>
          <w:color w:val="000000"/>
          <w:sz w:val="24"/>
          <w:szCs w:val="24"/>
        </w:rPr>
        <w:t>Tourangeau</w:t>
      </w:r>
      <w:r>
        <w:rPr>
          <w:color w:val="000000"/>
          <w:sz w:val="24"/>
          <w:szCs w:val="24"/>
        </w:rPr>
        <w:t xml:space="preserve">, </w:t>
      </w:r>
      <w:r>
        <w:rPr>
          <w:color w:val="000000"/>
          <w:sz w:val="24"/>
          <w:szCs w:val="24"/>
        </w:rPr>
        <w:t>Giorgina</w:t>
      </w:r>
      <w:r>
        <w:rPr>
          <w:color w:val="000000"/>
          <w:sz w:val="24"/>
          <w:szCs w:val="24"/>
        </w:rPr>
        <w:t xml:space="preserve"> </w:t>
      </w:r>
      <w:r>
        <w:rPr>
          <w:color w:val="000000"/>
          <w:sz w:val="24"/>
          <w:szCs w:val="24"/>
        </w:rPr>
        <w:t>Piani</w:t>
      </w:r>
      <w:r>
        <w:rPr>
          <w:color w:val="000000"/>
          <w:sz w:val="24"/>
          <w:szCs w:val="24"/>
        </w:rPr>
        <w:t xml:space="preserve"> Acosta, and Lindsay Nelson. 2006. “Experiments in Producing Nonresponse Bias.” </w:t>
      </w:r>
      <w:r>
        <w:rPr>
          <w:i/>
          <w:color w:val="000000"/>
          <w:sz w:val="24"/>
          <w:szCs w:val="24"/>
        </w:rPr>
        <w:t>Public Opinion Quarterly</w:t>
      </w:r>
      <w:r>
        <w:rPr>
          <w:color w:val="000000"/>
          <w:sz w:val="24"/>
          <w:szCs w:val="24"/>
        </w:rPr>
        <w:t xml:space="preserve"> 70 (5): 720–36.</w:t>
      </w:r>
    </w:p>
    <w:p w:rsidR="00E050F5" w:rsidP="00E050F5" w14:paraId="5A5A4CB1" w14:textId="77777777">
      <w:pPr>
        <w:pBdr>
          <w:top w:val="nil"/>
          <w:left w:val="nil"/>
          <w:bottom w:val="nil"/>
          <w:right w:val="nil"/>
          <w:between w:val="nil"/>
        </w:pBdr>
        <w:spacing w:before="161"/>
        <w:rPr>
          <w:color w:val="000000"/>
          <w:sz w:val="24"/>
          <w:szCs w:val="24"/>
        </w:rPr>
      </w:pPr>
      <w:r>
        <w:rPr>
          <w:color w:val="000000"/>
          <w:sz w:val="24"/>
          <w:szCs w:val="24"/>
        </w:rPr>
        <w:t>Groves, Robert M. 2006. “Nonresponse Rates and Nonresponse Bias in Household Surveys.” Public Opinion Quarterly 70 (5): 646–75.</w:t>
      </w:r>
    </w:p>
    <w:p w:rsidR="00E050F5" w:rsidP="00E050F5" w14:paraId="553D195C" w14:textId="77777777">
      <w:pPr>
        <w:pBdr>
          <w:top w:val="nil"/>
          <w:left w:val="nil"/>
          <w:bottom w:val="nil"/>
          <w:right w:val="nil"/>
          <w:between w:val="nil"/>
        </w:pBdr>
        <w:spacing w:before="161"/>
        <w:rPr>
          <w:color w:val="000000"/>
          <w:sz w:val="24"/>
          <w:szCs w:val="24"/>
        </w:rPr>
      </w:pPr>
      <w:r>
        <w:rPr>
          <w:color w:val="000000"/>
          <w:sz w:val="24"/>
          <w:szCs w:val="24"/>
        </w:rPr>
        <w:t>Harrison, M., Rigby, D., Vass, C., Flynn, T., Louviere, J., and K. Payne. 2014. "Risk as an Attribute in Discrete Choice Experiments: A Systematic Review of the Literature". Patient, 7(2):151-170.</w:t>
      </w:r>
    </w:p>
    <w:p w:rsidR="00E050F5" w:rsidP="00E050F5" w14:paraId="2402D051" w14:textId="77777777">
      <w:pPr>
        <w:pBdr>
          <w:top w:val="nil"/>
          <w:left w:val="nil"/>
          <w:bottom w:val="nil"/>
          <w:right w:val="nil"/>
          <w:between w:val="nil"/>
        </w:pBdr>
        <w:spacing w:before="161"/>
        <w:rPr>
          <w:color w:val="000000"/>
          <w:sz w:val="24"/>
          <w:szCs w:val="24"/>
        </w:rPr>
      </w:pPr>
      <w:r>
        <w:rPr>
          <w:color w:val="000000"/>
          <w:sz w:val="24"/>
          <w:szCs w:val="24"/>
        </w:rPr>
        <w:t>Hauber</w:t>
      </w:r>
      <w:r>
        <w:rPr>
          <w:color w:val="000000"/>
          <w:sz w:val="24"/>
          <w:szCs w:val="24"/>
        </w:rPr>
        <w:t xml:space="preserve">, A.B., Johnson, F.R., </w:t>
      </w:r>
      <w:r>
        <w:rPr>
          <w:color w:val="000000"/>
          <w:sz w:val="24"/>
          <w:szCs w:val="24"/>
        </w:rPr>
        <w:t>Grotzinger</w:t>
      </w:r>
      <w:r>
        <w:rPr>
          <w:color w:val="000000"/>
          <w:sz w:val="24"/>
          <w:szCs w:val="24"/>
        </w:rPr>
        <w:t xml:space="preserve">, K.M, and S. </w:t>
      </w:r>
      <m:oMath>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O</m:t>
            </m:r>
          </m:e>
        </m:acc>
      </m:oMath>
      <w:r>
        <w:rPr>
          <w:color w:val="000000"/>
          <w:sz w:val="24"/>
          <w:szCs w:val="24"/>
        </w:rPr>
        <w:t>zdemir. 2010. " Patients' Benefit-Risk Preferences for Chronic Idiopathic Thrombocytopenic Purpura Therapies". The Annals of Pharmacotherapy, 44:479-488.</w:t>
      </w:r>
    </w:p>
    <w:p w:rsidR="00E050F5" w:rsidP="00E050F5" w14:paraId="1AFE6A80" w14:textId="77777777">
      <w:pPr>
        <w:pBdr>
          <w:top w:val="nil"/>
          <w:left w:val="nil"/>
          <w:bottom w:val="nil"/>
          <w:right w:val="nil"/>
          <w:between w:val="nil"/>
        </w:pBdr>
        <w:spacing w:before="161"/>
        <w:rPr>
          <w:color w:val="000000"/>
          <w:sz w:val="24"/>
          <w:szCs w:val="24"/>
        </w:rPr>
      </w:pPr>
      <w:r>
        <w:rPr>
          <w:color w:val="000000"/>
          <w:sz w:val="24"/>
          <w:szCs w:val="24"/>
        </w:rPr>
        <w:t>Hicks, Robert L. 2002. “Stated Preference Methods for Environmental Management: Recreational Summer Flounder Angling in the Northeastern United States.” Fisheries Statistics and Economics Division, no. April: 111.</w:t>
      </w:r>
    </w:p>
    <w:p w:rsidR="00E050F5" w:rsidP="00E050F5" w14:paraId="2D487762" w14:textId="77777777">
      <w:pPr>
        <w:pBdr>
          <w:top w:val="nil"/>
          <w:left w:val="nil"/>
          <w:bottom w:val="nil"/>
          <w:right w:val="nil"/>
          <w:between w:val="nil"/>
        </w:pBdr>
        <w:spacing w:before="161"/>
        <w:rPr>
          <w:color w:val="000000"/>
          <w:sz w:val="24"/>
          <w:szCs w:val="24"/>
        </w:rPr>
      </w:pPr>
      <w:r>
        <w:rPr>
          <w:color w:val="000000"/>
          <w:sz w:val="24"/>
          <w:szCs w:val="24"/>
        </w:rPr>
        <w:t xml:space="preserve">Holt, C. and S.K. </w:t>
      </w:r>
      <w:r>
        <w:rPr>
          <w:color w:val="000000"/>
          <w:sz w:val="24"/>
          <w:szCs w:val="24"/>
        </w:rPr>
        <w:t>Laury</w:t>
      </w:r>
      <w:r>
        <w:rPr>
          <w:color w:val="000000"/>
          <w:sz w:val="24"/>
          <w:szCs w:val="24"/>
        </w:rPr>
        <w:t>. 2002. "Risk Aversion and Incentive Effects." American Economic Review, 92(5), 1644-1655.</w:t>
      </w:r>
    </w:p>
    <w:p w:rsidR="00E050F5" w:rsidP="00E050F5" w14:paraId="5018BDFF" w14:textId="77777777">
      <w:pPr>
        <w:pBdr>
          <w:top w:val="nil"/>
          <w:left w:val="nil"/>
          <w:bottom w:val="nil"/>
          <w:right w:val="nil"/>
          <w:between w:val="nil"/>
        </w:pBdr>
        <w:spacing w:before="161"/>
        <w:rPr>
          <w:color w:val="000000"/>
          <w:sz w:val="24"/>
          <w:szCs w:val="24"/>
        </w:rPr>
      </w:pPr>
      <w:r>
        <w:rPr>
          <w:color w:val="000000"/>
          <w:sz w:val="24"/>
          <w:szCs w:val="24"/>
        </w:rPr>
        <w:t>Holzer</w:t>
      </w:r>
      <w:r>
        <w:rPr>
          <w:color w:val="000000"/>
          <w:sz w:val="24"/>
          <w:szCs w:val="24"/>
        </w:rPr>
        <w:t>, Jorge and McConnell, Kenneth. 2017. " Risk Preferences and Compliance in Recreational Fisheries"</w:t>
      </w:r>
    </w:p>
    <w:p w:rsidR="00E050F5" w:rsidP="00E050F5" w14:paraId="603DBFD8" w14:textId="77777777">
      <w:pPr>
        <w:pBdr>
          <w:top w:val="nil"/>
          <w:left w:val="nil"/>
          <w:bottom w:val="nil"/>
          <w:right w:val="nil"/>
          <w:between w:val="nil"/>
        </w:pBdr>
        <w:spacing w:before="161"/>
        <w:rPr>
          <w:color w:val="000000"/>
          <w:sz w:val="24"/>
          <w:szCs w:val="24"/>
        </w:rPr>
      </w:pPr>
      <w:r>
        <w:rPr>
          <w:i/>
          <w:color w:val="000000"/>
          <w:sz w:val="24"/>
          <w:szCs w:val="24"/>
        </w:rPr>
        <w:t>Journal of the Association of Environmental and Resource Economists,</w:t>
      </w:r>
      <w:r>
        <w:rPr>
          <w:color w:val="000000"/>
          <w:sz w:val="24"/>
          <w:szCs w:val="24"/>
        </w:rPr>
        <w:t xml:space="preserve"> 4(S1):1-35.</w:t>
      </w:r>
    </w:p>
    <w:p w:rsidR="00E050F5" w:rsidP="00E050F5" w14:paraId="3BF5A400" w14:textId="77777777">
      <w:pPr>
        <w:pBdr>
          <w:top w:val="nil"/>
          <w:left w:val="nil"/>
          <w:bottom w:val="nil"/>
          <w:right w:val="nil"/>
          <w:between w:val="nil"/>
        </w:pBdr>
        <w:spacing w:before="161"/>
        <w:rPr>
          <w:color w:val="000000"/>
          <w:sz w:val="24"/>
          <w:szCs w:val="24"/>
        </w:rPr>
      </w:pPr>
      <w:r>
        <w:rPr>
          <w:color w:val="000000"/>
          <w:sz w:val="24"/>
          <w:szCs w:val="24"/>
        </w:rPr>
        <w:t>Knoche</w:t>
      </w:r>
      <w:r>
        <w:rPr>
          <w:color w:val="000000"/>
          <w:sz w:val="24"/>
          <w:szCs w:val="24"/>
        </w:rPr>
        <w:t xml:space="preserve">, Scott, and Frank </w:t>
      </w:r>
      <w:r>
        <w:rPr>
          <w:color w:val="000000"/>
          <w:sz w:val="24"/>
          <w:szCs w:val="24"/>
        </w:rPr>
        <w:t>Lupi</w:t>
      </w:r>
      <w:r>
        <w:rPr>
          <w:color w:val="000000"/>
          <w:sz w:val="24"/>
          <w:szCs w:val="24"/>
        </w:rPr>
        <w:t xml:space="preserve">. 2016. “Demand for Fishery Regulations: Effects of Angler Heterogeneity and Catch Improvements on Preferences for Gear and Harvest Restrictions.” </w:t>
      </w:r>
      <w:r>
        <w:rPr>
          <w:i/>
          <w:color w:val="000000"/>
          <w:sz w:val="24"/>
          <w:szCs w:val="24"/>
        </w:rPr>
        <w:t>Fisheries Research</w:t>
      </w:r>
      <w:r>
        <w:rPr>
          <w:color w:val="000000"/>
          <w:sz w:val="24"/>
          <w:szCs w:val="24"/>
        </w:rPr>
        <w:t xml:space="preserve"> 181: 163–71.</w:t>
      </w:r>
    </w:p>
    <w:p w:rsidR="00E050F5" w:rsidP="00E050F5" w14:paraId="59A1685E" w14:textId="77777777">
      <w:pPr>
        <w:pBdr>
          <w:top w:val="nil"/>
          <w:left w:val="nil"/>
          <w:bottom w:val="nil"/>
          <w:right w:val="nil"/>
          <w:between w:val="nil"/>
        </w:pBdr>
        <w:spacing w:before="161"/>
        <w:rPr>
          <w:color w:val="000000"/>
          <w:sz w:val="24"/>
          <w:szCs w:val="24"/>
        </w:rPr>
      </w:pPr>
      <w:r>
        <w:rPr>
          <w:color w:val="000000"/>
          <w:sz w:val="24"/>
          <w:szCs w:val="24"/>
        </w:rPr>
        <w:t xml:space="preserve">Lee, Min-Yang, Scott </w:t>
      </w:r>
      <w:r>
        <w:rPr>
          <w:color w:val="000000"/>
          <w:sz w:val="24"/>
          <w:szCs w:val="24"/>
        </w:rPr>
        <w:t>Steinback</w:t>
      </w:r>
      <w:r>
        <w:rPr>
          <w:color w:val="000000"/>
          <w:sz w:val="24"/>
          <w:szCs w:val="24"/>
        </w:rPr>
        <w:t xml:space="preserve">, and Kristy </w:t>
      </w:r>
      <w:r>
        <w:rPr>
          <w:color w:val="000000"/>
          <w:sz w:val="24"/>
          <w:szCs w:val="24"/>
        </w:rPr>
        <w:t>Wallmo</w:t>
      </w:r>
      <w:r>
        <w:rPr>
          <w:color w:val="000000"/>
          <w:sz w:val="24"/>
          <w:szCs w:val="24"/>
        </w:rPr>
        <w:t xml:space="preserve">. 2017. “Applying a </w:t>
      </w:r>
      <w:r>
        <w:rPr>
          <w:color w:val="000000"/>
          <w:sz w:val="24"/>
          <w:szCs w:val="24"/>
        </w:rPr>
        <w:t>Bioeconomic</w:t>
      </w:r>
      <w:r>
        <w:rPr>
          <w:color w:val="000000"/>
          <w:sz w:val="24"/>
          <w:szCs w:val="24"/>
        </w:rPr>
        <w:t xml:space="preserve"> Model to Recreational Fisheries Management: Groundfish in the Northeast United States” 32 (2).</w:t>
      </w:r>
    </w:p>
    <w:p w:rsidR="00E050F5" w:rsidP="00E050F5" w14:paraId="202DCC38" w14:textId="77777777">
      <w:pPr>
        <w:pBdr>
          <w:top w:val="nil"/>
          <w:left w:val="nil"/>
          <w:bottom w:val="nil"/>
          <w:right w:val="nil"/>
          <w:between w:val="nil"/>
        </w:pBdr>
        <w:spacing w:before="161"/>
        <w:rPr>
          <w:color w:val="000000"/>
          <w:sz w:val="24"/>
          <w:szCs w:val="24"/>
        </w:rPr>
      </w:pPr>
      <w:r>
        <w:rPr>
          <w:color w:val="000000"/>
          <w:sz w:val="24"/>
          <w:szCs w:val="24"/>
        </w:rPr>
        <w:t xml:space="preserve">Leggett, Christopher G. 2002. "Environmental Valuation with Imperfect Information". </w:t>
      </w:r>
      <w:r>
        <w:rPr>
          <w:i/>
          <w:color w:val="000000"/>
          <w:sz w:val="24"/>
          <w:szCs w:val="24"/>
        </w:rPr>
        <w:t>Environmental and Resource Economics,</w:t>
      </w:r>
      <w:r>
        <w:rPr>
          <w:color w:val="000000"/>
          <w:sz w:val="24"/>
          <w:szCs w:val="24"/>
        </w:rPr>
        <w:t xml:space="preserve"> 23, 343-55.</w:t>
      </w:r>
    </w:p>
    <w:p w:rsidR="00E050F5" w:rsidP="00E050F5" w14:paraId="180053AB" w14:textId="77777777">
      <w:pPr>
        <w:pBdr>
          <w:top w:val="nil"/>
          <w:left w:val="nil"/>
          <w:bottom w:val="nil"/>
          <w:right w:val="nil"/>
          <w:between w:val="nil"/>
        </w:pBdr>
        <w:spacing w:before="161"/>
        <w:rPr>
          <w:color w:val="000000"/>
          <w:sz w:val="24"/>
          <w:szCs w:val="24"/>
        </w:rPr>
      </w:pPr>
      <w:r>
        <w:rPr>
          <w:color w:val="000000"/>
          <w:sz w:val="24"/>
          <w:szCs w:val="24"/>
        </w:rPr>
        <w:t xml:space="preserve">Lew, Daniel K., and Douglas M. Larson. 2012. “Economic Values for Saltwater Sport Fishing in Alaska: A Stated Preference Analysis.” </w:t>
      </w:r>
      <w:r>
        <w:rPr>
          <w:i/>
          <w:color w:val="000000"/>
          <w:sz w:val="24"/>
          <w:szCs w:val="24"/>
        </w:rPr>
        <w:t>North American Journal of Fisheries Management</w:t>
      </w:r>
      <w:r>
        <w:rPr>
          <w:color w:val="000000"/>
          <w:sz w:val="24"/>
          <w:szCs w:val="24"/>
        </w:rPr>
        <w:t xml:space="preserve"> 32 (4): 745–59.</w:t>
      </w:r>
    </w:p>
    <w:p w:rsidR="00E050F5" w:rsidP="00E050F5" w14:paraId="5F9679FF" w14:textId="77777777">
      <w:pPr>
        <w:pBdr>
          <w:top w:val="nil"/>
          <w:left w:val="nil"/>
          <w:bottom w:val="nil"/>
          <w:right w:val="nil"/>
          <w:between w:val="nil"/>
        </w:pBdr>
        <w:spacing w:before="161"/>
        <w:rPr>
          <w:color w:val="000000"/>
          <w:sz w:val="24"/>
          <w:szCs w:val="24"/>
        </w:rPr>
      </w:pPr>
      <w:r>
        <w:rPr>
          <w:color w:val="000000"/>
          <w:sz w:val="24"/>
          <w:szCs w:val="24"/>
        </w:rPr>
        <w:t xml:space="preserve">———. 2015. “Stated Preferences for Size and Bag Limits of Alaska Charter Boat Anglers.” </w:t>
      </w:r>
      <w:r>
        <w:rPr>
          <w:i/>
          <w:color w:val="000000"/>
          <w:sz w:val="24"/>
          <w:szCs w:val="24"/>
        </w:rPr>
        <w:t>Marine Policy</w:t>
      </w:r>
      <w:r>
        <w:rPr>
          <w:color w:val="000000"/>
          <w:sz w:val="24"/>
          <w:szCs w:val="24"/>
        </w:rPr>
        <w:t xml:space="preserve"> 61: 66–76.</w:t>
      </w:r>
    </w:p>
    <w:p w:rsidR="00E050F5" w:rsidP="00E050F5" w14:paraId="2AD3124A" w14:textId="77777777">
      <w:pPr>
        <w:pBdr>
          <w:top w:val="nil"/>
          <w:left w:val="nil"/>
          <w:bottom w:val="nil"/>
          <w:right w:val="nil"/>
          <w:between w:val="nil"/>
        </w:pBdr>
        <w:spacing w:before="161"/>
        <w:rPr>
          <w:color w:val="000000"/>
          <w:sz w:val="24"/>
          <w:szCs w:val="24"/>
        </w:rPr>
      </w:pPr>
      <w:r>
        <w:rPr>
          <w:color w:val="000000"/>
          <w:sz w:val="24"/>
          <w:szCs w:val="24"/>
        </w:rPr>
        <w:t xml:space="preserve">Lew, Daniel K., and Chang K. </w:t>
      </w:r>
      <w:r>
        <w:rPr>
          <w:color w:val="000000"/>
          <w:sz w:val="24"/>
          <w:szCs w:val="24"/>
        </w:rPr>
        <w:t>Seung</w:t>
      </w:r>
      <w:r>
        <w:rPr>
          <w:color w:val="000000"/>
          <w:sz w:val="24"/>
          <w:szCs w:val="24"/>
        </w:rPr>
        <w:t xml:space="preserve">. 2010. “The Economic Impact of Saltwater </w:t>
      </w:r>
      <w:r>
        <w:rPr>
          <w:color w:val="000000"/>
          <w:sz w:val="24"/>
          <w:szCs w:val="24"/>
        </w:rPr>
        <w:t>Sportfishing</w:t>
      </w:r>
      <w:r>
        <w:rPr>
          <w:color w:val="000000"/>
          <w:sz w:val="24"/>
          <w:szCs w:val="24"/>
        </w:rPr>
        <w:t xml:space="preserve"> Harvest Restrictions in Alaska: An Empirical Analysis of Nonresident Anglers.” </w:t>
      </w:r>
      <w:r>
        <w:rPr>
          <w:i/>
          <w:color w:val="000000"/>
          <w:sz w:val="24"/>
          <w:szCs w:val="24"/>
        </w:rPr>
        <w:t>North American Journal of Fisheries Management</w:t>
      </w:r>
      <w:r>
        <w:rPr>
          <w:color w:val="000000"/>
          <w:sz w:val="24"/>
          <w:szCs w:val="24"/>
        </w:rPr>
        <w:t xml:space="preserve"> 30 (2): 538–51.</w:t>
      </w:r>
    </w:p>
    <w:p w:rsidR="00E050F5" w:rsidP="00E050F5" w14:paraId="7E7174E0" w14:textId="77777777">
      <w:pPr>
        <w:pBdr>
          <w:top w:val="nil"/>
          <w:left w:val="nil"/>
          <w:bottom w:val="nil"/>
          <w:right w:val="nil"/>
          <w:between w:val="nil"/>
        </w:pBdr>
        <w:spacing w:before="161"/>
        <w:rPr>
          <w:color w:val="000000"/>
          <w:sz w:val="24"/>
          <w:szCs w:val="24"/>
        </w:rPr>
      </w:pPr>
      <w:r>
        <w:rPr>
          <w:color w:val="000000"/>
          <w:sz w:val="24"/>
          <w:szCs w:val="24"/>
        </w:rPr>
        <w:t>Louiviere</w:t>
      </w:r>
      <w:r>
        <w:rPr>
          <w:color w:val="000000"/>
          <w:sz w:val="24"/>
          <w:szCs w:val="24"/>
        </w:rPr>
        <w:t xml:space="preserve">, Jordan J., David A. </w:t>
      </w:r>
      <w:r>
        <w:rPr>
          <w:color w:val="000000"/>
          <w:sz w:val="24"/>
          <w:szCs w:val="24"/>
        </w:rPr>
        <w:t>Hensher</w:t>
      </w:r>
      <w:r>
        <w:rPr>
          <w:color w:val="000000"/>
          <w:sz w:val="24"/>
          <w:szCs w:val="24"/>
        </w:rPr>
        <w:t xml:space="preserve">, and Joffre D. </w:t>
      </w:r>
      <w:r>
        <w:rPr>
          <w:color w:val="000000"/>
          <w:sz w:val="24"/>
          <w:szCs w:val="24"/>
        </w:rPr>
        <w:t>Swait</w:t>
      </w:r>
      <w:r>
        <w:rPr>
          <w:color w:val="000000"/>
          <w:sz w:val="24"/>
          <w:szCs w:val="24"/>
        </w:rPr>
        <w:t xml:space="preserve">. 2000. </w:t>
      </w:r>
      <w:r>
        <w:rPr>
          <w:i/>
          <w:color w:val="000000"/>
          <w:sz w:val="24"/>
          <w:szCs w:val="24"/>
        </w:rPr>
        <w:t>Stated Choice Methods: Analysis and Applications</w:t>
      </w:r>
      <w:r>
        <w:rPr>
          <w:color w:val="000000"/>
          <w:sz w:val="24"/>
          <w:szCs w:val="24"/>
        </w:rPr>
        <w:t>. Cambridge University Press.</w:t>
      </w:r>
    </w:p>
    <w:p w:rsidR="00E050F5" w:rsidP="00E050F5" w14:paraId="619DA6F7" w14:textId="77777777">
      <w:pPr>
        <w:pBdr>
          <w:top w:val="nil"/>
          <w:left w:val="nil"/>
          <w:bottom w:val="nil"/>
          <w:right w:val="nil"/>
          <w:between w:val="nil"/>
        </w:pBdr>
        <w:spacing w:before="161"/>
        <w:rPr>
          <w:color w:val="000000"/>
          <w:sz w:val="24"/>
          <w:szCs w:val="24"/>
        </w:rPr>
      </w:pPr>
      <w:r>
        <w:rPr>
          <w:color w:val="000000"/>
          <w:sz w:val="24"/>
          <w:szCs w:val="24"/>
        </w:rPr>
        <w:t xml:space="preserve">Massey, D. Matthew, Stephen C. Newbold, and Brad </w:t>
      </w:r>
      <w:r>
        <w:rPr>
          <w:color w:val="000000"/>
          <w:sz w:val="24"/>
          <w:szCs w:val="24"/>
        </w:rPr>
        <w:t>Gentner</w:t>
      </w:r>
      <w:r>
        <w:rPr>
          <w:color w:val="000000"/>
          <w:sz w:val="24"/>
          <w:szCs w:val="24"/>
        </w:rPr>
        <w:t xml:space="preserve">. 2006. “Valuing Water Quality Changes Using a </w:t>
      </w:r>
      <w:r>
        <w:rPr>
          <w:color w:val="000000"/>
          <w:sz w:val="24"/>
          <w:szCs w:val="24"/>
        </w:rPr>
        <w:t>Bioeconomic</w:t>
      </w:r>
      <w:r>
        <w:rPr>
          <w:color w:val="000000"/>
          <w:sz w:val="24"/>
          <w:szCs w:val="24"/>
        </w:rPr>
        <w:t xml:space="preserve"> Model of a Coastal Recreational Fishery.” </w:t>
      </w:r>
      <w:r>
        <w:rPr>
          <w:i/>
          <w:color w:val="000000"/>
          <w:sz w:val="24"/>
          <w:szCs w:val="24"/>
        </w:rPr>
        <w:t>Journal of Environmental Economics and Management</w:t>
      </w:r>
      <w:r>
        <w:rPr>
          <w:color w:val="000000"/>
          <w:sz w:val="24"/>
          <w:szCs w:val="24"/>
        </w:rPr>
        <w:t xml:space="preserve"> 52 (1): 482–500.</w:t>
      </w:r>
    </w:p>
    <w:p w:rsidR="00E050F5" w:rsidP="00E050F5" w14:paraId="781B39A7" w14:textId="77777777">
      <w:pPr>
        <w:pBdr>
          <w:top w:val="nil"/>
          <w:left w:val="nil"/>
          <w:bottom w:val="nil"/>
          <w:right w:val="nil"/>
          <w:between w:val="nil"/>
        </w:pBdr>
        <w:spacing w:before="161"/>
        <w:rPr>
          <w:color w:val="000000"/>
          <w:sz w:val="24"/>
          <w:szCs w:val="24"/>
        </w:rPr>
      </w:pPr>
      <w:r>
        <w:rPr>
          <w:color w:val="000000"/>
          <w:sz w:val="24"/>
          <w:szCs w:val="24"/>
        </w:rPr>
        <w:t xml:space="preserve">McFadden, Daniel. 1973. “Conditional Logit Analysis of Qualitative Choice Behavior.” In </w:t>
      </w:r>
      <w:r>
        <w:rPr>
          <w:i/>
          <w:color w:val="000000"/>
          <w:sz w:val="24"/>
          <w:szCs w:val="24"/>
        </w:rPr>
        <w:t>Frontiers in Econometrics</w:t>
      </w:r>
      <w:r>
        <w:rPr>
          <w:color w:val="000000"/>
          <w:sz w:val="24"/>
          <w:szCs w:val="24"/>
        </w:rPr>
        <w:t>, 105–142. New York.</w:t>
      </w:r>
    </w:p>
    <w:p w:rsidR="00E050F5" w:rsidP="00E050F5" w14:paraId="477FB966" w14:textId="77777777">
      <w:pPr>
        <w:pBdr>
          <w:top w:val="nil"/>
          <w:left w:val="nil"/>
          <w:bottom w:val="nil"/>
          <w:right w:val="nil"/>
          <w:between w:val="nil"/>
        </w:pBdr>
        <w:spacing w:before="161"/>
        <w:rPr>
          <w:color w:val="000000"/>
          <w:sz w:val="24"/>
          <w:szCs w:val="24"/>
        </w:rPr>
      </w:pPr>
      <w:r>
        <w:rPr>
          <w:color w:val="000000"/>
          <w:sz w:val="24"/>
          <w:szCs w:val="24"/>
        </w:rPr>
        <w:t>Potamines</w:t>
      </w:r>
      <w:r>
        <w:rPr>
          <w:color w:val="000000"/>
          <w:sz w:val="24"/>
          <w:szCs w:val="24"/>
        </w:rPr>
        <w:t xml:space="preserve">, E., and B. Zhang. 2012. "Heterogeneous Ambiguity Attitudes: A Field Experiment among Small-Scale Stock Investors in China". </w:t>
      </w:r>
      <w:r>
        <w:rPr>
          <w:i/>
          <w:color w:val="000000"/>
          <w:sz w:val="24"/>
          <w:szCs w:val="24"/>
        </w:rPr>
        <w:t>Review of Economic Design</w:t>
      </w:r>
      <w:r>
        <w:rPr>
          <w:color w:val="000000"/>
          <w:sz w:val="24"/>
          <w:szCs w:val="24"/>
        </w:rPr>
        <w:t>, 16:193-213.</w:t>
      </w:r>
    </w:p>
    <w:p w:rsidR="00E050F5" w:rsidP="00E050F5" w14:paraId="09F8501B" w14:textId="77777777">
      <w:pPr>
        <w:pBdr>
          <w:top w:val="nil"/>
          <w:left w:val="nil"/>
          <w:bottom w:val="nil"/>
          <w:right w:val="nil"/>
          <w:between w:val="nil"/>
        </w:pBdr>
        <w:spacing w:before="161"/>
        <w:rPr>
          <w:color w:val="000000"/>
          <w:sz w:val="24"/>
          <w:szCs w:val="24"/>
        </w:rPr>
      </w:pPr>
      <w:r>
        <w:rPr>
          <w:color w:val="000000"/>
          <w:sz w:val="24"/>
          <w:szCs w:val="24"/>
        </w:rPr>
        <w:t xml:space="preserve">Tang, J., </w:t>
      </w:r>
      <w:r>
        <w:rPr>
          <w:color w:val="000000"/>
          <w:sz w:val="24"/>
          <w:szCs w:val="24"/>
        </w:rPr>
        <w:t>Vandale</w:t>
      </w:r>
      <w:r>
        <w:rPr>
          <w:color w:val="000000"/>
          <w:sz w:val="24"/>
          <w:szCs w:val="24"/>
        </w:rPr>
        <w:t xml:space="preserve">, W., Weiner, J., and I. Insight. 2006. "Sample Planning for CBC Models: Our Experience", in "Proceeding of the </w:t>
      </w:r>
      <w:r>
        <w:rPr>
          <w:color w:val="000000"/>
          <w:sz w:val="24"/>
          <w:szCs w:val="24"/>
        </w:rPr>
        <w:t>Sawtooth</w:t>
      </w:r>
      <w:r>
        <w:rPr>
          <w:color w:val="000000"/>
          <w:sz w:val="24"/>
          <w:szCs w:val="24"/>
        </w:rPr>
        <w:t xml:space="preserve"> Software Conference-March 2006".</w:t>
      </w:r>
    </w:p>
    <w:p w:rsidR="00E050F5" w:rsidP="00E050F5" w14:paraId="1625CB51" w14:textId="77777777">
      <w:pPr>
        <w:pBdr>
          <w:top w:val="nil"/>
          <w:left w:val="nil"/>
          <w:bottom w:val="nil"/>
          <w:right w:val="nil"/>
          <w:between w:val="nil"/>
        </w:pBdr>
        <w:spacing w:before="161"/>
        <w:rPr>
          <w:color w:val="000000"/>
          <w:sz w:val="24"/>
          <w:szCs w:val="24"/>
        </w:rPr>
      </w:pPr>
      <w:r>
        <w:rPr>
          <w:color w:val="000000"/>
          <w:sz w:val="24"/>
          <w:szCs w:val="24"/>
        </w:rPr>
        <w:t xml:space="preserve">Train, Kenneth. 2003. </w:t>
      </w:r>
      <w:r>
        <w:rPr>
          <w:i/>
          <w:color w:val="000000"/>
          <w:sz w:val="24"/>
          <w:szCs w:val="24"/>
        </w:rPr>
        <w:t>Discrete Choice Methods with Simulation</w:t>
      </w:r>
      <w:r>
        <w:rPr>
          <w:color w:val="000000"/>
          <w:sz w:val="24"/>
          <w:szCs w:val="24"/>
        </w:rPr>
        <w:t>. New York: Cambridge University Press.</w:t>
      </w:r>
    </w:p>
    <w:p w:rsidR="002C17E4" w14:paraId="66F33B54" w14:textId="77777777"/>
    <w:p w:rsidR="002C17E4" w14:paraId="1C37E5F3" w14:textId="77777777">
      <w:pPr>
        <w:rPr>
          <w:sz w:val="24"/>
          <w:szCs w:val="24"/>
        </w:rPr>
      </w:pPr>
    </w:p>
    <w:p w:rsidR="002C17E4" w14:paraId="277D6C5A" w14:textId="77777777"/>
    <w:sectPr>
      <w:footerReference w:type="default" r:id="rId6"/>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6CB7" w14:paraId="120D9C87"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1825" w14:paraId="013E8108" w14:textId="77777777">
      <w:r>
        <w:separator/>
      </w:r>
    </w:p>
  </w:footnote>
  <w:footnote w:type="continuationSeparator" w:id="1">
    <w:p w:rsidR="00391825" w14:paraId="5E966D06" w14:textId="77777777">
      <w:r>
        <w:continuationSeparator/>
      </w:r>
    </w:p>
  </w:footnote>
  <w:footnote w:id="2">
    <w:p w:rsidR="00226CB7" w14:paraId="20139C71" w14:textId="48827D80">
      <w:pPr>
        <w:pStyle w:val="FootnoteText"/>
      </w:pPr>
      <w:r>
        <w:rPr>
          <w:rStyle w:val="FootnoteReference"/>
        </w:rPr>
        <w:footnoteRef/>
      </w:r>
      <w:r>
        <w:t xml:space="preserve"> The NARFS III survey has yet to </w:t>
      </w:r>
      <w:r>
        <w:t>be conducted</w:t>
      </w:r>
      <w:r>
        <w:t xml:space="preserve"> at the time of this writing. The NARFS III survey </w:t>
      </w:r>
      <w:r>
        <w:t>is scheduled</w:t>
      </w:r>
      <w:r>
        <w:t xml:space="preserve"> to take place during the final months of 2024. Thus, we use the realized response times/rates from NARFS II as a proxy for the NARFS IV survey.</w:t>
      </w:r>
    </w:p>
  </w:footnote>
  <w:footnote w:id="3">
    <w:p w:rsidR="00226CB7" w14:paraId="60065050" w14:textId="77777777">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This was the number of choice tasks per respondent in the first NARFSS (</w:t>
      </w:r>
      <w:r>
        <w:rPr>
          <w:rFonts w:ascii="Arial" w:eastAsia="Arial" w:hAnsi="Arial" w:cs="Arial"/>
          <w:i/>
          <w:color w:val="000000"/>
        </w:rPr>
        <w:t xml:space="preserve">t </w:t>
      </w:r>
      <w:r>
        <w:rPr>
          <w:rFonts w:ascii="Arial" w:eastAsia="Arial" w:hAnsi="Arial" w:cs="Arial"/>
          <w:color w:val="000000"/>
        </w:rPr>
        <w:t>= 6).  Additionally, feedback obtained from the NARFS II focus groups’ indicated that participants were able to properly answer six CE questions, but a larger number of questions became burdensome.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35307"/>
    <w:multiLevelType w:val="multilevel"/>
    <w:tmpl w:val="F4AE65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CDB6492"/>
    <w:multiLevelType w:val="multilevel"/>
    <w:tmpl w:val="E7CAF2AC"/>
    <w:lvl w:ilvl="0">
      <w:start w:val="2"/>
      <w:numFmt w:val="decimal"/>
      <w:lvlText w:val="%1."/>
      <w:lvlJc w:val="left"/>
      <w:pPr>
        <w:ind w:left="360" w:hanging="360"/>
      </w:pPr>
      <w:rPr>
        <w:b/>
        <w:i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DAF176A"/>
    <w:multiLevelType w:val="multilevel"/>
    <w:tmpl w:val="F9108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9A5BF7"/>
    <w:multiLevelType w:val="multilevel"/>
    <w:tmpl w:val="B9EE800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EA4F5B"/>
    <w:multiLevelType w:val="multilevel"/>
    <w:tmpl w:val="230C0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091F9F"/>
    <w:multiLevelType w:val="multilevel"/>
    <w:tmpl w:val="A5901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111F50"/>
    <w:multiLevelType w:val="multilevel"/>
    <w:tmpl w:val="D0D4E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22926A0"/>
    <w:multiLevelType w:val="multilevel"/>
    <w:tmpl w:val="EF2AC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E633DA"/>
    <w:multiLevelType w:val="multilevel"/>
    <w:tmpl w:val="DAA6A3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E4"/>
    <w:rsid w:val="00001F3F"/>
    <w:rsid w:val="000117BF"/>
    <w:rsid w:val="000D1C44"/>
    <w:rsid w:val="00130B2B"/>
    <w:rsid w:val="00220928"/>
    <w:rsid w:val="00226CB7"/>
    <w:rsid w:val="00250834"/>
    <w:rsid w:val="00251F5B"/>
    <w:rsid w:val="00291FAF"/>
    <w:rsid w:val="002C17E4"/>
    <w:rsid w:val="002C358F"/>
    <w:rsid w:val="002F64B8"/>
    <w:rsid w:val="003751F4"/>
    <w:rsid w:val="00375AB1"/>
    <w:rsid w:val="00391825"/>
    <w:rsid w:val="00400AEE"/>
    <w:rsid w:val="00542C38"/>
    <w:rsid w:val="00586EE4"/>
    <w:rsid w:val="00794FB9"/>
    <w:rsid w:val="00822A6F"/>
    <w:rsid w:val="00836A30"/>
    <w:rsid w:val="008F6768"/>
    <w:rsid w:val="00902A7D"/>
    <w:rsid w:val="00920862"/>
    <w:rsid w:val="00934F0A"/>
    <w:rsid w:val="009501AE"/>
    <w:rsid w:val="009B097D"/>
    <w:rsid w:val="009B4BF0"/>
    <w:rsid w:val="009F0AE1"/>
    <w:rsid w:val="00A44A20"/>
    <w:rsid w:val="00A97E48"/>
    <w:rsid w:val="00AE2555"/>
    <w:rsid w:val="00AE6F6F"/>
    <w:rsid w:val="00AE71CE"/>
    <w:rsid w:val="00AF6E16"/>
    <w:rsid w:val="00B4674C"/>
    <w:rsid w:val="00B5181F"/>
    <w:rsid w:val="00B77732"/>
    <w:rsid w:val="00B86E1A"/>
    <w:rsid w:val="00B86FE1"/>
    <w:rsid w:val="00BC588E"/>
    <w:rsid w:val="00C2574E"/>
    <w:rsid w:val="00C633EA"/>
    <w:rsid w:val="00E050F5"/>
    <w:rsid w:val="00E41B0D"/>
    <w:rsid w:val="00E50C9A"/>
    <w:rsid w:val="00EB3475"/>
    <w:rsid w:val="00F62B7D"/>
    <w:rsid w:val="00FC13A8"/>
    <w:rsid w:val="00FC77CA"/>
    <w:rsid w:val="00FD134D"/>
    <w:rsid w:val="00FF3A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F2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0D"/>
    <w:rPr>
      <w:rFonts w:ascii="Segoe UI" w:hAnsi="Segoe UI" w:cs="Segoe UI"/>
      <w:sz w:val="18"/>
      <w:szCs w:val="18"/>
    </w:rPr>
  </w:style>
  <w:style w:type="paragraph" w:styleId="FootnoteText">
    <w:name w:val="footnote text"/>
    <w:basedOn w:val="Normal"/>
    <w:link w:val="FootnoteTextChar"/>
    <w:uiPriority w:val="99"/>
    <w:semiHidden/>
    <w:unhideWhenUsed/>
    <w:rsid w:val="00226CB7"/>
  </w:style>
  <w:style w:type="character" w:customStyle="1" w:styleId="FootnoteTextChar">
    <w:name w:val="Footnote Text Char"/>
    <w:basedOn w:val="DefaultParagraphFont"/>
    <w:link w:val="FootnoteText"/>
    <w:uiPriority w:val="99"/>
    <w:semiHidden/>
    <w:rsid w:val="00226CB7"/>
  </w:style>
  <w:style w:type="character" w:styleId="FootnoteReference">
    <w:name w:val="footnote reference"/>
    <w:basedOn w:val="DefaultParagraphFont"/>
    <w:uiPriority w:val="99"/>
    <w:semiHidden/>
    <w:unhideWhenUsed/>
    <w:rsid w:val="00226CB7"/>
    <w:rPr>
      <w:vertAlign w:val="superscript"/>
    </w:rPr>
  </w:style>
  <w:style w:type="paragraph" w:styleId="CommentSubject">
    <w:name w:val="annotation subject"/>
    <w:basedOn w:val="CommentText"/>
    <w:next w:val="CommentText"/>
    <w:link w:val="CommentSubjectChar"/>
    <w:uiPriority w:val="99"/>
    <w:semiHidden/>
    <w:unhideWhenUsed/>
    <w:rsid w:val="000117BF"/>
    <w:rPr>
      <w:b/>
      <w:bCs/>
    </w:rPr>
  </w:style>
  <w:style w:type="character" w:customStyle="1" w:styleId="CommentSubjectChar">
    <w:name w:val="Comment Subject Char"/>
    <w:basedOn w:val="CommentTextChar"/>
    <w:link w:val="CommentSubject"/>
    <w:uiPriority w:val="99"/>
    <w:semiHidden/>
    <w:rsid w:val="000117BF"/>
    <w:rPr>
      <w:b/>
      <w:bCs/>
    </w:rPr>
  </w:style>
  <w:style w:type="paragraph" w:styleId="Header">
    <w:name w:val="header"/>
    <w:basedOn w:val="Normal"/>
    <w:link w:val="HeaderChar"/>
    <w:uiPriority w:val="99"/>
    <w:unhideWhenUsed/>
    <w:rsid w:val="00C633EA"/>
    <w:pPr>
      <w:tabs>
        <w:tab w:val="center" w:pos="4680"/>
        <w:tab w:val="right" w:pos="9360"/>
      </w:tabs>
    </w:pPr>
  </w:style>
  <w:style w:type="character" w:customStyle="1" w:styleId="HeaderChar">
    <w:name w:val="Header Char"/>
    <w:basedOn w:val="DefaultParagraphFont"/>
    <w:link w:val="Header"/>
    <w:uiPriority w:val="99"/>
    <w:rsid w:val="00C633EA"/>
  </w:style>
  <w:style w:type="paragraph" w:styleId="Footer">
    <w:name w:val="footer"/>
    <w:basedOn w:val="Normal"/>
    <w:link w:val="FooterChar"/>
    <w:uiPriority w:val="99"/>
    <w:unhideWhenUsed/>
    <w:rsid w:val="00C633EA"/>
    <w:pPr>
      <w:tabs>
        <w:tab w:val="center" w:pos="4680"/>
        <w:tab w:val="right" w:pos="9360"/>
      </w:tabs>
    </w:pPr>
  </w:style>
  <w:style w:type="character" w:customStyle="1" w:styleId="FooterChar">
    <w:name w:val="Footer Char"/>
    <w:basedOn w:val="DefaultParagraphFont"/>
    <w:link w:val="Footer"/>
    <w:uiPriority w:val="99"/>
    <w:rsid w:val="00C6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14A5-251A-465B-8FC0-C970A03D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2024-06-13T14:49:00Z</dcterms:created>
  <dcterms:modified xsi:type="dcterms:W3CDTF">2024-06-25T19:06:00Z</dcterms:modified>
</cp:coreProperties>
</file>