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D34" w:rsidRPr="00FB56B2" w:rsidP="00733377" w14:paraId="7CE4C228" w14:textId="77777777">
      <w:pPr>
        <w:rPr>
          <w:sz w:val="22"/>
          <w:szCs w:val="22"/>
        </w:rPr>
      </w:pPr>
      <w:r w:rsidRPr="00FB56B2">
        <w:rPr>
          <w:sz w:val="22"/>
          <w:szCs w:val="22"/>
        </w:rPr>
        <w:tab/>
      </w:r>
      <w:r w:rsidRPr="00FB56B2">
        <w:rPr>
          <w:sz w:val="22"/>
          <w:szCs w:val="22"/>
        </w:rPr>
        <w:tab/>
      </w:r>
      <w:r w:rsidRPr="00FB56B2">
        <w:rPr>
          <w:sz w:val="22"/>
          <w:szCs w:val="22"/>
        </w:rPr>
        <w:tab/>
      </w:r>
      <w:r w:rsidRPr="00FB56B2">
        <w:rPr>
          <w:sz w:val="22"/>
          <w:szCs w:val="22"/>
        </w:rPr>
        <w:tab/>
      </w:r>
      <w:r w:rsidRPr="00FB56B2">
        <w:rPr>
          <w:sz w:val="22"/>
          <w:szCs w:val="22"/>
        </w:rPr>
        <w:tab/>
      </w:r>
    </w:p>
    <w:p w:rsidR="00873D34" w:rsidRPr="008C7E0A" w14:paraId="6EF96F37" w14:textId="77777777">
      <w:pPr>
        <w:pStyle w:val="Heading1"/>
        <w:rPr>
          <w:b/>
          <w:sz w:val="22"/>
          <w:szCs w:val="22"/>
        </w:rPr>
      </w:pPr>
      <w:r w:rsidRPr="008C7E0A">
        <w:rPr>
          <w:b/>
          <w:sz w:val="22"/>
          <w:szCs w:val="22"/>
        </w:rPr>
        <w:t>SUPPORTING STATEMENT</w:t>
      </w:r>
    </w:p>
    <w:p w:rsidR="00873D34" w:rsidRPr="008C7E0A" w14:paraId="722C8664" w14:textId="77777777">
      <w:pPr>
        <w:pStyle w:val="Heading2"/>
        <w:rPr>
          <w:sz w:val="22"/>
          <w:szCs w:val="22"/>
        </w:rPr>
      </w:pPr>
    </w:p>
    <w:p w:rsidR="00873D34" w:rsidRPr="008C7E0A" w14:paraId="312C9C72" w14:textId="77777777">
      <w:pPr>
        <w:rPr>
          <w:b/>
          <w:sz w:val="22"/>
          <w:szCs w:val="22"/>
        </w:rPr>
      </w:pPr>
      <w:r w:rsidRPr="008C7E0A">
        <w:rPr>
          <w:b/>
          <w:sz w:val="22"/>
          <w:szCs w:val="22"/>
        </w:rPr>
        <w:t>A.</w:t>
      </w:r>
      <w:r w:rsidRPr="008C7E0A" w:rsidR="00301636">
        <w:rPr>
          <w:b/>
          <w:sz w:val="22"/>
          <w:szCs w:val="22"/>
        </w:rPr>
        <w:tab/>
      </w:r>
      <w:r w:rsidRPr="008C7E0A">
        <w:rPr>
          <w:b/>
          <w:sz w:val="22"/>
          <w:szCs w:val="22"/>
        </w:rPr>
        <w:t>Justification</w:t>
      </w:r>
    </w:p>
    <w:p w:rsidR="00873D34" w:rsidRPr="008C7E0A" w14:paraId="177A8D78" w14:textId="77777777">
      <w:pPr>
        <w:rPr>
          <w:sz w:val="22"/>
          <w:szCs w:val="22"/>
        </w:rPr>
      </w:pPr>
    </w:p>
    <w:p w:rsidR="00873D34" w:rsidRPr="008C7E0A" w:rsidP="00F85377" w14:paraId="5391F615" w14:textId="77777777">
      <w:pPr>
        <w:ind w:left="720" w:hanging="720"/>
        <w:rPr>
          <w:sz w:val="22"/>
          <w:szCs w:val="22"/>
        </w:rPr>
      </w:pPr>
      <w:r>
        <w:rPr>
          <w:sz w:val="22"/>
          <w:szCs w:val="22"/>
        </w:rPr>
        <w:t xml:space="preserve">1.  </w:t>
      </w:r>
      <w:r>
        <w:rPr>
          <w:sz w:val="22"/>
          <w:szCs w:val="22"/>
        </w:rPr>
        <w:tab/>
      </w:r>
      <w:r w:rsidR="00C47D1D">
        <w:rPr>
          <w:sz w:val="22"/>
          <w:szCs w:val="22"/>
        </w:rPr>
        <w:t>The Commission’s truth-in-billing rules</w:t>
      </w:r>
      <w:r w:rsidR="00F261B8">
        <w:rPr>
          <w:sz w:val="22"/>
          <w:szCs w:val="22"/>
        </w:rPr>
        <w:t>,</w:t>
      </w:r>
      <w:r w:rsidR="00C47D1D">
        <w:rPr>
          <w:sz w:val="22"/>
          <w:szCs w:val="22"/>
        </w:rPr>
        <w:t xml:space="preserve"> adopted under sections 201(b) and 258 of the Communications Act of 1934, as amended, are designed to ensure that consumer</w:t>
      </w:r>
      <w:r>
        <w:rPr>
          <w:sz w:val="22"/>
          <w:szCs w:val="22"/>
        </w:rPr>
        <w:t>s</w:t>
      </w:r>
      <w:r w:rsidR="00C47D1D">
        <w:rPr>
          <w:sz w:val="22"/>
          <w:szCs w:val="22"/>
        </w:rPr>
        <w:t xml:space="preserve"> can accurately assess that the services for which they are billed correspond to those they have requested and received, and that the costs assessed for those services conf</w:t>
      </w:r>
      <w:r>
        <w:rPr>
          <w:sz w:val="22"/>
          <w:szCs w:val="22"/>
        </w:rPr>
        <w:t>orm</w:t>
      </w:r>
      <w:r w:rsidR="00C47D1D">
        <w:rPr>
          <w:sz w:val="22"/>
          <w:szCs w:val="22"/>
        </w:rPr>
        <w:t xml:space="preserve"> to their understanding of the price charged.  </w:t>
      </w:r>
      <w:r w:rsidR="0085021F">
        <w:rPr>
          <w:sz w:val="22"/>
          <w:szCs w:val="22"/>
        </w:rPr>
        <w:t xml:space="preserve">For most consumers, the monthly telephone bill is their primary source of information and point of contact with their telephone service providers.  </w:t>
      </w:r>
      <w:r w:rsidRPr="008C7E0A">
        <w:rPr>
          <w:sz w:val="22"/>
          <w:szCs w:val="22"/>
        </w:rPr>
        <w:t xml:space="preserve">The manner in which charges are identified and </w:t>
      </w:r>
      <w:r w:rsidR="008104B0">
        <w:rPr>
          <w:sz w:val="22"/>
          <w:szCs w:val="22"/>
        </w:rPr>
        <w:t>presented</w:t>
      </w:r>
      <w:r w:rsidRPr="008C7E0A">
        <w:rPr>
          <w:sz w:val="22"/>
          <w:szCs w:val="22"/>
        </w:rPr>
        <w:t xml:space="preserve"> on the bill is essential to </w:t>
      </w:r>
      <w:r w:rsidR="008104B0">
        <w:rPr>
          <w:sz w:val="22"/>
          <w:szCs w:val="22"/>
        </w:rPr>
        <w:t>a</w:t>
      </w:r>
      <w:r w:rsidRPr="008C7E0A">
        <w:rPr>
          <w:sz w:val="22"/>
          <w:szCs w:val="22"/>
        </w:rPr>
        <w:t xml:space="preserve"> consumer’s understanding of </w:t>
      </w:r>
      <w:r>
        <w:rPr>
          <w:sz w:val="22"/>
          <w:szCs w:val="22"/>
        </w:rPr>
        <w:t>his/her</w:t>
      </w:r>
      <w:r w:rsidR="00C47D1D">
        <w:rPr>
          <w:sz w:val="22"/>
          <w:szCs w:val="22"/>
        </w:rPr>
        <w:t xml:space="preserve"> carrier</w:t>
      </w:r>
      <w:r>
        <w:rPr>
          <w:sz w:val="22"/>
          <w:szCs w:val="22"/>
        </w:rPr>
        <w:t>’s</w:t>
      </w:r>
      <w:r w:rsidR="00C47D1D">
        <w:rPr>
          <w:sz w:val="22"/>
          <w:szCs w:val="22"/>
        </w:rPr>
        <w:t xml:space="preserve"> service</w:t>
      </w:r>
      <w:r w:rsidR="0085021F">
        <w:rPr>
          <w:sz w:val="22"/>
          <w:szCs w:val="22"/>
        </w:rPr>
        <w:t>s</w:t>
      </w:r>
      <w:r w:rsidR="00C47D1D">
        <w:rPr>
          <w:sz w:val="22"/>
          <w:szCs w:val="22"/>
        </w:rPr>
        <w:t xml:space="preserve"> and charges.</w:t>
      </w:r>
      <w:r w:rsidRPr="008C7E0A">
        <w:rPr>
          <w:sz w:val="22"/>
          <w:szCs w:val="22"/>
        </w:rPr>
        <w:t xml:space="preserve">  </w:t>
      </w:r>
    </w:p>
    <w:p w:rsidR="00873D34" w:rsidRPr="008C7E0A" w14:paraId="219A5407" w14:textId="77777777">
      <w:pPr>
        <w:rPr>
          <w:sz w:val="22"/>
          <w:szCs w:val="22"/>
        </w:rPr>
      </w:pPr>
    </w:p>
    <w:p w:rsidR="00AE1EC7" w:rsidRPr="008C7E0A" w14:paraId="38966690" w14:textId="77777777">
      <w:pPr>
        <w:rPr>
          <w:b/>
          <w:sz w:val="22"/>
          <w:szCs w:val="22"/>
        </w:rPr>
      </w:pPr>
      <w:r w:rsidRPr="008C7E0A">
        <w:rPr>
          <w:sz w:val="22"/>
          <w:szCs w:val="22"/>
        </w:rPr>
        <w:tab/>
      </w:r>
      <w:r w:rsidRPr="008C7E0A" w:rsidR="00C938A3">
        <w:rPr>
          <w:b/>
          <w:sz w:val="22"/>
          <w:szCs w:val="22"/>
        </w:rPr>
        <w:t>Background</w:t>
      </w:r>
      <w:r w:rsidRPr="008C7E0A">
        <w:rPr>
          <w:b/>
          <w:sz w:val="22"/>
          <w:szCs w:val="22"/>
        </w:rPr>
        <w:t>:</w:t>
      </w:r>
    </w:p>
    <w:p w:rsidR="00F20236" w:rsidP="00922683" w14:paraId="7CE969DE" w14:textId="77777777">
      <w:pPr>
        <w:ind w:left="720" w:hanging="720"/>
        <w:rPr>
          <w:sz w:val="22"/>
          <w:szCs w:val="22"/>
        </w:rPr>
      </w:pPr>
    </w:p>
    <w:p w:rsidR="00C47D1D" w:rsidRPr="0085021F" w:rsidP="00F20236" w14:paraId="218F5566" w14:textId="77777777">
      <w:pPr>
        <w:ind w:left="720"/>
        <w:rPr>
          <w:sz w:val="22"/>
          <w:szCs w:val="22"/>
        </w:rPr>
      </w:pPr>
      <w:r w:rsidRPr="0085021F">
        <w:rPr>
          <w:sz w:val="22"/>
          <w:szCs w:val="22"/>
        </w:rPr>
        <w:t>The Commission</w:t>
      </w:r>
      <w:r w:rsidRPr="0085021F" w:rsidR="0085021F">
        <w:rPr>
          <w:sz w:val="22"/>
          <w:szCs w:val="22"/>
        </w:rPr>
        <w:t xml:space="preserve"> first adopted truth-in-billing rules in 1999.</w:t>
      </w:r>
      <w:r>
        <w:rPr>
          <w:rStyle w:val="FootnoteReference"/>
          <w:sz w:val="22"/>
          <w:szCs w:val="22"/>
        </w:rPr>
        <w:footnoteReference w:id="3"/>
      </w:r>
      <w:r w:rsidRPr="0085021F" w:rsidR="0085021F">
        <w:rPr>
          <w:sz w:val="22"/>
          <w:szCs w:val="22"/>
        </w:rPr>
        <w:t xml:space="preserve">  The rules </w:t>
      </w:r>
      <w:r w:rsidRPr="0085021F">
        <w:rPr>
          <w:sz w:val="22"/>
          <w:szCs w:val="22"/>
        </w:rPr>
        <w:t>generally require that telephone bills: (1) be clearly organized, clearly identify the service provider associated with each charge, and highlight any new provider (i.e., one that did not bill the customer for service during the last billing cycle); (2) contain brief, clear, and non-misleading descriptions of the charges that appear on the bill; and (3) contain clear and conspicuous disclosure of any information that the consumer might need to make inquiries about, or to contest, charges on the bill</w:t>
      </w:r>
      <w:r w:rsidRPr="0085021F" w:rsidR="0085021F">
        <w:rPr>
          <w:sz w:val="22"/>
          <w:szCs w:val="22"/>
        </w:rPr>
        <w:t>.</w:t>
      </w:r>
      <w:r>
        <w:rPr>
          <w:sz w:val="22"/>
          <w:szCs w:val="22"/>
          <w:vertAlign w:val="superscript"/>
        </w:rPr>
        <w:footnoteReference w:id="4"/>
      </w:r>
      <w:r w:rsidRPr="0085021F" w:rsidR="0085021F">
        <w:rPr>
          <w:sz w:val="22"/>
          <w:szCs w:val="22"/>
        </w:rPr>
        <w:t xml:space="preserve">  The rules also require wireline carriers to separate charges by service provider where charges for two o</w:t>
      </w:r>
      <w:r w:rsidR="008178FB">
        <w:rPr>
          <w:sz w:val="22"/>
          <w:szCs w:val="22"/>
        </w:rPr>
        <w:t>r</w:t>
      </w:r>
      <w:r w:rsidRPr="0085021F" w:rsidR="0085021F">
        <w:rPr>
          <w:sz w:val="22"/>
          <w:szCs w:val="22"/>
        </w:rPr>
        <w:t xml:space="preserve"> more carriers appear on the same telephone bill and to distinguish on telephone bills between “deniable” and “non-deniable” charges.</w:t>
      </w:r>
      <w:r>
        <w:rPr>
          <w:rStyle w:val="FootnoteReference"/>
          <w:sz w:val="22"/>
          <w:szCs w:val="22"/>
        </w:rPr>
        <w:footnoteReference w:id="5"/>
      </w:r>
      <w:r w:rsidRPr="0085021F">
        <w:rPr>
          <w:sz w:val="22"/>
          <w:szCs w:val="22"/>
        </w:rPr>
        <w:t xml:space="preserve">  In 2005, the Commission extended these billing requirements, with some limited exceptions, to wireless carriers.</w:t>
      </w:r>
      <w:r>
        <w:rPr>
          <w:rStyle w:val="FootnoteReference"/>
          <w:sz w:val="22"/>
          <w:szCs w:val="22"/>
        </w:rPr>
        <w:footnoteReference w:id="6"/>
      </w:r>
      <w:r w:rsidRPr="0085021F">
        <w:rPr>
          <w:sz w:val="22"/>
          <w:szCs w:val="22"/>
        </w:rPr>
        <w:t xml:space="preserve">  </w:t>
      </w:r>
    </w:p>
    <w:p w:rsidR="000669B2" w:rsidP="00C47D1D" w14:paraId="7EC31A2D" w14:textId="77777777">
      <w:pPr>
        <w:ind w:left="720"/>
        <w:rPr>
          <w:sz w:val="22"/>
          <w:szCs w:val="22"/>
        </w:rPr>
      </w:pPr>
    </w:p>
    <w:p w:rsidR="005A30D9" w:rsidRPr="008C7E0A" w:rsidP="00F20236" w14:paraId="1DD03A98" w14:textId="77777777">
      <w:pPr>
        <w:ind w:left="720"/>
        <w:rPr>
          <w:sz w:val="22"/>
          <w:szCs w:val="22"/>
        </w:rPr>
      </w:pPr>
      <w:r w:rsidRPr="0085021F">
        <w:rPr>
          <w:sz w:val="22"/>
          <w:szCs w:val="22"/>
        </w:rPr>
        <w:t>In response to continu</w:t>
      </w:r>
      <w:r w:rsidR="00381FE4">
        <w:rPr>
          <w:sz w:val="22"/>
          <w:szCs w:val="22"/>
        </w:rPr>
        <w:t>ing</w:t>
      </w:r>
      <w:r w:rsidRPr="0085021F">
        <w:rPr>
          <w:sz w:val="22"/>
          <w:szCs w:val="22"/>
        </w:rPr>
        <w:t xml:space="preserve"> concerns about cramming</w:t>
      </w:r>
      <w:r w:rsidR="00381FE4">
        <w:rPr>
          <w:sz w:val="22"/>
          <w:szCs w:val="22"/>
        </w:rPr>
        <w:t xml:space="preserve"> (the placement of unauthorized charges on consumer telephone bills</w:t>
      </w:r>
      <w:r w:rsidR="00C61347">
        <w:rPr>
          <w:sz w:val="22"/>
          <w:szCs w:val="22"/>
        </w:rPr>
        <w:t>, including charges by third parties)</w:t>
      </w:r>
      <w:r w:rsidRPr="0085021F">
        <w:rPr>
          <w:sz w:val="22"/>
          <w:szCs w:val="22"/>
        </w:rPr>
        <w:t xml:space="preserve">, the Commission adopted two additional billing rules for wireline carriers in 2012.  Specifically, the Commission required wireline carriers that offer blocking of third-party charges to clearly and conspicuously notify consumers of this option on their bills, websites, and at the point of sale and to place third-party charges in a distinct section </w:t>
      </w:r>
      <w:r w:rsidR="00C61347">
        <w:rPr>
          <w:sz w:val="22"/>
          <w:szCs w:val="22"/>
        </w:rPr>
        <w:t xml:space="preserve">of the bill </w:t>
      </w:r>
      <w:r w:rsidRPr="0085021F">
        <w:rPr>
          <w:sz w:val="22"/>
          <w:szCs w:val="22"/>
        </w:rPr>
        <w:t xml:space="preserve">separate from all </w:t>
      </w:r>
      <w:r w:rsidR="00C61347">
        <w:rPr>
          <w:sz w:val="22"/>
          <w:szCs w:val="22"/>
        </w:rPr>
        <w:t xml:space="preserve">other </w:t>
      </w:r>
      <w:r w:rsidRPr="0085021F">
        <w:rPr>
          <w:sz w:val="22"/>
          <w:szCs w:val="22"/>
        </w:rPr>
        <w:t>carrier charges</w:t>
      </w:r>
      <w:r w:rsidR="001E73BF">
        <w:rPr>
          <w:sz w:val="22"/>
          <w:szCs w:val="22"/>
        </w:rPr>
        <w:t xml:space="preserve"> and to include a separate subtotal of those charges</w:t>
      </w:r>
      <w:r w:rsidRPr="0085021F">
        <w:rPr>
          <w:sz w:val="22"/>
          <w:szCs w:val="22"/>
        </w:rPr>
        <w:t>.</w:t>
      </w:r>
      <w:r>
        <w:rPr>
          <w:rStyle w:val="FootnoteReference"/>
          <w:sz w:val="22"/>
          <w:szCs w:val="22"/>
        </w:rPr>
        <w:footnoteReference w:id="7"/>
      </w:r>
      <w:r w:rsidRPr="0085021F">
        <w:rPr>
          <w:sz w:val="22"/>
          <w:szCs w:val="22"/>
        </w:rPr>
        <w:t xml:space="preserve"> </w:t>
      </w:r>
    </w:p>
    <w:p w:rsidR="005A30D9" w:rsidRPr="008C7E0A" w:rsidP="00301636" w14:paraId="253411CD" w14:textId="77777777">
      <w:pPr>
        <w:ind w:left="720"/>
        <w:rPr>
          <w:sz w:val="22"/>
          <w:szCs w:val="22"/>
        </w:rPr>
      </w:pPr>
    </w:p>
    <w:p w:rsidR="000B551C" w:rsidP="00730413" w14:paraId="599BBB6A" w14:textId="77777777">
      <w:pPr>
        <w:tabs>
          <w:tab w:val="left" w:pos="1080"/>
        </w:tabs>
        <w:rPr>
          <w:b/>
          <w:i/>
          <w:sz w:val="22"/>
          <w:szCs w:val="22"/>
        </w:rPr>
      </w:pPr>
    </w:p>
    <w:p w:rsidR="000B551C" w:rsidP="00730413" w14:paraId="4671B876" w14:textId="77777777">
      <w:pPr>
        <w:tabs>
          <w:tab w:val="left" w:pos="1080"/>
        </w:tabs>
        <w:rPr>
          <w:b/>
          <w:i/>
          <w:sz w:val="22"/>
          <w:szCs w:val="22"/>
        </w:rPr>
      </w:pPr>
    </w:p>
    <w:p w:rsidR="000B551C" w:rsidP="00730413" w14:paraId="13BE5060" w14:textId="77777777">
      <w:pPr>
        <w:tabs>
          <w:tab w:val="left" w:pos="1080"/>
        </w:tabs>
        <w:rPr>
          <w:b/>
          <w:i/>
          <w:sz w:val="22"/>
          <w:szCs w:val="22"/>
        </w:rPr>
      </w:pPr>
    </w:p>
    <w:p w:rsidR="00AF1213" w:rsidRPr="00730413" w:rsidP="00730413" w14:paraId="071E2D9F" w14:textId="77777777">
      <w:pPr>
        <w:tabs>
          <w:tab w:val="left" w:pos="1080"/>
        </w:tabs>
        <w:rPr>
          <w:sz w:val="22"/>
          <w:szCs w:val="22"/>
        </w:rPr>
      </w:pPr>
      <w:r w:rsidRPr="00B852B0">
        <w:rPr>
          <w:b/>
          <w:i/>
          <w:sz w:val="22"/>
          <w:szCs w:val="22"/>
        </w:rPr>
        <w:t>Existing</w:t>
      </w:r>
      <w:r w:rsidR="000A0970">
        <w:rPr>
          <w:b/>
          <w:i/>
          <w:sz w:val="22"/>
          <w:szCs w:val="22"/>
        </w:rPr>
        <w:t xml:space="preserve"> (and previously approved)</w:t>
      </w:r>
      <w:r w:rsidRPr="00B852B0" w:rsidR="009978B5">
        <w:rPr>
          <w:b/>
          <w:i/>
          <w:sz w:val="22"/>
          <w:szCs w:val="22"/>
        </w:rPr>
        <w:t xml:space="preserve"> </w:t>
      </w:r>
      <w:r w:rsidRPr="00B852B0">
        <w:rPr>
          <w:b/>
          <w:i/>
          <w:sz w:val="22"/>
          <w:szCs w:val="22"/>
        </w:rPr>
        <w:t>information collection requirements consist of:</w:t>
      </w:r>
    </w:p>
    <w:p w:rsidR="00AF1213" w:rsidRPr="00B852B0" w:rsidP="00301636" w14:paraId="2BC8EFD3" w14:textId="77777777">
      <w:pPr>
        <w:ind w:left="720"/>
        <w:rPr>
          <w:sz w:val="22"/>
          <w:szCs w:val="22"/>
        </w:rPr>
      </w:pPr>
    </w:p>
    <w:p w:rsidR="005F041A" w:rsidRPr="00B852B0" w:rsidP="00147908" w14:paraId="56A53AEE" w14:textId="77777777">
      <w:pPr>
        <w:ind w:left="1080" w:hanging="360"/>
        <w:rPr>
          <w:sz w:val="22"/>
          <w:szCs w:val="22"/>
        </w:rPr>
      </w:pPr>
      <w:r w:rsidRPr="00B852B0">
        <w:rPr>
          <w:sz w:val="22"/>
          <w:szCs w:val="22"/>
        </w:rPr>
        <w:t xml:space="preserve">(a)  </w:t>
      </w:r>
      <w:r w:rsidRPr="00B852B0">
        <w:rPr>
          <w:sz w:val="22"/>
          <w:szCs w:val="22"/>
          <w:u w:val="single"/>
        </w:rPr>
        <w:t>Clear identification of service providers</w:t>
      </w:r>
      <w:r w:rsidRPr="00B852B0">
        <w:rPr>
          <w:sz w:val="22"/>
          <w:szCs w:val="22"/>
        </w:rPr>
        <w:t xml:space="preserve">.  Wireline and wireless </w:t>
      </w:r>
      <w:r w:rsidR="00F943A9">
        <w:rPr>
          <w:sz w:val="22"/>
          <w:szCs w:val="22"/>
        </w:rPr>
        <w:t xml:space="preserve">telephone </w:t>
      </w:r>
      <w:r w:rsidRPr="00B852B0">
        <w:rPr>
          <w:sz w:val="22"/>
          <w:szCs w:val="22"/>
        </w:rPr>
        <w:t>bills must clearly identify the name of the service provider associated with each charge.</w:t>
      </w:r>
      <w:r>
        <w:rPr>
          <w:rStyle w:val="FootnoteReference"/>
          <w:sz w:val="22"/>
          <w:szCs w:val="22"/>
        </w:rPr>
        <w:footnoteReference w:id="8"/>
      </w:r>
      <w:r w:rsidRPr="008C7E0A">
        <w:rPr>
          <w:sz w:val="22"/>
          <w:szCs w:val="22"/>
        </w:rPr>
        <w:t xml:space="preserve"> </w:t>
      </w:r>
      <w:r w:rsidR="006333BE">
        <w:rPr>
          <w:sz w:val="22"/>
          <w:szCs w:val="22"/>
        </w:rPr>
        <w:t xml:space="preserve"> </w:t>
      </w:r>
      <w:r w:rsidR="00F943A9">
        <w:rPr>
          <w:sz w:val="22"/>
          <w:szCs w:val="22"/>
        </w:rPr>
        <w:t>W</w:t>
      </w:r>
      <w:r w:rsidRPr="008C7E0A">
        <w:rPr>
          <w:sz w:val="22"/>
          <w:szCs w:val="22"/>
        </w:rPr>
        <w:t>he</w:t>
      </w:r>
      <w:r w:rsidR="00F943A9">
        <w:rPr>
          <w:sz w:val="22"/>
          <w:szCs w:val="22"/>
        </w:rPr>
        <w:t>n a carrier</w:t>
      </w:r>
      <w:r w:rsidRPr="00B852B0">
        <w:rPr>
          <w:sz w:val="22"/>
          <w:szCs w:val="22"/>
        </w:rPr>
        <w:t xml:space="preserve"> bundles a number of services as a single packag</w:t>
      </w:r>
      <w:r w:rsidR="00F943A9">
        <w:rPr>
          <w:sz w:val="22"/>
          <w:szCs w:val="22"/>
        </w:rPr>
        <w:t>e</w:t>
      </w:r>
      <w:r w:rsidRPr="00B852B0">
        <w:rPr>
          <w:sz w:val="22"/>
          <w:szCs w:val="22"/>
        </w:rPr>
        <w:t>, such offering may be listed on the bill as a single offering</w:t>
      </w:r>
      <w:r w:rsidR="005355CA">
        <w:rPr>
          <w:sz w:val="22"/>
          <w:szCs w:val="22"/>
        </w:rPr>
        <w:t xml:space="preserve"> by </w:t>
      </w:r>
      <w:r w:rsidR="00F943A9">
        <w:rPr>
          <w:sz w:val="22"/>
          <w:szCs w:val="22"/>
        </w:rPr>
        <w:t>that</w:t>
      </w:r>
      <w:r w:rsidR="005355CA">
        <w:rPr>
          <w:sz w:val="22"/>
          <w:szCs w:val="22"/>
        </w:rPr>
        <w:t xml:space="preserve"> provider</w:t>
      </w:r>
      <w:r w:rsidRPr="00B852B0">
        <w:rPr>
          <w:sz w:val="22"/>
          <w:szCs w:val="22"/>
        </w:rPr>
        <w:t>, rather than listed as separate charges</w:t>
      </w:r>
      <w:r w:rsidR="005355CA">
        <w:rPr>
          <w:sz w:val="22"/>
          <w:szCs w:val="22"/>
        </w:rPr>
        <w:t>.</w:t>
      </w:r>
      <w:r w:rsidRPr="00B852B0">
        <w:rPr>
          <w:sz w:val="22"/>
          <w:szCs w:val="22"/>
        </w:rPr>
        <w:t xml:space="preserve"> </w:t>
      </w:r>
    </w:p>
    <w:p w:rsidR="00422577" w:rsidRPr="00B852B0" w:rsidP="002750EF" w14:paraId="7C916EF7" w14:textId="77777777">
      <w:pPr>
        <w:rPr>
          <w:sz w:val="22"/>
          <w:szCs w:val="22"/>
        </w:rPr>
      </w:pPr>
    </w:p>
    <w:p w:rsidR="000D5D7B" w:rsidRPr="00B852B0" w:rsidP="00147908" w14:paraId="725AE83F" w14:textId="77777777">
      <w:pPr>
        <w:ind w:left="1080" w:hanging="360"/>
        <w:rPr>
          <w:sz w:val="22"/>
          <w:szCs w:val="22"/>
        </w:rPr>
      </w:pPr>
      <w:r w:rsidRPr="00B852B0">
        <w:rPr>
          <w:sz w:val="22"/>
          <w:szCs w:val="22"/>
        </w:rPr>
        <w:t xml:space="preserve">(b)  </w:t>
      </w:r>
      <w:r w:rsidRPr="00B852B0">
        <w:rPr>
          <w:sz w:val="22"/>
          <w:szCs w:val="22"/>
          <w:u w:val="single"/>
        </w:rPr>
        <w:t>Separation of charges by service provider and highlighting new service provider information</w:t>
      </w:r>
      <w:r w:rsidRPr="00B852B0">
        <w:rPr>
          <w:sz w:val="22"/>
          <w:szCs w:val="22"/>
        </w:rPr>
        <w:t xml:space="preserve">.  </w:t>
      </w:r>
      <w:r w:rsidR="006D0C87">
        <w:rPr>
          <w:sz w:val="22"/>
          <w:szCs w:val="22"/>
        </w:rPr>
        <w:t>A</w:t>
      </w:r>
      <w:r w:rsidRPr="00B852B0">
        <w:rPr>
          <w:sz w:val="22"/>
          <w:szCs w:val="22"/>
        </w:rPr>
        <w:t>ll bills</w:t>
      </w:r>
      <w:r w:rsidRPr="00B852B0" w:rsidR="008D3627">
        <w:rPr>
          <w:sz w:val="22"/>
          <w:szCs w:val="22"/>
        </w:rPr>
        <w:t xml:space="preserve"> </w:t>
      </w:r>
      <w:r w:rsidRPr="00B852B0" w:rsidR="001F0A9E">
        <w:rPr>
          <w:sz w:val="22"/>
          <w:szCs w:val="22"/>
        </w:rPr>
        <w:t>containing wireline common carrier service</w:t>
      </w:r>
      <w:r w:rsidR="006D0C87">
        <w:rPr>
          <w:sz w:val="22"/>
          <w:szCs w:val="22"/>
        </w:rPr>
        <w:t>s must</w:t>
      </w:r>
      <w:r w:rsidRPr="00B852B0" w:rsidR="001F0A9E">
        <w:rPr>
          <w:sz w:val="22"/>
          <w:szCs w:val="22"/>
        </w:rPr>
        <w:t xml:space="preserve">: </w:t>
      </w:r>
    </w:p>
    <w:p w:rsidR="000D5D7B" w:rsidRPr="00B852B0" w:rsidP="00154AC7" w14:paraId="248CB618" w14:textId="77777777">
      <w:pPr>
        <w:ind w:left="720"/>
        <w:rPr>
          <w:sz w:val="22"/>
          <w:szCs w:val="22"/>
        </w:rPr>
      </w:pPr>
    </w:p>
    <w:p w:rsidR="000D5D7B" w:rsidRPr="00B852B0" w:rsidP="005F464B" w14:paraId="45327E46" w14:textId="77777777">
      <w:pPr>
        <w:ind w:left="720" w:firstLine="360"/>
        <w:rPr>
          <w:sz w:val="22"/>
          <w:szCs w:val="22"/>
        </w:rPr>
      </w:pPr>
      <w:r w:rsidRPr="00B852B0">
        <w:rPr>
          <w:sz w:val="22"/>
          <w:szCs w:val="22"/>
        </w:rPr>
        <w:t xml:space="preserve">(1) </w:t>
      </w:r>
      <w:r w:rsidR="006D0C87">
        <w:rPr>
          <w:sz w:val="22"/>
          <w:szCs w:val="22"/>
        </w:rPr>
        <w:t xml:space="preserve"> </w:t>
      </w:r>
      <w:r w:rsidRPr="00B852B0" w:rsidR="00E257B5">
        <w:rPr>
          <w:sz w:val="22"/>
          <w:szCs w:val="22"/>
        </w:rPr>
        <w:t>S</w:t>
      </w:r>
      <w:r w:rsidRPr="00B852B0">
        <w:rPr>
          <w:sz w:val="22"/>
          <w:szCs w:val="22"/>
        </w:rPr>
        <w:t>eparate charges by</w:t>
      </w:r>
      <w:r w:rsidR="006D0C87">
        <w:rPr>
          <w:sz w:val="22"/>
          <w:szCs w:val="22"/>
        </w:rPr>
        <w:t xml:space="preserve"> each</w:t>
      </w:r>
      <w:r w:rsidRPr="00B852B0">
        <w:rPr>
          <w:sz w:val="22"/>
          <w:szCs w:val="22"/>
        </w:rPr>
        <w:t xml:space="preserve"> service provider</w:t>
      </w:r>
      <w:r w:rsidRPr="00B852B0" w:rsidR="00E257B5">
        <w:rPr>
          <w:sz w:val="22"/>
          <w:szCs w:val="22"/>
        </w:rPr>
        <w:t>,</w:t>
      </w:r>
      <w:r w:rsidRPr="00B852B0">
        <w:rPr>
          <w:sz w:val="22"/>
          <w:szCs w:val="22"/>
        </w:rPr>
        <w:t xml:space="preserve"> and </w:t>
      </w:r>
    </w:p>
    <w:p w:rsidR="000D5D7B" w:rsidRPr="00B852B0" w:rsidP="00154AC7" w14:paraId="3D232F2D" w14:textId="77777777">
      <w:pPr>
        <w:ind w:left="720"/>
        <w:rPr>
          <w:sz w:val="22"/>
          <w:szCs w:val="22"/>
        </w:rPr>
      </w:pPr>
    </w:p>
    <w:p w:rsidR="000D5D7B" w:rsidRPr="00B852B0" w:rsidP="005F464B" w14:paraId="09D5B2D5" w14:textId="77777777">
      <w:pPr>
        <w:ind w:left="1440" w:hanging="360"/>
        <w:rPr>
          <w:sz w:val="22"/>
          <w:szCs w:val="22"/>
        </w:rPr>
      </w:pPr>
      <w:r w:rsidRPr="00B852B0">
        <w:rPr>
          <w:sz w:val="22"/>
          <w:szCs w:val="22"/>
        </w:rPr>
        <w:t>(2)</w:t>
      </w:r>
      <w:r w:rsidR="005F464B">
        <w:rPr>
          <w:sz w:val="22"/>
          <w:szCs w:val="22"/>
        </w:rPr>
        <w:t xml:space="preserve">  </w:t>
      </w:r>
      <w:r w:rsidRPr="00B852B0" w:rsidR="00E257B5">
        <w:rPr>
          <w:sz w:val="22"/>
          <w:szCs w:val="22"/>
        </w:rPr>
        <w:t>C</w:t>
      </w:r>
      <w:r w:rsidRPr="00B852B0" w:rsidR="00154AC7">
        <w:rPr>
          <w:sz w:val="22"/>
          <w:szCs w:val="22"/>
        </w:rPr>
        <w:t>learly and conspicuously show any change in service provider</w:t>
      </w:r>
      <w:r w:rsidR="005355CA">
        <w:rPr>
          <w:sz w:val="22"/>
          <w:szCs w:val="22"/>
        </w:rPr>
        <w:t>s b</w:t>
      </w:r>
      <w:r w:rsidRPr="00B852B0" w:rsidR="00154AC7">
        <w:rPr>
          <w:sz w:val="22"/>
          <w:szCs w:val="22"/>
        </w:rPr>
        <w:t>y identifying all service providers that did not bill for services on</w:t>
      </w:r>
      <w:r w:rsidRPr="00B852B0" w:rsidR="00B6584F">
        <w:rPr>
          <w:sz w:val="22"/>
          <w:szCs w:val="22"/>
        </w:rPr>
        <w:t xml:space="preserve"> the previous billing statement</w:t>
      </w:r>
      <w:r w:rsidR="006D0C87">
        <w:rPr>
          <w:sz w:val="22"/>
          <w:szCs w:val="22"/>
        </w:rPr>
        <w:t>.</w:t>
      </w:r>
      <w:r>
        <w:rPr>
          <w:rStyle w:val="FootnoteReference"/>
          <w:sz w:val="22"/>
          <w:szCs w:val="22"/>
        </w:rPr>
        <w:footnoteReference w:id="9"/>
      </w:r>
    </w:p>
    <w:p w:rsidR="00913107" w:rsidRPr="00B852B0" w:rsidP="000D5D7B" w14:paraId="66D89668" w14:textId="77777777">
      <w:pPr>
        <w:ind w:left="1080" w:hanging="360"/>
        <w:rPr>
          <w:b/>
          <w:sz w:val="22"/>
          <w:szCs w:val="22"/>
        </w:rPr>
      </w:pPr>
      <w:r w:rsidRPr="00B852B0">
        <w:rPr>
          <w:b/>
          <w:sz w:val="22"/>
          <w:szCs w:val="22"/>
        </w:rPr>
        <w:tab/>
      </w:r>
    </w:p>
    <w:p w:rsidR="00154AC7" w:rsidRPr="00B852B0" w:rsidP="005F464B" w14:paraId="1E0F0839" w14:textId="77777777">
      <w:pPr>
        <w:ind w:left="1440"/>
        <w:rPr>
          <w:sz w:val="22"/>
          <w:szCs w:val="22"/>
        </w:rPr>
      </w:pPr>
      <w:r>
        <w:rPr>
          <w:sz w:val="22"/>
          <w:szCs w:val="22"/>
        </w:rPr>
        <w:t>T</w:t>
      </w:r>
      <w:r w:rsidRPr="00B852B0" w:rsidR="001B49E8">
        <w:rPr>
          <w:sz w:val="22"/>
          <w:szCs w:val="22"/>
        </w:rPr>
        <w:t>he</w:t>
      </w:r>
      <w:r>
        <w:rPr>
          <w:sz w:val="22"/>
          <w:szCs w:val="22"/>
        </w:rPr>
        <w:t>se</w:t>
      </w:r>
      <w:r w:rsidRPr="00B852B0" w:rsidR="001B49E8">
        <w:rPr>
          <w:sz w:val="22"/>
          <w:szCs w:val="22"/>
        </w:rPr>
        <w:t xml:space="preserve"> identification requirements </w:t>
      </w:r>
      <w:r w:rsidRPr="00B852B0">
        <w:rPr>
          <w:sz w:val="22"/>
          <w:szCs w:val="22"/>
        </w:rPr>
        <w:t>only appl</w:t>
      </w:r>
      <w:r w:rsidRPr="00B852B0" w:rsidR="001B49E8">
        <w:rPr>
          <w:sz w:val="22"/>
          <w:szCs w:val="22"/>
        </w:rPr>
        <w:t xml:space="preserve">y </w:t>
      </w:r>
      <w:r w:rsidRPr="00B852B0">
        <w:rPr>
          <w:sz w:val="22"/>
          <w:szCs w:val="22"/>
        </w:rPr>
        <w:t>to providers that have a continuing arrangement with the subscriber that result</w:t>
      </w:r>
      <w:r w:rsidRPr="00B852B0" w:rsidR="003F0B92">
        <w:rPr>
          <w:sz w:val="22"/>
          <w:szCs w:val="22"/>
        </w:rPr>
        <w:t>s</w:t>
      </w:r>
      <w:r w:rsidRPr="00B852B0">
        <w:rPr>
          <w:sz w:val="22"/>
          <w:szCs w:val="22"/>
        </w:rPr>
        <w:t xml:space="preserve"> in periodic charges on the subscriber’s bill.</w:t>
      </w:r>
      <w:r w:rsidR="005D4F65">
        <w:rPr>
          <w:sz w:val="22"/>
          <w:szCs w:val="22"/>
        </w:rPr>
        <w:t xml:space="preserve">  </w:t>
      </w:r>
      <w:r>
        <w:rPr>
          <w:sz w:val="22"/>
          <w:szCs w:val="22"/>
        </w:rPr>
        <w:t>S</w:t>
      </w:r>
      <w:r w:rsidRPr="00B852B0">
        <w:rPr>
          <w:sz w:val="22"/>
          <w:szCs w:val="22"/>
        </w:rPr>
        <w:t>ervices billed solely on a per-transaction basis, such as operator service and directory assistance, are not subject to the requirement</w:t>
      </w:r>
      <w:r w:rsidR="00EB61AA">
        <w:rPr>
          <w:sz w:val="22"/>
          <w:szCs w:val="22"/>
        </w:rPr>
        <w:t xml:space="preserve"> to clearly and conspicuously show any “change” in service provider</w:t>
      </w:r>
      <w:r w:rsidRPr="00B852B0">
        <w:rPr>
          <w:sz w:val="22"/>
          <w:szCs w:val="22"/>
        </w:rPr>
        <w:t xml:space="preserve">.  </w:t>
      </w:r>
    </w:p>
    <w:p w:rsidR="00154AC7" w:rsidRPr="00B852B0" w:rsidP="00A903F2" w14:paraId="41BB3086" w14:textId="77777777">
      <w:pPr>
        <w:rPr>
          <w:sz w:val="22"/>
          <w:szCs w:val="22"/>
        </w:rPr>
      </w:pPr>
    </w:p>
    <w:p w:rsidR="0040340D" w:rsidRPr="00B852B0" w:rsidP="00154AC7" w14:paraId="454158E6" w14:textId="77777777">
      <w:pPr>
        <w:ind w:left="720"/>
        <w:rPr>
          <w:sz w:val="22"/>
          <w:szCs w:val="22"/>
        </w:rPr>
      </w:pPr>
      <w:r w:rsidRPr="00B852B0">
        <w:rPr>
          <w:sz w:val="22"/>
          <w:szCs w:val="22"/>
        </w:rPr>
        <w:t xml:space="preserve">(c)  </w:t>
      </w:r>
      <w:r w:rsidRPr="00B852B0">
        <w:rPr>
          <w:sz w:val="22"/>
          <w:szCs w:val="22"/>
          <w:u w:val="single"/>
        </w:rPr>
        <w:t xml:space="preserve">Full and non-misleading </w:t>
      </w:r>
      <w:r w:rsidR="00AE14AD">
        <w:rPr>
          <w:sz w:val="22"/>
          <w:szCs w:val="22"/>
          <w:u w:val="single"/>
        </w:rPr>
        <w:t>description of</w:t>
      </w:r>
      <w:r w:rsidRPr="00B852B0">
        <w:rPr>
          <w:sz w:val="22"/>
          <w:szCs w:val="22"/>
          <w:u w:val="single"/>
        </w:rPr>
        <w:t xml:space="preserve"> charges</w:t>
      </w:r>
      <w:r w:rsidRPr="00B852B0">
        <w:rPr>
          <w:sz w:val="22"/>
          <w:szCs w:val="22"/>
        </w:rPr>
        <w:t xml:space="preserve">. </w:t>
      </w:r>
      <w:r w:rsidRPr="00B852B0" w:rsidR="00E102D5">
        <w:rPr>
          <w:sz w:val="22"/>
          <w:szCs w:val="22"/>
        </w:rPr>
        <w:t xml:space="preserve"> </w:t>
      </w:r>
    </w:p>
    <w:p w:rsidR="0040340D" w:rsidRPr="00B852B0" w:rsidP="00154AC7" w14:paraId="76FC4FAF" w14:textId="77777777">
      <w:pPr>
        <w:ind w:left="720"/>
        <w:rPr>
          <w:sz w:val="22"/>
          <w:szCs w:val="22"/>
        </w:rPr>
      </w:pPr>
    </w:p>
    <w:p w:rsidR="0040340D" w:rsidRPr="008C7E0A" w:rsidP="00437676" w14:paraId="4889EE80" w14:textId="77777777">
      <w:pPr>
        <w:ind w:left="1440" w:hanging="360"/>
        <w:rPr>
          <w:sz w:val="22"/>
          <w:szCs w:val="22"/>
        </w:rPr>
      </w:pPr>
      <w:r w:rsidRPr="00B852B0">
        <w:rPr>
          <w:sz w:val="22"/>
          <w:szCs w:val="22"/>
        </w:rPr>
        <w:t xml:space="preserve">(1) </w:t>
      </w:r>
      <w:r w:rsidR="00916C38">
        <w:rPr>
          <w:sz w:val="22"/>
          <w:szCs w:val="22"/>
        </w:rPr>
        <w:t xml:space="preserve"> </w:t>
      </w:r>
      <w:r w:rsidR="00F261B8">
        <w:rPr>
          <w:sz w:val="22"/>
          <w:szCs w:val="22"/>
        </w:rPr>
        <w:t>For each charge, b</w:t>
      </w:r>
      <w:r w:rsidRPr="00B852B0">
        <w:rPr>
          <w:sz w:val="22"/>
          <w:szCs w:val="22"/>
        </w:rPr>
        <w:t xml:space="preserve">ills </w:t>
      </w:r>
      <w:r w:rsidR="002B17CD">
        <w:rPr>
          <w:sz w:val="22"/>
          <w:szCs w:val="22"/>
        </w:rPr>
        <w:t>must</w:t>
      </w:r>
      <w:r w:rsidRPr="00B852B0" w:rsidR="001F0A9E">
        <w:rPr>
          <w:sz w:val="22"/>
          <w:szCs w:val="22"/>
        </w:rPr>
        <w:t xml:space="preserve"> inclu</w:t>
      </w:r>
      <w:r w:rsidR="00F261B8">
        <w:rPr>
          <w:sz w:val="22"/>
          <w:szCs w:val="22"/>
        </w:rPr>
        <w:t xml:space="preserve">de </w:t>
      </w:r>
      <w:r w:rsidRPr="00B852B0">
        <w:rPr>
          <w:sz w:val="22"/>
          <w:szCs w:val="22"/>
        </w:rPr>
        <w:t xml:space="preserve">a brief, clear, plain-language description of the services </w:t>
      </w:r>
      <w:r w:rsidR="00411EF5">
        <w:rPr>
          <w:sz w:val="22"/>
          <w:szCs w:val="22"/>
        </w:rPr>
        <w:t xml:space="preserve">associated with </w:t>
      </w:r>
      <w:r w:rsidR="006814AD">
        <w:rPr>
          <w:sz w:val="22"/>
          <w:szCs w:val="22"/>
        </w:rPr>
        <w:t>the</w:t>
      </w:r>
      <w:r w:rsidR="00411EF5">
        <w:rPr>
          <w:sz w:val="22"/>
          <w:szCs w:val="22"/>
        </w:rPr>
        <w:t xml:space="preserve"> charge</w:t>
      </w:r>
      <w:r w:rsidRPr="00B852B0">
        <w:rPr>
          <w:sz w:val="22"/>
          <w:szCs w:val="22"/>
        </w:rPr>
        <w:t>;</w:t>
      </w:r>
      <w:r>
        <w:rPr>
          <w:rStyle w:val="FootnoteReference"/>
          <w:sz w:val="22"/>
          <w:szCs w:val="22"/>
        </w:rPr>
        <w:footnoteReference w:id="10"/>
      </w:r>
      <w:r w:rsidRPr="008C7E0A">
        <w:rPr>
          <w:sz w:val="22"/>
          <w:szCs w:val="22"/>
        </w:rPr>
        <w:t xml:space="preserve"> and </w:t>
      </w:r>
    </w:p>
    <w:p w:rsidR="0040340D" w:rsidRPr="00B852B0" w:rsidP="00154AC7" w14:paraId="11C0A35A" w14:textId="77777777">
      <w:pPr>
        <w:ind w:left="720"/>
        <w:rPr>
          <w:sz w:val="22"/>
          <w:szCs w:val="22"/>
        </w:rPr>
      </w:pPr>
    </w:p>
    <w:p w:rsidR="00154AC7" w:rsidRPr="008C7E0A" w:rsidP="00437676" w14:paraId="26475C15" w14:textId="77777777">
      <w:pPr>
        <w:ind w:left="1440" w:hanging="360"/>
        <w:rPr>
          <w:sz w:val="22"/>
          <w:szCs w:val="22"/>
        </w:rPr>
      </w:pPr>
      <w:r w:rsidRPr="00B852B0">
        <w:rPr>
          <w:sz w:val="22"/>
          <w:szCs w:val="22"/>
        </w:rPr>
        <w:t xml:space="preserve">(2) </w:t>
      </w:r>
      <w:r w:rsidR="00916C38">
        <w:rPr>
          <w:sz w:val="22"/>
          <w:szCs w:val="22"/>
        </w:rPr>
        <w:t xml:space="preserve"> </w:t>
      </w:r>
      <w:r w:rsidRPr="00B852B0" w:rsidR="00D37277">
        <w:rPr>
          <w:sz w:val="22"/>
          <w:szCs w:val="22"/>
        </w:rPr>
        <w:t>W</w:t>
      </w:r>
      <w:r w:rsidRPr="00B852B0">
        <w:rPr>
          <w:sz w:val="22"/>
          <w:szCs w:val="22"/>
        </w:rPr>
        <w:t>hen a bill for local wireline service contains additional carrier charges, the bill must differentiate between those charges for which non-payment could result in termination of local telephone service and those for which it could not</w:t>
      </w:r>
      <w:r w:rsidR="00411EF5">
        <w:rPr>
          <w:sz w:val="22"/>
          <w:szCs w:val="22"/>
        </w:rPr>
        <w:t xml:space="preserve"> (“non-deniable” and “deniable” charges)</w:t>
      </w:r>
      <w:r w:rsidRPr="00B852B0">
        <w:rPr>
          <w:sz w:val="22"/>
          <w:szCs w:val="22"/>
        </w:rPr>
        <w:t>.</w:t>
      </w:r>
      <w:r>
        <w:rPr>
          <w:rStyle w:val="FootnoteReference"/>
          <w:sz w:val="22"/>
          <w:szCs w:val="22"/>
        </w:rPr>
        <w:footnoteReference w:id="11"/>
      </w:r>
      <w:r w:rsidRPr="008C7E0A">
        <w:rPr>
          <w:sz w:val="22"/>
          <w:szCs w:val="22"/>
        </w:rPr>
        <w:t xml:space="preserve">  </w:t>
      </w:r>
    </w:p>
    <w:p w:rsidR="00154AC7" w:rsidRPr="00B852B0" w:rsidP="00154AC7" w14:paraId="302ED29B" w14:textId="77777777">
      <w:pPr>
        <w:ind w:firstLine="720"/>
        <w:rPr>
          <w:sz w:val="22"/>
          <w:szCs w:val="22"/>
        </w:rPr>
      </w:pPr>
    </w:p>
    <w:p w:rsidR="00540D95" w:rsidRPr="00B852B0" w:rsidP="00540D95" w14:paraId="0F524174" w14:textId="77777777">
      <w:pPr>
        <w:ind w:left="1080" w:hanging="360"/>
        <w:rPr>
          <w:sz w:val="22"/>
          <w:szCs w:val="22"/>
        </w:rPr>
      </w:pPr>
      <w:r w:rsidRPr="00B852B0">
        <w:rPr>
          <w:sz w:val="22"/>
          <w:szCs w:val="22"/>
        </w:rPr>
        <w:t xml:space="preserve">(d)  </w:t>
      </w:r>
      <w:r w:rsidRPr="00B852B0">
        <w:rPr>
          <w:sz w:val="22"/>
          <w:szCs w:val="22"/>
          <w:u w:val="single"/>
        </w:rPr>
        <w:t>Clear and Conspicuous Disclosure of Inquiry Contacts</w:t>
      </w:r>
      <w:r w:rsidRPr="00B852B0">
        <w:rPr>
          <w:sz w:val="22"/>
          <w:szCs w:val="22"/>
        </w:rPr>
        <w:t>.</w:t>
      </w:r>
    </w:p>
    <w:p w:rsidR="00540D95" w:rsidRPr="00B852B0" w:rsidP="00540D95" w14:paraId="61A5BB02" w14:textId="77777777">
      <w:pPr>
        <w:ind w:left="1080" w:hanging="360"/>
        <w:rPr>
          <w:sz w:val="22"/>
          <w:szCs w:val="22"/>
        </w:rPr>
      </w:pPr>
    </w:p>
    <w:p w:rsidR="001B49E8" w:rsidRPr="00B852B0" w:rsidP="001B49E8" w14:paraId="2E041A96" w14:textId="77777777">
      <w:pPr>
        <w:ind w:left="1440" w:hanging="360"/>
        <w:rPr>
          <w:sz w:val="22"/>
          <w:szCs w:val="22"/>
        </w:rPr>
      </w:pPr>
      <w:r w:rsidRPr="00B852B0">
        <w:rPr>
          <w:sz w:val="22"/>
          <w:szCs w:val="22"/>
        </w:rPr>
        <w:t>(1)</w:t>
      </w:r>
      <w:r w:rsidRPr="00B852B0">
        <w:rPr>
          <w:sz w:val="22"/>
          <w:szCs w:val="22"/>
        </w:rPr>
        <w:tab/>
      </w:r>
      <w:r w:rsidRPr="00B852B0" w:rsidR="00540D95">
        <w:rPr>
          <w:sz w:val="22"/>
          <w:szCs w:val="22"/>
        </w:rPr>
        <w:t>A</w:t>
      </w:r>
      <w:r w:rsidRPr="00B852B0" w:rsidR="00154AC7">
        <w:rPr>
          <w:sz w:val="22"/>
          <w:szCs w:val="22"/>
        </w:rPr>
        <w:t>ll bills</w:t>
      </w:r>
      <w:r w:rsidR="002B17CD">
        <w:rPr>
          <w:sz w:val="22"/>
          <w:szCs w:val="22"/>
        </w:rPr>
        <w:t xml:space="preserve"> must</w:t>
      </w:r>
      <w:r w:rsidRPr="00B852B0" w:rsidR="00154AC7">
        <w:rPr>
          <w:sz w:val="22"/>
          <w:szCs w:val="22"/>
        </w:rPr>
        <w:t xml:space="preserve"> display a toll-free number by which consumers may inquire about or dispute any charge on the bill.</w:t>
      </w:r>
      <w:r>
        <w:rPr>
          <w:rStyle w:val="FootnoteReference"/>
          <w:sz w:val="22"/>
          <w:szCs w:val="22"/>
        </w:rPr>
        <w:footnoteReference w:id="12"/>
      </w:r>
      <w:r w:rsidRPr="00B852B0" w:rsidR="00154AC7">
        <w:rPr>
          <w:sz w:val="22"/>
          <w:szCs w:val="22"/>
        </w:rPr>
        <w:t xml:space="preserve">  </w:t>
      </w:r>
    </w:p>
    <w:p w:rsidR="00540D95" w:rsidRPr="00B852B0" w:rsidP="00540D95" w14:paraId="43923F65" w14:textId="77777777">
      <w:pPr>
        <w:ind w:left="1080"/>
        <w:rPr>
          <w:sz w:val="22"/>
          <w:szCs w:val="22"/>
        </w:rPr>
      </w:pPr>
    </w:p>
    <w:p w:rsidR="00014465" w:rsidRPr="008C7E0A" w:rsidP="001B49E8" w14:paraId="5C96ED04" w14:textId="77777777">
      <w:pPr>
        <w:ind w:left="1440" w:hanging="360"/>
        <w:rPr>
          <w:sz w:val="22"/>
          <w:szCs w:val="22"/>
        </w:rPr>
      </w:pPr>
      <w:r w:rsidRPr="00B852B0">
        <w:rPr>
          <w:sz w:val="22"/>
          <w:szCs w:val="22"/>
        </w:rPr>
        <w:t>(2)</w:t>
      </w:r>
      <w:r w:rsidRPr="00B852B0">
        <w:rPr>
          <w:sz w:val="22"/>
          <w:szCs w:val="22"/>
        </w:rPr>
        <w:tab/>
      </w:r>
      <w:r w:rsidRPr="00B852B0" w:rsidR="00154AC7">
        <w:rPr>
          <w:sz w:val="22"/>
          <w:szCs w:val="22"/>
        </w:rPr>
        <w:t xml:space="preserve">The </w:t>
      </w:r>
      <w:r w:rsidRPr="00B852B0" w:rsidR="00DC771E">
        <w:rPr>
          <w:sz w:val="22"/>
          <w:szCs w:val="22"/>
        </w:rPr>
        <w:t xml:space="preserve">toll-free </w:t>
      </w:r>
      <w:r w:rsidRPr="00B852B0" w:rsidR="00154AC7">
        <w:rPr>
          <w:sz w:val="22"/>
          <w:szCs w:val="22"/>
        </w:rPr>
        <w:t>number</w:t>
      </w:r>
      <w:r w:rsidRPr="00B852B0" w:rsidR="00540D95">
        <w:rPr>
          <w:sz w:val="22"/>
          <w:szCs w:val="22"/>
        </w:rPr>
        <w:t xml:space="preserve">(s) </w:t>
      </w:r>
      <w:r w:rsidRPr="00B852B0" w:rsidR="00154AC7">
        <w:rPr>
          <w:sz w:val="22"/>
          <w:szCs w:val="22"/>
        </w:rPr>
        <w:t xml:space="preserve">must be displayed in a manner that permits a customer to </w:t>
      </w:r>
      <w:r w:rsidR="00F261B8">
        <w:rPr>
          <w:sz w:val="22"/>
          <w:szCs w:val="22"/>
        </w:rPr>
        <w:t xml:space="preserve">easily </w:t>
      </w:r>
      <w:r w:rsidRPr="00B852B0" w:rsidR="00154AC7">
        <w:rPr>
          <w:sz w:val="22"/>
          <w:szCs w:val="22"/>
        </w:rPr>
        <w:t>identify the appropriate number to use to inquire about a particular charge.</w:t>
      </w:r>
      <w:r w:rsidRPr="008C7E0A" w:rsidR="00154AC7">
        <w:rPr>
          <w:sz w:val="22"/>
          <w:szCs w:val="22"/>
        </w:rPr>
        <w:t xml:space="preserve">  </w:t>
      </w:r>
    </w:p>
    <w:p w:rsidR="00C47AC7" w:rsidRPr="00B852B0" w:rsidP="00740322" w14:paraId="250F9ECD" w14:textId="77777777">
      <w:pPr>
        <w:ind w:left="720"/>
        <w:rPr>
          <w:sz w:val="22"/>
          <w:szCs w:val="22"/>
        </w:rPr>
      </w:pPr>
    </w:p>
    <w:p w:rsidR="00AF1213" w:rsidRPr="008C7E0A" w:rsidP="00916C38" w14:paraId="634BEAF9" w14:textId="77777777">
      <w:pPr>
        <w:ind w:left="1440"/>
        <w:rPr>
          <w:sz w:val="22"/>
          <w:szCs w:val="22"/>
        </w:rPr>
      </w:pPr>
      <w:r>
        <w:rPr>
          <w:sz w:val="22"/>
          <w:szCs w:val="22"/>
        </w:rPr>
        <w:t>Where the subscriber does not receive a paper copy of the telephone bill but instead accesses the bill by e</w:t>
      </w:r>
      <w:r w:rsidR="00F261B8">
        <w:rPr>
          <w:sz w:val="22"/>
          <w:szCs w:val="22"/>
        </w:rPr>
        <w:t>-</w:t>
      </w:r>
      <w:r>
        <w:rPr>
          <w:sz w:val="22"/>
          <w:szCs w:val="22"/>
        </w:rPr>
        <w:t xml:space="preserve">mail or the internet, the carrier may comply with this requirement by providing </w:t>
      </w:r>
      <w:r w:rsidRPr="00B852B0" w:rsidR="00905D7D">
        <w:rPr>
          <w:sz w:val="22"/>
          <w:szCs w:val="22"/>
        </w:rPr>
        <w:t>on the bill an e-mail or website address</w:t>
      </w:r>
      <w:r>
        <w:rPr>
          <w:sz w:val="22"/>
          <w:szCs w:val="22"/>
        </w:rPr>
        <w:t>.</w:t>
      </w:r>
    </w:p>
    <w:p w:rsidR="009E3321" w:rsidRPr="0016268A" w:rsidP="009E3321" w14:paraId="72823DC0" w14:textId="77777777">
      <w:pPr>
        <w:rPr>
          <w:sz w:val="22"/>
          <w:szCs w:val="22"/>
        </w:rPr>
      </w:pPr>
    </w:p>
    <w:p w:rsidR="009E3321" w:rsidRPr="008C7E0A" w:rsidP="00BB1901" w14:paraId="0987F327" w14:textId="77777777">
      <w:pPr>
        <w:tabs>
          <w:tab w:val="left" w:pos="720"/>
        </w:tabs>
        <w:ind w:left="1080" w:hanging="360"/>
        <w:rPr>
          <w:sz w:val="22"/>
          <w:szCs w:val="22"/>
        </w:rPr>
      </w:pPr>
      <w:r w:rsidRPr="0016268A">
        <w:rPr>
          <w:sz w:val="22"/>
          <w:szCs w:val="22"/>
        </w:rPr>
        <w:t>(</w:t>
      </w:r>
      <w:r w:rsidRPr="0016268A" w:rsidR="00CB1714">
        <w:rPr>
          <w:sz w:val="22"/>
          <w:szCs w:val="22"/>
        </w:rPr>
        <w:t>e</w:t>
      </w:r>
      <w:r w:rsidRPr="0016268A">
        <w:rPr>
          <w:sz w:val="22"/>
          <w:szCs w:val="22"/>
        </w:rPr>
        <w:t>)</w:t>
      </w:r>
      <w:r w:rsidRPr="0016268A" w:rsidR="000D664E">
        <w:rPr>
          <w:sz w:val="22"/>
          <w:szCs w:val="22"/>
        </w:rPr>
        <w:t xml:space="preserve">  </w:t>
      </w:r>
      <w:r w:rsidR="00F335B2">
        <w:rPr>
          <w:sz w:val="22"/>
          <w:szCs w:val="22"/>
          <w:u w:val="single"/>
        </w:rPr>
        <w:t xml:space="preserve">Separate </w:t>
      </w:r>
      <w:r w:rsidR="00BB1901">
        <w:rPr>
          <w:sz w:val="22"/>
          <w:szCs w:val="22"/>
          <w:u w:val="single"/>
        </w:rPr>
        <w:t xml:space="preserve">Bill </w:t>
      </w:r>
      <w:r w:rsidR="00F335B2">
        <w:rPr>
          <w:sz w:val="22"/>
          <w:szCs w:val="22"/>
          <w:u w:val="single"/>
        </w:rPr>
        <w:t>Section for Charges from Third Parties</w:t>
      </w:r>
      <w:r w:rsidRPr="0016268A">
        <w:rPr>
          <w:sz w:val="22"/>
          <w:szCs w:val="22"/>
        </w:rPr>
        <w:t xml:space="preserve">.  Carriers that place on their telephone bills charges from third parties for non-telecommunications services must place those charges </w:t>
      </w:r>
      <w:r w:rsidRPr="0016268A">
        <w:rPr>
          <w:sz w:val="22"/>
          <w:szCs w:val="22"/>
        </w:rPr>
        <w:t xml:space="preserve">in a distinct section of the bill separate from all </w:t>
      </w:r>
      <w:r w:rsidR="00916C38">
        <w:rPr>
          <w:sz w:val="22"/>
          <w:szCs w:val="22"/>
        </w:rPr>
        <w:t xml:space="preserve">other </w:t>
      </w:r>
      <w:r w:rsidRPr="0016268A">
        <w:rPr>
          <w:sz w:val="22"/>
          <w:szCs w:val="22"/>
        </w:rPr>
        <w:t>carrier charges.</w:t>
      </w:r>
      <w:r>
        <w:rPr>
          <w:rStyle w:val="FootnoteReference"/>
          <w:sz w:val="22"/>
          <w:szCs w:val="22"/>
        </w:rPr>
        <w:footnoteReference w:id="13"/>
      </w:r>
      <w:r w:rsidRPr="008C7E0A">
        <w:rPr>
          <w:sz w:val="22"/>
          <w:szCs w:val="22"/>
        </w:rPr>
        <w:t xml:space="preserve">  Charges in each distinct section of the bill must be separately subtotaled.  These separate subtotals for carrier and non-carrier charges must be clearly and conspicuously displayed</w:t>
      </w:r>
      <w:r w:rsidR="00916C38">
        <w:rPr>
          <w:sz w:val="22"/>
          <w:szCs w:val="22"/>
        </w:rPr>
        <w:t>,</w:t>
      </w:r>
      <w:r w:rsidRPr="008C7E0A">
        <w:rPr>
          <w:sz w:val="22"/>
          <w:szCs w:val="22"/>
        </w:rPr>
        <w:t xml:space="preserve"> along with the bill total</w:t>
      </w:r>
      <w:r w:rsidR="00916C38">
        <w:rPr>
          <w:sz w:val="22"/>
          <w:szCs w:val="22"/>
        </w:rPr>
        <w:t>,</w:t>
      </w:r>
      <w:r w:rsidRPr="008C7E0A">
        <w:rPr>
          <w:sz w:val="22"/>
          <w:szCs w:val="22"/>
        </w:rPr>
        <w:t xml:space="preserve"> on the</w:t>
      </w:r>
      <w:r w:rsidRPr="0016268A">
        <w:rPr>
          <w:sz w:val="22"/>
          <w:szCs w:val="22"/>
        </w:rPr>
        <w:t xml:space="preserve"> payment page of a paper bill or equivalent location on an electronic bill.</w:t>
      </w:r>
      <w:r w:rsidRPr="008C7E0A">
        <w:rPr>
          <w:sz w:val="22"/>
          <w:szCs w:val="22"/>
        </w:rPr>
        <w:t xml:space="preserve"> </w:t>
      </w:r>
    </w:p>
    <w:p w:rsidR="009E3321" w:rsidRPr="0016268A" w:rsidP="006B6DF8" w14:paraId="586F5833" w14:textId="77777777">
      <w:pPr>
        <w:ind w:left="720"/>
        <w:rPr>
          <w:sz w:val="22"/>
          <w:szCs w:val="22"/>
        </w:rPr>
      </w:pPr>
    </w:p>
    <w:p w:rsidR="00717658" w:rsidP="00BB1901" w14:paraId="42977B9D" w14:textId="540D94FD">
      <w:pPr>
        <w:ind w:left="1440" w:hanging="720"/>
        <w:rPr>
          <w:sz w:val="22"/>
          <w:szCs w:val="22"/>
        </w:rPr>
      </w:pPr>
      <w:r w:rsidRPr="0016268A">
        <w:rPr>
          <w:sz w:val="22"/>
          <w:szCs w:val="22"/>
        </w:rPr>
        <w:t>(</w:t>
      </w:r>
      <w:r w:rsidRPr="0016268A" w:rsidR="00467A01">
        <w:rPr>
          <w:sz w:val="22"/>
          <w:szCs w:val="22"/>
        </w:rPr>
        <w:t>f</w:t>
      </w:r>
      <w:r w:rsidR="00916C38">
        <w:rPr>
          <w:sz w:val="22"/>
          <w:szCs w:val="22"/>
        </w:rPr>
        <w:t>)</w:t>
      </w:r>
      <w:r w:rsidRPr="0016268A">
        <w:rPr>
          <w:sz w:val="22"/>
          <w:szCs w:val="22"/>
        </w:rPr>
        <w:t xml:space="preserve">  </w:t>
      </w:r>
      <w:r w:rsidRPr="0016268A">
        <w:rPr>
          <w:sz w:val="22"/>
          <w:szCs w:val="22"/>
          <w:u w:val="single"/>
        </w:rPr>
        <w:t>Blocking of third-party charges</w:t>
      </w:r>
      <w:r w:rsidRPr="0016268A">
        <w:rPr>
          <w:sz w:val="22"/>
          <w:szCs w:val="22"/>
        </w:rPr>
        <w:t>.</w:t>
      </w:r>
      <w:r w:rsidR="00916C38">
        <w:rPr>
          <w:sz w:val="22"/>
          <w:szCs w:val="22"/>
        </w:rPr>
        <w:t xml:space="preserve">  </w:t>
      </w:r>
      <w:r w:rsidRPr="0016268A">
        <w:rPr>
          <w:sz w:val="22"/>
          <w:szCs w:val="22"/>
        </w:rPr>
        <w:t>Carriers that offer subscribers the option to block third-</w:t>
      </w:r>
      <w:r w:rsidRPr="0016268A">
        <w:rPr>
          <w:sz w:val="22"/>
          <w:szCs w:val="22"/>
        </w:rPr>
        <w:t>partycharges</w:t>
      </w:r>
      <w:r w:rsidRPr="0016268A">
        <w:rPr>
          <w:sz w:val="22"/>
          <w:szCs w:val="22"/>
        </w:rPr>
        <w:t xml:space="preserve"> from</w:t>
      </w:r>
      <w:r>
        <w:rPr>
          <w:sz w:val="22"/>
          <w:szCs w:val="22"/>
        </w:rPr>
        <w:t xml:space="preserve"> </w:t>
      </w:r>
      <w:r w:rsidRPr="0016268A">
        <w:rPr>
          <w:sz w:val="22"/>
          <w:szCs w:val="22"/>
        </w:rPr>
        <w:t xml:space="preserve">appearing on telephone bills must clearly and conspicuously notify subscribers of this option at the point of sale, on </w:t>
      </w:r>
      <w:r w:rsidR="00F261B8">
        <w:rPr>
          <w:sz w:val="22"/>
          <w:szCs w:val="22"/>
        </w:rPr>
        <w:t xml:space="preserve">their </w:t>
      </w:r>
      <w:r w:rsidRPr="0016268A">
        <w:rPr>
          <w:sz w:val="22"/>
          <w:szCs w:val="22"/>
        </w:rPr>
        <w:t>website</w:t>
      </w:r>
      <w:r w:rsidR="00F261B8">
        <w:rPr>
          <w:sz w:val="22"/>
          <w:szCs w:val="22"/>
        </w:rPr>
        <w:t>s</w:t>
      </w:r>
      <w:r w:rsidR="005E034D">
        <w:rPr>
          <w:sz w:val="22"/>
          <w:szCs w:val="22"/>
        </w:rPr>
        <w:t xml:space="preserve">, </w:t>
      </w:r>
      <w:r w:rsidR="008E093D">
        <w:rPr>
          <w:sz w:val="22"/>
          <w:szCs w:val="22"/>
        </w:rPr>
        <w:t xml:space="preserve">and </w:t>
      </w:r>
      <w:r w:rsidR="005E034D">
        <w:rPr>
          <w:sz w:val="22"/>
          <w:szCs w:val="22"/>
        </w:rPr>
        <w:t>on each telephone bill.</w:t>
      </w:r>
      <w:r>
        <w:rPr>
          <w:rStyle w:val="FootnoteReference"/>
          <w:sz w:val="22"/>
          <w:szCs w:val="22"/>
        </w:rPr>
        <w:footnoteReference w:id="14"/>
      </w:r>
    </w:p>
    <w:p w:rsidR="00B840DA" w:rsidRPr="0016268A" w:rsidP="00480C20" w14:paraId="3E86D706" w14:textId="77777777">
      <w:pPr>
        <w:rPr>
          <w:sz w:val="22"/>
          <w:szCs w:val="22"/>
        </w:rPr>
      </w:pPr>
      <w:r>
        <w:rPr>
          <w:sz w:val="22"/>
          <w:szCs w:val="22"/>
        </w:rPr>
        <w:tab/>
      </w:r>
    </w:p>
    <w:p w:rsidR="00C35EF0" w:rsidP="007E2435" w14:paraId="55F3E9A1" w14:textId="77777777">
      <w:pPr>
        <w:rPr>
          <w:sz w:val="22"/>
          <w:szCs w:val="22"/>
        </w:rPr>
      </w:pPr>
      <w:r w:rsidRPr="0016268A">
        <w:rPr>
          <w:sz w:val="22"/>
          <w:szCs w:val="22"/>
        </w:rPr>
        <w:t>T</w:t>
      </w:r>
      <w:r w:rsidRPr="0016268A">
        <w:rPr>
          <w:sz w:val="22"/>
          <w:szCs w:val="22"/>
        </w:rPr>
        <w:t>his information collection does not affect individuals or households; thus, there are no impacts under the Privacy Act.</w:t>
      </w:r>
    </w:p>
    <w:p w:rsidR="00480C20" w:rsidP="00C16AA9" w14:paraId="0956A746" w14:textId="77777777">
      <w:pPr>
        <w:ind w:left="720" w:hanging="720"/>
        <w:rPr>
          <w:sz w:val="22"/>
          <w:szCs w:val="22"/>
        </w:rPr>
      </w:pPr>
    </w:p>
    <w:p w:rsidR="00480C20" w:rsidP="00480C20" w14:paraId="5C5BDD7A" w14:textId="77777777">
      <w:pPr>
        <w:ind w:left="720" w:hanging="720"/>
        <w:rPr>
          <w:sz w:val="22"/>
          <w:szCs w:val="22"/>
        </w:rPr>
      </w:pPr>
      <w:r>
        <w:rPr>
          <w:sz w:val="22"/>
          <w:szCs w:val="22"/>
        </w:rPr>
        <w:t xml:space="preserve">The Commission is requesting an extension of this information collection in order to receive the </w:t>
      </w:r>
    </w:p>
    <w:p w:rsidR="00480C20" w:rsidRPr="0016268A" w:rsidP="00480C20" w14:paraId="4B4C823D" w14:textId="77777777">
      <w:pPr>
        <w:ind w:left="720" w:hanging="720"/>
        <w:rPr>
          <w:sz w:val="22"/>
          <w:szCs w:val="22"/>
        </w:rPr>
      </w:pPr>
      <w:r>
        <w:rPr>
          <w:sz w:val="22"/>
          <w:szCs w:val="22"/>
        </w:rPr>
        <w:t>full three-year OMB approval/clearance for this collection.</w:t>
      </w:r>
    </w:p>
    <w:p w:rsidR="006718CF" w:rsidRPr="0016268A" w:rsidP="00301636" w14:paraId="512D2DBC" w14:textId="77777777">
      <w:pPr>
        <w:ind w:left="720"/>
        <w:rPr>
          <w:sz w:val="22"/>
          <w:szCs w:val="22"/>
        </w:rPr>
      </w:pPr>
    </w:p>
    <w:p w:rsidR="006718CF" w:rsidRPr="0016268A" w:rsidP="00B70A12" w14:paraId="4D405B64" w14:textId="77777777">
      <w:pPr>
        <w:rPr>
          <w:sz w:val="22"/>
          <w:szCs w:val="22"/>
        </w:rPr>
      </w:pPr>
      <w:r w:rsidRPr="0016268A">
        <w:rPr>
          <w:sz w:val="22"/>
          <w:szCs w:val="22"/>
        </w:rPr>
        <w:t xml:space="preserve">The statutory authority for this information collection is found </w:t>
      </w:r>
      <w:r w:rsidR="00C16AA9">
        <w:rPr>
          <w:sz w:val="22"/>
          <w:szCs w:val="22"/>
        </w:rPr>
        <w:t>in</w:t>
      </w:r>
      <w:r w:rsidRPr="0016268A">
        <w:rPr>
          <w:sz w:val="22"/>
          <w:szCs w:val="22"/>
        </w:rPr>
        <w:t xml:space="preserve"> </w:t>
      </w:r>
      <w:r w:rsidRPr="0016268A" w:rsidR="00A92C4A">
        <w:rPr>
          <w:sz w:val="22"/>
          <w:szCs w:val="22"/>
        </w:rPr>
        <w:t>s</w:t>
      </w:r>
      <w:r w:rsidRPr="0016268A">
        <w:rPr>
          <w:sz w:val="22"/>
          <w:szCs w:val="22"/>
        </w:rPr>
        <w:t>ection</w:t>
      </w:r>
      <w:r w:rsidR="006514A8">
        <w:rPr>
          <w:sz w:val="22"/>
          <w:szCs w:val="22"/>
        </w:rPr>
        <w:t>s</w:t>
      </w:r>
      <w:r w:rsidRPr="0016268A">
        <w:rPr>
          <w:sz w:val="22"/>
          <w:szCs w:val="22"/>
        </w:rPr>
        <w:t xml:space="preserve"> 201(b) </w:t>
      </w:r>
      <w:r w:rsidR="006514A8">
        <w:rPr>
          <w:sz w:val="22"/>
          <w:szCs w:val="22"/>
        </w:rPr>
        <w:t xml:space="preserve">and 258 </w:t>
      </w:r>
      <w:r w:rsidRPr="0016268A">
        <w:rPr>
          <w:sz w:val="22"/>
          <w:szCs w:val="22"/>
        </w:rPr>
        <w:t>of the Communications Act of 1934</w:t>
      </w:r>
      <w:r w:rsidRPr="0016268A" w:rsidR="00A92C4A">
        <w:rPr>
          <w:sz w:val="22"/>
          <w:szCs w:val="22"/>
        </w:rPr>
        <w:t>, as amended,</w:t>
      </w:r>
      <w:r w:rsidRPr="0016268A">
        <w:rPr>
          <w:sz w:val="22"/>
          <w:szCs w:val="22"/>
        </w:rPr>
        <w:t xml:space="preserve"> 47 U.S.C. </w:t>
      </w:r>
      <w:r w:rsidRPr="0016268A" w:rsidR="00A92C4A">
        <w:rPr>
          <w:sz w:val="22"/>
          <w:szCs w:val="22"/>
        </w:rPr>
        <w:t>§</w:t>
      </w:r>
      <w:r w:rsidRPr="0016268A" w:rsidR="006514A8">
        <w:rPr>
          <w:sz w:val="22"/>
          <w:szCs w:val="22"/>
        </w:rPr>
        <w:t>§</w:t>
      </w:r>
      <w:r w:rsidRPr="0016268A" w:rsidR="00A92C4A">
        <w:rPr>
          <w:sz w:val="22"/>
          <w:szCs w:val="22"/>
        </w:rPr>
        <w:t xml:space="preserve"> </w:t>
      </w:r>
      <w:r w:rsidRPr="0016268A">
        <w:rPr>
          <w:sz w:val="22"/>
          <w:szCs w:val="22"/>
        </w:rPr>
        <w:t>201(b)</w:t>
      </w:r>
      <w:r w:rsidRPr="0016268A" w:rsidR="00A92C4A">
        <w:rPr>
          <w:sz w:val="22"/>
          <w:szCs w:val="22"/>
        </w:rPr>
        <w:t>,</w:t>
      </w:r>
      <w:r w:rsidRPr="0016268A">
        <w:rPr>
          <w:sz w:val="22"/>
          <w:szCs w:val="22"/>
        </w:rPr>
        <w:t xml:space="preserve"> 258</w:t>
      </w:r>
      <w:r w:rsidRPr="0016268A" w:rsidR="00A92C4A">
        <w:rPr>
          <w:sz w:val="22"/>
          <w:szCs w:val="22"/>
        </w:rPr>
        <w:t xml:space="preserve">, </w:t>
      </w:r>
      <w:r w:rsidRPr="0016268A">
        <w:rPr>
          <w:sz w:val="22"/>
          <w:szCs w:val="22"/>
        </w:rPr>
        <w:t>Public Law No. 104-104</w:t>
      </w:r>
      <w:r w:rsidRPr="0016268A" w:rsidR="00A92C4A">
        <w:rPr>
          <w:sz w:val="22"/>
          <w:szCs w:val="22"/>
        </w:rPr>
        <w:t>,</w:t>
      </w:r>
      <w:r w:rsidRPr="0016268A">
        <w:rPr>
          <w:sz w:val="22"/>
          <w:szCs w:val="22"/>
        </w:rPr>
        <w:t xml:space="preserve"> 110 Stat. 56.</w:t>
      </w:r>
      <w:r w:rsidRPr="0016268A" w:rsidR="00A92C4A">
        <w:rPr>
          <w:sz w:val="22"/>
          <w:szCs w:val="22"/>
        </w:rPr>
        <w:t xml:space="preserve">  The Commission’s implementing rules are codified at 47 CFR §§ 64.2400-01.</w:t>
      </w:r>
    </w:p>
    <w:p w:rsidR="00780A21" w:rsidRPr="0016268A" w:rsidP="00301636" w14:paraId="38FED9DB" w14:textId="77777777">
      <w:pPr>
        <w:ind w:left="720"/>
        <w:rPr>
          <w:sz w:val="22"/>
          <w:szCs w:val="22"/>
          <w:u w:val="single"/>
        </w:rPr>
      </w:pPr>
    </w:p>
    <w:p w:rsidR="005E2D5A" w:rsidRPr="0016268A" w:rsidP="00780A21" w14:paraId="23F867D3" w14:textId="77777777">
      <w:pPr>
        <w:rPr>
          <w:sz w:val="22"/>
          <w:szCs w:val="22"/>
        </w:rPr>
      </w:pPr>
      <w:r w:rsidRPr="0016268A">
        <w:rPr>
          <w:sz w:val="22"/>
          <w:szCs w:val="22"/>
        </w:rPr>
        <w:t xml:space="preserve">2.         </w:t>
      </w:r>
      <w:r w:rsidRPr="0016268A">
        <w:rPr>
          <w:sz w:val="22"/>
          <w:szCs w:val="22"/>
        </w:rPr>
        <w:t>The data generated by the information collection will be used by consumers</w:t>
      </w:r>
      <w:r w:rsidR="00F00E5B">
        <w:rPr>
          <w:sz w:val="22"/>
          <w:szCs w:val="22"/>
        </w:rPr>
        <w:t xml:space="preserve"> to</w:t>
      </w:r>
      <w:r w:rsidRPr="0016268A">
        <w:rPr>
          <w:sz w:val="22"/>
          <w:szCs w:val="22"/>
        </w:rPr>
        <w:t>:</w:t>
      </w:r>
    </w:p>
    <w:p w:rsidR="005E2D5A" w:rsidRPr="0016268A" w:rsidP="005E2D5A" w14:paraId="0BB3C526" w14:textId="77777777">
      <w:pPr>
        <w:ind w:left="360"/>
        <w:rPr>
          <w:sz w:val="22"/>
          <w:szCs w:val="22"/>
        </w:rPr>
      </w:pPr>
    </w:p>
    <w:p w:rsidR="00AE2C1A" w:rsidRPr="0016268A" w:rsidP="005E2D5A" w14:paraId="0A9EFED3" w14:textId="77777777">
      <w:pPr>
        <w:ind w:left="720"/>
        <w:rPr>
          <w:sz w:val="22"/>
          <w:szCs w:val="22"/>
        </w:rPr>
      </w:pPr>
      <w:r w:rsidRPr="0016268A">
        <w:rPr>
          <w:sz w:val="22"/>
          <w:szCs w:val="22"/>
        </w:rPr>
        <w:t xml:space="preserve">(a) </w:t>
      </w:r>
      <w:r w:rsidRPr="0016268A" w:rsidR="00FE64C4">
        <w:rPr>
          <w:sz w:val="22"/>
          <w:szCs w:val="22"/>
        </w:rPr>
        <w:t xml:space="preserve"> </w:t>
      </w:r>
      <w:r w:rsidRPr="0016268A" w:rsidR="00873D34">
        <w:rPr>
          <w:sz w:val="22"/>
          <w:szCs w:val="22"/>
        </w:rPr>
        <w:t xml:space="preserve">help them understand </w:t>
      </w:r>
      <w:r w:rsidR="006514A8">
        <w:rPr>
          <w:sz w:val="22"/>
          <w:szCs w:val="22"/>
        </w:rPr>
        <w:t xml:space="preserve">the charges appearing on their </w:t>
      </w:r>
      <w:r w:rsidRPr="0016268A" w:rsidR="00C43B7E">
        <w:rPr>
          <w:sz w:val="22"/>
          <w:szCs w:val="22"/>
        </w:rPr>
        <w:t xml:space="preserve">wireline and wireless </w:t>
      </w:r>
      <w:r w:rsidR="006514A8">
        <w:rPr>
          <w:sz w:val="22"/>
          <w:szCs w:val="22"/>
        </w:rPr>
        <w:t>telecommunications service bills and to ensure such charges are accurate</w:t>
      </w:r>
      <w:r w:rsidRPr="0016268A">
        <w:rPr>
          <w:sz w:val="22"/>
          <w:szCs w:val="22"/>
        </w:rPr>
        <w:t>;</w:t>
      </w:r>
      <w:r w:rsidRPr="0016268A" w:rsidR="00873D34">
        <w:rPr>
          <w:sz w:val="22"/>
          <w:szCs w:val="22"/>
        </w:rPr>
        <w:t xml:space="preserve"> </w:t>
      </w:r>
    </w:p>
    <w:p w:rsidR="005E2D5A" w:rsidRPr="0016268A" w:rsidP="005E2D5A" w14:paraId="10A2AB17" w14:textId="77777777">
      <w:pPr>
        <w:ind w:left="720"/>
        <w:rPr>
          <w:sz w:val="22"/>
          <w:szCs w:val="22"/>
        </w:rPr>
      </w:pPr>
    </w:p>
    <w:p w:rsidR="00AE2C1A" w:rsidRPr="0016268A" w:rsidP="005E2D5A" w14:paraId="4B8A3AF1" w14:textId="77777777">
      <w:pPr>
        <w:ind w:left="720"/>
        <w:rPr>
          <w:sz w:val="22"/>
          <w:szCs w:val="22"/>
        </w:rPr>
      </w:pPr>
      <w:r w:rsidRPr="0016268A">
        <w:rPr>
          <w:sz w:val="22"/>
          <w:szCs w:val="22"/>
        </w:rPr>
        <w:t xml:space="preserve">(b)  </w:t>
      </w:r>
      <w:r w:rsidRPr="0016268A" w:rsidR="00C43B7E">
        <w:rPr>
          <w:sz w:val="22"/>
          <w:szCs w:val="22"/>
        </w:rPr>
        <w:t>help them</w:t>
      </w:r>
      <w:r w:rsidR="006514A8">
        <w:rPr>
          <w:sz w:val="22"/>
          <w:szCs w:val="22"/>
        </w:rPr>
        <w:t xml:space="preserve"> compare service offerings and prices </w:t>
      </w:r>
      <w:r w:rsidRPr="0016268A" w:rsidR="00C43B7E">
        <w:rPr>
          <w:sz w:val="22"/>
          <w:szCs w:val="22"/>
        </w:rPr>
        <w:t>among competing providers</w:t>
      </w:r>
      <w:r w:rsidRPr="0016268A">
        <w:rPr>
          <w:sz w:val="22"/>
          <w:szCs w:val="22"/>
        </w:rPr>
        <w:t>;</w:t>
      </w:r>
      <w:r w:rsidRPr="0016268A" w:rsidR="00C43B7E">
        <w:rPr>
          <w:sz w:val="22"/>
          <w:szCs w:val="22"/>
        </w:rPr>
        <w:t xml:space="preserve"> </w:t>
      </w:r>
    </w:p>
    <w:p w:rsidR="00AE2C1A" w:rsidRPr="0016268A" w:rsidP="00AE2C1A" w14:paraId="11040220" w14:textId="77777777">
      <w:pPr>
        <w:ind w:left="720"/>
        <w:rPr>
          <w:sz w:val="22"/>
          <w:szCs w:val="22"/>
        </w:rPr>
      </w:pPr>
    </w:p>
    <w:p w:rsidR="00AE2C1A" w:rsidRPr="0016268A" w:rsidP="00AE2C1A" w14:paraId="61D23F8B" w14:textId="77777777">
      <w:pPr>
        <w:tabs>
          <w:tab w:val="left" w:pos="1080"/>
        </w:tabs>
        <w:ind w:left="1080" w:hanging="360"/>
        <w:rPr>
          <w:sz w:val="22"/>
          <w:szCs w:val="22"/>
        </w:rPr>
      </w:pPr>
      <w:r w:rsidRPr="0016268A">
        <w:rPr>
          <w:sz w:val="22"/>
          <w:szCs w:val="22"/>
        </w:rPr>
        <w:t>(</w:t>
      </w:r>
      <w:r w:rsidRPr="0016268A" w:rsidR="00070930">
        <w:rPr>
          <w:sz w:val="22"/>
          <w:szCs w:val="22"/>
        </w:rPr>
        <w:t>c</w:t>
      </w:r>
      <w:r w:rsidRPr="0016268A">
        <w:rPr>
          <w:sz w:val="22"/>
          <w:szCs w:val="22"/>
        </w:rPr>
        <w:t xml:space="preserve">)  </w:t>
      </w:r>
      <w:r w:rsidRPr="0016268A" w:rsidR="00873D34">
        <w:rPr>
          <w:sz w:val="22"/>
          <w:szCs w:val="22"/>
        </w:rPr>
        <w:t xml:space="preserve">protect </w:t>
      </w:r>
      <w:r w:rsidRPr="0016268A" w:rsidR="003D4A72">
        <w:rPr>
          <w:sz w:val="22"/>
          <w:szCs w:val="22"/>
        </w:rPr>
        <w:t>them</w:t>
      </w:r>
      <w:r w:rsidRPr="0016268A" w:rsidR="001B49E8">
        <w:rPr>
          <w:sz w:val="22"/>
          <w:szCs w:val="22"/>
        </w:rPr>
        <w:t>selves</w:t>
      </w:r>
      <w:r w:rsidRPr="0016268A" w:rsidR="00873D34">
        <w:rPr>
          <w:sz w:val="22"/>
          <w:szCs w:val="22"/>
        </w:rPr>
        <w:t xml:space="preserve"> against </w:t>
      </w:r>
      <w:r w:rsidR="006514A8">
        <w:rPr>
          <w:sz w:val="22"/>
          <w:szCs w:val="22"/>
        </w:rPr>
        <w:t xml:space="preserve">unauthorized charges and </w:t>
      </w:r>
      <w:r w:rsidRPr="0016268A" w:rsidR="00873D34">
        <w:rPr>
          <w:sz w:val="22"/>
          <w:szCs w:val="22"/>
        </w:rPr>
        <w:t>fraud</w:t>
      </w:r>
      <w:r w:rsidRPr="0016268A" w:rsidR="005E2D5A">
        <w:rPr>
          <w:sz w:val="22"/>
          <w:szCs w:val="22"/>
        </w:rPr>
        <w:t>;</w:t>
      </w:r>
      <w:r w:rsidRPr="0016268A" w:rsidR="00873D34">
        <w:rPr>
          <w:sz w:val="22"/>
          <w:szCs w:val="22"/>
        </w:rPr>
        <w:t xml:space="preserve"> and </w:t>
      </w:r>
    </w:p>
    <w:p w:rsidR="00AE2C1A" w:rsidRPr="0016268A" w:rsidP="00AE2C1A" w14:paraId="59DCA0FE" w14:textId="77777777">
      <w:pPr>
        <w:tabs>
          <w:tab w:val="left" w:pos="1080"/>
        </w:tabs>
        <w:ind w:left="1080" w:hanging="360"/>
        <w:rPr>
          <w:sz w:val="22"/>
          <w:szCs w:val="22"/>
        </w:rPr>
      </w:pPr>
    </w:p>
    <w:p w:rsidR="00873D34" w:rsidRPr="0016268A" w:rsidP="00AE2C1A" w14:paraId="001926E4" w14:textId="77777777">
      <w:pPr>
        <w:ind w:firstLine="720"/>
        <w:rPr>
          <w:b/>
          <w:sz w:val="22"/>
          <w:szCs w:val="22"/>
        </w:rPr>
      </w:pPr>
      <w:r w:rsidRPr="0016268A">
        <w:rPr>
          <w:sz w:val="22"/>
          <w:szCs w:val="22"/>
        </w:rPr>
        <w:t>(</w:t>
      </w:r>
      <w:r w:rsidRPr="0016268A" w:rsidR="00070930">
        <w:rPr>
          <w:sz w:val="22"/>
          <w:szCs w:val="22"/>
        </w:rPr>
        <w:t>d</w:t>
      </w:r>
      <w:r w:rsidRPr="0016268A">
        <w:rPr>
          <w:sz w:val="22"/>
          <w:szCs w:val="22"/>
        </w:rPr>
        <w:t xml:space="preserve">)  </w:t>
      </w:r>
      <w:r w:rsidRPr="0016268A">
        <w:rPr>
          <w:sz w:val="22"/>
          <w:szCs w:val="22"/>
        </w:rPr>
        <w:t>help them</w:t>
      </w:r>
      <w:r w:rsidR="00137B09">
        <w:rPr>
          <w:sz w:val="22"/>
          <w:szCs w:val="22"/>
        </w:rPr>
        <w:t xml:space="preserve"> </w:t>
      </w:r>
      <w:r w:rsidRPr="0016268A">
        <w:rPr>
          <w:sz w:val="22"/>
          <w:szCs w:val="22"/>
        </w:rPr>
        <w:t>resolve billing disputes.</w:t>
      </w:r>
      <w:r w:rsidRPr="0016268A" w:rsidR="00501B66">
        <w:rPr>
          <w:sz w:val="22"/>
          <w:szCs w:val="22"/>
        </w:rPr>
        <w:t xml:space="preserve"> </w:t>
      </w:r>
    </w:p>
    <w:p w:rsidR="00873D34" w:rsidRPr="0016268A" w14:paraId="5FF59A8B" w14:textId="77777777">
      <w:pPr>
        <w:rPr>
          <w:sz w:val="22"/>
          <w:szCs w:val="22"/>
        </w:rPr>
      </w:pPr>
      <w:r w:rsidRPr="0016268A">
        <w:rPr>
          <w:sz w:val="22"/>
          <w:szCs w:val="22"/>
        </w:rPr>
        <w:tab/>
      </w:r>
    </w:p>
    <w:p w:rsidR="009E64C9" w:rsidRPr="0082699E" w:rsidP="00301636" w14:paraId="6C36BCA8" w14:textId="77777777">
      <w:pPr>
        <w:ind w:left="720" w:hanging="720"/>
        <w:rPr>
          <w:sz w:val="22"/>
          <w:szCs w:val="22"/>
        </w:rPr>
      </w:pPr>
      <w:r w:rsidRPr="0016268A">
        <w:rPr>
          <w:sz w:val="22"/>
          <w:szCs w:val="22"/>
        </w:rPr>
        <w:t>3.</w:t>
      </w:r>
      <w:r w:rsidRPr="0016268A" w:rsidR="00301636">
        <w:rPr>
          <w:sz w:val="22"/>
          <w:szCs w:val="22"/>
        </w:rPr>
        <w:tab/>
      </w:r>
      <w:r w:rsidR="00B63034">
        <w:rPr>
          <w:sz w:val="22"/>
          <w:szCs w:val="22"/>
        </w:rPr>
        <w:t xml:space="preserve">The Commission expects that </w:t>
      </w:r>
      <w:r w:rsidR="00F93433">
        <w:rPr>
          <w:sz w:val="22"/>
          <w:szCs w:val="22"/>
        </w:rPr>
        <w:t>most</w:t>
      </w:r>
      <w:r w:rsidR="00B63034">
        <w:rPr>
          <w:sz w:val="22"/>
          <w:szCs w:val="22"/>
        </w:rPr>
        <w:t xml:space="preserve"> records </w:t>
      </w:r>
      <w:r w:rsidR="00F93433">
        <w:rPr>
          <w:sz w:val="22"/>
          <w:szCs w:val="22"/>
        </w:rPr>
        <w:t>will</w:t>
      </w:r>
      <w:r w:rsidR="00B63034">
        <w:rPr>
          <w:sz w:val="22"/>
          <w:szCs w:val="22"/>
        </w:rPr>
        <w:t xml:space="preserve"> be kept electronically.  </w:t>
      </w:r>
      <w:r w:rsidRPr="0082699E">
        <w:rPr>
          <w:sz w:val="22"/>
          <w:szCs w:val="22"/>
        </w:rPr>
        <w:t xml:space="preserve">The </w:t>
      </w:r>
      <w:r w:rsidRPr="0082699E" w:rsidR="00C35EF0">
        <w:rPr>
          <w:sz w:val="22"/>
          <w:szCs w:val="22"/>
        </w:rPr>
        <w:t>Commission</w:t>
      </w:r>
      <w:r w:rsidRPr="0082699E" w:rsidR="008E7BB6">
        <w:rPr>
          <w:b/>
          <w:sz w:val="22"/>
          <w:szCs w:val="22"/>
        </w:rPr>
        <w:t xml:space="preserve"> </w:t>
      </w:r>
      <w:r w:rsidRPr="0082699E" w:rsidR="004A4BF8">
        <w:rPr>
          <w:bCs/>
          <w:sz w:val="22"/>
          <w:szCs w:val="22"/>
        </w:rPr>
        <w:t>previously</w:t>
      </w:r>
      <w:r w:rsidRPr="0082699E" w:rsidR="008E7BB6">
        <w:rPr>
          <w:bCs/>
          <w:sz w:val="22"/>
          <w:szCs w:val="22"/>
        </w:rPr>
        <w:t xml:space="preserve"> </w:t>
      </w:r>
      <w:r w:rsidRPr="0082699E" w:rsidR="00C35EF0">
        <w:rPr>
          <w:sz w:val="22"/>
          <w:szCs w:val="22"/>
        </w:rPr>
        <w:t xml:space="preserve">modified its requirement </w:t>
      </w:r>
      <w:r w:rsidRPr="0082699E" w:rsidR="00B377D9">
        <w:rPr>
          <w:sz w:val="22"/>
          <w:szCs w:val="22"/>
        </w:rPr>
        <w:t>for a carrier to</w:t>
      </w:r>
      <w:r w:rsidRPr="0082699E" w:rsidR="00C35EF0">
        <w:rPr>
          <w:sz w:val="22"/>
          <w:szCs w:val="22"/>
        </w:rPr>
        <w:t xml:space="preserve"> </w:t>
      </w:r>
      <w:r w:rsidRPr="0082699E" w:rsidR="00B377D9">
        <w:rPr>
          <w:sz w:val="22"/>
          <w:szCs w:val="22"/>
        </w:rPr>
        <w:t>provide a contact number on</w:t>
      </w:r>
      <w:r w:rsidRPr="0082699E" w:rsidR="00C35EF0">
        <w:rPr>
          <w:sz w:val="22"/>
          <w:szCs w:val="22"/>
        </w:rPr>
        <w:t xml:space="preserve"> a paper copy of </w:t>
      </w:r>
      <w:r w:rsidRPr="0082699E" w:rsidR="00C43B7E">
        <w:rPr>
          <w:sz w:val="22"/>
          <w:szCs w:val="22"/>
        </w:rPr>
        <w:t xml:space="preserve">a </w:t>
      </w:r>
      <w:r w:rsidRPr="0082699E" w:rsidR="00C35EF0">
        <w:rPr>
          <w:sz w:val="22"/>
          <w:szCs w:val="22"/>
        </w:rPr>
        <w:t xml:space="preserve">customer’s bill, </w:t>
      </w:r>
      <w:r w:rsidRPr="0082699E" w:rsidR="00B377D9">
        <w:rPr>
          <w:sz w:val="22"/>
          <w:szCs w:val="22"/>
        </w:rPr>
        <w:t>and</w:t>
      </w:r>
      <w:r w:rsidRPr="0082699E" w:rsidR="00C35EF0">
        <w:rPr>
          <w:sz w:val="22"/>
          <w:szCs w:val="22"/>
        </w:rPr>
        <w:t xml:space="preserve"> creat</w:t>
      </w:r>
      <w:r w:rsidRPr="0082699E" w:rsidR="00B377D9">
        <w:rPr>
          <w:sz w:val="22"/>
          <w:szCs w:val="22"/>
        </w:rPr>
        <w:t>ed</w:t>
      </w:r>
      <w:r w:rsidRPr="0082699E" w:rsidR="00C35EF0">
        <w:rPr>
          <w:sz w:val="22"/>
          <w:szCs w:val="22"/>
        </w:rPr>
        <w:t xml:space="preserve"> a limited exception </w:t>
      </w:r>
      <w:r w:rsidRPr="0082699E" w:rsidR="00B377D9">
        <w:rPr>
          <w:sz w:val="22"/>
          <w:szCs w:val="22"/>
        </w:rPr>
        <w:t xml:space="preserve">when </w:t>
      </w:r>
      <w:r w:rsidRPr="0082699E" w:rsidR="00C35EF0">
        <w:rPr>
          <w:sz w:val="22"/>
          <w:szCs w:val="22"/>
        </w:rPr>
        <w:t>the customer accesses that bill only by e-mail or internet</w:t>
      </w:r>
      <w:r w:rsidRPr="0082699E" w:rsidR="00B377D9">
        <w:rPr>
          <w:sz w:val="22"/>
          <w:szCs w:val="22"/>
        </w:rPr>
        <w:t>.</w:t>
      </w:r>
      <w:r w:rsidRPr="0082699E" w:rsidR="00C35EF0">
        <w:rPr>
          <w:sz w:val="22"/>
          <w:szCs w:val="22"/>
        </w:rPr>
        <w:t xml:space="preserve"> </w:t>
      </w:r>
    </w:p>
    <w:p w:rsidR="009E64C9" w:rsidRPr="0082699E" w:rsidP="00301636" w14:paraId="0AF071AB" w14:textId="77777777">
      <w:pPr>
        <w:ind w:left="720" w:hanging="720"/>
        <w:rPr>
          <w:sz w:val="22"/>
          <w:szCs w:val="22"/>
        </w:rPr>
      </w:pPr>
    </w:p>
    <w:p w:rsidR="009E64C9" w:rsidRPr="0082699E" w:rsidP="009E64C9" w14:paraId="454571AE" w14:textId="77777777">
      <w:pPr>
        <w:tabs>
          <w:tab w:val="left" w:pos="1080"/>
        </w:tabs>
        <w:ind w:left="1080" w:hanging="360"/>
        <w:rPr>
          <w:sz w:val="22"/>
          <w:szCs w:val="22"/>
        </w:rPr>
      </w:pPr>
      <w:r w:rsidRPr="0082699E">
        <w:rPr>
          <w:sz w:val="22"/>
          <w:szCs w:val="22"/>
        </w:rPr>
        <w:t>(a)</w:t>
      </w:r>
      <w:r w:rsidRPr="0082699E">
        <w:rPr>
          <w:sz w:val="22"/>
          <w:szCs w:val="22"/>
        </w:rPr>
        <w:tab/>
      </w:r>
      <w:r w:rsidRPr="0082699E" w:rsidR="00C35EF0">
        <w:rPr>
          <w:sz w:val="22"/>
          <w:szCs w:val="22"/>
        </w:rPr>
        <w:t>Under such circumstance</w:t>
      </w:r>
      <w:r w:rsidRPr="0082699E" w:rsidR="0090523C">
        <w:rPr>
          <w:sz w:val="22"/>
          <w:szCs w:val="22"/>
        </w:rPr>
        <w:t>s</w:t>
      </w:r>
      <w:r w:rsidRPr="0082699E" w:rsidR="00C35EF0">
        <w:rPr>
          <w:sz w:val="22"/>
          <w:szCs w:val="22"/>
        </w:rPr>
        <w:t>, the Commission f</w:t>
      </w:r>
      <w:r w:rsidRPr="0082699E" w:rsidR="0090523C">
        <w:rPr>
          <w:sz w:val="22"/>
          <w:szCs w:val="22"/>
        </w:rPr>
        <w:t xml:space="preserve">ound </w:t>
      </w:r>
      <w:r w:rsidRPr="0082699E" w:rsidR="00C35EF0">
        <w:rPr>
          <w:sz w:val="22"/>
          <w:szCs w:val="22"/>
        </w:rPr>
        <w:t xml:space="preserve">it reasonable to expect that customers can adequately resolve their inquiries and disputes through e-mail or </w:t>
      </w:r>
      <w:r w:rsidRPr="0082699E" w:rsidR="00B377D9">
        <w:rPr>
          <w:sz w:val="22"/>
          <w:szCs w:val="22"/>
        </w:rPr>
        <w:t>w</w:t>
      </w:r>
      <w:r w:rsidRPr="0082699E" w:rsidR="00C35EF0">
        <w:rPr>
          <w:sz w:val="22"/>
          <w:szCs w:val="22"/>
        </w:rPr>
        <w:t xml:space="preserve">ebsite communications.  </w:t>
      </w:r>
    </w:p>
    <w:p w:rsidR="009E64C9" w:rsidRPr="0082699E" w:rsidP="009E64C9" w14:paraId="142701C5" w14:textId="77777777">
      <w:pPr>
        <w:tabs>
          <w:tab w:val="left" w:pos="1080"/>
        </w:tabs>
        <w:ind w:left="1080" w:hanging="360"/>
        <w:rPr>
          <w:sz w:val="22"/>
          <w:szCs w:val="22"/>
        </w:rPr>
      </w:pPr>
    </w:p>
    <w:p w:rsidR="009E64C9" w:rsidRPr="0082699E" w:rsidP="009E64C9" w14:paraId="377BA913" w14:textId="77777777">
      <w:pPr>
        <w:tabs>
          <w:tab w:val="left" w:pos="1080"/>
        </w:tabs>
        <w:ind w:left="1080" w:hanging="360"/>
        <w:rPr>
          <w:sz w:val="22"/>
          <w:szCs w:val="22"/>
        </w:rPr>
      </w:pPr>
      <w:r w:rsidRPr="0082699E">
        <w:rPr>
          <w:sz w:val="22"/>
          <w:szCs w:val="22"/>
        </w:rPr>
        <w:t>(b)</w:t>
      </w:r>
      <w:r w:rsidRPr="0082699E">
        <w:rPr>
          <w:sz w:val="22"/>
          <w:szCs w:val="22"/>
        </w:rPr>
        <w:tab/>
      </w:r>
      <w:r w:rsidRPr="0082699E" w:rsidR="00C35EF0">
        <w:rPr>
          <w:sz w:val="22"/>
          <w:szCs w:val="22"/>
        </w:rPr>
        <w:t>The Commission note</w:t>
      </w:r>
      <w:r w:rsidRPr="0082699E" w:rsidR="00B377D9">
        <w:rPr>
          <w:sz w:val="22"/>
          <w:szCs w:val="22"/>
        </w:rPr>
        <w:t>d</w:t>
      </w:r>
      <w:r w:rsidRPr="0082699E" w:rsidR="00C35EF0">
        <w:rPr>
          <w:sz w:val="22"/>
          <w:szCs w:val="22"/>
        </w:rPr>
        <w:t xml:space="preserve"> that any carrier may provide on customers’ bills other means for consumers to make inquiries, such as an e-mail address, in addition to </w:t>
      </w:r>
      <w:r w:rsidRPr="0082699E" w:rsidR="00B377D9">
        <w:rPr>
          <w:sz w:val="22"/>
          <w:szCs w:val="22"/>
        </w:rPr>
        <w:t>the</w:t>
      </w:r>
      <w:r w:rsidRPr="0082699E" w:rsidR="00C35EF0">
        <w:rPr>
          <w:sz w:val="22"/>
          <w:szCs w:val="22"/>
        </w:rPr>
        <w:t xml:space="preserve"> toll-free number required by 47 CFR § 64.2401(d).  </w:t>
      </w:r>
    </w:p>
    <w:p w:rsidR="00FE64C4" w:rsidRPr="0082699E" w:rsidP="009E64C9" w14:paraId="1E1214D2" w14:textId="77777777">
      <w:pPr>
        <w:tabs>
          <w:tab w:val="left" w:pos="1080"/>
        </w:tabs>
        <w:ind w:left="1080" w:hanging="360"/>
        <w:rPr>
          <w:sz w:val="22"/>
          <w:szCs w:val="22"/>
        </w:rPr>
      </w:pPr>
    </w:p>
    <w:p w:rsidR="009E3321" w:rsidRPr="0082699E" w:rsidP="00B63034" w14:paraId="36B58ABD" w14:textId="77777777">
      <w:pPr>
        <w:tabs>
          <w:tab w:val="left" w:pos="1080"/>
        </w:tabs>
        <w:ind w:left="1080" w:hanging="360"/>
        <w:rPr>
          <w:sz w:val="22"/>
          <w:szCs w:val="22"/>
        </w:rPr>
      </w:pPr>
      <w:r w:rsidRPr="0082699E">
        <w:rPr>
          <w:sz w:val="22"/>
          <w:szCs w:val="22"/>
        </w:rPr>
        <w:t>(c)</w:t>
      </w:r>
      <w:r w:rsidRPr="0082699E">
        <w:rPr>
          <w:sz w:val="22"/>
          <w:szCs w:val="22"/>
        </w:rPr>
        <w:tab/>
      </w:r>
      <w:r w:rsidRPr="0082699E" w:rsidR="00C35EF0">
        <w:rPr>
          <w:sz w:val="22"/>
          <w:szCs w:val="22"/>
        </w:rPr>
        <w:t xml:space="preserve">The </w:t>
      </w:r>
      <w:r w:rsidRPr="0082699E" w:rsidR="002E0185">
        <w:rPr>
          <w:sz w:val="22"/>
          <w:szCs w:val="22"/>
        </w:rPr>
        <w:t>Commission</w:t>
      </w:r>
      <w:r w:rsidRPr="0082699E" w:rsidR="00B377D9">
        <w:rPr>
          <w:sz w:val="22"/>
          <w:szCs w:val="22"/>
        </w:rPr>
        <w:t>’s rules allow</w:t>
      </w:r>
      <w:r w:rsidRPr="0082699E" w:rsidR="00C35EF0">
        <w:rPr>
          <w:sz w:val="22"/>
          <w:szCs w:val="22"/>
        </w:rPr>
        <w:t xml:space="preserve"> </w:t>
      </w:r>
      <w:r w:rsidRPr="0082699E" w:rsidR="00B377D9">
        <w:rPr>
          <w:sz w:val="22"/>
          <w:szCs w:val="22"/>
        </w:rPr>
        <w:t>carriers</w:t>
      </w:r>
      <w:r w:rsidRPr="0082699E" w:rsidR="0090523C">
        <w:rPr>
          <w:sz w:val="22"/>
          <w:szCs w:val="22"/>
        </w:rPr>
        <w:t xml:space="preserve"> </w:t>
      </w:r>
      <w:r w:rsidRPr="0082699E" w:rsidR="00C35EF0">
        <w:rPr>
          <w:sz w:val="22"/>
          <w:szCs w:val="22"/>
        </w:rPr>
        <w:t xml:space="preserve">to use electronic collection techniques, </w:t>
      </w:r>
      <w:r w:rsidRPr="00F93433" w:rsidR="00C35EF0">
        <w:rPr>
          <w:iCs/>
          <w:sz w:val="22"/>
          <w:szCs w:val="22"/>
        </w:rPr>
        <w:t>i.e.,</w:t>
      </w:r>
      <w:r w:rsidRPr="0082699E" w:rsidR="00C35EF0">
        <w:rPr>
          <w:sz w:val="22"/>
          <w:szCs w:val="22"/>
        </w:rPr>
        <w:t xml:space="preserve"> Internet, e</w:t>
      </w:r>
      <w:r w:rsidRPr="0082699E" w:rsidR="00B377D9">
        <w:rPr>
          <w:sz w:val="22"/>
          <w:szCs w:val="22"/>
        </w:rPr>
        <w:t>-</w:t>
      </w:r>
      <w:r w:rsidRPr="0082699E" w:rsidR="00C35EF0">
        <w:rPr>
          <w:sz w:val="22"/>
          <w:szCs w:val="22"/>
        </w:rPr>
        <w:t>mail, and toll-free numbers, to comply with th</w:t>
      </w:r>
      <w:r w:rsidR="00E64B08">
        <w:rPr>
          <w:sz w:val="22"/>
          <w:szCs w:val="22"/>
        </w:rPr>
        <w:t>is</w:t>
      </w:r>
      <w:r w:rsidRPr="0082699E" w:rsidR="00C35EF0">
        <w:rPr>
          <w:sz w:val="22"/>
          <w:szCs w:val="22"/>
        </w:rPr>
        <w:t xml:space="preserve"> info</w:t>
      </w:r>
      <w:r w:rsidRPr="0082699E" w:rsidR="00C43B7E">
        <w:rPr>
          <w:sz w:val="22"/>
          <w:szCs w:val="22"/>
        </w:rPr>
        <w:t>rmation collection requirement</w:t>
      </w:r>
      <w:r w:rsidR="00B63034">
        <w:rPr>
          <w:sz w:val="22"/>
          <w:szCs w:val="22"/>
        </w:rPr>
        <w:t>.</w:t>
      </w:r>
    </w:p>
    <w:p w:rsidR="00D929AF" w:rsidRPr="0082699E" w:rsidP="009E3321" w14:paraId="6D985551" w14:textId="77777777">
      <w:pPr>
        <w:tabs>
          <w:tab w:val="left" w:pos="720"/>
        </w:tabs>
        <w:ind w:left="720"/>
        <w:rPr>
          <w:sz w:val="22"/>
          <w:szCs w:val="22"/>
        </w:rPr>
      </w:pPr>
    </w:p>
    <w:p w:rsidR="00D929AF" w:rsidRPr="00B852B0" w:rsidP="000254D1" w14:paraId="080DEA68" w14:textId="77777777">
      <w:pPr>
        <w:tabs>
          <w:tab w:val="left" w:pos="1170"/>
        </w:tabs>
        <w:ind w:left="1080" w:hanging="360"/>
        <w:rPr>
          <w:sz w:val="22"/>
          <w:szCs w:val="22"/>
        </w:rPr>
      </w:pPr>
      <w:r w:rsidRPr="0082699E">
        <w:rPr>
          <w:sz w:val="22"/>
          <w:szCs w:val="22"/>
        </w:rPr>
        <w:t xml:space="preserve">(d) </w:t>
      </w:r>
      <w:r w:rsidRPr="0082699E">
        <w:rPr>
          <w:sz w:val="22"/>
          <w:szCs w:val="22"/>
        </w:rPr>
        <w:t>The Commission</w:t>
      </w:r>
      <w:r w:rsidRPr="0082699E">
        <w:rPr>
          <w:sz w:val="22"/>
          <w:szCs w:val="22"/>
        </w:rPr>
        <w:t>’s rules only require those carriers that offer the option to block third</w:t>
      </w:r>
      <w:r w:rsidR="00E64B08">
        <w:rPr>
          <w:sz w:val="22"/>
          <w:szCs w:val="22"/>
        </w:rPr>
        <w:t>-</w:t>
      </w:r>
      <w:r w:rsidRPr="0082699E">
        <w:rPr>
          <w:sz w:val="22"/>
          <w:szCs w:val="22"/>
        </w:rPr>
        <w:t xml:space="preserve">party charges to notify subscribers of that option.  </w:t>
      </w:r>
      <w:r w:rsidR="00B63034">
        <w:rPr>
          <w:sz w:val="22"/>
          <w:szCs w:val="22"/>
        </w:rPr>
        <w:t xml:space="preserve">They must do so on each telephone bill, at the </w:t>
      </w:r>
      <w:r w:rsidR="00B63034">
        <w:rPr>
          <w:sz w:val="22"/>
          <w:szCs w:val="22"/>
        </w:rPr>
        <w:t xml:space="preserve">point of sale, and on their websites.  </w:t>
      </w:r>
      <w:r w:rsidRPr="0082699E">
        <w:rPr>
          <w:sz w:val="22"/>
          <w:szCs w:val="22"/>
        </w:rPr>
        <w:t>Carriers</w:t>
      </w:r>
      <w:r>
        <w:rPr>
          <w:sz w:val="22"/>
          <w:szCs w:val="22"/>
        </w:rPr>
        <w:t xml:space="preserve"> that do not offer blocking of third-party charges do not need to make any additional notifications to consumers.  </w:t>
      </w:r>
      <w:r>
        <w:rPr>
          <w:sz w:val="22"/>
          <w:szCs w:val="22"/>
        </w:rPr>
        <w:t xml:space="preserve"> </w:t>
      </w:r>
    </w:p>
    <w:p w:rsidR="009E3321" w:rsidRPr="00B852B0" w:rsidP="009E3321" w14:paraId="18E65380" w14:textId="77777777">
      <w:pPr>
        <w:tabs>
          <w:tab w:val="left" w:pos="720"/>
        </w:tabs>
        <w:ind w:left="720"/>
        <w:rPr>
          <w:sz w:val="22"/>
          <w:szCs w:val="22"/>
        </w:rPr>
      </w:pPr>
    </w:p>
    <w:p w:rsidR="00873D34" w:rsidRPr="00B852B0" w:rsidP="006B0064" w14:paraId="571E266C" w14:textId="77777777">
      <w:pPr>
        <w:ind w:left="720" w:hanging="720"/>
        <w:rPr>
          <w:sz w:val="22"/>
          <w:szCs w:val="22"/>
        </w:rPr>
      </w:pPr>
      <w:r w:rsidRPr="00B852B0">
        <w:rPr>
          <w:sz w:val="22"/>
          <w:szCs w:val="22"/>
        </w:rPr>
        <w:t>4.</w:t>
      </w:r>
      <w:r w:rsidRPr="00B852B0" w:rsidR="00301636">
        <w:rPr>
          <w:sz w:val="22"/>
          <w:szCs w:val="22"/>
        </w:rPr>
        <w:tab/>
      </w:r>
      <w:r w:rsidRPr="00B852B0" w:rsidR="00A229C1">
        <w:rPr>
          <w:sz w:val="22"/>
          <w:szCs w:val="22"/>
        </w:rPr>
        <w:t>The information collection requirements are not duplicative of any existing federal regulatory obligation.</w:t>
      </w:r>
    </w:p>
    <w:p w:rsidR="00873D34" w:rsidRPr="00B852B0" w14:paraId="3AB4DDAB" w14:textId="77777777">
      <w:pPr>
        <w:rPr>
          <w:sz w:val="22"/>
          <w:szCs w:val="22"/>
        </w:rPr>
      </w:pPr>
    </w:p>
    <w:p w:rsidR="00873D34" w:rsidRPr="00B852B0" w:rsidP="00301636" w14:paraId="47A8BA32" w14:textId="77777777">
      <w:pPr>
        <w:ind w:left="720" w:hanging="720"/>
        <w:rPr>
          <w:sz w:val="22"/>
          <w:szCs w:val="22"/>
        </w:rPr>
      </w:pPr>
      <w:r w:rsidRPr="00B852B0">
        <w:rPr>
          <w:sz w:val="22"/>
          <w:szCs w:val="22"/>
        </w:rPr>
        <w:t xml:space="preserve">5.  </w:t>
      </w:r>
      <w:r w:rsidRPr="00B852B0" w:rsidR="00301636">
        <w:rPr>
          <w:sz w:val="22"/>
          <w:szCs w:val="22"/>
        </w:rPr>
        <w:tab/>
      </w:r>
      <w:r w:rsidRPr="00B852B0" w:rsidR="00940D91">
        <w:rPr>
          <w:sz w:val="22"/>
          <w:szCs w:val="22"/>
        </w:rPr>
        <w:t>There will not be a significant impact on a substantial number of small businesses/entities by this information being collected.</w:t>
      </w:r>
      <w:r w:rsidRPr="00B852B0" w:rsidR="009E3321">
        <w:rPr>
          <w:sz w:val="22"/>
          <w:szCs w:val="22"/>
        </w:rPr>
        <w:t xml:space="preserve"> </w:t>
      </w:r>
      <w:r w:rsidR="00E929CA">
        <w:rPr>
          <w:sz w:val="22"/>
          <w:szCs w:val="22"/>
        </w:rPr>
        <w:t xml:space="preserve"> </w:t>
      </w:r>
      <w:r w:rsidRPr="00B852B0" w:rsidR="009E3321">
        <w:rPr>
          <w:sz w:val="22"/>
          <w:szCs w:val="22"/>
        </w:rPr>
        <w:t xml:space="preserve">The rules </w:t>
      </w:r>
      <w:r w:rsidR="008E7BB6">
        <w:rPr>
          <w:sz w:val="22"/>
          <w:szCs w:val="22"/>
        </w:rPr>
        <w:t xml:space="preserve">dating back to 1999 and revised in 2012 and 2018 </w:t>
      </w:r>
      <w:r w:rsidR="00DA6C16">
        <w:rPr>
          <w:sz w:val="22"/>
          <w:szCs w:val="22"/>
        </w:rPr>
        <w:t xml:space="preserve">have been in place for some time and </w:t>
      </w:r>
      <w:r w:rsidRPr="00B852B0" w:rsidR="009E3321">
        <w:rPr>
          <w:sz w:val="22"/>
          <w:szCs w:val="22"/>
        </w:rPr>
        <w:t xml:space="preserve">are generally consistent with current industry practices, so the </w:t>
      </w:r>
      <w:r w:rsidR="0003028D">
        <w:rPr>
          <w:sz w:val="22"/>
          <w:szCs w:val="22"/>
        </w:rPr>
        <w:t xml:space="preserve">current </w:t>
      </w:r>
      <w:r w:rsidRPr="00B852B0" w:rsidR="009E3321">
        <w:rPr>
          <w:sz w:val="22"/>
          <w:szCs w:val="22"/>
        </w:rPr>
        <w:t xml:space="preserve">costs of compliance </w:t>
      </w:r>
      <w:r w:rsidR="0003028D">
        <w:rPr>
          <w:sz w:val="22"/>
          <w:szCs w:val="22"/>
        </w:rPr>
        <w:t>are</w:t>
      </w:r>
      <w:r w:rsidRPr="00B852B0" w:rsidR="009E3321">
        <w:rPr>
          <w:sz w:val="22"/>
          <w:szCs w:val="22"/>
        </w:rPr>
        <w:t xml:space="preserve"> limited</w:t>
      </w:r>
      <w:r w:rsidRPr="00B852B0" w:rsidR="009E3321">
        <w:rPr>
          <w:iCs/>
          <w:sz w:val="22"/>
          <w:szCs w:val="22"/>
        </w:rPr>
        <w:t>.</w:t>
      </w:r>
    </w:p>
    <w:p w:rsidR="00873D34" w:rsidRPr="00B852B0" w14:paraId="2EFBD82C" w14:textId="77777777">
      <w:pPr>
        <w:rPr>
          <w:sz w:val="22"/>
          <w:szCs w:val="22"/>
        </w:rPr>
      </w:pPr>
    </w:p>
    <w:p w:rsidR="00873D34" w:rsidRPr="00B852B0" w:rsidP="00843EFB" w14:paraId="0EA0D8D1" w14:textId="77777777">
      <w:pPr>
        <w:ind w:left="720" w:hanging="720"/>
        <w:rPr>
          <w:sz w:val="22"/>
          <w:szCs w:val="22"/>
        </w:rPr>
      </w:pPr>
      <w:r w:rsidRPr="00B852B0">
        <w:rPr>
          <w:sz w:val="22"/>
          <w:szCs w:val="22"/>
        </w:rPr>
        <w:t xml:space="preserve">6.  </w:t>
      </w:r>
      <w:r w:rsidRPr="00B852B0" w:rsidR="00301636">
        <w:rPr>
          <w:sz w:val="22"/>
          <w:szCs w:val="22"/>
        </w:rPr>
        <w:tab/>
      </w:r>
      <w:r w:rsidRPr="00B852B0" w:rsidR="004761E4">
        <w:rPr>
          <w:sz w:val="22"/>
          <w:szCs w:val="22"/>
        </w:rPr>
        <w:t xml:space="preserve">Without these information collection requirements, </w:t>
      </w:r>
      <w:r w:rsidRPr="00B852B0">
        <w:rPr>
          <w:sz w:val="22"/>
          <w:szCs w:val="22"/>
        </w:rPr>
        <w:t xml:space="preserve">consumers </w:t>
      </w:r>
      <w:r w:rsidR="008E7BB6">
        <w:rPr>
          <w:sz w:val="22"/>
          <w:szCs w:val="22"/>
        </w:rPr>
        <w:t>may</w:t>
      </w:r>
      <w:r w:rsidRPr="00B852B0">
        <w:rPr>
          <w:sz w:val="22"/>
          <w:szCs w:val="22"/>
        </w:rPr>
        <w:t xml:space="preserve"> be confused and frustrated </w:t>
      </w:r>
      <w:r w:rsidR="00CA2E9F">
        <w:rPr>
          <w:sz w:val="22"/>
          <w:szCs w:val="22"/>
        </w:rPr>
        <w:t>reviewing</w:t>
      </w:r>
      <w:r w:rsidRPr="00B852B0">
        <w:rPr>
          <w:sz w:val="22"/>
          <w:szCs w:val="22"/>
        </w:rPr>
        <w:t xml:space="preserve"> their bills</w:t>
      </w:r>
      <w:r w:rsidRPr="00B852B0" w:rsidR="0090523C">
        <w:rPr>
          <w:sz w:val="22"/>
          <w:szCs w:val="22"/>
        </w:rPr>
        <w:t xml:space="preserve"> and </w:t>
      </w:r>
      <w:r w:rsidR="00CA2E9F">
        <w:rPr>
          <w:sz w:val="22"/>
          <w:szCs w:val="22"/>
        </w:rPr>
        <w:t xml:space="preserve">may not have the information they need </w:t>
      </w:r>
      <w:r w:rsidRPr="00B852B0" w:rsidR="0090523C">
        <w:rPr>
          <w:sz w:val="22"/>
          <w:szCs w:val="22"/>
        </w:rPr>
        <w:t>when seeking service</w:t>
      </w:r>
      <w:r w:rsidR="008E7BB6">
        <w:rPr>
          <w:sz w:val="22"/>
          <w:szCs w:val="22"/>
        </w:rPr>
        <w:t xml:space="preserve"> from a new provider</w:t>
      </w:r>
      <w:r w:rsidRPr="00B852B0">
        <w:rPr>
          <w:sz w:val="22"/>
          <w:szCs w:val="22"/>
        </w:rPr>
        <w:t xml:space="preserve">.  They </w:t>
      </w:r>
      <w:r w:rsidR="008E7BB6">
        <w:rPr>
          <w:sz w:val="22"/>
          <w:szCs w:val="22"/>
        </w:rPr>
        <w:t>may</w:t>
      </w:r>
      <w:r w:rsidRPr="00B852B0">
        <w:rPr>
          <w:sz w:val="22"/>
          <w:szCs w:val="22"/>
        </w:rPr>
        <w:t xml:space="preserve"> </w:t>
      </w:r>
      <w:r w:rsidR="00CF0D5B">
        <w:rPr>
          <w:sz w:val="22"/>
          <w:szCs w:val="22"/>
        </w:rPr>
        <w:t xml:space="preserve">also </w:t>
      </w:r>
      <w:r w:rsidRPr="00B852B0">
        <w:rPr>
          <w:sz w:val="22"/>
          <w:szCs w:val="22"/>
        </w:rPr>
        <w:t>experience difficulty</w:t>
      </w:r>
      <w:r w:rsidRPr="00B852B0" w:rsidR="00843EFB">
        <w:rPr>
          <w:sz w:val="22"/>
          <w:szCs w:val="22"/>
        </w:rPr>
        <w:t xml:space="preserve"> </w:t>
      </w:r>
      <w:r w:rsidRPr="00B852B0">
        <w:rPr>
          <w:sz w:val="22"/>
          <w:szCs w:val="22"/>
        </w:rPr>
        <w:t xml:space="preserve">in detecting fraud, comparing carrier rates, </w:t>
      </w:r>
      <w:r w:rsidRPr="00B852B0" w:rsidR="00E50589">
        <w:rPr>
          <w:sz w:val="22"/>
          <w:szCs w:val="22"/>
        </w:rPr>
        <w:t>and in</w:t>
      </w:r>
      <w:r w:rsidRPr="00B852B0">
        <w:rPr>
          <w:sz w:val="22"/>
          <w:szCs w:val="22"/>
        </w:rPr>
        <w:t xml:space="preserve"> resolving billing </w:t>
      </w:r>
      <w:r w:rsidRPr="00B852B0" w:rsidR="00F37C88">
        <w:rPr>
          <w:sz w:val="22"/>
          <w:szCs w:val="22"/>
        </w:rPr>
        <w:t>disputes.  Thus,</w:t>
      </w:r>
      <w:r w:rsidRPr="00B852B0" w:rsidR="004761E4">
        <w:rPr>
          <w:sz w:val="22"/>
          <w:szCs w:val="22"/>
        </w:rPr>
        <w:t xml:space="preserve"> </w:t>
      </w:r>
      <w:r w:rsidR="00CF0D5B">
        <w:rPr>
          <w:sz w:val="22"/>
          <w:szCs w:val="22"/>
        </w:rPr>
        <w:t xml:space="preserve">the </w:t>
      </w:r>
      <w:r w:rsidR="00CA2E9F">
        <w:rPr>
          <w:sz w:val="22"/>
          <w:szCs w:val="22"/>
        </w:rPr>
        <w:t xml:space="preserve">Commission will continue to accept and process </w:t>
      </w:r>
      <w:r w:rsidRPr="00B852B0" w:rsidR="004761E4">
        <w:rPr>
          <w:sz w:val="22"/>
          <w:szCs w:val="22"/>
        </w:rPr>
        <w:t>consumer</w:t>
      </w:r>
      <w:r w:rsidRPr="00B852B0" w:rsidR="00F37C88">
        <w:rPr>
          <w:sz w:val="22"/>
          <w:szCs w:val="22"/>
        </w:rPr>
        <w:t xml:space="preserve"> com</w:t>
      </w:r>
      <w:r w:rsidRPr="00B852B0">
        <w:rPr>
          <w:sz w:val="22"/>
          <w:szCs w:val="22"/>
        </w:rPr>
        <w:t xml:space="preserve">plaints </w:t>
      </w:r>
      <w:r w:rsidR="00CA2E9F">
        <w:rPr>
          <w:sz w:val="22"/>
          <w:szCs w:val="22"/>
        </w:rPr>
        <w:t>regarding billing issues and to ensure that carriers comply with the truth-in-billing rules.</w:t>
      </w:r>
      <w:r w:rsidRPr="00B852B0">
        <w:rPr>
          <w:sz w:val="22"/>
          <w:szCs w:val="22"/>
        </w:rPr>
        <w:t xml:space="preserve"> </w:t>
      </w:r>
    </w:p>
    <w:p w:rsidR="00873D34" w:rsidRPr="00B852B0" w14:paraId="4BAA92AE" w14:textId="77777777">
      <w:pPr>
        <w:rPr>
          <w:sz w:val="22"/>
          <w:szCs w:val="22"/>
        </w:rPr>
      </w:pPr>
    </w:p>
    <w:p w:rsidR="00873D34" w:rsidRPr="00B852B0" w:rsidP="00BB3C2E" w14:paraId="69CA055C" w14:textId="77777777">
      <w:pPr>
        <w:ind w:left="720" w:hanging="720"/>
        <w:rPr>
          <w:sz w:val="22"/>
          <w:szCs w:val="22"/>
        </w:rPr>
      </w:pPr>
      <w:r w:rsidRPr="00B852B0">
        <w:rPr>
          <w:sz w:val="22"/>
          <w:szCs w:val="22"/>
        </w:rPr>
        <w:t xml:space="preserve">7.  </w:t>
      </w:r>
      <w:r w:rsidRPr="00B852B0" w:rsidR="00301636">
        <w:rPr>
          <w:sz w:val="22"/>
          <w:szCs w:val="22"/>
        </w:rPr>
        <w:tab/>
      </w:r>
      <w:r w:rsidRPr="00B852B0" w:rsidR="002E044C">
        <w:rPr>
          <w:sz w:val="22"/>
          <w:szCs w:val="22"/>
        </w:rPr>
        <w:t>No special circumstances exist that would cause this collection to be conducted in any manner that is inconsistent with the guidelines in 5 CFR § 1320.</w:t>
      </w:r>
    </w:p>
    <w:p w:rsidR="00873D34" w:rsidRPr="00FB56B2" w14:paraId="063C86B2" w14:textId="77777777">
      <w:pPr>
        <w:rPr>
          <w:sz w:val="22"/>
          <w:szCs w:val="22"/>
        </w:rPr>
      </w:pPr>
    </w:p>
    <w:p w:rsidR="00B840DA" w:rsidRPr="008C7E0A" w:rsidP="00EC7046" w14:paraId="5B082032" w14:textId="6FC0990E">
      <w:pPr>
        <w:ind w:left="720" w:hanging="720"/>
        <w:rPr>
          <w:sz w:val="22"/>
          <w:szCs w:val="22"/>
        </w:rPr>
      </w:pPr>
      <w:r w:rsidRPr="00FB56B2">
        <w:rPr>
          <w:sz w:val="22"/>
          <w:szCs w:val="22"/>
        </w:rPr>
        <w:t xml:space="preserve">8.  </w:t>
      </w:r>
      <w:r w:rsidRPr="00FB56B2" w:rsidR="00301636">
        <w:rPr>
          <w:sz w:val="22"/>
          <w:szCs w:val="22"/>
        </w:rPr>
        <w:tab/>
      </w:r>
      <w:r w:rsidRPr="00FE122A" w:rsidR="005F7123">
        <w:rPr>
          <w:sz w:val="22"/>
          <w:szCs w:val="22"/>
        </w:rPr>
        <w:t xml:space="preserve">Pursuant to </w:t>
      </w:r>
      <w:r w:rsidRPr="00FE122A" w:rsidR="009E3321">
        <w:rPr>
          <w:sz w:val="22"/>
          <w:szCs w:val="22"/>
        </w:rPr>
        <w:t xml:space="preserve">5 CFR </w:t>
      </w:r>
      <w:r w:rsidRPr="00FE122A" w:rsidR="00756795">
        <w:rPr>
          <w:sz w:val="22"/>
          <w:szCs w:val="22"/>
        </w:rPr>
        <w:t xml:space="preserve">§ </w:t>
      </w:r>
      <w:r w:rsidRPr="00FE122A" w:rsidR="009E3321">
        <w:rPr>
          <w:sz w:val="22"/>
          <w:szCs w:val="22"/>
        </w:rPr>
        <w:t>1320.8(d)</w:t>
      </w:r>
      <w:r w:rsidRPr="00FE122A" w:rsidR="005F7123">
        <w:rPr>
          <w:sz w:val="22"/>
          <w:szCs w:val="22"/>
        </w:rPr>
        <w:t>, the Commission published a 60</w:t>
      </w:r>
      <w:r w:rsidRPr="00FE122A" w:rsidR="00396785">
        <w:rPr>
          <w:sz w:val="22"/>
          <w:szCs w:val="22"/>
        </w:rPr>
        <w:t>-</w:t>
      </w:r>
      <w:r w:rsidRPr="00FE122A" w:rsidR="005F7123">
        <w:rPr>
          <w:sz w:val="22"/>
          <w:szCs w:val="22"/>
        </w:rPr>
        <w:t xml:space="preserve">day </w:t>
      </w:r>
      <w:r w:rsidRPr="00FE122A" w:rsidR="005F7123">
        <w:rPr>
          <w:i/>
          <w:sz w:val="22"/>
          <w:szCs w:val="22"/>
        </w:rPr>
        <w:t>Federal Register</w:t>
      </w:r>
      <w:r w:rsidRPr="00FE122A" w:rsidR="005F7123">
        <w:rPr>
          <w:sz w:val="22"/>
          <w:szCs w:val="22"/>
        </w:rPr>
        <w:t xml:space="preserve"> notice</w:t>
      </w:r>
      <w:r w:rsidR="006C57A6">
        <w:rPr>
          <w:sz w:val="22"/>
          <w:szCs w:val="22"/>
        </w:rPr>
        <w:t xml:space="preserve"> on February 27, 2024</w:t>
      </w:r>
      <w:r w:rsidR="00F8194D">
        <w:rPr>
          <w:sz w:val="22"/>
          <w:szCs w:val="22"/>
        </w:rPr>
        <w:t>,</w:t>
      </w:r>
      <w:r w:rsidR="006C57A6">
        <w:rPr>
          <w:sz w:val="22"/>
          <w:szCs w:val="22"/>
        </w:rPr>
        <w:t xml:space="preserve"> 89 FR 14492,</w:t>
      </w:r>
      <w:r w:rsidRPr="00FE122A" w:rsidR="005F7123">
        <w:rPr>
          <w:sz w:val="22"/>
          <w:szCs w:val="22"/>
        </w:rPr>
        <w:t xml:space="preserve"> seeking comment from the public on the information collection </w:t>
      </w:r>
      <w:r w:rsidRPr="00FE122A" w:rsidR="007A077B">
        <w:rPr>
          <w:sz w:val="22"/>
          <w:szCs w:val="22"/>
        </w:rPr>
        <w:t>r</w:t>
      </w:r>
      <w:r w:rsidRPr="00FE122A" w:rsidR="005F7123">
        <w:rPr>
          <w:sz w:val="22"/>
          <w:szCs w:val="22"/>
        </w:rPr>
        <w:t>equirements contained in this supporting statement.  T</w:t>
      </w:r>
      <w:r w:rsidRPr="00FE122A" w:rsidR="009E3321">
        <w:rPr>
          <w:sz w:val="22"/>
          <w:szCs w:val="22"/>
        </w:rPr>
        <w:t xml:space="preserve">he Commission </w:t>
      </w:r>
      <w:r w:rsidRPr="00FE122A" w:rsidR="00AE4825">
        <w:rPr>
          <w:sz w:val="22"/>
          <w:szCs w:val="22"/>
        </w:rPr>
        <w:t xml:space="preserve">did not </w:t>
      </w:r>
      <w:r w:rsidRPr="00FE122A" w:rsidR="009E3321">
        <w:rPr>
          <w:sz w:val="22"/>
          <w:szCs w:val="22"/>
        </w:rPr>
        <w:t>receive</w:t>
      </w:r>
      <w:r w:rsidRPr="00FE122A" w:rsidR="00AE4825">
        <w:rPr>
          <w:sz w:val="22"/>
          <w:szCs w:val="22"/>
        </w:rPr>
        <w:t xml:space="preserve"> any</w:t>
      </w:r>
      <w:r w:rsidRPr="00FE122A" w:rsidR="005F7123">
        <w:rPr>
          <w:sz w:val="22"/>
          <w:szCs w:val="22"/>
        </w:rPr>
        <w:t xml:space="preserve"> c</w:t>
      </w:r>
      <w:r w:rsidRPr="00FE122A" w:rsidR="009E3321">
        <w:rPr>
          <w:sz w:val="22"/>
          <w:szCs w:val="22"/>
        </w:rPr>
        <w:t>omment</w:t>
      </w:r>
      <w:r w:rsidRPr="00FE122A" w:rsidR="00AE4825">
        <w:rPr>
          <w:sz w:val="22"/>
          <w:szCs w:val="22"/>
        </w:rPr>
        <w:t>s</w:t>
      </w:r>
      <w:r w:rsidRPr="00FE122A" w:rsidR="009E3321">
        <w:rPr>
          <w:sz w:val="22"/>
          <w:szCs w:val="22"/>
        </w:rPr>
        <w:t xml:space="preserve"> in response to the no</w:t>
      </w:r>
      <w:r w:rsidRPr="00FE122A" w:rsidR="004547A7">
        <w:rPr>
          <w:sz w:val="22"/>
          <w:szCs w:val="22"/>
        </w:rPr>
        <w:t>tice</w:t>
      </w:r>
      <w:r w:rsidRPr="00FE122A" w:rsidR="004F6590">
        <w:rPr>
          <w:sz w:val="22"/>
          <w:szCs w:val="22"/>
        </w:rPr>
        <w:t>.</w:t>
      </w:r>
      <w:r w:rsidRPr="008C7E0A" w:rsidR="004F6590">
        <w:rPr>
          <w:sz w:val="22"/>
          <w:szCs w:val="22"/>
        </w:rPr>
        <w:t xml:space="preserve">  </w:t>
      </w:r>
      <w:r w:rsidRPr="008C7E0A" w:rsidR="00D6378C">
        <w:rPr>
          <w:sz w:val="22"/>
          <w:szCs w:val="22"/>
        </w:rPr>
        <w:t xml:space="preserve">  </w:t>
      </w:r>
    </w:p>
    <w:p w:rsidR="00B840DA" w:rsidRPr="00B852B0" w:rsidP="00301636" w14:paraId="61C80D95" w14:textId="77777777">
      <w:pPr>
        <w:ind w:left="720" w:hanging="720"/>
        <w:rPr>
          <w:sz w:val="22"/>
          <w:szCs w:val="22"/>
        </w:rPr>
      </w:pPr>
    </w:p>
    <w:p w:rsidR="00873D34" w:rsidRPr="0016268A" w:rsidP="00301636" w14:paraId="52BDEACA" w14:textId="77777777">
      <w:pPr>
        <w:ind w:left="720" w:hanging="720"/>
        <w:rPr>
          <w:sz w:val="22"/>
          <w:szCs w:val="22"/>
        </w:rPr>
      </w:pPr>
      <w:r w:rsidRPr="0016268A">
        <w:rPr>
          <w:sz w:val="22"/>
          <w:szCs w:val="22"/>
        </w:rPr>
        <w:t>9.</w:t>
      </w:r>
      <w:r w:rsidRPr="0016268A" w:rsidR="00301636">
        <w:rPr>
          <w:sz w:val="22"/>
          <w:szCs w:val="22"/>
        </w:rPr>
        <w:tab/>
      </w:r>
      <w:r w:rsidRPr="0016268A" w:rsidR="006567CE">
        <w:rPr>
          <w:sz w:val="22"/>
          <w:szCs w:val="22"/>
        </w:rPr>
        <w:t>The Commission does not anticipate providing any payment or gift to any respondents.</w:t>
      </w:r>
    </w:p>
    <w:p w:rsidR="00873D34" w:rsidRPr="0016268A" w14:paraId="5AE5232B" w14:textId="77777777">
      <w:pPr>
        <w:rPr>
          <w:sz w:val="22"/>
          <w:szCs w:val="22"/>
        </w:rPr>
      </w:pPr>
    </w:p>
    <w:p w:rsidR="00873D34" w:rsidRPr="0016268A" w:rsidP="00F5618C" w14:paraId="23831605" w14:textId="77777777">
      <w:pPr>
        <w:ind w:left="720" w:hanging="720"/>
        <w:rPr>
          <w:sz w:val="22"/>
          <w:szCs w:val="22"/>
        </w:rPr>
      </w:pPr>
      <w:r w:rsidRPr="0016268A">
        <w:rPr>
          <w:sz w:val="22"/>
          <w:szCs w:val="22"/>
        </w:rPr>
        <w:t>10.</w:t>
      </w:r>
      <w:r w:rsidRPr="0016268A" w:rsidR="00301636">
        <w:rPr>
          <w:sz w:val="22"/>
          <w:szCs w:val="22"/>
        </w:rPr>
        <w:tab/>
      </w:r>
      <w:r w:rsidRPr="0016268A" w:rsidR="00F5618C">
        <w:rPr>
          <w:sz w:val="22"/>
          <w:szCs w:val="22"/>
        </w:rPr>
        <w:t xml:space="preserve">The Commission </w:t>
      </w:r>
      <w:r w:rsidRPr="0016268A" w:rsidR="009E32B0">
        <w:rPr>
          <w:sz w:val="22"/>
          <w:szCs w:val="22"/>
        </w:rPr>
        <w:t>i</w:t>
      </w:r>
      <w:r w:rsidRPr="0016268A" w:rsidR="00F5618C">
        <w:rPr>
          <w:sz w:val="22"/>
          <w:szCs w:val="22"/>
        </w:rPr>
        <w:t>s</w:t>
      </w:r>
      <w:r w:rsidRPr="0016268A">
        <w:rPr>
          <w:sz w:val="22"/>
          <w:szCs w:val="22"/>
        </w:rPr>
        <w:t xml:space="preserve"> not request</w:t>
      </w:r>
      <w:r w:rsidRPr="0016268A" w:rsidR="009E32B0">
        <w:rPr>
          <w:sz w:val="22"/>
          <w:szCs w:val="22"/>
        </w:rPr>
        <w:t>ing</w:t>
      </w:r>
      <w:r w:rsidRPr="0016268A">
        <w:rPr>
          <w:sz w:val="22"/>
          <w:szCs w:val="22"/>
        </w:rPr>
        <w:t xml:space="preserve"> that respondents submit confidential information to the Commission.</w:t>
      </w:r>
    </w:p>
    <w:p w:rsidR="00873D34" w:rsidRPr="0016268A" w14:paraId="76F078C8" w14:textId="77777777">
      <w:pPr>
        <w:rPr>
          <w:sz w:val="22"/>
          <w:szCs w:val="22"/>
        </w:rPr>
      </w:pPr>
    </w:p>
    <w:p w:rsidR="001C0EDF" w:rsidRPr="0016268A" w:rsidP="00F5618C" w14:paraId="02568EFD" w14:textId="77777777">
      <w:pPr>
        <w:ind w:left="720" w:hanging="720"/>
        <w:rPr>
          <w:sz w:val="22"/>
          <w:szCs w:val="22"/>
        </w:rPr>
      </w:pPr>
      <w:r w:rsidRPr="0016268A">
        <w:rPr>
          <w:sz w:val="22"/>
          <w:szCs w:val="22"/>
        </w:rPr>
        <w:t>11.</w:t>
      </w:r>
      <w:r w:rsidRPr="0016268A" w:rsidR="00F5618C">
        <w:rPr>
          <w:sz w:val="22"/>
          <w:szCs w:val="22"/>
        </w:rPr>
        <w:tab/>
        <w:t>This information collection does not raise any questions or issues of a sensitive nature for respondents.</w:t>
      </w:r>
      <w:r w:rsidRPr="0016268A">
        <w:rPr>
          <w:sz w:val="22"/>
          <w:szCs w:val="22"/>
        </w:rPr>
        <w:t xml:space="preserve"> </w:t>
      </w:r>
    </w:p>
    <w:p w:rsidR="00C8356E" w:rsidRPr="0016268A" w:rsidP="00C8356E" w14:paraId="4DB83CFA" w14:textId="77777777">
      <w:pPr>
        <w:tabs>
          <w:tab w:val="left" w:pos="360"/>
        </w:tabs>
        <w:rPr>
          <w:sz w:val="22"/>
          <w:szCs w:val="22"/>
        </w:rPr>
      </w:pPr>
    </w:p>
    <w:p w:rsidR="005F7123" w:rsidRPr="008C7E0A" w:rsidP="00A8457F" w14:paraId="30081E16" w14:textId="77777777">
      <w:pPr>
        <w:ind w:left="720" w:hanging="720"/>
        <w:rPr>
          <w:sz w:val="22"/>
          <w:szCs w:val="22"/>
        </w:rPr>
      </w:pPr>
      <w:r w:rsidRPr="0016268A">
        <w:rPr>
          <w:sz w:val="22"/>
          <w:szCs w:val="22"/>
        </w:rPr>
        <w:t>12.</w:t>
      </w:r>
      <w:r w:rsidRPr="0016268A">
        <w:rPr>
          <w:sz w:val="22"/>
          <w:szCs w:val="22"/>
        </w:rPr>
        <w:tab/>
      </w:r>
      <w:r w:rsidRPr="008C7E0A">
        <w:rPr>
          <w:sz w:val="22"/>
          <w:szCs w:val="22"/>
        </w:rPr>
        <w:t>Estimates of the burden hours for the collection of information are as follows:</w:t>
      </w:r>
    </w:p>
    <w:p w:rsidR="005F7123" w:rsidRPr="00B852B0" w:rsidP="00A8457F" w14:paraId="4277059D" w14:textId="77777777">
      <w:pPr>
        <w:ind w:left="720" w:hanging="720"/>
        <w:rPr>
          <w:sz w:val="22"/>
          <w:szCs w:val="22"/>
        </w:rPr>
      </w:pPr>
    </w:p>
    <w:p w:rsidR="005F7123" w:rsidRPr="00137B09" w:rsidP="005F7123" w14:paraId="6B1F26C8" w14:textId="77777777">
      <w:pPr>
        <w:ind w:left="720"/>
        <w:rPr>
          <w:bCs/>
          <w:sz w:val="22"/>
          <w:szCs w:val="22"/>
        </w:rPr>
      </w:pPr>
      <w:r w:rsidRPr="00E929CA">
        <w:rPr>
          <w:b/>
          <w:iCs/>
          <w:sz w:val="22"/>
          <w:szCs w:val="22"/>
        </w:rPr>
        <w:t>RESPONDENTS</w:t>
      </w:r>
      <w:r w:rsidRPr="00E929CA">
        <w:rPr>
          <w:b/>
          <w:iCs/>
          <w:sz w:val="22"/>
          <w:szCs w:val="22"/>
        </w:rPr>
        <w:t>:</w:t>
      </w:r>
      <w:r w:rsidRPr="0016268A">
        <w:rPr>
          <w:sz w:val="22"/>
          <w:szCs w:val="22"/>
        </w:rPr>
        <w:t xml:space="preserve">  </w:t>
      </w:r>
      <w:r w:rsidRPr="0016268A" w:rsidR="00BD31F1">
        <w:rPr>
          <w:sz w:val="22"/>
          <w:szCs w:val="22"/>
        </w:rPr>
        <w:t xml:space="preserve">The total number of annual respondents for this information collection is </w:t>
      </w:r>
      <w:r w:rsidR="00396785">
        <w:rPr>
          <w:b/>
          <w:sz w:val="22"/>
          <w:szCs w:val="22"/>
        </w:rPr>
        <w:t xml:space="preserve">4,165 </w:t>
      </w:r>
      <w:r w:rsidRPr="0016268A" w:rsidR="00BD31F1">
        <w:rPr>
          <w:b/>
          <w:sz w:val="22"/>
          <w:szCs w:val="22"/>
        </w:rPr>
        <w:t>wireline and wireless telecommunications carriers.</w:t>
      </w:r>
      <w:r>
        <w:rPr>
          <w:rStyle w:val="FootnoteReference"/>
          <w:sz w:val="22"/>
          <w:szCs w:val="22"/>
        </w:rPr>
        <w:footnoteReference w:id="15"/>
      </w:r>
      <w:r w:rsidRPr="008C7E0A" w:rsidR="00BD31F1">
        <w:rPr>
          <w:b/>
          <w:sz w:val="22"/>
          <w:szCs w:val="22"/>
        </w:rPr>
        <w:t xml:space="preserve">  </w:t>
      </w:r>
      <w:r w:rsidRPr="00137B09">
        <w:rPr>
          <w:bCs/>
          <w:sz w:val="22"/>
          <w:szCs w:val="22"/>
        </w:rPr>
        <w:t xml:space="preserve">All </w:t>
      </w:r>
      <w:r w:rsidRPr="00137B09" w:rsidR="00396785">
        <w:rPr>
          <w:bCs/>
          <w:sz w:val="22"/>
          <w:szCs w:val="22"/>
        </w:rPr>
        <w:t>4,165</w:t>
      </w:r>
      <w:r w:rsidRPr="00137B09">
        <w:rPr>
          <w:bCs/>
          <w:sz w:val="22"/>
          <w:szCs w:val="22"/>
        </w:rPr>
        <w:t xml:space="preserve"> respondents are subject to</w:t>
      </w:r>
      <w:r w:rsidRPr="00137B09" w:rsidR="00BD31F1">
        <w:rPr>
          <w:bCs/>
          <w:sz w:val="22"/>
          <w:szCs w:val="22"/>
        </w:rPr>
        <w:t xml:space="preserve"> requirements</w:t>
      </w:r>
      <w:r w:rsidRPr="00137B09">
        <w:rPr>
          <w:bCs/>
          <w:sz w:val="22"/>
          <w:szCs w:val="22"/>
        </w:rPr>
        <w:t xml:space="preserve"> a,</w:t>
      </w:r>
      <w:r w:rsidRPr="00137B09" w:rsidR="00D939AF">
        <w:rPr>
          <w:bCs/>
          <w:sz w:val="22"/>
          <w:szCs w:val="22"/>
        </w:rPr>
        <w:t xml:space="preserve"> </w:t>
      </w:r>
      <w:r w:rsidRPr="00137B09">
        <w:rPr>
          <w:bCs/>
          <w:sz w:val="22"/>
          <w:szCs w:val="22"/>
        </w:rPr>
        <w:t>c</w:t>
      </w:r>
      <w:r w:rsidRPr="00137B09" w:rsidR="00BA3969">
        <w:rPr>
          <w:bCs/>
          <w:sz w:val="22"/>
          <w:szCs w:val="22"/>
        </w:rPr>
        <w:t>,</w:t>
      </w:r>
      <w:r w:rsidRPr="00137B09" w:rsidR="00C578F4">
        <w:rPr>
          <w:bCs/>
          <w:sz w:val="22"/>
          <w:szCs w:val="22"/>
        </w:rPr>
        <w:t xml:space="preserve"> and d.  </w:t>
      </w:r>
      <w:r w:rsidRPr="00137B09">
        <w:rPr>
          <w:bCs/>
          <w:sz w:val="22"/>
          <w:szCs w:val="22"/>
        </w:rPr>
        <w:t xml:space="preserve">Out of the </w:t>
      </w:r>
      <w:r w:rsidRPr="00137B09" w:rsidR="00396785">
        <w:rPr>
          <w:bCs/>
          <w:sz w:val="22"/>
          <w:szCs w:val="22"/>
        </w:rPr>
        <w:t>4,165</w:t>
      </w:r>
      <w:r w:rsidRPr="00137B09">
        <w:rPr>
          <w:bCs/>
          <w:sz w:val="22"/>
          <w:szCs w:val="22"/>
        </w:rPr>
        <w:t xml:space="preserve"> respondents, </w:t>
      </w:r>
      <w:r w:rsidRPr="00137B09" w:rsidR="00396785">
        <w:rPr>
          <w:bCs/>
          <w:sz w:val="22"/>
          <w:szCs w:val="22"/>
        </w:rPr>
        <w:t>3,554</w:t>
      </w:r>
      <w:r w:rsidRPr="00137B09">
        <w:rPr>
          <w:bCs/>
          <w:sz w:val="22"/>
          <w:szCs w:val="22"/>
        </w:rPr>
        <w:t xml:space="preserve"> </w:t>
      </w:r>
      <w:r w:rsidRPr="00137B09" w:rsidR="00905D7D">
        <w:rPr>
          <w:bCs/>
          <w:sz w:val="22"/>
          <w:szCs w:val="22"/>
        </w:rPr>
        <w:t xml:space="preserve">wireline telecommunications carriers </w:t>
      </w:r>
      <w:r w:rsidRPr="00137B09" w:rsidR="00BD31F1">
        <w:rPr>
          <w:bCs/>
          <w:sz w:val="22"/>
          <w:szCs w:val="22"/>
        </w:rPr>
        <w:t xml:space="preserve">are </w:t>
      </w:r>
      <w:r w:rsidRPr="00137B09" w:rsidR="00E64B08">
        <w:rPr>
          <w:bCs/>
          <w:sz w:val="22"/>
          <w:szCs w:val="22"/>
        </w:rPr>
        <w:t xml:space="preserve">also </w:t>
      </w:r>
      <w:r w:rsidRPr="00137B09">
        <w:rPr>
          <w:bCs/>
          <w:sz w:val="22"/>
          <w:szCs w:val="22"/>
        </w:rPr>
        <w:t xml:space="preserve">subject to </w:t>
      </w:r>
      <w:r w:rsidRPr="00137B09" w:rsidR="00BD31F1">
        <w:rPr>
          <w:bCs/>
          <w:sz w:val="22"/>
          <w:szCs w:val="22"/>
        </w:rPr>
        <w:t xml:space="preserve">requirements </w:t>
      </w:r>
      <w:r w:rsidRPr="00137B09">
        <w:rPr>
          <w:bCs/>
          <w:sz w:val="22"/>
          <w:szCs w:val="22"/>
        </w:rPr>
        <w:t>b</w:t>
      </w:r>
      <w:r w:rsidRPr="00137B09" w:rsidR="00D871A9">
        <w:rPr>
          <w:bCs/>
          <w:sz w:val="22"/>
          <w:szCs w:val="22"/>
        </w:rPr>
        <w:t xml:space="preserve"> and</w:t>
      </w:r>
      <w:r w:rsidRPr="00137B09">
        <w:rPr>
          <w:bCs/>
          <w:sz w:val="22"/>
          <w:szCs w:val="22"/>
        </w:rPr>
        <w:t xml:space="preserve"> </w:t>
      </w:r>
      <w:r w:rsidRPr="00137B09" w:rsidR="00C578F4">
        <w:rPr>
          <w:bCs/>
          <w:sz w:val="22"/>
          <w:szCs w:val="22"/>
        </w:rPr>
        <w:t>e</w:t>
      </w:r>
      <w:r w:rsidR="00986BEE">
        <w:rPr>
          <w:bCs/>
          <w:sz w:val="22"/>
          <w:szCs w:val="22"/>
        </w:rPr>
        <w:t xml:space="preserve"> and f</w:t>
      </w:r>
      <w:r w:rsidRPr="00137B09">
        <w:rPr>
          <w:bCs/>
          <w:sz w:val="22"/>
          <w:szCs w:val="22"/>
        </w:rPr>
        <w:t>.</w:t>
      </w:r>
    </w:p>
    <w:p w:rsidR="00E05390" w:rsidRPr="00137B09" w:rsidP="00A8457F" w14:paraId="4E8FDE14" w14:textId="77777777">
      <w:pPr>
        <w:ind w:left="720" w:hanging="720"/>
        <w:rPr>
          <w:bCs/>
          <w:szCs w:val="22"/>
          <w:shd w:val="clear" w:color="auto" w:fill="FFFFFF"/>
        </w:rPr>
      </w:pPr>
      <w:r w:rsidRPr="00137B09">
        <w:rPr>
          <w:bCs/>
          <w:sz w:val="22"/>
          <w:szCs w:val="22"/>
          <w:shd w:val="clear" w:color="auto" w:fill="FFFFFF"/>
        </w:rPr>
        <w:t xml:space="preserve">  </w:t>
      </w:r>
    </w:p>
    <w:p w:rsidR="0016406E" w:rsidRPr="00572CAE" w:rsidP="00B43819" w14:paraId="004796B6" w14:textId="50BE2752">
      <w:pPr>
        <w:pStyle w:val="ParaNum"/>
        <w:widowControl/>
        <w:tabs>
          <w:tab w:val="left" w:pos="720"/>
          <w:tab w:val="clear" w:pos="1080"/>
        </w:tabs>
        <w:spacing w:after="0"/>
        <w:ind w:left="720" w:firstLine="0"/>
        <w:jc w:val="left"/>
        <w:rPr>
          <w:b/>
          <w:szCs w:val="22"/>
          <w:shd w:val="clear" w:color="auto" w:fill="FFFFFF"/>
        </w:rPr>
      </w:pPr>
      <w:r w:rsidRPr="00572CAE">
        <w:rPr>
          <w:b/>
          <w:szCs w:val="22"/>
          <w:u w:val="single"/>
          <w:shd w:val="clear" w:color="auto" w:fill="FFFFFF"/>
        </w:rPr>
        <w:t>Existing Information Collection Requirements</w:t>
      </w:r>
      <w:r w:rsidRPr="00572CAE" w:rsidR="00CF0D5B">
        <w:rPr>
          <w:b/>
          <w:szCs w:val="22"/>
          <w:u w:val="single"/>
          <w:shd w:val="clear" w:color="auto" w:fill="FFFFFF"/>
        </w:rPr>
        <w:t xml:space="preserve"> </w:t>
      </w:r>
      <w:r w:rsidRPr="00FE122A" w:rsidR="00CF0D5B">
        <w:rPr>
          <w:bCs/>
          <w:szCs w:val="22"/>
          <w:shd w:val="clear" w:color="auto" w:fill="FFFFFF"/>
        </w:rPr>
        <w:t xml:space="preserve">(includes no </w:t>
      </w:r>
      <w:r w:rsidRPr="00FE122A" w:rsidR="00572CAE">
        <w:rPr>
          <w:bCs/>
          <w:szCs w:val="22"/>
          <w:shd w:val="clear" w:color="auto" w:fill="FFFFFF"/>
        </w:rPr>
        <w:t xml:space="preserve">program </w:t>
      </w:r>
      <w:r w:rsidRPr="00FE122A" w:rsidR="00CF0D5B">
        <w:rPr>
          <w:bCs/>
          <w:szCs w:val="22"/>
          <w:shd w:val="clear" w:color="auto" w:fill="FFFFFF"/>
        </w:rPr>
        <w:t xml:space="preserve">changes since </w:t>
      </w:r>
      <w:r w:rsidRPr="00FE122A" w:rsidR="00CE4DA8">
        <w:rPr>
          <w:bCs/>
          <w:szCs w:val="22"/>
          <w:shd w:val="clear" w:color="auto" w:fill="FFFFFF"/>
        </w:rPr>
        <w:t xml:space="preserve">the </w:t>
      </w:r>
      <w:r w:rsidRPr="00FE122A" w:rsidR="00CF0D5B">
        <w:rPr>
          <w:bCs/>
          <w:szCs w:val="22"/>
          <w:shd w:val="clear" w:color="auto" w:fill="FFFFFF"/>
        </w:rPr>
        <w:t>last submission</w:t>
      </w:r>
      <w:r w:rsidRPr="00FE122A" w:rsidR="00572CAE">
        <w:rPr>
          <w:bCs/>
          <w:szCs w:val="22"/>
          <w:shd w:val="clear" w:color="auto" w:fill="FFFFFF"/>
        </w:rPr>
        <w:t xml:space="preserve"> other </w:t>
      </w:r>
      <w:r w:rsidRPr="00FE122A" w:rsidR="00572CAE">
        <w:rPr>
          <w:bCs/>
          <w:szCs w:val="22"/>
        </w:rPr>
        <w:t>than the update of the 202</w:t>
      </w:r>
      <w:r w:rsidR="000350FD">
        <w:rPr>
          <w:bCs/>
          <w:szCs w:val="22"/>
        </w:rPr>
        <w:t>4</w:t>
      </w:r>
      <w:r w:rsidRPr="00FE122A" w:rsidR="00572CAE">
        <w:rPr>
          <w:bCs/>
          <w:szCs w:val="22"/>
        </w:rPr>
        <w:t xml:space="preserve"> hourly wage of a GS-13/5 government employee used to calculate costs</w:t>
      </w:r>
      <w:r w:rsidRPr="00FE122A" w:rsidR="00E64B08">
        <w:rPr>
          <w:bCs/>
          <w:szCs w:val="22"/>
        </w:rPr>
        <w:t xml:space="preserve"> and a consolidation of certain </w:t>
      </w:r>
      <w:r w:rsidRPr="00FE122A" w:rsidR="00CE4DA8">
        <w:rPr>
          <w:bCs/>
          <w:szCs w:val="22"/>
        </w:rPr>
        <w:t>requirements</w:t>
      </w:r>
      <w:r w:rsidRPr="00FE122A" w:rsidR="00CF0D5B">
        <w:rPr>
          <w:bCs/>
          <w:szCs w:val="22"/>
          <w:shd w:val="clear" w:color="auto" w:fill="FFFFFF"/>
        </w:rPr>
        <w:t>)</w:t>
      </w:r>
      <w:r w:rsidRPr="00572CAE">
        <w:rPr>
          <w:b/>
          <w:szCs w:val="22"/>
          <w:shd w:val="clear" w:color="auto" w:fill="FFFFFF"/>
        </w:rPr>
        <w:t>:</w:t>
      </w:r>
    </w:p>
    <w:p w:rsidR="00CF3DF7" w:rsidRPr="0016268A" w:rsidP="002A0653" w14:paraId="556D77BE" w14:textId="77777777">
      <w:pPr>
        <w:rPr>
          <w:sz w:val="22"/>
          <w:szCs w:val="22"/>
        </w:rPr>
      </w:pPr>
    </w:p>
    <w:p w:rsidR="000D6C83" w:rsidRPr="0016268A" w:rsidP="000D6C83" w14:paraId="639793A2" w14:textId="77777777">
      <w:pPr>
        <w:pStyle w:val="BodyText2"/>
        <w:numPr>
          <w:ilvl w:val="1"/>
          <w:numId w:val="9"/>
        </w:numPr>
        <w:rPr>
          <w:sz w:val="22"/>
          <w:szCs w:val="22"/>
        </w:rPr>
      </w:pPr>
      <w:r w:rsidRPr="0016268A">
        <w:rPr>
          <w:sz w:val="22"/>
          <w:szCs w:val="22"/>
          <w:u w:val="single"/>
        </w:rPr>
        <w:t>Clear identification of service providers</w:t>
      </w:r>
      <w:r w:rsidRPr="0016268A">
        <w:rPr>
          <w:sz w:val="22"/>
          <w:szCs w:val="22"/>
        </w:rPr>
        <w:t>:</w:t>
      </w:r>
    </w:p>
    <w:p w:rsidR="000D6C83" w:rsidRPr="0016268A" w:rsidP="000D6C83" w14:paraId="49078D63" w14:textId="77777777">
      <w:pPr>
        <w:pStyle w:val="BodyText2"/>
        <w:ind w:firstLine="720"/>
        <w:rPr>
          <w:sz w:val="22"/>
          <w:szCs w:val="22"/>
        </w:rPr>
      </w:pPr>
    </w:p>
    <w:p w:rsidR="00995BF7" w:rsidRPr="0016268A" w:rsidP="000D6C83" w14:paraId="41C7D925" w14:textId="77777777">
      <w:pPr>
        <w:pStyle w:val="BodyText2"/>
        <w:ind w:left="1440"/>
        <w:rPr>
          <w:sz w:val="22"/>
          <w:szCs w:val="22"/>
        </w:rPr>
      </w:pPr>
      <w:r w:rsidRPr="0016268A">
        <w:rPr>
          <w:sz w:val="22"/>
          <w:szCs w:val="22"/>
        </w:rPr>
        <w:t xml:space="preserve">The Commission </w:t>
      </w:r>
      <w:r w:rsidRPr="0016268A" w:rsidR="000D6C83">
        <w:rPr>
          <w:sz w:val="22"/>
          <w:szCs w:val="22"/>
        </w:rPr>
        <w:t>estimate</w:t>
      </w:r>
      <w:r w:rsidRPr="0016268A">
        <w:rPr>
          <w:sz w:val="22"/>
          <w:szCs w:val="22"/>
        </w:rPr>
        <w:t>s</w:t>
      </w:r>
      <w:r w:rsidRPr="0016268A" w:rsidR="000D6C83">
        <w:rPr>
          <w:sz w:val="22"/>
          <w:szCs w:val="22"/>
        </w:rPr>
        <w:t xml:space="preserve"> that there will be approximately </w:t>
      </w:r>
      <w:r w:rsidR="00396785">
        <w:rPr>
          <w:sz w:val="22"/>
          <w:szCs w:val="22"/>
        </w:rPr>
        <w:t>4,165</w:t>
      </w:r>
      <w:r w:rsidRPr="0016268A" w:rsidR="000D6C83">
        <w:rPr>
          <w:sz w:val="22"/>
          <w:szCs w:val="22"/>
        </w:rPr>
        <w:t xml:space="preserve"> </w:t>
      </w:r>
      <w:r w:rsidRPr="0016268A" w:rsidR="007F03C5">
        <w:rPr>
          <w:sz w:val="22"/>
          <w:szCs w:val="22"/>
        </w:rPr>
        <w:t>respondents</w:t>
      </w:r>
      <w:r w:rsidRPr="0016268A" w:rsidR="000324B8">
        <w:rPr>
          <w:sz w:val="22"/>
          <w:szCs w:val="22"/>
        </w:rPr>
        <w:t xml:space="preserve"> </w:t>
      </w:r>
      <w:r w:rsidRPr="0016268A" w:rsidR="007E509A">
        <w:rPr>
          <w:sz w:val="22"/>
          <w:szCs w:val="22"/>
        </w:rPr>
        <w:t xml:space="preserve">subject to the Commission’s </w:t>
      </w:r>
      <w:r w:rsidR="00F53150">
        <w:rPr>
          <w:sz w:val="22"/>
          <w:szCs w:val="22"/>
        </w:rPr>
        <w:t>requirement</w:t>
      </w:r>
      <w:r w:rsidRPr="0016268A" w:rsidR="007E509A">
        <w:rPr>
          <w:sz w:val="22"/>
          <w:szCs w:val="22"/>
        </w:rPr>
        <w:t xml:space="preserve"> that </w:t>
      </w:r>
      <w:r w:rsidR="00D776C9">
        <w:rPr>
          <w:sz w:val="22"/>
          <w:szCs w:val="22"/>
        </w:rPr>
        <w:t xml:space="preserve">each service provider charging the consumer for service be listed on the bill. </w:t>
      </w:r>
    </w:p>
    <w:p w:rsidR="00FB3547" w:rsidRPr="0016268A" w:rsidP="000D6C83" w14:paraId="2AE2338A" w14:textId="77777777">
      <w:pPr>
        <w:pStyle w:val="BodyText2"/>
        <w:ind w:left="1440"/>
        <w:rPr>
          <w:sz w:val="22"/>
          <w:szCs w:val="22"/>
        </w:rPr>
      </w:pPr>
    </w:p>
    <w:p w:rsidR="000D6C83" w:rsidRPr="00BD5D61" w:rsidP="000D6C83" w14:paraId="42DFF978" w14:textId="77777777">
      <w:pPr>
        <w:pStyle w:val="BodyText2"/>
        <w:ind w:left="1440"/>
        <w:rPr>
          <w:sz w:val="22"/>
          <w:szCs w:val="22"/>
        </w:rPr>
      </w:pPr>
      <w:r w:rsidRPr="0016268A">
        <w:rPr>
          <w:sz w:val="22"/>
          <w:szCs w:val="22"/>
        </w:rPr>
        <w:t xml:space="preserve">The Commission views this </w:t>
      </w:r>
      <w:r w:rsidRPr="0016268A" w:rsidR="009E6C2D">
        <w:rPr>
          <w:sz w:val="22"/>
          <w:szCs w:val="22"/>
        </w:rPr>
        <w:t>requirement</w:t>
      </w:r>
      <w:r w:rsidRPr="0016268A">
        <w:rPr>
          <w:sz w:val="22"/>
          <w:szCs w:val="22"/>
        </w:rPr>
        <w:t xml:space="preserve"> as being one response per respondent, because each respondent will list the information in exactly the same manner on each of the bills it issues.  The hours estimate</w:t>
      </w:r>
      <w:r w:rsidR="00F53150">
        <w:rPr>
          <w:sz w:val="22"/>
          <w:szCs w:val="22"/>
        </w:rPr>
        <w:t>d</w:t>
      </w:r>
      <w:r w:rsidRPr="0016268A">
        <w:rPr>
          <w:sz w:val="22"/>
          <w:szCs w:val="22"/>
        </w:rPr>
        <w:t xml:space="preserve">, however, account for the time involved in replicating the information on numerous bills.  </w:t>
      </w:r>
      <w:r w:rsidRPr="0016268A">
        <w:rPr>
          <w:sz w:val="22"/>
          <w:szCs w:val="22"/>
        </w:rPr>
        <w:t xml:space="preserve">This process is done “on occasion” and will require approximately </w:t>
      </w:r>
      <w:r w:rsidRPr="0016268A" w:rsidR="00A92CE8">
        <w:rPr>
          <w:sz w:val="22"/>
          <w:szCs w:val="22"/>
        </w:rPr>
        <w:t>5</w:t>
      </w:r>
      <w:r w:rsidRPr="0016268A">
        <w:rPr>
          <w:sz w:val="22"/>
          <w:szCs w:val="22"/>
        </w:rPr>
        <w:t xml:space="preserve"> hours</w:t>
      </w:r>
      <w:r w:rsidRPr="0016268A" w:rsidR="00995BF7">
        <w:rPr>
          <w:sz w:val="22"/>
          <w:szCs w:val="22"/>
        </w:rPr>
        <w:t>:</w:t>
      </w:r>
      <w:r w:rsidRPr="0016268A">
        <w:rPr>
          <w:sz w:val="22"/>
          <w:szCs w:val="22"/>
        </w:rPr>
        <w:tab/>
      </w:r>
    </w:p>
    <w:p w:rsidR="00484D3E" w:rsidRPr="00BD5D61" w:rsidP="000D6C83" w14:paraId="25723D3F" w14:textId="77777777">
      <w:pPr>
        <w:pStyle w:val="BodyText2"/>
        <w:ind w:left="1440"/>
        <w:rPr>
          <w:sz w:val="22"/>
          <w:szCs w:val="22"/>
        </w:rPr>
      </w:pPr>
    </w:p>
    <w:p w:rsidR="00227C8E" w:rsidRPr="008C7E0A" w:rsidP="000D6C83" w14:paraId="2AA46CC2" w14:textId="77777777">
      <w:pPr>
        <w:pStyle w:val="BodyText2"/>
        <w:ind w:left="720" w:firstLine="720"/>
        <w:rPr>
          <w:b/>
          <w:sz w:val="22"/>
          <w:szCs w:val="22"/>
        </w:rPr>
      </w:pPr>
      <w:r w:rsidRPr="008C7E0A">
        <w:rPr>
          <w:b/>
          <w:sz w:val="22"/>
          <w:szCs w:val="22"/>
        </w:rPr>
        <w:t xml:space="preserve">Annual Number of Responses:  </w:t>
      </w:r>
      <w:r w:rsidR="00CB79F2">
        <w:rPr>
          <w:b/>
          <w:sz w:val="22"/>
          <w:szCs w:val="22"/>
        </w:rPr>
        <w:t>4,165</w:t>
      </w:r>
    </w:p>
    <w:p w:rsidR="00D653CB" w:rsidRPr="00B852B0" w:rsidP="000D6C83" w14:paraId="00ED2446" w14:textId="77777777">
      <w:pPr>
        <w:pStyle w:val="BodyText2"/>
        <w:ind w:left="720" w:firstLine="720"/>
        <w:rPr>
          <w:b/>
          <w:sz w:val="22"/>
          <w:szCs w:val="22"/>
        </w:rPr>
      </w:pPr>
    </w:p>
    <w:p w:rsidR="00227C8E" w:rsidRPr="0016268A" w:rsidP="000D6C83" w14:paraId="24954415" w14:textId="77777777">
      <w:pPr>
        <w:pStyle w:val="BodyText2"/>
        <w:ind w:left="720" w:firstLine="720"/>
        <w:rPr>
          <w:b/>
          <w:sz w:val="22"/>
          <w:szCs w:val="22"/>
        </w:rPr>
      </w:pPr>
      <w:r w:rsidRPr="0016268A">
        <w:rPr>
          <w:b/>
          <w:sz w:val="22"/>
          <w:szCs w:val="22"/>
        </w:rPr>
        <w:t xml:space="preserve">Annual Burden Hours:  </w:t>
      </w:r>
    </w:p>
    <w:p w:rsidR="00227C8E" w:rsidRPr="0016268A" w:rsidP="000D6C83" w14:paraId="0D61AB61" w14:textId="77777777">
      <w:pPr>
        <w:pStyle w:val="BodyText2"/>
        <w:ind w:left="720" w:firstLine="720"/>
        <w:rPr>
          <w:sz w:val="22"/>
          <w:szCs w:val="22"/>
        </w:rPr>
      </w:pPr>
    </w:p>
    <w:p w:rsidR="000D6C83" w:rsidP="00687733" w14:paraId="76F86DBB" w14:textId="77777777">
      <w:pPr>
        <w:pStyle w:val="BodyText2"/>
        <w:ind w:left="720" w:firstLine="720"/>
        <w:rPr>
          <w:b/>
          <w:sz w:val="22"/>
          <w:szCs w:val="22"/>
        </w:rPr>
      </w:pPr>
      <w:r>
        <w:rPr>
          <w:sz w:val="22"/>
          <w:szCs w:val="22"/>
        </w:rPr>
        <w:t>4,165</w:t>
      </w:r>
      <w:r w:rsidRPr="0016268A" w:rsidR="00ED70F7">
        <w:rPr>
          <w:sz w:val="22"/>
          <w:szCs w:val="22"/>
        </w:rPr>
        <w:t xml:space="preserve"> </w:t>
      </w:r>
      <w:r w:rsidRPr="0016268A">
        <w:rPr>
          <w:sz w:val="22"/>
          <w:szCs w:val="22"/>
        </w:rPr>
        <w:t xml:space="preserve">respondents x </w:t>
      </w:r>
      <w:r w:rsidRPr="0016268A" w:rsidR="003329B1">
        <w:rPr>
          <w:sz w:val="22"/>
          <w:szCs w:val="22"/>
        </w:rPr>
        <w:t xml:space="preserve">1 clarification per respondent x </w:t>
      </w:r>
      <w:r w:rsidRPr="0016268A" w:rsidR="00A92CE8">
        <w:rPr>
          <w:sz w:val="22"/>
          <w:szCs w:val="22"/>
        </w:rPr>
        <w:t>5</w:t>
      </w:r>
      <w:r w:rsidRPr="0016268A">
        <w:rPr>
          <w:sz w:val="22"/>
          <w:szCs w:val="22"/>
        </w:rPr>
        <w:t xml:space="preserve"> hours = </w:t>
      </w:r>
      <w:r>
        <w:rPr>
          <w:b/>
          <w:sz w:val="22"/>
          <w:szCs w:val="22"/>
        </w:rPr>
        <w:t>20,825</w:t>
      </w:r>
      <w:r w:rsidRPr="0016268A" w:rsidR="0080546D">
        <w:rPr>
          <w:b/>
          <w:sz w:val="22"/>
          <w:szCs w:val="22"/>
        </w:rPr>
        <w:t xml:space="preserve"> </w:t>
      </w:r>
      <w:r w:rsidRPr="0016268A">
        <w:rPr>
          <w:b/>
          <w:sz w:val="22"/>
          <w:szCs w:val="22"/>
        </w:rPr>
        <w:t>hours</w:t>
      </w:r>
    </w:p>
    <w:p w:rsidR="00687733" w:rsidRPr="0016268A" w:rsidP="00687733" w14:paraId="33969E0D" w14:textId="77777777">
      <w:pPr>
        <w:pStyle w:val="BodyText2"/>
        <w:ind w:left="720" w:firstLine="720"/>
        <w:rPr>
          <w:sz w:val="22"/>
          <w:szCs w:val="22"/>
        </w:rPr>
      </w:pPr>
    </w:p>
    <w:p w:rsidR="00227C8E" w:rsidRPr="0016268A" w:rsidP="000D6C83" w14:paraId="343A2560" w14:textId="77777777">
      <w:pPr>
        <w:pStyle w:val="BodyText2"/>
        <w:ind w:left="1440"/>
        <w:rPr>
          <w:b/>
          <w:sz w:val="22"/>
          <w:szCs w:val="22"/>
        </w:rPr>
      </w:pPr>
      <w:r w:rsidRPr="0016268A">
        <w:rPr>
          <w:b/>
          <w:sz w:val="22"/>
          <w:szCs w:val="22"/>
        </w:rPr>
        <w:t xml:space="preserve">Annual “In-House” Costs:  </w:t>
      </w:r>
    </w:p>
    <w:p w:rsidR="00227C8E" w:rsidRPr="0016268A" w:rsidP="000D6C83" w14:paraId="35B8A6BF" w14:textId="77777777">
      <w:pPr>
        <w:pStyle w:val="BodyText2"/>
        <w:ind w:left="1440"/>
        <w:rPr>
          <w:sz w:val="22"/>
          <w:szCs w:val="22"/>
        </w:rPr>
      </w:pPr>
    </w:p>
    <w:p w:rsidR="000D6C83" w:rsidRPr="008C7E0A" w:rsidP="000D6C83" w14:paraId="07E1C32F" w14:textId="4D7E83CD">
      <w:pPr>
        <w:pStyle w:val="BodyText2"/>
        <w:ind w:left="1440"/>
        <w:rPr>
          <w:sz w:val="22"/>
          <w:szCs w:val="22"/>
        </w:rPr>
      </w:pPr>
      <w:r w:rsidRPr="0016268A">
        <w:rPr>
          <w:sz w:val="22"/>
          <w:szCs w:val="22"/>
        </w:rPr>
        <w:t xml:space="preserve">The Commission </w:t>
      </w:r>
      <w:r w:rsidRPr="0016268A">
        <w:rPr>
          <w:sz w:val="22"/>
          <w:szCs w:val="22"/>
        </w:rPr>
        <w:t>assume</w:t>
      </w:r>
      <w:r w:rsidRPr="0016268A">
        <w:rPr>
          <w:sz w:val="22"/>
          <w:szCs w:val="22"/>
        </w:rPr>
        <w:t>s</w:t>
      </w:r>
      <w:r w:rsidRPr="0016268A">
        <w:rPr>
          <w:sz w:val="22"/>
          <w:szCs w:val="22"/>
        </w:rPr>
        <w:t xml:space="preserve"> that respondents use “in house” personnel comparable in pay to that of a mid-to-senior level federal employee (GS-13/5)</w:t>
      </w:r>
      <w:r w:rsidR="00F10375">
        <w:rPr>
          <w:sz w:val="22"/>
          <w:szCs w:val="22"/>
        </w:rPr>
        <w:t xml:space="preserve">. </w:t>
      </w:r>
      <w:r w:rsidRPr="0016268A">
        <w:rPr>
          <w:sz w:val="22"/>
          <w:szCs w:val="22"/>
        </w:rPr>
        <w:t xml:space="preserve"> </w:t>
      </w:r>
      <w:r w:rsidR="00F10375">
        <w:rPr>
          <w:sz w:val="22"/>
          <w:szCs w:val="22"/>
        </w:rPr>
        <w:t>T</w:t>
      </w:r>
      <w:r w:rsidRPr="0016268A">
        <w:rPr>
          <w:sz w:val="22"/>
          <w:szCs w:val="22"/>
        </w:rPr>
        <w:t xml:space="preserve">he Commission </w:t>
      </w:r>
      <w:r w:rsidRPr="0016268A">
        <w:rPr>
          <w:sz w:val="22"/>
          <w:szCs w:val="22"/>
        </w:rPr>
        <w:t>estimate</w:t>
      </w:r>
      <w:r w:rsidRPr="0016268A" w:rsidR="008A7CC3">
        <w:rPr>
          <w:sz w:val="22"/>
          <w:szCs w:val="22"/>
        </w:rPr>
        <w:t>s</w:t>
      </w:r>
      <w:r w:rsidRPr="0016268A" w:rsidR="003552B7">
        <w:rPr>
          <w:sz w:val="22"/>
          <w:szCs w:val="22"/>
        </w:rPr>
        <w:t xml:space="preserve"> </w:t>
      </w:r>
      <w:r w:rsidRPr="0016268A" w:rsidR="008A7CC3">
        <w:rPr>
          <w:sz w:val="22"/>
          <w:szCs w:val="22"/>
        </w:rPr>
        <w:t xml:space="preserve">each </w:t>
      </w:r>
      <w:r w:rsidRPr="0016268A">
        <w:rPr>
          <w:sz w:val="22"/>
          <w:szCs w:val="22"/>
        </w:rPr>
        <w:t>respondent’s cost to be about $</w:t>
      </w:r>
      <w:r w:rsidR="00F12E16">
        <w:rPr>
          <w:sz w:val="22"/>
          <w:szCs w:val="22"/>
        </w:rPr>
        <w:t>64.06</w:t>
      </w:r>
      <w:r w:rsidRPr="0016268A">
        <w:rPr>
          <w:sz w:val="22"/>
          <w:szCs w:val="22"/>
        </w:rPr>
        <w:t xml:space="preserve"> </w:t>
      </w:r>
      <w:r w:rsidRPr="008C7E0A">
        <w:rPr>
          <w:sz w:val="22"/>
          <w:szCs w:val="22"/>
        </w:rPr>
        <w:t>per hour to comply with the requirements:</w:t>
      </w:r>
    </w:p>
    <w:p w:rsidR="000D6C83" w:rsidRPr="00B852B0" w:rsidP="000D6C83" w14:paraId="7B0994B9" w14:textId="77777777">
      <w:pPr>
        <w:pStyle w:val="BodyText2"/>
        <w:rPr>
          <w:sz w:val="22"/>
          <w:szCs w:val="22"/>
        </w:rPr>
      </w:pPr>
    </w:p>
    <w:p w:rsidR="000D6C83" w:rsidRPr="0016268A" w:rsidP="000D6C83" w14:paraId="399B7551" w14:textId="58F24BF8">
      <w:pPr>
        <w:pStyle w:val="BodyText2"/>
        <w:ind w:left="1440"/>
        <w:rPr>
          <w:sz w:val="22"/>
          <w:szCs w:val="22"/>
        </w:rPr>
      </w:pPr>
      <w:r>
        <w:rPr>
          <w:sz w:val="22"/>
          <w:szCs w:val="22"/>
        </w:rPr>
        <w:t>4</w:t>
      </w:r>
      <w:r w:rsidR="00CB79F2">
        <w:rPr>
          <w:sz w:val="22"/>
          <w:szCs w:val="22"/>
        </w:rPr>
        <w:t>,165</w:t>
      </w:r>
      <w:r w:rsidRPr="0016268A" w:rsidR="00ED70F7">
        <w:rPr>
          <w:sz w:val="22"/>
          <w:szCs w:val="22"/>
        </w:rPr>
        <w:t xml:space="preserve"> </w:t>
      </w:r>
      <w:r w:rsidRPr="0016268A">
        <w:rPr>
          <w:sz w:val="22"/>
          <w:szCs w:val="22"/>
        </w:rPr>
        <w:t>respon</w:t>
      </w:r>
      <w:r w:rsidRPr="0016268A" w:rsidR="003329B1">
        <w:rPr>
          <w:sz w:val="22"/>
          <w:szCs w:val="22"/>
        </w:rPr>
        <w:t>dents</w:t>
      </w:r>
      <w:r w:rsidRPr="0016268A" w:rsidR="00D871A9">
        <w:rPr>
          <w:sz w:val="22"/>
          <w:szCs w:val="22"/>
        </w:rPr>
        <w:t xml:space="preserve"> </w:t>
      </w:r>
      <w:r w:rsidRPr="0016268A">
        <w:rPr>
          <w:sz w:val="22"/>
          <w:szCs w:val="22"/>
        </w:rPr>
        <w:t xml:space="preserve">x </w:t>
      </w:r>
      <w:r w:rsidRPr="0016268A" w:rsidR="003329B1">
        <w:rPr>
          <w:sz w:val="22"/>
          <w:szCs w:val="22"/>
        </w:rPr>
        <w:t xml:space="preserve">1 clarification per respondent x </w:t>
      </w:r>
      <w:r w:rsidRPr="0016268A" w:rsidR="00A92CE8">
        <w:rPr>
          <w:sz w:val="22"/>
          <w:szCs w:val="22"/>
        </w:rPr>
        <w:t>5</w:t>
      </w:r>
      <w:r w:rsidRPr="0016268A">
        <w:rPr>
          <w:sz w:val="22"/>
          <w:szCs w:val="22"/>
        </w:rPr>
        <w:t xml:space="preserve"> hours x $</w:t>
      </w:r>
      <w:r w:rsidR="00F12E16">
        <w:rPr>
          <w:sz w:val="22"/>
          <w:szCs w:val="22"/>
        </w:rPr>
        <w:t>64.06</w:t>
      </w:r>
      <w:r w:rsidRPr="0016268A">
        <w:rPr>
          <w:sz w:val="22"/>
          <w:szCs w:val="22"/>
        </w:rPr>
        <w:t xml:space="preserve"> = </w:t>
      </w:r>
      <w:r w:rsidRPr="0016268A">
        <w:rPr>
          <w:b/>
          <w:sz w:val="22"/>
          <w:szCs w:val="22"/>
        </w:rPr>
        <w:t>$</w:t>
      </w:r>
      <w:r w:rsidR="00CB79F2">
        <w:rPr>
          <w:b/>
          <w:sz w:val="22"/>
          <w:szCs w:val="22"/>
        </w:rPr>
        <w:t>1,</w:t>
      </w:r>
      <w:r w:rsidR="00AB491E">
        <w:rPr>
          <w:b/>
          <w:sz w:val="22"/>
          <w:szCs w:val="22"/>
        </w:rPr>
        <w:t>334,049.50</w:t>
      </w:r>
    </w:p>
    <w:p w:rsidR="000D6C83" w:rsidRPr="0016268A" w:rsidP="000D6C83" w14:paraId="1BF084DC" w14:textId="77777777">
      <w:pPr>
        <w:pStyle w:val="BodyText2"/>
        <w:rPr>
          <w:sz w:val="22"/>
          <w:szCs w:val="22"/>
        </w:rPr>
      </w:pPr>
    </w:p>
    <w:p w:rsidR="000D6C83" w:rsidRPr="0016268A" w:rsidP="000D6C83" w14:paraId="7525BCFE" w14:textId="77777777">
      <w:pPr>
        <w:pStyle w:val="BodyText2"/>
        <w:ind w:left="1440" w:hanging="360"/>
        <w:rPr>
          <w:sz w:val="22"/>
          <w:szCs w:val="22"/>
        </w:rPr>
      </w:pPr>
      <w:r w:rsidRPr="0016268A">
        <w:rPr>
          <w:sz w:val="22"/>
          <w:szCs w:val="22"/>
        </w:rPr>
        <w:t>b.</w:t>
      </w:r>
      <w:r w:rsidRPr="0016268A">
        <w:rPr>
          <w:sz w:val="22"/>
          <w:szCs w:val="22"/>
        </w:rPr>
        <w:tab/>
      </w:r>
      <w:r w:rsidRPr="0016268A">
        <w:rPr>
          <w:sz w:val="22"/>
          <w:szCs w:val="22"/>
          <w:u w:val="single"/>
        </w:rPr>
        <w:t>Separation of charges by service provider and highlighting new service provider information</w:t>
      </w:r>
      <w:r w:rsidRPr="0016268A">
        <w:rPr>
          <w:sz w:val="22"/>
          <w:szCs w:val="22"/>
        </w:rPr>
        <w:t>:</w:t>
      </w:r>
    </w:p>
    <w:p w:rsidR="000D6C83" w:rsidRPr="0016268A" w:rsidP="000D6C83" w14:paraId="43D04AA5" w14:textId="77777777">
      <w:pPr>
        <w:ind w:firstLine="720"/>
        <w:rPr>
          <w:sz w:val="22"/>
          <w:szCs w:val="22"/>
          <w:u w:val="single"/>
        </w:rPr>
      </w:pPr>
    </w:p>
    <w:p w:rsidR="000D6C83" w:rsidRPr="0016268A" w:rsidP="000D6C83" w14:paraId="28CC64D9" w14:textId="77777777">
      <w:pPr>
        <w:ind w:left="1440"/>
        <w:rPr>
          <w:sz w:val="22"/>
          <w:szCs w:val="22"/>
        </w:rPr>
      </w:pPr>
      <w:r w:rsidRPr="0016268A">
        <w:rPr>
          <w:sz w:val="22"/>
          <w:szCs w:val="22"/>
        </w:rPr>
        <w:t xml:space="preserve">The Commission </w:t>
      </w:r>
      <w:r w:rsidRPr="0016268A">
        <w:rPr>
          <w:sz w:val="22"/>
          <w:szCs w:val="22"/>
        </w:rPr>
        <w:t>estimate</w:t>
      </w:r>
      <w:r w:rsidRPr="0016268A">
        <w:rPr>
          <w:sz w:val="22"/>
          <w:szCs w:val="22"/>
        </w:rPr>
        <w:t>s</w:t>
      </w:r>
      <w:r w:rsidRPr="0016268A">
        <w:rPr>
          <w:sz w:val="22"/>
          <w:szCs w:val="22"/>
        </w:rPr>
        <w:t xml:space="preserve"> that approximately </w:t>
      </w:r>
      <w:r w:rsidR="00CB79F2">
        <w:rPr>
          <w:sz w:val="22"/>
          <w:szCs w:val="22"/>
        </w:rPr>
        <w:t>3,554</w:t>
      </w:r>
      <w:r w:rsidRPr="0016268A">
        <w:rPr>
          <w:sz w:val="22"/>
          <w:szCs w:val="22"/>
        </w:rPr>
        <w:t xml:space="preserve"> respondents</w:t>
      </w:r>
      <w:r w:rsidR="00F10375">
        <w:rPr>
          <w:sz w:val="22"/>
          <w:szCs w:val="22"/>
        </w:rPr>
        <w:t xml:space="preserve"> (</w:t>
      </w:r>
      <w:r w:rsidRPr="0016268A" w:rsidR="00055ED2">
        <w:rPr>
          <w:sz w:val="22"/>
          <w:szCs w:val="22"/>
        </w:rPr>
        <w:t>wireline providers</w:t>
      </w:r>
      <w:r w:rsidR="00F10375">
        <w:rPr>
          <w:sz w:val="22"/>
          <w:szCs w:val="22"/>
        </w:rPr>
        <w:t>)</w:t>
      </w:r>
      <w:r w:rsidRPr="0016268A">
        <w:rPr>
          <w:sz w:val="22"/>
          <w:szCs w:val="22"/>
        </w:rPr>
        <w:t xml:space="preserve"> </w:t>
      </w:r>
      <w:r w:rsidRPr="0016268A" w:rsidR="00FE0F76">
        <w:rPr>
          <w:sz w:val="22"/>
          <w:szCs w:val="22"/>
        </w:rPr>
        <w:t>that have a continuing arrangement with the subscriber that results in periodic charges on the subscriber’s bill</w:t>
      </w:r>
      <w:r w:rsidRPr="0016268A" w:rsidR="00055ED2">
        <w:rPr>
          <w:sz w:val="22"/>
          <w:szCs w:val="22"/>
        </w:rPr>
        <w:t>,</w:t>
      </w:r>
      <w:r w:rsidRPr="0016268A" w:rsidR="00FE0F76">
        <w:rPr>
          <w:sz w:val="22"/>
          <w:szCs w:val="22"/>
        </w:rPr>
        <w:t xml:space="preserve"> will </w:t>
      </w:r>
      <w:r w:rsidR="00F10375">
        <w:rPr>
          <w:sz w:val="22"/>
          <w:szCs w:val="22"/>
        </w:rPr>
        <w:t xml:space="preserve">separate charges for each provider and </w:t>
      </w:r>
      <w:r w:rsidRPr="0016268A" w:rsidR="00FE0F76">
        <w:rPr>
          <w:sz w:val="22"/>
          <w:szCs w:val="22"/>
        </w:rPr>
        <w:t xml:space="preserve">highlight </w:t>
      </w:r>
      <w:r w:rsidR="00F10375">
        <w:rPr>
          <w:sz w:val="22"/>
          <w:szCs w:val="22"/>
        </w:rPr>
        <w:t xml:space="preserve">any </w:t>
      </w:r>
      <w:r w:rsidRPr="0016268A" w:rsidR="00FE0F76">
        <w:rPr>
          <w:sz w:val="22"/>
          <w:szCs w:val="22"/>
        </w:rPr>
        <w:t xml:space="preserve">new service providers.  </w:t>
      </w:r>
      <w:r w:rsidRPr="0016268A" w:rsidR="009E6C2D">
        <w:rPr>
          <w:sz w:val="22"/>
          <w:szCs w:val="22"/>
        </w:rPr>
        <w:t>The Commission views this requirement as being one response per respondent, because each respondent will list the information in exactly the same manner on each of the bills it issues.  The hours estimate</w:t>
      </w:r>
      <w:r w:rsidR="00F10375">
        <w:rPr>
          <w:sz w:val="22"/>
          <w:szCs w:val="22"/>
        </w:rPr>
        <w:t>d</w:t>
      </w:r>
      <w:r w:rsidRPr="0016268A" w:rsidR="009E6C2D">
        <w:rPr>
          <w:sz w:val="22"/>
          <w:szCs w:val="22"/>
        </w:rPr>
        <w:t xml:space="preserve">, however, accounts for the time involved in replicating the information on numerous bills.  </w:t>
      </w:r>
      <w:r w:rsidRPr="0016268A" w:rsidR="00FE0F76">
        <w:rPr>
          <w:sz w:val="22"/>
          <w:szCs w:val="22"/>
        </w:rPr>
        <w:t xml:space="preserve">This process is done “on occasion” and will require approximately </w:t>
      </w:r>
      <w:r w:rsidRPr="0016268A" w:rsidR="00A92CE8">
        <w:rPr>
          <w:sz w:val="22"/>
          <w:szCs w:val="22"/>
        </w:rPr>
        <w:t>230</w:t>
      </w:r>
      <w:r w:rsidRPr="0016268A" w:rsidR="00FE0F76">
        <w:rPr>
          <w:sz w:val="22"/>
          <w:szCs w:val="22"/>
        </w:rPr>
        <w:t xml:space="preserve"> hours.</w:t>
      </w:r>
    </w:p>
    <w:p w:rsidR="00FB3547" w:rsidRPr="0016268A" w:rsidP="000D6C83" w14:paraId="4445A88E" w14:textId="77777777">
      <w:pPr>
        <w:ind w:left="720" w:firstLine="720"/>
        <w:rPr>
          <w:sz w:val="22"/>
          <w:szCs w:val="22"/>
        </w:rPr>
      </w:pPr>
    </w:p>
    <w:p w:rsidR="00227C8E" w:rsidRPr="0016268A" w:rsidP="000D6C83" w14:paraId="3F60339E" w14:textId="77777777">
      <w:pPr>
        <w:ind w:left="720" w:firstLine="720"/>
        <w:rPr>
          <w:b/>
          <w:sz w:val="22"/>
          <w:szCs w:val="22"/>
        </w:rPr>
      </w:pPr>
      <w:r w:rsidRPr="0016268A">
        <w:rPr>
          <w:b/>
          <w:sz w:val="22"/>
          <w:szCs w:val="22"/>
        </w:rPr>
        <w:t xml:space="preserve">Annual Number of Responses:  </w:t>
      </w:r>
      <w:r w:rsidR="00CB79F2">
        <w:rPr>
          <w:b/>
          <w:sz w:val="22"/>
          <w:szCs w:val="22"/>
        </w:rPr>
        <w:t>3</w:t>
      </w:r>
      <w:r w:rsidRPr="0016268A">
        <w:rPr>
          <w:b/>
          <w:sz w:val="22"/>
          <w:szCs w:val="22"/>
        </w:rPr>
        <w:t>,</w:t>
      </w:r>
      <w:r w:rsidR="00CB79F2">
        <w:rPr>
          <w:b/>
          <w:sz w:val="22"/>
          <w:szCs w:val="22"/>
        </w:rPr>
        <w:t>554</w:t>
      </w:r>
    </w:p>
    <w:p w:rsidR="00227C8E" w:rsidRPr="008D6873" w:rsidP="000D6C83" w14:paraId="68A8FAAE" w14:textId="77777777">
      <w:pPr>
        <w:ind w:left="720" w:firstLine="720"/>
        <w:rPr>
          <w:b/>
          <w:sz w:val="22"/>
          <w:szCs w:val="22"/>
        </w:rPr>
      </w:pPr>
    </w:p>
    <w:p w:rsidR="00227C8E" w:rsidRPr="008C7E0A" w:rsidP="000D6C83" w14:paraId="35A5CD96" w14:textId="77777777">
      <w:pPr>
        <w:ind w:left="720" w:firstLine="720"/>
        <w:rPr>
          <w:b/>
          <w:sz w:val="22"/>
          <w:szCs w:val="22"/>
        </w:rPr>
      </w:pPr>
      <w:r w:rsidRPr="008C7E0A">
        <w:rPr>
          <w:b/>
          <w:sz w:val="22"/>
          <w:szCs w:val="22"/>
        </w:rPr>
        <w:t xml:space="preserve">Annual Burden Hours:  </w:t>
      </w:r>
    </w:p>
    <w:p w:rsidR="00227C8E" w:rsidRPr="00B852B0" w:rsidP="000D6C83" w14:paraId="34CCCE4E" w14:textId="77777777">
      <w:pPr>
        <w:ind w:left="720" w:firstLine="720"/>
        <w:rPr>
          <w:sz w:val="22"/>
          <w:szCs w:val="22"/>
        </w:rPr>
      </w:pPr>
    </w:p>
    <w:p w:rsidR="000D6C83" w:rsidRPr="0016268A" w:rsidP="000D6C83" w14:paraId="301365DF" w14:textId="77777777">
      <w:pPr>
        <w:ind w:left="720" w:firstLine="720"/>
        <w:rPr>
          <w:sz w:val="22"/>
          <w:szCs w:val="22"/>
          <w:u w:val="single"/>
        </w:rPr>
      </w:pPr>
      <w:r>
        <w:rPr>
          <w:sz w:val="22"/>
          <w:szCs w:val="22"/>
        </w:rPr>
        <w:t>3</w:t>
      </w:r>
      <w:r w:rsidRPr="00B852B0" w:rsidR="00055ED2">
        <w:rPr>
          <w:sz w:val="22"/>
          <w:szCs w:val="22"/>
        </w:rPr>
        <w:t>,</w:t>
      </w:r>
      <w:r>
        <w:rPr>
          <w:sz w:val="22"/>
          <w:szCs w:val="22"/>
        </w:rPr>
        <w:t>554</w:t>
      </w:r>
      <w:r w:rsidRPr="0016268A">
        <w:rPr>
          <w:sz w:val="22"/>
          <w:szCs w:val="22"/>
        </w:rPr>
        <w:t xml:space="preserve"> </w:t>
      </w:r>
      <w:r w:rsidRPr="0016268A" w:rsidR="00841F28">
        <w:rPr>
          <w:sz w:val="22"/>
          <w:szCs w:val="22"/>
        </w:rPr>
        <w:t>respondent</w:t>
      </w:r>
      <w:r w:rsidRPr="0016268A" w:rsidR="003329B1">
        <w:rPr>
          <w:sz w:val="22"/>
          <w:szCs w:val="22"/>
        </w:rPr>
        <w:t>s</w:t>
      </w:r>
      <w:r w:rsidRPr="0016268A" w:rsidR="00841F28">
        <w:rPr>
          <w:sz w:val="22"/>
          <w:szCs w:val="22"/>
        </w:rPr>
        <w:t xml:space="preserve"> </w:t>
      </w:r>
      <w:r w:rsidRPr="0016268A">
        <w:rPr>
          <w:sz w:val="22"/>
          <w:szCs w:val="22"/>
        </w:rPr>
        <w:t xml:space="preserve">x </w:t>
      </w:r>
      <w:r w:rsidRPr="0016268A" w:rsidR="003329B1">
        <w:rPr>
          <w:sz w:val="22"/>
          <w:szCs w:val="22"/>
        </w:rPr>
        <w:t xml:space="preserve">1 response/respondent x </w:t>
      </w:r>
      <w:r w:rsidRPr="0016268A" w:rsidR="00A92CE8">
        <w:rPr>
          <w:sz w:val="22"/>
          <w:szCs w:val="22"/>
        </w:rPr>
        <w:t>230</w:t>
      </w:r>
      <w:r w:rsidRPr="0016268A">
        <w:rPr>
          <w:sz w:val="22"/>
          <w:szCs w:val="22"/>
        </w:rPr>
        <w:t xml:space="preserve"> hours = </w:t>
      </w:r>
      <w:r>
        <w:rPr>
          <w:b/>
          <w:sz w:val="22"/>
          <w:szCs w:val="22"/>
        </w:rPr>
        <w:t>817,420</w:t>
      </w:r>
      <w:r w:rsidRPr="0016268A" w:rsidR="0080546D">
        <w:rPr>
          <w:sz w:val="22"/>
          <w:szCs w:val="22"/>
        </w:rPr>
        <w:t xml:space="preserve"> </w:t>
      </w:r>
      <w:r w:rsidRPr="0016268A">
        <w:rPr>
          <w:b/>
          <w:sz w:val="22"/>
          <w:szCs w:val="22"/>
        </w:rPr>
        <w:t>hours</w:t>
      </w:r>
      <w:r w:rsidRPr="0016268A">
        <w:rPr>
          <w:sz w:val="22"/>
          <w:szCs w:val="22"/>
          <w:u w:val="single"/>
        </w:rPr>
        <w:t xml:space="preserve">  </w:t>
      </w:r>
    </w:p>
    <w:p w:rsidR="000D6C83" w:rsidRPr="0016268A" w:rsidP="000D6C83" w14:paraId="7337E630" w14:textId="77777777">
      <w:pPr>
        <w:ind w:firstLine="720"/>
        <w:rPr>
          <w:sz w:val="22"/>
          <w:szCs w:val="22"/>
          <w:u w:val="single"/>
        </w:rPr>
      </w:pPr>
    </w:p>
    <w:p w:rsidR="00D653CB" w:rsidRPr="0016268A" w:rsidP="000D6C83" w14:paraId="4286B8E5" w14:textId="77777777">
      <w:pPr>
        <w:ind w:left="1440"/>
        <w:rPr>
          <w:b/>
          <w:sz w:val="22"/>
          <w:szCs w:val="22"/>
        </w:rPr>
      </w:pPr>
      <w:r w:rsidRPr="0016268A">
        <w:rPr>
          <w:b/>
          <w:sz w:val="22"/>
          <w:szCs w:val="22"/>
        </w:rPr>
        <w:t>Annual In-House Costs:</w:t>
      </w:r>
    </w:p>
    <w:p w:rsidR="00D653CB" w:rsidRPr="0016268A" w:rsidP="000D6C83" w14:paraId="457013F7" w14:textId="77777777">
      <w:pPr>
        <w:ind w:left="1440"/>
        <w:rPr>
          <w:sz w:val="22"/>
          <w:szCs w:val="22"/>
        </w:rPr>
      </w:pPr>
    </w:p>
    <w:p w:rsidR="000D6C83" w:rsidRPr="0016268A" w:rsidP="000D6C83" w14:paraId="77BABE59" w14:textId="4AE435CE">
      <w:pPr>
        <w:ind w:left="1440"/>
        <w:rPr>
          <w:sz w:val="22"/>
          <w:szCs w:val="22"/>
        </w:rPr>
      </w:pPr>
      <w:r w:rsidRPr="0016268A">
        <w:rPr>
          <w:sz w:val="22"/>
          <w:szCs w:val="22"/>
        </w:rPr>
        <w:t xml:space="preserve">The Commission </w:t>
      </w:r>
      <w:r w:rsidRPr="0016268A">
        <w:rPr>
          <w:sz w:val="22"/>
          <w:szCs w:val="22"/>
        </w:rPr>
        <w:t>assume</w:t>
      </w:r>
      <w:r w:rsidRPr="0016268A">
        <w:rPr>
          <w:sz w:val="22"/>
          <w:szCs w:val="22"/>
        </w:rPr>
        <w:t>s</w:t>
      </w:r>
      <w:r w:rsidRPr="0016268A">
        <w:rPr>
          <w:sz w:val="22"/>
          <w:szCs w:val="22"/>
        </w:rPr>
        <w:t xml:space="preserve"> that respondents use “in house” personnel comparable in pay to that of a mid-to-senior level federal employee (GS-13/5)</w:t>
      </w:r>
      <w:r w:rsidRPr="0016268A" w:rsidR="008A7CC3">
        <w:rPr>
          <w:sz w:val="22"/>
          <w:szCs w:val="22"/>
        </w:rPr>
        <w:t>;</w:t>
      </w:r>
      <w:r w:rsidRPr="0016268A">
        <w:rPr>
          <w:sz w:val="22"/>
          <w:szCs w:val="22"/>
        </w:rPr>
        <w:t xml:space="preserve"> </w:t>
      </w:r>
      <w:r w:rsidRPr="0016268A">
        <w:rPr>
          <w:sz w:val="22"/>
          <w:szCs w:val="22"/>
        </w:rPr>
        <w:t xml:space="preserve">the Commission </w:t>
      </w:r>
      <w:r w:rsidRPr="0016268A">
        <w:rPr>
          <w:sz w:val="22"/>
          <w:szCs w:val="22"/>
        </w:rPr>
        <w:t>estimate</w:t>
      </w:r>
      <w:r w:rsidRPr="0016268A">
        <w:rPr>
          <w:sz w:val="22"/>
          <w:szCs w:val="22"/>
        </w:rPr>
        <w:t>s</w:t>
      </w:r>
      <w:r w:rsidRPr="0016268A" w:rsidR="00EC07BA">
        <w:rPr>
          <w:sz w:val="22"/>
          <w:szCs w:val="22"/>
        </w:rPr>
        <w:t xml:space="preserve"> </w:t>
      </w:r>
      <w:r w:rsidRPr="0016268A" w:rsidR="008A7CC3">
        <w:rPr>
          <w:sz w:val="22"/>
          <w:szCs w:val="22"/>
        </w:rPr>
        <w:t xml:space="preserve">each </w:t>
      </w:r>
      <w:r w:rsidRPr="0016268A">
        <w:rPr>
          <w:sz w:val="22"/>
          <w:szCs w:val="22"/>
        </w:rPr>
        <w:t>respondent’s cost to be about $</w:t>
      </w:r>
      <w:r w:rsidR="003A6B6F">
        <w:rPr>
          <w:sz w:val="22"/>
          <w:szCs w:val="22"/>
        </w:rPr>
        <w:t>64.06</w:t>
      </w:r>
      <w:r w:rsidRPr="0016268A">
        <w:rPr>
          <w:sz w:val="22"/>
          <w:szCs w:val="22"/>
        </w:rPr>
        <w:t xml:space="preserve"> per hour to comply with the requirements:</w:t>
      </w:r>
    </w:p>
    <w:p w:rsidR="000657E4" w:rsidRPr="0016268A" w:rsidP="000D6C83" w14:paraId="52255172" w14:textId="77777777">
      <w:pPr>
        <w:ind w:firstLine="720"/>
        <w:rPr>
          <w:sz w:val="22"/>
          <w:szCs w:val="22"/>
          <w:u w:val="single"/>
        </w:rPr>
      </w:pPr>
    </w:p>
    <w:p w:rsidR="000D6C83" w:rsidRPr="0016268A" w:rsidP="000D6C83" w14:paraId="7CB258A7" w14:textId="66FF4D2C">
      <w:pPr>
        <w:ind w:left="720" w:firstLine="720"/>
        <w:rPr>
          <w:b/>
          <w:sz w:val="22"/>
          <w:szCs w:val="22"/>
        </w:rPr>
      </w:pPr>
      <w:r>
        <w:rPr>
          <w:sz w:val="22"/>
          <w:szCs w:val="22"/>
        </w:rPr>
        <w:t>3,554</w:t>
      </w:r>
      <w:r w:rsidRPr="0016268A" w:rsidR="003329B1">
        <w:rPr>
          <w:sz w:val="22"/>
          <w:szCs w:val="22"/>
        </w:rPr>
        <w:t xml:space="preserve"> respondents x 1 response/respondent </w:t>
      </w:r>
      <w:r w:rsidRPr="0016268A">
        <w:rPr>
          <w:sz w:val="22"/>
          <w:szCs w:val="22"/>
        </w:rPr>
        <w:t xml:space="preserve">x </w:t>
      </w:r>
      <w:r w:rsidRPr="0016268A" w:rsidR="00784B64">
        <w:rPr>
          <w:sz w:val="22"/>
          <w:szCs w:val="22"/>
        </w:rPr>
        <w:t>230</w:t>
      </w:r>
      <w:r w:rsidRPr="0016268A">
        <w:rPr>
          <w:sz w:val="22"/>
          <w:szCs w:val="22"/>
        </w:rPr>
        <w:t xml:space="preserve"> hours x $</w:t>
      </w:r>
      <w:r w:rsidR="003A6B6F">
        <w:rPr>
          <w:sz w:val="22"/>
          <w:szCs w:val="22"/>
        </w:rPr>
        <w:t>64.06</w:t>
      </w:r>
      <w:r w:rsidRPr="0016268A">
        <w:rPr>
          <w:sz w:val="22"/>
          <w:szCs w:val="22"/>
        </w:rPr>
        <w:t xml:space="preserve"> = </w:t>
      </w:r>
      <w:r w:rsidRPr="0016268A">
        <w:rPr>
          <w:b/>
          <w:sz w:val="22"/>
          <w:szCs w:val="22"/>
        </w:rPr>
        <w:t>$</w:t>
      </w:r>
      <w:r w:rsidR="00DC2DDA">
        <w:rPr>
          <w:b/>
          <w:sz w:val="22"/>
          <w:szCs w:val="22"/>
        </w:rPr>
        <w:t>52,363,925.20</w:t>
      </w:r>
    </w:p>
    <w:p w:rsidR="00484D3E" w:rsidRPr="0016268A" w:rsidP="000D6C83" w14:paraId="6100017E" w14:textId="77777777">
      <w:pPr>
        <w:ind w:left="720" w:firstLine="720"/>
        <w:rPr>
          <w:b/>
          <w:sz w:val="22"/>
          <w:szCs w:val="22"/>
        </w:rPr>
      </w:pPr>
    </w:p>
    <w:p w:rsidR="000D6C83" w:rsidRPr="0016268A" w:rsidP="000D6C83" w14:paraId="58461E4E" w14:textId="77777777">
      <w:pPr>
        <w:ind w:firstLine="1080"/>
        <w:rPr>
          <w:sz w:val="22"/>
          <w:szCs w:val="22"/>
        </w:rPr>
      </w:pPr>
      <w:r w:rsidRPr="0016268A">
        <w:rPr>
          <w:sz w:val="22"/>
          <w:szCs w:val="22"/>
        </w:rPr>
        <w:t>c.</w:t>
      </w:r>
      <w:r w:rsidRPr="0016268A">
        <w:rPr>
          <w:sz w:val="22"/>
          <w:szCs w:val="22"/>
        </w:rPr>
        <w:tab/>
      </w:r>
      <w:r w:rsidRPr="0016268A">
        <w:rPr>
          <w:sz w:val="22"/>
          <w:szCs w:val="22"/>
          <w:u w:val="single"/>
        </w:rPr>
        <w:t>Full and non-misleading billed charges</w:t>
      </w:r>
      <w:r w:rsidRPr="0016268A">
        <w:rPr>
          <w:sz w:val="22"/>
          <w:szCs w:val="22"/>
        </w:rPr>
        <w:t>:</w:t>
      </w:r>
    </w:p>
    <w:p w:rsidR="009B589A" w:rsidRPr="0016268A" w:rsidP="009B589A" w14:paraId="150586E2" w14:textId="77777777">
      <w:pPr>
        <w:tabs>
          <w:tab w:val="left" w:pos="9360"/>
        </w:tabs>
        <w:ind w:left="1440" w:right="810"/>
        <w:rPr>
          <w:sz w:val="22"/>
          <w:szCs w:val="22"/>
          <w:u w:val="single"/>
        </w:rPr>
      </w:pPr>
    </w:p>
    <w:p w:rsidR="00055ED2" w:rsidRPr="0016268A" w:rsidP="009B589A" w14:paraId="101438D6" w14:textId="77777777">
      <w:pPr>
        <w:tabs>
          <w:tab w:val="left" w:pos="9360"/>
        </w:tabs>
        <w:ind w:left="1440" w:right="810"/>
        <w:rPr>
          <w:sz w:val="22"/>
          <w:szCs w:val="22"/>
        </w:rPr>
      </w:pPr>
      <w:r w:rsidRPr="0016268A">
        <w:rPr>
          <w:sz w:val="22"/>
          <w:szCs w:val="22"/>
        </w:rPr>
        <w:t xml:space="preserve">The Commission estimates that approximately </w:t>
      </w:r>
      <w:r w:rsidR="002C00AB">
        <w:rPr>
          <w:sz w:val="22"/>
          <w:szCs w:val="22"/>
        </w:rPr>
        <w:t>4,165</w:t>
      </w:r>
      <w:r w:rsidRPr="0016268A">
        <w:rPr>
          <w:sz w:val="22"/>
          <w:szCs w:val="22"/>
        </w:rPr>
        <w:t xml:space="preserve"> respondents (wireless and wireline carriers) will issue bills to their customers.  </w:t>
      </w:r>
    </w:p>
    <w:p w:rsidR="00055ED2" w:rsidRPr="0016268A" w:rsidP="009B589A" w14:paraId="72D52E13" w14:textId="77777777">
      <w:pPr>
        <w:tabs>
          <w:tab w:val="left" w:pos="9360"/>
        </w:tabs>
        <w:ind w:left="1440" w:right="810"/>
        <w:rPr>
          <w:sz w:val="22"/>
          <w:szCs w:val="22"/>
        </w:rPr>
      </w:pPr>
    </w:p>
    <w:p w:rsidR="00055ED2" w:rsidRPr="0016268A" w:rsidP="00055ED2" w14:paraId="775581EA" w14:textId="77777777">
      <w:pPr>
        <w:numPr>
          <w:ilvl w:val="1"/>
          <w:numId w:val="17"/>
        </w:numPr>
        <w:tabs>
          <w:tab w:val="num" w:pos="1800"/>
          <w:tab w:val="clear" w:pos="2160"/>
        </w:tabs>
        <w:ind w:left="1800"/>
        <w:rPr>
          <w:sz w:val="22"/>
          <w:szCs w:val="22"/>
        </w:rPr>
      </w:pPr>
      <w:r w:rsidRPr="0016268A">
        <w:rPr>
          <w:sz w:val="22"/>
          <w:szCs w:val="22"/>
        </w:rPr>
        <w:t>Each charge in the customer’s bill will include a brief, clear, plain-language description of the services rendered.</w:t>
      </w:r>
    </w:p>
    <w:p w:rsidR="00055ED2" w:rsidRPr="0016268A" w:rsidP="00055ED2" w14:paraId="2665E752" w14:textId="77777777">
      <w:pPr>
        <w:rPr>
          <w:sz w:val="22"/>
          <w:szCs w:val="22"/>
        </w:rPr>
      </w:pPr>
    </w:p>
    <w:p w:rsidR="007B1A7A" w:rsidRPr="0016268A" w:rsidP="007B1A7A" w14:paraId="2E67EB43" w14:textId="77777777">
      <w:pPr>
        <w:ind w:left="1800" w:hanging="360"/>
        <w:rPr>
          <w:sz w:val="22"/>
          <w:szCs w:val="22"/>
        </w:rPr>
      </w:pPr>
      <w:r w:rsidRPr="0016268A">
        <w:rPr>
          <w:sz w:val="22"/>
          <w:szCs w:val="22"/>
        </w:rPr>
        <w:t xml:space="preserve">(2)  </w:t>
      </w:r>
      <w:r w:rsidRPr="0016268A" w:rsidR="00055ED2">
        <w:rPr>
          <w:sz w:val="22"/>
          <w:szCs w:val="22"/>
        </w:rPr>
        <w:t xml:space="preserve">Wireline respondents will </w:t>
      </w:r>
      <w:r w:rsidRPr="0016268A" w:rsidR="00CD5612">
        <w:rPr>
          <w:sz w:val="22"/>
          <w:szCs w:val="22"/>
        </w:rPr>
        <w:t>distinguish on each of their customers’ bills</w:t>
      </w:r>
      <w:r w:rsidRPr="0016268A" w:rsidR="00055ED2">
        <w:rPr>
          <w:sz w:val="22"/>
          <w:szCs w:val="22"/>
        </w:rPr>
        <w:t xml:space="preserve"> t</w:t>
      </w:r>
      <w:r w:rsidRPr="0016268A" w:rsidR="00CD5612">
        <w:rPr>
          <w:sz w:val="22"/>
          <w:szCs w:val="22"/>
        </w:rPr>
        <w:t xml:space="preserve">hose charges that the customer may refuse to pay without jeopardizing the provision of local telephone service, and </w:t>
      </w:r>
      <w:r w:rsidRPr="0016268A" w:rsidR="00055ED2">
        <w:rPr>
          <w:sz w:val="22"/>
          <w:szCs w:val="22"/>
        </w:rPr>
        <w:t>t</w:t>
      </w:r>
      <w:r w:rsidRPr="0016268A" w:rsidR="00CD5612">
        <w:rPr>
          <w:sz w:val="22"/>
          <w:szCs w:val="22"/>
        </w:rPr>
        <w:t xml:space="preserve">hose charges for which non-payment may result in </w:t>
      </w:r>
      <w:r w:rsidR="00DB17C4">
        <w:rPr>
          <w:sz w:val="22"/>
          <w:szCs w:val="22"/>
        </w:rPr>
        <w:t xml:space="preserve">disconnection of the </w:t>
      </w:r>
      <w:r w:rsidRPr="0016268A" w:rsidR="00CD5612">
        <w:rPr>
          <w:sz w:val="22"/>
          <w:szCs w:val="22"/>
        </w:rPr>
        <w:t>customer’s local telephone service.</w:t>
      </w:r>
    </w:p>
    <w:p w:rsidR="00D46FD7" w:rsidP="00CC6C59" w14:paraId="63B94533" w14:textId="77777777">
      <w:pPr>
        <w:ind w:left="1440"/>
        <w:rPr>
          <w:b/>
          <w:sz w:val="22"/>
          <w:szCs w:val="22"/>
        </w:rPr>
      </w:pPr>
    </w:p>
    <w:p w:rsidR="00CC6C59" w:rsidRPr="008C7E0A" w:rsidP="00CC6C59" w14:paraId="55A0A9E4" w14:textId="77777777">
      <w:pPr>
        <w:ind w:left="1440"/>
        <w:rPr>
          <w:sz w:val="22"/>
          <w:szCs w:val="22"/>
        </w:rPr>
      </w:pPr>
      <w:r w:rsidRPr="008C7E0A">
        <w:rPr>
          <w:b/>
          <w:sz w:val="22"/>
          <w:szCs w:val="22"/>
        </w:rPr>
        <w:t>Annual Number of Responses:</w:t>
      </w:r>
      <w:r w:rsidRPr="008C7E0A">
        <w:rPr>
          <w:sz w:val="22"/>
          <w:szCs w:val="22"/>
        </w:rPr>
        <w:t xml:space="preserve">  </w:t>
      </w:r>
    </w:p>
    <w:p w:rsidR="00CC6C59" w:rsidRPr="00B852B0" w:rsidP="00CC6C59" w14:paraId="0FA26D0B" w14:textId="77777777">
      <w:pPr>
        <w:ind w:left="1440"/>
        <w:rPr>
          <w:sz w:val="22"/>
          <w:szCs w:val="22"/>
        </w:rPr>
      </w:pPr>
    </w:p>
    <w:p w:rsidR="00CC6C59" w:rsidRPr="0016268A" w:rsidP="00CC6C59" w14:paraId="653DF0F9" w14:textId="77777777">
      <w:pPr>
        <w:ind w:left="720" w:firstLine="720"/>
        <w:rPr>
          <w:sz w:val="22"/>
          <w:szCs w:val="22"/>
        </w:rPr>
      </w:pPr>
      <w:r>
        <w:rPr>
          <w:sz w:val="22"/>
          <w:szCs w:val="22"/>
        </w:rPr>
        <w:t xml:space="preserve">3,554 </w:t>
      </w:r>
      <w:r w:rsidRPr="0016268A">
        <w:rPr>
          <w:sz w:val="22"/>
          <w:szCs w:val="22"/>
        </w:rPr>
        <w:t xml:space="preserve">respondents x 2 responses =  </w:t>
      </w:r>
      <w:r w:rsidR="00DE124C">
        <w:rPr>
          <w:sz w:val="22"/>
          <w:szCs w:val="22"/>
        </w:rPr>
        <w:t xml:space="preserve"> </w:t>
      </w:r>
      <w:r>
        <w:rPr>
          <w:sz w:val="22"/>
          <w:szCs w:val="22"/>
        </w:rPr>
        <w:t>7,108</w:t>
      </w:r>
      <w:r w:rsidRPr="0016268A">
        <w:rPr>
          <w:sz w:val="22"/>
          <w:szCs w:val="22"/>
        </w:rPr>
        <w:t xml:space="preserve"> responses</w:t>
      </w:r>
    </w:p>
    <w:p w:rsidR="00CC6C59" w:rsidRPr="0016268A" w:rsidP="00CC6C59" w14:paraId="14526038" w14:textId="77777777">
      <w:pPr>
        <w:ind w:left="720" w:firstLine="720"/>
        <w:rPr>
          <w:sz w:val="22"/>
          <w:szCs w:val="22"/>
        </w:rPr>
      </w:pPr>
      <w:r>
        <w:rPr>
          <w:sz w:val="22"/>
          <w:szCs w:val="22"/>
        </w:rPr>
        <w:t>611</w:t>
      </w:r>
      <w:r w:rsidRPr="0016268A">
        <w:rPr>
          <w:sz w:val="22"/>
          <w:szCs w:val="22"/>
        </w:rPr>
        <w:t xml:space="preserve"> respondents x</w:t>
      </w:r>
      <w:r w:rsidRPr="00DE124C">
        <w:rPr>
          <w:sz w:val="22"/>
          <w:szCs w:val="22"/>
        </w:rPr>
        <w:t xml:space="preserve"> 1</w:t>
      </w:r>
      <w:r w:rsidRPr="0016268A">
        <w:rPr>
          <w:sz w:val="22"/>
          <w:szCs w:val="22"/>
        </w:rPr>
        <w:t xml:space="preserve"> response =   </w:t>
      </w:r>
      <w:r w:rsidRPr="0016268A" w:rsidR="00A95CDB">
        <w:rPr>
          <w:sz w:val="22"/>
          <w:szCs w:val="22"/>
        </w:rPr>
        <w:t xml:space="preserve">   </w:t>
      </w:r>
      <w:r w:rsidRPr="0016268A" w:rsidR="00A95CDB">
        <w:rPr>
          <w:sz w:val="22"/>
          <w:szCs w:val="22"/>
          <w:u w:val="single"/>
        </w:rPr>
        <w:t xml:space="preserve">   </w:t>
      </w:r>
      <w:r>
        <w:rPr>
          <w:sz w:val="22"/>
          <w:szCs w:val="22"/>
          <w:u w:val="single"/>
        </w:rPr>
        <w:t xml:space="preserve"> </w:t>
      </w:r>
      <w:r w:rsidR="00DE124C">
        <w:rPr>
          <w:sz w:val="22"/>
          <w:szCs w:val="22"/>
          <w:u w:val="single"/>
        </w:rPr>
        <w:t xml:space="preserve"> </w:t>
      </w:r>
      <w:r>
        <w:rPr>
          <w:sz w:val="22"/>
          <w:szCs w:val="22"/>
          <w:u w:val="single"/>
        </w:rPr>
        <w:t>611</w:t>
      </w:r>
      <w:r w:rsidRPr="0016268A">
        <w:rPr>
          <w:sz w:val="22"/>
          <w:szCs w:val="22"/>
        </w:rPr>
        <w:t xml:space="preserve"> responses</w:t>
      </w:r>
    </w:p>
    <w:p w:rsidR="00CC6C59" w:rsidRPr="0016268A" w:rsidP="00CC6C59" w14:paraId="3741FD11" w14:textId="77777777">
      <w:pPr>
        <w:ind w:left="1440"/>
        <w:rPr>
          <w:sz w:val="22"/>
          <w:szCs w:val="22"/>
        </w:rPr>
      </w:pPr>
      <w:r w:rsidRPr="0016268A">
        <w:rPr>
          <w:sz w:val="22"/>
          <w:szCs w:val="22"/>
        </w:rPr>
        <w:tab/>
      </w:r>
      <w:r w:rsidRPr="0016268A">
        <w:rPr>
          <w:sz w:val="22"/>
          <w:szCs w:val="22"/>
        </w:rPr>
        <w:tab/>
      </w:r>
      <w:r w:rsidRPr="0016268A">
        <w:rPr>
          <w:sz w:val="22"/>
          <w:szCs w:val="22"/>
        </w:rPr>
        <w:tab/>
      </w:r>
      <w:r w:rsidRPr="0016268A">
        <w:rPr>
          <w:sz w:val="22"/>
          <w:szCs w:val="22"/>
        </w:rPr>
        <w:tab/>
        <w:t xml:space="preserve">   </w:t>
      </w:r>
      <w:r w:rsidR="00DE124C">
        <w:rPr>
          <w:sz w:val="22"/>
          <w:szCs w:val="22"/>
        </w:rPr>
        <w:t xml:space="preserve"> </w:t>
      </w:r>
      <w:r w:rsidR="002C00AB">
        <w:rPr>
          <w:sz w:val="22"/>
          <w:szCs w:val="22"/>
        </w:rPr>
        <w:t xml:space="preserve"> </w:t>
      </w:r>
      <w:r w:rsidRPr="0016268A">
        <w:rPr>
          <w:sz w:val="22"/>
          <w:szCs w:val="22"/>
        </w:rPr>
        <w:t xml:space="preserve"> </w:t>
      </w:r>
      <w:r w:rsidR="002C00AB">
        <w:rPr>
          <w:b/>
          <w:sz w:val="22"/>
          <w:szCs w:val="22"/>
        </w:rPr>
        <w:t>7</w:t>
      </w:r>
      <w:r w:rsidRPr="0016268A">
        <w:rPr>
          <w:b/>
          <w:sz w:val="22"/>
          <w:szCs w:val="22"/>
        </w:rPr>
        <w:t>,</w:t>
      </w:r>
      <w:r w:rsidR="002C00AB">
        <w:rPr>
          <w:b/>
          <w:sz w:val="22"/>
          <w:szCs w:val="22"/>
        </w:rPr>
        <w:t>719</w:t>
      </w:r>
      <w:r w:rsidR="00DE124C">
        <w:rPr>
          <w:b/>
          <w:sz w:val="22"/>
          <w:szCs w:val="22"/>
        </w:rPr>
        <w:t xml:space="preserve"> </w:t>
      </w:r>
      <w:r w:rsidRPr="0016268A">
        <w:rPr>
          <w:b/>
          <w:sz w:val="22"/>
          <w:szCs w:val="22"/>
        </w:rPr>
        <w:t>responses</w:t>
      </w:r>
    </w:p>
    <w:p w:rsidR="00CC6C59" w:rsidRPr="0016268A" w:rsidP="007B1A7A" w14:paraId="79963BE8" w14:textId="77777777">
      <w:pPr>
        <w:ind w:left="1440"/>
        <w:rPr>
          <w:sz w:val="22"/>
          <w:szCs w:val="22"/>
        </w:rPr>
      </w:pPr>
    </w:p>
    <w:p w:rsidR="00E2250D" w:rsidRPr="0016268A" w:rsidP="007B1A7A" w14:paraId="13851F1B" w14:textId="77777777">
      <w:pPr>
        <w:ind w:left="1440"/>
        <w:rPr>
          <w:sz w:val="22"/>
          <w:szCs w:val="22"/>
        </w:rPr>
      </w:pPr>
      <w:r w:rsidRPr="0016268A">
        <w:rPr>
          <w:sz w:val="22"/>
          <w:szCs w:val="22"/>
        </w:rPr>
        <w:t xml:space="preserve">The Commission estimates that </w:t>
      </w:r>
      <w:r w:rsidR="002C00AB">
        <w:rPr>
          <w:sz w:val="22"/>
          <w:szCs w:val="22"/>
        </w:rPr>
        <w:t>3,554</w:t>
      </w:r>
      <w:r w:rsidRPr="0016268A">
        <w:rPr>
          <w:sz w:val="22"/>
          <w:szCs w:val="22"/>
        </w:rPr>
        <w:t xml:space="preserve"> wireline respondents must comply with (1) and (2), and that this will require approximately </w:t>
      </w:r>
      <w:r w:rsidRPr="0016268A" w:rsidR="0037261E">
        <w:rPr>
          <w:sz w:val="22"/>
          <w:szCs w:val="22"/>
        </w:rPr>
        <w:t>50</w:t>
      </w:r>
      <w:r w:rsidRPr="0016268A">
        <w:rPr>
          <w:sz w:val="22"/>
          <w:szCs w:val="22"/>
        </w:rPr>
        <w:t xml:space="preserve"> hours per </w:t>
      </w:r>
      <w:r w:rsidRPr="0016268A" w:rsidR="0037261E">
        <w:rPr>
          <w:sz w:val="22"/>
          <w:szCs w:val="22"/>
        </w:rPr>
        <w:t>response (</w:t>
      </w:r>
      <w:r w:rsidRPr="0016268A" w:rsidR="0015628B">
        <w:rPr>
          <w:sz w:val="22"/>
          <w:szCs w:val="22"/>
        </w:rPr>
        <w:t>2 responses x 50 hours =</w:t>
      </w:r>
      <w:r w:rsidRPr="0016268A" w:rsidR="0037261E">
        <w:rPr>
          <w:sz w:val="22"/>
          <w:szCs w:val="22"/>
        </w:rPr>
        <w:t xml:space="preserve"> 100 </w:t>
      </w:r>
      <w:r w:rsidRPr="0016268A" w:rsidR="00F0022B">
        <w:rPr>
          <w:sz w:val="22"/>
          <w:szCs w:val="22"/>
        </w:rPr>
        <w:t xml:space="preserve">total </w:t>
      </w:r>
      <w:r w:rsidRPr="0016268A" w:rsidR="0037261E">
        <w:rPr>
          <w:sz w:val="22"/>
          <w:szCs w:val="22"/>
        </w:rPr>
        <w:t>hours)</w:t>
      </w:r>
      <w:r w:rsidRPr="0016268A">
        <w:rPr>
          <w:sz w:val="22"/>
          <w:szCs w:val="22"/>
        </w:rPr>
        <w:t xml:space="preserve">.  In addition, </w:t>
      </w:r>
      <w:r w:rsidR="002C00AB">
        <w:rPr>
          <w:sz w:val="22"/>
          <w:szCs w:val="22"/>
        </w:rPr>
        <w:t>611</w:t>
      </w:r>
      <w:r w:rsidRPr="0016268A">
        <w:rPr>
          <w:sz w:val="22"/>
          <w:szCs w:val="22"/>
        </w:rPr>
        <w:t xml:space="preserve"> wireless respondents must comply with (1), and this will require approximately 50 hours per respon</w:t>
      </w:r>
      <w:r w:rsidRPr="0016268A" w:rsidR="00F0022B">
        <w:rPr>
          <w:sz w:val="22"/>
          <w:szCs w:val="22"/>
        </w:rPr>
        <w:t>se</w:t>
      </w:r>
      <w:r w:rsidRPr="0016268A" w:rsidR="00905D7D">
        <w:rPr>
          <w:sz w:val="22"/>
          <w:szCs w:val="22"/>
        </w:rPr>
        <w:t xml:space="preserve"> (for a combined total of 100 hours plus 50 hours or 150 hours)</w:t>
      </w:r>
      <w:r w:rsidRPr="0016268A">
        <w:rPr>
          <w:sz w:val="22"/>
          <w:szCs w:val="22"/>
        </w:rPr>
        <w:t>.</w:t>
      </w:r>
    </w:p>
    <w:p w:rsidR="00484D3E" w:rsidRPr="0016268A" w:rsidP="007B1A7A" w14:paraId="750710F8" w14:textId="77777777">
      <w:pPr>
        <w:ind w:left="1440"/>
        <w:rPr>
          <w:sz w:val="22"/>
          <w:szCs w:val="22"/>
        </w:rPr>
      </w:pPr>
    </w:p>
    <w:p w:rsidR="00E2250D" w:rsidRPr="0016268A" w:rsidP="007B1A7A" w14:paraId="2B22E2D8" w14:textId="77777777">
      <w:pPr>
        <w:ind w:left="1440"/>
        <w:rPr>
          <w:sz w:val="22"/>
          <w:szCs w:val="22"/>
        </w:rPr>
      </w:pPr>
      <w:r w:rsidRPr="0016268A">
        <w:rPr>
          <w:b/>
          <w:sz w:val="22"/>
          <w:szCs w:val="22"/>
        </w:rPr>
        <w:t>A</w:t>
      </w:r>
      <w:r w:rsidRPr="0016268A">
        <w:rPr>
          <w:b/>
          <w:sz w:val="22"/>
          <w:szCs w:val="22"/>
        </w:rPr>
        <w:t xml:space="preserve">nnual </w:t>
      </w:r>
      <w:r w:rsidRPr="0016268A">
        <w:rPr>
          <w:b/>
          <w:sz w:val="22"/>
          <w:szCs w:val="22"/>
        </w:rPr>
        <w:t>B</w:t>
      </w:r>
      <w:r w:rsidRPr="0016268A">
        <w:rPr>
          <w:b/>
          <w:sz w:val="22"/>
          <w:szCs w:val="22"/>
        </w:rPr>
        <w:t xml:space="preserve">urden </w:t>
      </w:r>
      <w:r w:rsidRPr="0016268A">
        <w:rPr>
          <w:b/>
          <w:sz w:val="22"/>
          <w:szCs w:val="22"/>
        </w:rPr>
        <w:t>H</w:t>
      </w:r>
      <w:r w:rsidRPr="0016268A">
        <w:rPr>
          <w:b/>
          <w:sz w:val="22"/>
          <w:szCs w:val="22"/>
        </w:rPr>
        <w:t xml:space="preserve">ours: </w:t>
      </w:r>
    </w:p>
    <w:p w:rsidR="00E2250D" w:rsidRPr="0016268A" w:rsidP="007B1A7A" w14:paraId="74654FE8" w14:textId="77777777">
      <w:pPr>
        <w:ind w:left="1440"/>
        <w:rPr>
          <w:sz w:val="22"/>
          <w:szCs w:val="22"/>
        </w:rPr>
      </w:pPr>
    </w:p>
    <w:p w:rsidR="00E2250D" w:rsidRPr="0016268A" w:rsidP="007B1A7A" w14:paraId="6DB77682" w14:textId="77777777">
      <w:pPr>
        <w:ind w:left="1440"/>
        <w:rPr>
          <w:sz w:val="22"/>
          <w:szCs w:val="22"/>
        </w:rPr>
      </w:pPr>
      <w:r>
        <w:rPr>
          <w:sz w:val="22"/>
          <w:szCs w:val="22"/>
        </w:rPr>
        <w:t>3</w:t>
      </w:r>
      <w:r w:rsidRPr="0016268A" w:rsidR="00812783">
        <w:rPr>
          <w:sz w:val="22"/>
          <w:szCs w:val="22"/>
        </w:rPr>
        <w:t>,</w:t>
      </w:r>
      <w:r>
        <w:rPr>
          <w:sz w:val="22"/>
          <w:szCs w:val="22"/>
        </w:rPr>
        <w:t xml:space="preserve">554 </w:t>
      </w:r>
      <w:r w:rsidRPr="0016268A">
        <w:rPr>
          <w:sz w:val="22"/>
          <w:szCs w:val="22"/>
        </w:rPr>
        <w:t xml:space="preserve">respondents x </w:t>
      </w:r>
      <w:r w:rsidRPr="0016268A" w:rsidR="0037261E">
        <w:rPr>
          <w:sz w:val="22"/>
          <w:szCs w:val="22"/>
        </w:rPr>
        <w:t>2 responses/respondent x 50</w:t>
      </w:r>
      <w:r w:rsidRPr="0016268A">
        <w:rPr>
          <w:sz w:val="22"/>
          <w:szCs w:val="22"/>
        </w:rPr>
        <w:t xml:space="preserve"> hours = </w:t>
      </w:r>
      <w:r>
        <w:rPr>
          <w:sz w:val="22"/>
          <w:szCs w:val="22"/>
        </w:rPr>
        <w:t>355,400</w:t>
      </w:r>
      <w:r w:rsidRPr="0016268A">
        <w:rPr>
          <w:sz w:val="22"/>
          <w:szCs w:val="22"/>
        </w:rPr>
        <w:t xml:space="preserve"> hours</w:t>
      </w:r>
    </w:p>
    <w:p w:rsidR="00E2250D" w:rsidRPr="008C7E0A" w:rsidP="007B1A7A" w14:paraId="324A438D" w14:textId="77777777">
      <w:pPr>
        <w:ind w:left="1440"/>
        <w:rPr>
          <w:sz w:val="22"/>
          <w:szCs w:val="22"/>
        </w:rPr>
      </w:pPr>
      <w:r>
        <w:rPr>
          <w:sz w:val="22"/>
          <w:szCs w:val="22"/>
        </w:rPr>
        <w:t>611</w:t>
      </w:r>
      <w:r w:rsidRPr="0016268A">
        <w:rPr>
          <w:sz w:val="22"/>
          <w:szCs w:val="22"/>
        </w:rPr>
        <w:t xml:space="preserve"> respondents x </w:t>
      </w:r>
      <w:r w:rsidRPr="0016268A" w:rsidR="0037261E">
        <w:rPr>
          <w:sz w:val="22"/>
          <w:szCs w:val="22"/>
        </w:rPr>
        <w:t xml:space="preserve">1 response/respondent x </w:t>
      </w:r>
      <w:r w:rsidRPr="0016268A">
        <w:rPr>
          <w:sz w:val="22"/>
          <w:szCs w:val="22"/>
        </w:rPr>
        <w:t xml:space="preserve">50 hours </w:t>
      </w:r>
      <w:r w:rsidRPr="0016268A" w:rsidR="0037261E">
        <w:rPr>
          <w:sz w:val="22"/>
          <w:szCs w:val="22"/>
        </w:rPr>
        <w:t xml:space="preserve"> </w:t>
      </w:r>
      <w:r w:rsidRPr="0016268A" w:rsidR="003329B1">
        <w:rPr>
          <w:sz w:val="22"/>
          <w:szCs w:val="22"/>
        </w:rPr>
        <w:t xml:space="preserve">   </w:t>
      </w:r>
      <w:r w:rsidRPr="0016268A">
        <w:rPr>
          <w:sz w:val="22"/>
          <w:szCs w:val="22"/>
        </w:rPr>
        <w:t>=</w:t>
      </w:r>
      <w:r w:rsidRPr="0016268A" w:rsidR="0037261E">
        <w:rPr>
          <w:sz w:val="22"/>
          <w:szCs w:val="22"/>
        </w:rPr>
        <w:t xml:space="preserve"> </w:t>
      </w:r>
      <w:r w:rsidRPr="0016268A" w:rsidR="0037261E">
        <w:rPr>
          <w:sz w:val="22"/>
          <w:szCs w:val="22"/>
          <w:u w:val="single"/>
        </w:rPr>
        <w:t xml:space="preserve">  </w:t>
      </w:r>
      <w:r w:rsidR="008C7E0A">
        <w:rPr>
          <w:sz w:val="22"/>
          <w:szCs w:val="22"/>
          <w:u w:val="single"/>
        </w:rPr>
        <w:t xml:space="preserve"> </w:t>
      </w:r>
      <w:r>
        <w:rPr>
          <w:sz w:val="22"/>
          <w:szCs w:val="22"/>
          <w:u w:val="single"/>
        </w:rPr>
        <w:t>30</w:t>
      </w:r>
      <w:r w:rsidRPr="008C7E0A" w:rsidR="0015628B">
        <w:rPr>
          <w:sz w:val="22"/>
          <w:szCs w:val="22"/>
          <w:u w:val="single"/>
        </w:rPr>
        <w:t>,</w:t>
      </w:r>
      <w:r>
        <w:rPr>
          <w:sz w:val="22"/>
          <w:szCs w:val="22"/>
          <w:u w:val="single"/>
        </w:rPr>
        <w:t>5</w:t>
      </w:r>
      <w:r w:rsidR="00DE124C">
        <w:rPr>
          <w:sz w:val="22"/>
          <w:szCs w:val="22"/>
          <w:u w:val="single"/>
        </w:rPr>
        <w:t>50</w:t>
      </w:r>
      <w:r w:rsidRPr="008C7E0A">
        <w:rPr>
          <w:sz w:val="22"/>
          <w:szCs w:val="22"/>
        </w:rPr>
        <w:t xml:space="preserve"> hours</w:t>
      </w:r>
    </w:p>
    <w:p w:rsidR="00E2250D" w:rsidRPr="0016268A" w:rsidP="007B1A7A" w14:paraId="660E4878" w14:textId="77777777">
      <w:pPr>
        <w:ind w:left="1440"/>
        <w:rPr>
          <w:b/>
          <w:sz w:val="22"/>
          <w:szCs w:val="22"/>
        </w:rPr>
      </w:pPr>
      <w:r w:rsidRPr="00B852B0">
        <w:rPr>
          <w:sz w:val="22"/>
          <w:szCs w:val="22"/>
        </w:rPr>
        <w:tab/>
      </w:r>
      <w:r w:rsidRPr="00B852B0">
        <w:rPr>
          <w:sz w:val="22"/>
          <w:szCs w:val="22"/>
        </w:rPr>
        <w:tab/>
      </w:r>
      <w:r w:rsidRPr="00B852B0">
        <w:rPr>
          <w:sz w:val="22"/>
          <w:szCs w:val="22"/>
        </w:rPr>
        <w:tab/>
      </w:r>
      <w:r w:rsidRPr="00B852B0">
        <w:rPr>
          <w:sz w:val="22"/>
          <w:szCs w:val="22"/>
        </w:rPr>
        <w:tab/>
        <w:t xml:space="preserve">  </w:t>
      </w:r>
      <w:r w:rsidRPr="00B852B0" w:rsidR="0037261E">
        <w:rPr>
          <w:sz w:val="22"/>
          <w:szCs w:val="22"/>
        </w:rPr>
        <w:t xml:space="preserve">                                      </w:t>
      </w:r>
      <w:r w:rsidR="002C00AB">
        <w:rPr>
          <w:b/>
          <w:sz w:val="22"/>
          <w:szCs w:val="22"/>
        </w:rPr>
        <w:t>385,9</w:t>
      </w:r>
      <w:r w:rsidR="00DE124C">
        <w:rPr>
          <w:b/>
          <w:sz w:val="22"/>
          <w:szCs w:val="22"/>
        </w:rPr>
        <w:t>50</w:t>
      </w:r>
      <w:r w:rsidRPr="0016268A">
        <w:rPr>
          <w:b/>
          <w:sz w:val="22"/>
          <w:szCs w:val="22"/>
        </w:rPr>
        <w:t xml:space="preserve"> hours</w:t>
      </w:r>
    </w:p>
    <w:p w:rsidR="00CD5612" w:rsidRPr="0016268A" w:rsidP="00CD5612" w14:paraId="4CFF120A" w14:textId="77777777">
      <w:pPr>
        <w:ind w:left="1800" w:hanging="360"/>
        <w:rPr>
          <w:sz w:val="22"/>
          <w:szCs w:val="22"/>
        </w:rPr>
      </w:pPr>
    </w:p>
    <w:p w:rsidR="00395795" w:rsidRPr="0016268A" w:rsidP="007117F6" w14:paraId="7063D96E" w14:textId="77777777">
      <w:pPr>
        <w:ind w:left="1440"/>
        <w:rPr>
          <w:sz w:val="22"/>
          <w:szCs w:val="22"/>
        </w:rPr>
      </w:pPr>
      <w:r w:rsidRPr="0016268A">
        <w:rPr>
          <w:sz w:val="22"/>
          <w:szCs w:val="22"/>
        </w:rPr>
        <w:t>The Commission views th</w:t>
      </w:r>
      <w:r w:rsidRPr="0016268A">
        <w:rPr>
          <w:sz w:val="22"/>
          <w:szCs w:val="22"/>
        </w:rPr>
        <w:t>ese</w:t>
      </w:r>
      <w:r w:rsidRPr="0016268A">
        <w:rPr>
          <w:sz w:val="22"/>
          <w:szCs w:val="22"/>
        </w:rPr>
        <w:t xml:space="preserve"> requirement</w:t>
      </w:r>
      <w:r w:rsidRPr="0016268A">
        <w:rPr>
          <w:sz w:val="22"/>
          <w:szCs w:val="22"/>
        </w:rPr>
        <w:t>s</w:t>
      </w:r>
      <w:r w:rsidRPr="0016268A">
        <w:rPr>
          <w:sz w:val="22"/>
          <w:szCs w:val="22"/>
        </w:rPr>
        <w:t xml:space="preserve"> as being </w:t>
      </w:r>
      <w:r w:rsidRPr="0016268A">
        <w:rPr>
          <w:sz w:val="22"/>
          <w:szCs w:val="22"/>
        </w:rPr>
        <w:t xml:space="preserve">two responses for each wireline respondent, and </w:t>
      </w:r>
      <w:r w:rsidRPr="0016268A">
        <w:rPr>
          <w:sz w:val="22"/>
          <w:szCs w:val="22"/>
        </w:rPr>
        <w:t xml:space="preserve">one response per </w:t>
      </w:r>
      <w:r w:rsidRPr="0016268A">
        <w:rPr>
          <w:sz w:val="22"/>
          <w:szCs w:val="22"/>
        </w:rPr>
        <w:t xml:space="preserve">wireless </w:t>
      </w:r>
      <w:r w:rsidRPr="0016268A">
        <w:rPr>
          <w:sz w:val="22"/>
          <w:szCs w:val="22"/>
        </w:rPr>
        <w:t>respondent, because each respondent will list the information in exactly the same manner on each of the bills it issues.  The hours estimate</w:t>
      </w:r>
      <w:r w:rsidR="00DB17C4">
        <w:rPr>
          <w:sz w:val="22"/>
          <w:szCs w:val="22"/>
        </w:rPr>
        <w:t>d</w:t>
      </w:r>
      <w:r w:rsidRPr="0016268A">
        <w:rPr>
          <w:sz w:val="22"/>
          <w:szCs w:val="22"/>
        </w:rPr>
        <w:t>, however, accounts for the time involved in replicating the information on numerous bills.</w:t>
      </w:r>
      <w:r w:rsidRPr="0016268A" w:rsidR="00042C69">
        <w:rPr>
          <w:sz w:val="22"/>
          <w:szCs w:val="22"/>
        </w:rPr>
        <w:t xml:space="preserve"> </w:t>
      </w:r>
    </w:p>
    <w:p w:rsidR="0037261E" w:rsidRPr="0016268A" w:rsidP="007117F6" w14:paraId="41993BF5" w14:textId="77777777">
      <w:pPr>
        <w:ind w:left="1440"/>
        <w:rPr>
          <w:sz w:val="22"/>
          <w:szCs w:val="22"/>
        </w:rPr>
      </w:pPr>
    </w:p>
    <w:p w:rsidR="003E50C9" w:rsidRPr="0016268A" w:rsidP="00CD5612" w14:paraId="2E9E0E88" w14:textId="77777777">
      <w:pPr>
        <w:ind w:left="1440"/>
        <w:rPr>
          <w:b/>
          <w:sz w:val="22"/>
          <w:szCs w:val="22"/>
        </w:rPr>
      </w:pPr>
      <w:r w:rsidRPr="0016268A">
        <w:rPr>
          <w:b/>
          <w:sz w:val="22"/>
          <w:szCs w:val="22"/>
        </w:rPr>
        <w:t>Annual “In-House” C</w:t>
      </w:r>
      <w:r w:rsidRPr="0016268A">
        <w:rPr>
          <w:b/>
          <w:sz w:val="22"/>
          <w:szCs w:val="22"/>
        </w:rPr>
        <w:t xml:space="preserve">osts: </w:t>
      </w:r>
    </w:p>
    <w:p w:rsidR="00CD5612" w:rsidRPr="0016268A" w:rsidP="00CD5612" w14:paraId="00A039CC" w14:textId="77777777">
      <w:pPr>
        <w:ind w:left="720" w:firstLine="720"/>
        <w:rPr>
          <w:sz w:val="22"/>
          <w:szCs w:val="22"/>
        </w:rPr>
      </w:pPr>
    </w:p>
    <w:p w:rsidR="00CC6C59" w:rsidRPr="0016268A" w:rsidP="00CC6C59" w14:paraId="1DD5F80A" w14:textId="65497FEE">
      <w:pPr>
        <w:ind w:left="1440"/>
        <w:rPr>
          <w:sz w:val="22"/>
          <w:szCs w:val="22"/>
        </w:rPr>
      </w:pPr>
      <w:r w:rsidRPr="0016268A">
        <w:rPr>
          <w:sz w:val="22"/>
          <w:szCs w:val="22"/>
        </w:rPr>
        <w:t>The Commission assumes that respondents use “in house” personnel comparable in pay to that of a mid</w:t>
      </w:r>
      <w:r w:rsidR="00FE10D9">
        <w:rPr>
          <w:sz w:val="22"/>
          <w:szCs w:val="22"/>
        </w:rPr>
        <w:t>-</w:t>
      </w:r>
      <w:r w:rsidRPr="0016268A">
        <w:rPr>
          <w:sz w:val="22"/>
          <w:szCs w:val="22"/>
        </w:rPr>
        <w:t>to</w:t>
      </w:r>
      <w:r w:rsidR="00FE10D9">
        <w:rPr>
          <w:sz w:val="22"/>
          <w:szCs w:val="22"/>
        </w:rPr>
        <w:t>-</w:t>
      </w:r>
      <w:r w:rsidRPr="0016268A">
        <w:rPr>
          <w:sz w:val="22"/>
          <w:szCs w:val="22"/>
        </w:rPr>
        <w:t>senior level federal employee (GS-13/5); the Commission estimates each respondent’s cost to be about $</w:t>
      </w:r>
      <w:r w:rsidR="009A2B7F">
        <w:rPr>
          <w:sz w:val="22"/>
          <w:szCs w:val="22"/>
        </w:rPr>
        <w:t>64.06</w:t>
      </w:r>
      <w:r w:rsidRPr="0016268A">
        <w:rPr>
          <w:sz w:val="22"/>
          <w:szCs w:val="22"/>
        </w:rPr>
        <w:t xml:space="preserve"> per hour to comply with the requirements:</w:t>
      </w:r>
    </w:p>
    <w:p w:rsidR="00CC6C59" w:rsidRPr="0016268A" w:rsidP="009B589A" w14:paraId="34996290" w14:textId="77777777">
      <w:pPr>
        <w:ind w:left="720" w:firstLine="720"/>
        <w:rPr>
          <w:sz w:val="22"/>
          <w:szCs w:val="22"/>
        </w:rPr>
      </w:pPr>
    </w:p>
    <w:p w:rsidR="002C00AB" w:rsidP="009B589A" w14:paraId="7B6705DD" w14:textId="68DF4950">
      <w:pPr>
        <w:ind w:left="720" w:firstLine="720"/>
        <w:rPr>
          <w:sz w:val="22"/>
          <w:szCs w:val="22"/>
        </w:rPr>
      </w:pPr>
      <w:r>
        <w:rPr>
          <w:sz w:val="22"/>
          <w:szCs w:val="22"/>
        </w:rPr>
        <w:t>3</w:t>
      </w:r>
      <w:r w:rsidRPr="0016268A" w:rsidR="00905D7D">
        <w:rPr>
          <w:sz w:val="22"/>
          <w:szCs w:val="22"/>
        </w:rPr>
        <w:t>,</w:t>
      </w:r>
      <w:r>
        <w:rPr>
          <w:sz w:val="22"/>
          <w:szCs w:val="22"/>
        </w:rPr>
        <w:t>554</w:t>
      </w:r>
      <w:r w:rsidRPr="0016268A" w:rsidR="00DF4A99">
        <w:rPr>
          <w:sz w:val="22"/>
          <w:szCs w:val="22"/>
        </w:rPr>
        <w:t xml:space="preserve"> respondents x 2 responses/respondent x 50 hours </w:t>
      </w:r>
      <w:r w:rsidRPr="0016268A" w:rsidR="00CD5612">
        <w:rPr>
          <w:sz w:val="22"/>
          <w:szCs w:val="22"/>
        </w:rPr>
        <w:t>x $</w:t>
      </w:r>
      <w:r w:rsidR="009A2B7F">
        <w:rPr>
          <w:sz w:val="22"/>
          <w:szCs w:val="22"/>
        </w:rPr>
        <w:t>64.06</w:t>
      </w:r>
      <w:r w:rsidRPr="0016268A" w:rsidR="00CD5612">
        <w:rPr>
          <w:sz w:val="22"/>
          <w:szCs w:val="22"/>
        </w:rPr>
        <w:t xml:space="preserve"> </w:t>
      </w:r>
      <w:r w:rsidRPr="0016268A" w:rsidR="003329B1">
        <w:rPr>
          <w:sz w:val="22"/>
          <w:szCs w:val="22"/>
        </w:rPr>
        <w:t xml:space="preserve">   </w:t>
      </w:r>
      <w:r w:rsidRPr="0016268A" w:rsidR="00CD5612">
        <w:rPr>
          <w:sz w:val="22"/>
          <w:szCs w:val="22"/>
        </w:rPr>
        <w:t xml:space="preserve">= </w:t>
      </w:r>
      <w:r w:rsidRPr="0016268A" w:rsidR="00BE65B9">
        <w:rPr>
          <w:sz w:val="22"/>
          <w:szCs w:val="22"/>
        </w:rPr>
        <w:t xml:space="preserve"> </w:t>
      </w:r>
      <w:r w:rsidRPr="0016268A" w:rsidR="00CD5612">
        <w:rPr>
          <w:sz w:val="22"/>
          <w:szCs w:val="22"/>
        </w:rPr>
        <w:t>$</w:t>
      </w:r>
      <w:r w:rsidR="00B849D2">
        <w:rPr>
          <w:sz w:val="22"/>
          <w:szCs w:val="22"/>
        </w:rPr>
        <w:t>22,766,924</w:t>
      </w:r>
    </w:p>
    <w:p w:rsidR="003E50C9" w:rsidRPr="0016268A" w:rsidP="009B589A" w14:paraId="3A58E5C9" w14:textId="3F3748ED">
      <w:pPr>
        <w:ind w:left="720" w:firstLine="720"/>
        <w:rPr>
          <w:sz w:val="22"/>
          <w:szCs w:val="22"/>
          <w:u w:val="single"/>
        </w:rPr>
      </w:pPr>
      <w:r>
        <w:rPr>
          <w:sz w:val="22"/>
          <w:szCs w:val="22"/>
        </w:rPr>
        <w:t>611</w:t>
      </w:r>
      <w:r w:rsidRPr="0016268A" w:rsidR="00557CD8">
        <w:rPr>
          <w:sz w:val="22"/>
          <w:szCs w:val="22"/>
        </w:rPr>
        <w:t xml:space="preserve"> respon</w:t>
      </w:r>
      <w:r w:rsidRPr="0016268A" w:rsidR="003329B1">
        <w:rPr>
          <w:sz w:val="22"/>
          <w:szCs w:val="22"/>
        </w:rPr>
        <w:t>dents</w:t>
      </w:r>
      <w:r w:rsidRPr="0016268A" w:rsidR="00D871A9">
        <w:rPr>
          <w:sz w:val="22"/>
          <w:szCs w:val="22"/>
        </w:rPr>
        <w:t xml:space="preserve"> </w:t>
      </w:r>
      <w:r w:rsidRPr="0016268A" w:rsidR="00BE65B9">
        <w:rPr>
          <w:sz w:val="22"/>
          <w:szCs w:val="22"/>
        </w:rPr>
        <w:t xml:space="preserve">x </w:t>
      </w:r>
      <w:r w:rsidRPr="0016268A" w:rsidR="00DF4A99">
        <w:rPr>
          <w:sz w:val="22"/>
          <w:szCs w:val="22"/>
        </w:rPr>
        <w:t xml:space="preserve">1 response/respondent x </w:t>
      </w:r>
      <w:r w:rsidRPr="0016268A" w:rsidR="00BE65B9">
        <w:rPr>
          <w:sz w:val="22"/>
          <w:szCs w:val="22"/>
        </w:rPr>
        <w:t xml:space="preserve">50 hours </w:t>
      </w:r>
      <w:r w:rsidRPr="0016268A" w:rsidR="00557CD8">
        <w:rPr>
          <w:sz w:val="22"/>
          <w:szCs w:val="22"/>
        </w:rPr>
        <w:t>x $</w:t>
      </w:r>
      <w:r w:rsidR="009A2B7F">
        <w:rPr>
          <w:sz w:val="22"/>
          <w:szCs w:val="22"/>
        </w:rPr>
        <w:t>64.06</w:t>
      </w:r>
      <w:r w:rsidRPr="0016268A" w:rsidR="00DF4A99">
        <w:rPr>
          <w:sz w:val="22"/>
          <w:szCs w:val="22"/>
        </w:rPr>
        <w:t xml:space="preserve">        </w:t>
      </w:r>
      <w:r w:rsidRPr="0016268A" w:rsidR="00422577">
        <w:rPr>
          <w:sz w:val="22"/>
          <w:szCs w:val="22"/>
        </w:rPr>
        <w:t xml:space="preserve"> </w:t>
      </w:r>
      <w:r w:rsidRPr="0016268A" w:rsidR="00557CD8">
        <w:rPr>
          <w:sz w:val="22"/>
          <w:szCs w:val="22"/>
        </w:rPr>
        <w:t>=</w:t>
      </w:r>
      <w:r w:rsidRPr="0016268A" w:rsidR="00B90C80">
        <w:rPr>
          <w:sz w:val="22"/>
          <w:szCs w:val="22"/>
        </w:rPr>
        <w:t xml:space="preserve"> </w:t>
      </w:r>
      <w:r w:rsidRPr="0016268A" w:rsidR="003329B1">
        <w:rPr>
          <w:sz w:val="22"/>
          <w:szCs w:val="22"/>
        </w:rPr>
        <w:t xml:space="preserve"> </w:t>
      </w:r>
      <w:r w:rsidR="00DE124C">
        <w:rPr>
          <w:sz w:val="22"/>
          <w:szCs w:val="22"/>
        </w:rPr>
        <w:t xml:space="preserve">  </w:t>
      </w:r>
      <w:r w:rsidRPr="0016268A" w:rsidR="00557CD8">
        <w:rPr>
          <w:sz w:val="22"/>
          <w:szCs w:val="22"/>
          <w:u w:val="single"/>
        </w:rPr>
        <w:t>$</w:t>
      </w:r>
      <w:r w:rsidR="00602414">
        <w:rPr>
          <w:sz w:val="22"/>
          <w:szCs w:val="22"/>
          <w:u w:val="single"/>
        </w:rPr>
        <w:t>1,957,033</w:t>
      </w:r>
    </w:p>
    <w:p w:rsidR="00557CD8" w:rsidRPr="0016268A" w:rsidP="009B589A" w14:paraId="7F7420DD" w14:textId="00E9A95E">
      <w:pPr>
        <w:ind w:left="720" w:firstLine="720"/>
        <w:rPr>
          <w:b/>
          <w:sz w:val="22"/>
          <w:szCs w:val="22"/>
        </w:rPr>
      </w:pPr>
      <w:r w:rsidRPr="0016268A">
        <w:rPr>
          <w:sz w:val="22"/>
          <w:szCs w:val="22"/>
        </w:rPr>
        <w:tab/>
      </w:r>
      <w:r w:rsidRPr="0016268A">
        <w:rPr>
          <w:sz w:val="22"/>
          <w:szCs w:val="22"/>
        </w:rPr>
        <w:tab/>
      </w:r>
      <w:r w:rsidRPr="0016268A">
        <w:rPr>
          <w:sz w:val="22"/>
          <w:szCs w:val="22"/>
        </w:rPr>
        <w:tab/>
      </w:r>
      <w:r w:rsidRPr="0016268A">
        <w:rPr>
          <w:sz w:val="22"/>
          <w:szCs w:val="22"/>
        </w:rPr>
        <w:tab/>
      </w:r>
      <w:r w:rsidRPr="0016268A">
        <w:rPr>
          <w:sz w:val="22"/>
          <w:szCs w:val="22"/>
        </w:rPr>
        <w:tab/>
      </w:r>
      <w:r w:rsidRPr="0016268A" w:rsidR="0015628B">
        <w:rPr>
          <w:sz w:val="22"/>
          <w:szCs w:val="22"/>
        </w:rPr>
        <w:t xml:space="preserve">   </w:t>
      </w:r>
      <w:r w:rsidRPr="0016268A" w:rsidR="00BE65B9">
        <w:rPr>
          <w:sz w:val="22"/>
          <w:szCs w:val="22"/>
        </w:rPr>
        <w:t xml:space="preserve">     </w:t>
      </w:r>
      <w:r w:rsidRPr="0016268A" w:rsidR="00DF4A99">
        <w:rPr>
          <w:sz w:val="22"/>
          <w:szCs w:val="22"/>
        </w:rPr>
        <w:t xml:space="preserve">                                    </w:t>
      </w:r>
      <w:r w:rsidRPr="0016268A" w:rsidR="003329B1">
        <w:rPr>
          <w:sz w:val="22"/>
          <w:szCs w:val="22"/>
        </w:rPr>
        <w:t xml:space="preserve">  </w:t>
      </w:r>
      <w:r w:rsidRPr="0016268A" w:rsidR="00B90C80">
        <w:rPr>
          <w:b/>
          <w:sz w:val="22"/>
          <w:szCs w:val="22"/>
        </w:rPr>
        <w:t>$</w:t>
      </w:r>
      <w:r w:rsidR="00DE124C">
        <w:rPr>
          <w:b/>
          <w:sz w:val="22"/>
          <w:szCs w:val="22"/>
        </w:rPr>
        <w:t xml:space="preserve"> </w:t>
      </w:r>
      <w:r w:rsidR="006E6D70">
        <w:rPr>
          <w:sz w:val="22"/>
          <w:szCs w:val="22"/>
        </w:rPr>
        <w:t>24,723,957</w:t>
      </w:r>
      <w:r w:rsidRPr="0016268A" w:rsidR="00BE65B9">
        <w:rPr>
          <w:sz w:val="22"/>
          <w:szCs w:val="22"/>
        </w:rPr>
        <w:t xml:space="preserve">                                  </w:t>
      </w:r>
      <w:r w:rsidRPr="0016268A" w:rsidR="00D871A9">
        <w:rPr>
          <w:sz w:val="22"/>
          <w:szCs w:val="22"/>
        </w:rPr>
        <w:t xml:space="preserve">       </w:t>
      </w:r>
    </w:p>
    <w:p w:rsidR="00870043" w:rsidRPr="0016268A" w:rsidP="00CD5612" w14:paraId="251DBE1D" w14:textId="77777777">
      <w:pPr>
        <w:ind w:left="720" w:firstLine="720"/>
        <w:rPr>
          <w:b/>
          <w:sz w:val="22"/>
          <w:szCs w:val="22"/>
        </w:rPr>
      </w:pPr>
    </w:p>
    <w:p w:rsidR="0068323A" w:rsidRPr="0016268A" w:rsidP="0068323A" w14:paraId="011333E2" w14:textId="77777777">
      <w:pPr>
        <w:ind w:firstLine="1080"/>
        <w:rPr>
          <w:sz w:val="22"/>
          <w:szCs w:val="22"/>
        </w:rPr>
      </w:pPr>
      <w:r w:rsidRPr="0016268A">
        <w:rPr>
          <w:sz w:val="22"/>
          <w:szCs w:val="22"/>
        </w:rPr>
        <w:t xml:space="preserve">d.  </w:t>
      </w:r>
      <w:r w:rsidRPr="0016268A">
        <w:rPr>
          <w:sz w:val="22"/>
          <w:szCs w:val="22"/>
        </w:rPr>
        <w:tab/>
      </w:r>
      <w:r w:rsidRPr="0016268A">
        <w:rPr>
          <w:sz w:val="22"/>
          <w:szCs w:val="22"/>
          <w:u w:val="single"/>
        </w:rPr>
        <w:t>Clear and conspicuous disclosure of inquiry contacts</w:t>
      </w:r>
      <w:r w:rsidRPr="0016268A">
        <w:rPr>
          <w:sz w:val="22"/>
          <w:szCs w:val="22"/>
        </w:rPr>
        <w:t>:</w:t>
      </w:r>
    </w:p>
    <w:p w:rsidR="0068323A" w:rsidRPr="0016268A" w:rsidP="0068323A" w14:paraId="58BA144E" w14:textId="77777777">
      <w:pPr>
        <w:ind w:firstLine="720"/>
        <w:rPr>
          <w:sz w:val="22"/>
          <w:szCs w:val="22"/>
          <w:u w:val="single"/>
        </w:rPr>
      </w:pPr>
    </w:p>
    <w:p w:rsidR="0068323A" w:rsidRPr="0016268A" w:rsidP="0068323A" w14:paraId="75A9DECF" w14:textId="77777777">
      <w:pPr>
        <w:ind w:left="1440"/>
        <w:rPr>
          <w:sz w:val="22"/>
          <w:szCs w:val="22"/>
        </w:rPr>
      </w:pPr>
      <w:r w:rsidRPr="0016268A">
        <w:rPr>
          <w:sz w:val="22"/>
          <w:szCs w:val="22"/>
        </w:rPr>
        <w:t xml:space="preserve">The Commission estimates that approximately </w:t>
      </w:r>
      <w:r w:rsidR="00315285">
        <w:rPr>
          <w:sz w:val="22"/>
          <w:szCs w:val="22"/>
        </w:rPr>
        <w:t xml:space="preserve">4,165 </w:t>
      </w:r>
      <w:r w:rsidRPr="0016268A">
        <w:rPr>
          <w:sz w:val="22"/>
          <w:szCs w:val="22"/>
        </w:rPr>
        <w:t xml:space="preserve">respondents will </w:t>
      </w:r>
      <w:r w:rsidRPr="0016268A" w:rsidR="007117F6">
        <w:rPr>
          <w:sz w:val="22"/>
          <w:szCs w:val="22"/>
        </w:rPr>
        <w:t xml:space="preserve">place contact </w:t>
      </w:r>
      <w:r w:rsidRPr="0016268A" w:rsidR="00307D13">
        <w:rPr>
          <w:sz w:val="22"/>
          <w:szCs w:val="22"/>
        </w:rPr>
        <w:t>information</w:t>
      </w:r>
      <w:r w:rsidRPr="0016268A" w:rsidR="007117F6">
        <w:rPr>
          <w:sz w:val="22"/>
          <w:szCs w:val="22"/>
        </w:rPr>
        <w:t xml:space="preserve"> </w:t>
      </w:r>
      <w:r w:rsidR="00FE10D9">
        <w:rPr>
          <w:sz w:val="22"/>
          <w:szCs w:val="22"/>
        </w:rPr>
        <w:t xml:space="preserve">on bills </w:t>
      </w:r>
      <w:r w:rsidRPr="0016268A" w:rsidR="007117F6">
        <w:rPr>
          <w:sz w:val="22"/>
          <w:szCs w:val="22"/>
        </w:rPr>
        <w:t xml:space="preserve">for consumers to inquire about or dispute any charge on the bills.  The Commission views this requirement as being one response per respondent, because </w:t>
      </w:r>
      <w:r w:rsidRPr="0016268A" w:rsidR="007117F6">
        <w:rPr>
          <w:sz w:val="22"/>
          <w:szCs w:val="22"/>
        </w:rPr>
        <w:t>each respondent will list the information in exactly the same manner on each of the bills it issues.  The hours estimate</w:t>
      </w:r>
      <w:r w:rsidR="00034DA1">
        <w:rPr>
          <w:sz w:val="22"/>
          <w:szCs w:val="22"/>
        </w:rPr>
        <w:t>d</w:t>
      </w:r>
      <w:r w:rsidRPr="0016268A" w:rsidR="007117F6">
        <w:rPr>
          <w:sz w:val="22"/>
          <w:szCs w:val="22"/>
        </w:rPr>
        <w:t xml:space="preserve">, however, accounts for the time involved in replicating the information on numerous bills. </w:t>
      </w:r>
      <w:r w:rsidRPr="0016268A">
        <w:rPr>
          <w:sz w:val="22"/>
          <w:szCs w:val="22"/>
        </w:rPr>
        <w:t xml:space="preserve"> This process will be done “on occasion” and will require approximately 2 hours:</w:t>
      </w:r>
    </w:p>
    <w:p w:rsidR="0068323A" w:rsidRPr="00BD5D61" w:rsidP="0068323A" w14:paraId="10D594C7" w14:textId="77777777">
      <w:pPr>
        <w:ind w:firstLine="720"/>
        <w:rPr>
          <w:sz w:val="22"/>
          <w:szCs w:val="22"/>
        </w:rPr>
      </w:pPr>
      <w:r w:rsidRPr="00BD5D61">
        <w:rPr>
          <w:sz w:val="22"/>
          <w:szCs w:val="22"/>
        </w:rPr>
        <w:tab/>
      </w:r>
    </w:p>
    <w:p w:rsidR="00841F28" w:rsidRPr="008C7E0A" w:rsidP="0068323A" w14:paraId="6CB94738" w14:textId="77777777">
      <w:pPr>
        <w:ind w:firstLine="720"/>
        <w:rPr>
          <w:b/>
          <w:sz w:val="22"/>
          <w:szCs w:val="22"/>
        </w:rPr>
      </w:pPr>
      <w:r w:rsidRPr="00BD5D61">
        <w:rPr>
          <w:sz w:val="22"/>
          <w:szCs w:val="22"/>
        </w:rPr>
        <w:tab/>
      </w:r>
      <w:r w:rsidRPr="008C7E0A" w:rsidR="00B06623">
        <w:rPr>
          <w:b/>
          <w:sz w:val="22"/>
          <w:szCs w:val="22"/>
        </w:rPr>
        <w:t>Annual</w:t>
      </w:r>
      <w:r w:rsidRPr="008C7E0A" w:rsidR="00B06623">
        <w:rPr>
          <w:sz w:val="22"/>
          <w:szCs w:val="22"/>
        </w:rPr>
        <w:t xml:space="preserve"> </w:t>
      </w:r>
      <w:r w:rsidRPr="008C7E0A">
        <w:rPr>
          <w:b/>
          <w:sz w:val="22"/>
          <w:szCs w:val="22"/>
        </w:rPr>
        <w:t xml:space="preserve">Number of Responses:  </w:t>
      </w:r>
      <w:r w:rsidR="00315285">
        <w:rPr>
          <w:b/>
          <w:sz w:val="22"/>
          <w:szCs w:val="22"/>
        </w:rPr>
        <w:t>4</w:t>
      </w:r>
      <w:r w:rsidRPr="008C7E0A" w:rsidR="00F750AD">
        <w:rPr>
          <w:b/>
          <w:sz w:val="22"/>
          <w:szCs w:val="22"/>
        </w:rPr>
        <w:t>,</w:t>
      </w:r>
      <w:r w:rsidR="00103F2E">
        <w:rPr>
          <w:b/>
          <w:sz w:val="22"/>
          <w:szCs w:val="22"/>
        </w:rPr>
        <w:t>1</w:t>
      </w:r>
      <w:r w:rsidR="00315285">
        <w:rPr>
          <w:b/>
          <w:sz w:val="22"/>
          <w:szCs w:val="22"/>
        </w:rPr>
        <w:t>65</w:t>
      </w:r>
    </w:p>
    <w:p w:rsidR="00841F28" w:rsidRPr="00B852B0" w:rsidP="0068323A" w14:paraId="1AEE20A3" w14:textId="77777777">
      <w:pPr>
        <w:ind w:firstLine="720"/>
        <w:rPr>
          <w:sz w:val="22"/>
          <w:szCs w:val="22"/>
        </w:rPr>
      </w:pPr>
      <w:r w:rsidRPr="00B852B0">
        <w:rPr>
          <w:sz w:val="22"/>
          <w:szCs w:val="22"/>
        </w:rPr>
        <w:tab/>
      </w:r>
    </w:p>
    <w:p w:rsidR="00841F28" w:rsidRPr="00B852B0" w:rsidP="00841F28" w14:paraId="3C66D945" w14:textId="77777777">
      <w:pPr>
        <w:ind w:left="720" w:firstLine="720"/>
        <w:rPr>
          <w:b/>
          <w:sz w:val="22"/>
          <w:szCs w:val="22"/>
        </w:rPr>
      </w:pPr>
      <w:r w:rsidRPr="00B852B0">
        <w:rPr>
          <w:b/>
          <w:sz w:val="22"/>
          <w:szCs w:val="22"/>
        </w:rPr>
        <w:t>Annual Hour Burdens:</w:t>
      </w:r>
    </w:p>
    <w:p w:rsidR="00841F28" w:rsidRPr="0016268A" w:rsidP="00841F28" w14:paraId="50A9ED8E" w14:textId="77777777">
      <w:pPr>
        <w:ind w:left="720" w:firstLine="720"/>
        <w:rPr>
          <w:sz w:val="22"/>
          <w:szCs w:val="22"/>
        </w:rPr>
      </w:pPr>
    </w:p>
    <w:p w:rsidR="0068323A" w:rsidRPr="0016268A" w:rsidP="00841F28" w14:paraId="220B30FC" w14:textId="77777777">
      <w:pPr>
        <w:ind w:left="720" w:firstLine="720"/>
        <w:rPr>
          <w:b/>
          <w:sz w:val="22"/>
          <w:szCs w:val="22"/>
        </w:rPr>
      </w:pPr>
      <w:r>
        <w:rPr>
          <w:sz w:val="22"/>
          <w:szCs w:val="22"/>
        </w:rPr>
        <w:t>4,165</w:t>
      </w:r>
      <w:r w:rsidRPr="0016268A" w:rsidR="00557CD8">
        <w:rPr>
          <w:sz w:val="22"/>
          <w:szCs w:val="22"/>
        </w:rPr>
        <w:t xml:space="preserve"> </w:t>
      </w:r>
      <w:r w:rsidRPr="0016268A">
        <w:rPr>
          <w:sz w:val="22"/>
          <w:szCs w:val="22"/>
        </w:rPr>
        <w:t>respondents x 2 hours</w:t>
      </w:r>
      <w:r w:rsidRPr="0016268A" w:rsidR="00A94A53">
        <w:rPr>
          <w:sz w:val="22"/>
          <w:szCs w:val="22"/>
        </w:rPr>
        <w:t>/response/respondent</w:t>
      </w:r>
      <w:r w:rsidRPr="0016268A">
        <w:rPr>
          <w:sz w:val="22"/>
          <w:szCs w:val="22"/>
        </w:rPr>
        <w:t xml:space="preserve"> = </w:t>
      </w:r>
      <w:r>
        <w:rPr>
          <w:b/>
          <w:sz w:val="22"/>
          <w:szCs w:val="22"/>
        </w:rPr>
        <w:t>8,330</w:t>
      </w:r>
      <w:r w:rsidRPr="0016268A">
        <w:rPr>
          <w:b/>
          <w:sz w:val="22"/>
          <w:szCs w:val="22"/>
        </w:rPr>
        <w:t xml:space="preserve"> hours</w:t>
      </w:r>
    </w:p>
    <w:p w:rsidR="0068323A" w:rsidRPr="0016268A" w:rsidP="0068323A" w14:paraId="22630991" w14:textId="77777777">
      <w:pPr>
        <w:ind w:firstLine="720"/>
        <w:rPr>
          <w:b/>
          <w:sz w:val="22"/>
          <w:szCs w:val="22"/>
        </w:rPr>
      </w:pPr>
    </w:p>
    <w:p w:rsidR="004A75EB" w:rsidRPr="0016268A" w:rsidP="0068323A" w14:paraId="4C72C73B" w14:textId="77777777">
      <w:pPr>
        <w:ind w:left="1440"/>
        <w:rPr>
          <w:b/>
          <w:sz w:val="22"/>
          <w:szCs w:val="22"/>
        </w:rPr>
      </w:pPr>
      <w:r w:rsidRPr="0016268A">
        <w:rPr>
          <w:b/>
          <w:sz w:val="22"/>
          <w:szCs w:val="22"/>
        </w:rPr>
        <w:t>Annual “In-House” Costs:</w:t>
      </w:r>
    </w:p>
    <w:p w:rsidR="004A75EB" w:rsidRPr="0016268A" w:rsidP="0068323A" w14:paraId="6A520E2E" w14:textId="77777777">
      <w:pPr>
        <w:ind w:left="1440"/>
        <w:rPr>
          <w:sz w:val="22"/>
          <w:szCs w:val="22"/>
        </w:rPr>
      </w:pPr>
    </w:p>
    <w:p w:rsidR="0068323A" w:rsidRPr="0016268A" w:rsidP="0068323A" w14:paraId="68F6DC31" w14:textId="7EA0C758">
      <w:pPr>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D559C6">
        <w:rPr>
          <w:sz w:val="22"/>
          <w:szCs w:val="22"/>
        </w:rPr>
        <w:t>64.06</w:t>
      </w:r>
      <w:r w:rsidRPr="0016268A">
        <w:rPr>
          <w:sz w:val="22"/>
          <w:szCs w:val="22"/>
        </w:rPr>
        <w:t xml:space="preserve"> per hour to comply with the requirements:</w:t>
      </w:r>
    </w:p>
    <w:p w:rsidR="0068323A" w:rsidRPr="0016268A" w:rsidP="0068323A" w14:paraId="616A29B4" w14:textId="77777777">
      <w:pPr>
        <w:ind w:firstLine="720"/>
        <w:rPr>
          <w:sz w:val="22"/>
          <w:szCs w:val="22"/>
          <w:u w:val="single"/>
        </w:rPr>
      </w:pPr>
    </w:p>
    <w:p w:rsidR="0068323A" w:rsidRPr="0016268A" w:rsidP="0068323A" w14:paraId="40CEB96E" w14:textId="7EAC87F2">
      <w:pPr>
        <w:ind w:left="720" w:firstLine="720"/>
        <w:rPr>
          <w:b/>
          <w:sz w:val="22"/>
          <w:szCs w:val="22"/>
        </w:rPr>
      </w:pPr>
      <w:r>
        <w:rPr>
          <w:sz w:val="22"/>
          <w:szCs w:val="22"/>
        </w:rPr>
        <w:t>4,165</w:t>
      </w:r>
      <w:r w:rsidRPr="0016268A" w:rsidR="00557CD8">
        <w:rPr>
          <w:sz w:val="22"/>
          <w:szCs w:val="22"/>
        </w:rPr>
        <w:t xml:space="preserve"> </w:t>
      </w:r>
      <w:r w:rsidRPr="0016268A">
        <w:rPr>
          <w:sz w:val="22"/>
          <w:szCs w:val="22"/>
        </w:rPr>
        <w:t>respon</w:t>
      </w:r>
      <w:r w:rsidRPr="0016268A" w:rsidR="00A94A53">
        <w:rPr>
          <w:sz w:val="22"/>
          <w:szCs w:val="22"/>
        </w:rPr>
        <w:t>dents</w:t>
      </w:r>
      <w:r w:rsidRPr="0016268A" w:rsidR="00D871A9">
        <w:rPr>
          <w:sz w:val="22"/>
          <w:szCs w:val="22"/>
        </w:rPr>
        <w:t xml:space="preserve"> </w:t>
      </w:r>
      <w:r w:rsidRPr="0016268A">
        <w:rPr>
          <w:sz w:val="22"/>
          <w:szCs w:val="22"/>
        </w:rPr>
        <w:t>x 2 hours</w:t>
      </w:r>
      <w:r w:rsidRPr="0016268A" w:rsidR="00A94A53">
        <w:rPr>
          <w:sz w:val="22"/>
          <w:szCs w:val="22"/>
        </w:rPr>
        <w:t>/response/respondent</w:t>
      </w:r>
      <w:r w:rsidRPr="0016268A">
        <w:rPr>
          <w:sz w:val="22"/>
          <w:szCs w:val="22"/>
        </w:rPr>
        <w:t xml:space="preserve"> x $</w:t>
      </w:r>
      <w:r w:rsidR="00D559C6">
        <w:rPr>
          <w:sz w:val="22"/>
          <w:szCs w:val="22"/>
        </w:rPr>
        <w:t>64.06</w:t>
      </w:r>
      <w:r w:rsidRPr="0016268A">
        <w:rPr>
          <w:sz w:val="22"/>
          <w:szCs w:val="22"/>
        </w:rPr>
        <w:t xml:space="preserve"> = </w:t>
      </w:r>
      <w:r w:rsidRPr="0016268A">
        <w:rPr>
          <w:b/>
          <w:sz w:val="22"/>
          <w:szCs w:val="22"/>
        </w:rPr>
        <w:t>$</w:t>
      </w:r>
      <w:r w:rsidR="004262AF">
        <w:rPr>
          <w:b/>
          <w:sz w:val="22"/>
          <w:szCs w:val="22"/>
        </w:rPr>
        <w:t>533,619.80</w:t>
      </w:r>
    </w:p>
    <w:p w:rsidR="00467A01" w:rsidRPr="0016268A" w:rsidP="0068323A" w14:paraId="55AC7F09" w14:textId="77777777">
      <w:pPr>
        <w:ind w:left="720" w:firstLine="720"/>
        <w:rPr>
          <w:b/>
          <w:sz w:val="22"/>
          <w:szCs w:val="22"/>
        </w:rPr>
      </w:pPr>
    </w:p>
    <w:p w:rsidR="00467A01" w:rsidRPr="0016268A" w:rsidP="00467A01" w14:paraId="55926073" w14:textId="77777777">
      <w:pPr>
        <w:pStyle w:val="BodyText2"/>
        <w:ind w:left="1080"/>
        <w:rPr>
          <w:sz w:val="22"/>
          <w:szCs w:val="22"/>
        </w:rPr>
      </w:pPr>
      <w:r w:rsidRPr="0016268A">
        <w:rPr>
          <w:sz w:val="22"/>
          <w:szCs w:val="22"/>
        </w:rPr>
        <w:t xml:space="preserve">e.  </w:t>
      </w:r>
      <w:r w:rsidR="00E41792">
        <w:rPr>
          <w:sz w:val="22"/>
          <w:szCs w:val="22"/>
          <w:u w:val="single"/>
        </w:rPr>
        <w:t>S</w:t>
      </w:r>
      <w:r w:rsidRPr="0016268A">
        <w:rPr>
          <w:sz w:val="22"/>
          <w:szCs w:val="22"/>
          <w:u w:val="single"/>
        </w:rPr>
        <w:t>eparate bill section</w:t>
      </w:r>
      <w:r w:rsidR="00E41792">
        <w:rPr>
          <w:sz w:val="22"/>
          <w:szCs w:val="22"/>
          <w:u w:val="single"/>
        </w:rPr>
        <w:t xml:space="preserve"> for third-party charges</w:t>
      </w:r>
      <w:r w:rsidRPr="0016268A">
        <w:rPr>
          <w:sz w:val="22"/>
          <w:szCs w:val="22"/>
        </w:rPr>
        <w:t xml:space="preserve">:  </w:t>
      </w:r>
    </w:p>
    <w:p w:rsidR="00467A01" w:rsidRPr="0016268A" w:rsidP="00467A01" w14:paraId="6B8AEFFF" w14:textId="77777777">
      <w:pPr>
        <w:pStyle w:val="BodyText2"/>
        <w:ind w:left="1080"/>
        <w:rPr>
          <w:sz w:val="22"/>
          <w:szCs w:val="22"/>
        </w:rPr>
      </w:pPr>
    </w:p>
    <w:p w:rsidR="00467A01" w:rsidRPr="008C7E0A" w:rsidP="00100EA9" w14:paraId="4C25E9C5" w14:textId="77777777">
      <w:pPr>
        <w:pStyle w:val="BodyText2"/>
        <w:ind w:left="1440"/>
        <w:rPr>
          <w:sz w:val="22"/>
          <w:szCs w:val="22"/>
        </w:rPr>
      </w:pPr>
      <w:r>
        <w:rPr>
          <w:sz w:val="22"/>
          <w:szCs w:val="22"/>
        </w:rPr>
        <w:t>W</w:t>
      </w:r>
      <w:r w:rsidRPr="0016268A">
        <w:rPr>
          <w:sz w:val="22"/>
          <w:szCs w:val="22"/>
        </w:rPr>
        <w:t xml:space="preserve">ireline carriers </w:t>
      </w:r>
      <w:r w:rsidRPr="008C7E0A">
        <w:rPr>
          <w:sz w:val="22"/>
          <w:szCs w:val="22"/>
        </w:rPr>
        <w:t>must</w:t>
      </w:r>
      <w:r w:rsidRPr="0016268A">
        <w:rPr>
          <w:sz w:val="22"/>
          <w:szCs w:val="22"/>
        </w:rPr>
        <w:t xml:space="preserve"> place </w:t>
      </w:r>
      <w:r>
        <w:rPr>
          <w:sz w:val="22"/>
          <w:szCs w:val="22"/>
        </w:rPr>
        <w:t xml:space="preserve">non-telecommunication service </w:t>
      </w:r>
      <w:r w:rsidRPr="0016268A">
        <w:rPr>
          <w:sz w:val="22"/>
          <w:szCs w:val="22"/>
        </w:rPr>
        <w:t>charges from</w:t>
      </w:r>
      <w:r>
        <w:rPr>
          <w:sz w:val="22"/>
          <w:szCs w:val="22"/>
        </w:rPr>
        <w:t xml:space="preserve"> </w:t>
      </w:r>
      <w:r w:rsidRPr="0016268A">
        <w:rPr>
          <w:sz w:val="22"/>
          <w:szCs w:val="22"/>
        </w:rPr>
        <w:t>third parties in a separate section of the bill</w:t>
      </w:r>
      <w:r>
        <w:rPr>
          <w:sz w:val="22"/>
          <w:szCs w:val="22"/>
        </w:rPr>
        <w:t>.</w:t>
      </w:r>
      <w:r w:rsidRPr="0016268A">
        <w:rPr>
          <w:sz w:val="22"/>
          <w:szCs w:val="22"/>
        </w:rPr>
        <w:t xml:space="preserve"> </w:t>
      </w:r>
      <w:r>
        <w:rPr>
          <w:sz w:val="22"/>
          <w:szCs w:val="22"/>
        </w:rPr>
        <w:t xml:space="preserve"> </w:t>
      </w:r>
      <w:r w:rsidRPr="008C7E0A">
        <w:rPr>
          <w:sz w:val="22"/>
          <w:szCs w:val="22"/>
        </w:rPr>
        <w:t xml:space="preserve">The Commission estimates that there will be approximately </w:t>
      </w:r>
      <w:r w:rsidR="00315285">
        <w:rPr>
          <w:sz w:val="22"/>
          <w:szCs w:val="22"/>
        </w:rPr>
        <w:t>3,554</w:t>
      </w:r>
      <w:r w:rsidRPr="008C7E0A">
        <w:rPr>
          <w:sz w:val="22"/>
          <w:szCs w:val="22"/>
        </w:rPr>
        <w:t xml:space="preserve"> respondents subject to this requirement.  </w:t>
      </w:r>
      <w:r w:rsidRPr="00B852B0">
        <w:rPr>
          <w:sz w:val="22"/>
          <w:szCs w:val="22"/>
        </w:rPr>
        <w:t xml:space="preserve">This process will be done “on occasion” and will require approximately 100 hours for each of the </w:t>
      </w:r>
      <w:r w:rsidR="00315285">
        <w:rPr>
          <w:sz w:val="22"/>
          <w:szCs w:val="22"/>
        </w:rPr>
        <w:t>3,554</w:t>
      </w:r>
      <w:r w:rsidRPr="0016268A">
        <w:rPr>
          <w:sz w:val="22"/>
          <w:szCs w:val="22"/>
        </w:rPr>
        <w:t xml:space="preserve"> respondents to modify their billing </w:t>
      </w:r>
      <w:r w:rsidRPr="008C7E0A">
        <w:rPr>
          <w:sz w:val="22"/>
          <w:szCs w:val="22"/>
        </w:rPr>
        <w:t>systems.</w:t>
      </w:r>
    </w:p>
    <w:p w:rsidR="00467A01" w:rsidRPr="00B852B0" w:rsidP="00467A01" w14:paraId="65860634" w14:textId="77777777">
      <w:pPr>
        <w:ind w:left="720"/>
        <w:rPr>
          <w:sz w:val="22"/>
          <w:szCs w:val="22"/>
        </w:rPr>
      </w:pPr>
    </w:p>
    <w:p w:rsidR="00467A01" w:rsidRPr="008537CC" w:rsidP="00467A01" w14:paraId="61A8D859" w14:textId="77777777">
      <w:pPr>
        <w:ind w:left="720" w:firstLine="720"/>
        <w:rPr>
          <w:b/>
          <w:sz w:val="22"/>
          <w:szCs w:val="22"/>
        </w:rPr>
      </w:pPr>
      <w:r w:rsidRPr="00B852B0">
        <w:rPr>
          <w:b/>
          <w:sz w:val="22"/>
          <w:szCs w:val="22"/>
        </w:rPr>
        <w:t xml:space="preserve">Annual Number of Responses:  </w:t>
      </w:r>
      <w:r w:rsidR="00315285">
        <w:rPr>
          <w:b/>
          <w:sz w:val="22"/>
          <w:szCs w:val="22"/>
        </w:rPr>
        <w:t>3,554</w:t>
      </w:r>
      <w:r w:rsidRPr="008537CC">
        <w:rPr>
          <w:b/>
          <w:sz w:val="22"/>
          <w:szCs w:val="22"/>
        </w:rPr>
        <w:t xml:space="preserve">                                                        </w:t>
      </w:r>
    </w:p>
    <w:p w:rsidR="00467A01" w:rsidRPr="008537CC" w:rsidP="00467A01" w14:paraId="2580B7E8" w14:textId="77777777">
      <w:pPr>
        <w:ind w:left="720"/>
        <w:rPr>
          <w:b/>
          <w:sz w:val="22"/>
          <w:szCs w:val="22"/>
        </w:rPr>
      </w:pPr>
    </w:p>
    <w:p w:rsidR="00467A01" w:rsidRPr="008C7E0A" w:rsidP="00467A01" w14:paraId="561C167F" w14:textId="77777777">
      <w:pPr>
        <w:ind w:left="720" w:firstLine="720"/>
        <w:rPr>
          <w:sz w:val="22"/>
          <w:szCs w:val="22"/>
        </w:rPr>
      </w:pPr>
      <w:r w:rsidRPr="008C7E0A">
        <w:rPr>
          <w:b/>
          <w:sz w:val="22"/>
          <w:szCs w:val="22"/>
        </w:rPr>
        <w:t>Annual Burden Hours:</w:t>
      </w:r>
      <w:r w:rsidRPr="008C7E0A">
        <w:rPr>
          <w:sz w:val="22"/>
          <w:szCs w:val="22"/>
        </w:rPr>
        <w:t xml:space="preserve">  </w:t>
      </w:r>
    </w:p>
    <w:p w:rsidR="00467A01" w:rsidRPr="00B852B0" w:rsidP="00467A01" w14:paraId="0E97F077" w14:textId="77777777">
      <w:pPr>
        <w:ind w:left="720"/>
        <w:rPr>
          <w:sz w:val="22"/>
          <w:szCs w:val="22"/>
        </w:rPr>
      </w:pPr>
    </w:p>
    <w:p w:rsidR="00467A01" w:rsidRPr="00B852B0" w:rsidP="00467A01" w14:paraId="75F0AF0A" w14:textId="77777777">
      <w:pPr>
        <w:ind w:left="720" w:firstLine="720"/>
        <w:rPr>
          <w:sz w:val="22"/>
          <w:szCs w:val="22"/>
        </w:rPr>
      </w:pPr>
      <w:r>
        <w:rPr>
          <w:sz w:val="22"/>
          <w:szCs w:val="22"/>
        </w:rPr>
        <w:t>3,554</w:t>
      </w:r>
      <w:r w:rsidRPr="00B852B0">
        <w:rPr>
          <w:sz w:val="22"/>
          <w:szCs w:val="22"/>
        </w:rPr>
        <w:t xml:space="preserve"> respondents x 1 billing system/respondent x 100 hours = </w:t>
      </w:r>
      <w:r>
        <w:rPr>
          <w:b/>
          <w:sz w:val="22"/>
          <w:szCs w:val="22"/>
        </w:rPr>
        <w:t>355,4</w:t>
      </w:r>
      <w:r w:rsidR="00103F2E">
        <w:rPr>
          <w:b/>
          <w:sz w:val="22"/>
          <w:szCs w:val="22"/>
        </w:rPr>
        <w:t>00</w:t>
      </w:r>
      <w:r w:rsidRPr="00B852B0">
        <w:rPr>
          <w:b/>
          <w:sz w:val="22"/>
          <w:szCs w:val="22"/>
        </w:rPr>
        <w:t xml:space="preserve"> hours</w:t>
      </w:r>
    </w:p>
    <w:p w:rsidR="00467A01" w:rsidRPr="0016268A" w:rsidP="00467A01" w14:paraId="2D77FA1C" w14:textId="77777777">
      <w:pPr>
        <w:rPr>
          <w:b/>
          <w:sz w:val="22"/>
          <w:szCs w:val="22"/>
        </w:rPr>
      </w:pPr>
    </w:p>
    <w:p w:rsidR="00467A01" w:rsidRPr="0016268A" w:rsidP="00467A01" w14:paraId="6EC2D82A" w14:textId="77777777">
      <w:pPr>
        <w:pStyle w:val="BodyText2"/>
        <w:ind w:left="720" w:firstLine="720"/>
        <w:rPr>
          <w:sz w:val="22"/>
          <w:szCs w:val="22"/>
        </w:rPr>
      </w:pPr>
      <w:r w:rsidRPr="0016268A">
        <w:rPr>
          <w:b/>
          <w:sz w:val="22"/>
          <w:szCs w:val="22"/>
        </w:rPr>
        <w:t>Annual In-House Cost</w:t>
      </w:r>
      <w:r w:rsidRPr="0016268A">
        <w:rPr>
          <w:sz w:val="22"/>
          <w:szCs w:val="22"/>
        </w:rPr>
        <w:t xml:space="preserve">:  </w:t>
      </w:r>
    </w:p>
    <w:p w:rsidR="00467A01" w:rsidRPr="0016268A" w:rsidP="00467A01" w14:paraId="43EBB4D9" w14:textId="77777777">
      <w:pPr>
        <w:pStyle w:val="BodyText2"/>
        <w:ind w:left="720"/>
        <w:rPr>
          <w:sz w:val="22"/>
          <w:szCs w:val="22"/>
        </w:rPr>
      </w:pPr>
    </w:p>
    <w:p w:rsidR="00467A01" w:rsidRPr="0016268A" w:rsidP="00467A01" w14:paraId="4485D0C2" w14:textId="40683FC7">
      <w:pPr>
        <w:pStyle w:val="BodyText2"/>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5602B7">
        <w:rPr>
          <w:sz w:val="22"/>
          <w:szCs w:val="22"/>
        </w:rPr>
        <w:t>64.06</w:t>
      </w:r>
      <w:r w:rsidRPr="0016268A">
        <w:rPr>
          <w:sz w:val="22"/>
          <w:szCs w:val="22"/>
        </w:rPr>
        <w:t xml:space="preserve"> per hour to comply with the requirements:</w:t>
      </w:r>
    </w:p>
    <w:p w:rsidR="00467A01" w:rsidRPr="0016268A" w:rsidP="00467A01" w14:paraId="5CA679D7" w14:textId="77777777">
      <w:pPr>
        <w:pStyle w:val="BodyText2"/>
        <w:ind w:left="720"/>
        <w:rPr>
          <w:sz w:val="22"/>
          <w:szCs w:val="22"/>
        </w:rPr>
      </w:pPr>
    </w:p>
    <w:p w:rsidR="00467A01" w:rsidRPr="0016268A" w:rsidP="00467A01" w14:paraId="799D255D" w14:textId="009B0F7B">
      <w:pPr>
        <w:ind w:left="720" w:firstLine="720"/>
        <w:rPr>
          <w:b/>
          <w:sz w:val="22"/>
          <w:szCs w:val="22"/>
        </w:rPr>
      </w:pPr>
      <w:r>
        <w:rPr>
          <w:sz w:val="22"/>
          <w:szCs w:val="22"/>
        </w:rPr>
        <w:t>3,554</w:t>
      </w:r>
      <w:r w:rsidRPr="0016268A">
        <w:rPr>
          <w:sz w:val="22"/>
          <w:szCs w:val="22"/>
        </w:rPr>
        <w:t xml:space="preserve"> respondents x 1 billing system/respondent x 100 hours x $</w:t>
      </w:r>
      <w:r w:rsidR="005602B7">
        <w:rPr>
          <w:sz w:val="22"/>
          <w:szCs w:val="22"/>
        </w:rPr>
        <w:t>64.06</w:t>
      </w:r>
      <w:r w:rsidRPr="0016268A">
        <w:rPr>
          <w:sz w:val="22"/>
          <w:szCs w:val="22"/>
        </w:rPr>
        <w:t>/</w:t>
      </w:r>
      <w:r w:rsidRPr="0016268A">
        <w:rPr>
          <w:sz w:val="22"/>
          <w:szCs w:val="22"/>
        </w:rPr>
        <w:t>hr</w:t>
      </w:r>
      <w:r w:rsidRPr="0016268A">
        <w:rPr>
          <w:sz w:val="22"/>
          <w:szCs w:val="22"/>
        </w:rPr>
        <w:t xml:space="preserve"> = </w:t>
      </w:r>
      <w:r w:rsidR="00200075">
        <w:rPr>
          <w:sz w:val="22"/>
          <w:szCs w:val="22"/>
        </w:rPr>
        <w:tab/>
      </w:r>
      <w:r w:rsidRPr="0016268A">
        <w:rPr>
          <w:b/>
          <w:sz w:val="22"/>
          <w:szCs w:val="22"/>
        </w:rPr>
        <w:t>$</w:t>
      </w:r>
      <w:r w:rsidR="008103FE">
        <w:rPr>
          <w:b/>
          <w:sz w:val="22"/>
          <w:szCs w:val="22"/>
        </w:rPr>
        <w:t>22,766,924</w:t>
      </w:r>
    </w:p>
    <w:p w:rsidR="00467A01" w:rsidRPr="0016268A" w:rsidP="00467A01" w14:paraId="1CAF4F15" w14:textId="77777777">
      <w:pPr>
        <w:ind w:left="720" w:firstLine="720"/>
        <w:rPr>
          <w:b/>
          <w:sz w:val="22"/>
          <w:szCs w:val="22"/>
        </w:rPr>
      </w:pPr>
    </w:p>
    <w:p w:rsidR="000D664E" w:rsidRPr="0016268A" w:rsidP="0068323A" w14:paraId="0C799A7F" w14:textId="77777777">
      <w:pPr>
        <w:ind w:left="720" w:firstLine="720"/>
        <w:rPr>
          <w:b/>
          <w:sz w:val="22"/>
          <w:szCs w:val="22"/>
        </w:rPr>
      </w:pPr>
    </w:p>
    <w:p w:rsidR="000D664E" w:rsidRPr="0016268A" w:rsidP="000D664E" w14:paraId="3028A0A7" w14:textId="77777777">
      <w:pPr>
        <w:pStyle w:val="BodyText2"/>
        <w:ind w:left="1080"/>
        <w:rPr>
          <w:sz w:val="22"/>
          <w:szCs w:val="22"/>
        </w:rPr>
      </w:pPr>
      <w:r w:rsidRPr="0016268A">
        <w:rPr>
          <w:sz w:val="22"/>
          <w:szCs w:val="22"/>
        </w:rPr>
        <w:t>f</w:t>
      </w:r>
      <w:r w:rsidRPr="0016268A">
        <w:rPr>
          <w:sz w:val="22"/>
          <w:szCs w:val="22"/>
        </w:rPr>
        <w:t xml:space="preserve">.   </w:t>
      </w:r>
      <w:r w:rsidR="00100EA9">
        <w:rPr>
          <w:sz w:val="22"/>
          <w:szCs w:val="22"/>
          <w:u w:val="single"/>
        </w:rPr>
        <w:t xml:space="preserve">Notification </w:t>
      </w:r>
      <w:r w:rsidRPr="0016268A">
        <w:rPr>
          <w:sz w:val="22"/>
          <w:szCs w:val="22"/>
          <w:u w:val="single"/>
        </w:rPr>
        <w:t xml:space="preserve">of </w:t>
      </w:r>
      <w:r w:rsidR="00100EA9">
        <w:rPr>
          <w:sz w:val="22"/>
          <w:szCs w:val="22"/>
          <w:u w:val="single"/>
        </w:rPr>
        <w:t xml:space="preserve">option to </w:t>
      </w:r>
      <w:r w:rsidRPr="0016268A">
        <w:rPr>
          <w:sz w:val="22"/>
          <w:szCs w:val="22"/>
          <w:u w:val="single"/>
        </w:rPr>
        <w:t>block</w:t>
      </w:r>
      <w:r w:rsidR="00100EA9">
        <w:rPr>
          <w:sz w:val="22"/>
          <w:szCs w:val="22"/>
          <w:u w:val="single"/>
        </w:rPr>
        <w:t xml:space="preserve"> third-party charges</w:t>
      </w:r>
      <w:r w:rsidRPr="0016268A">
        <w:rPr>
          <w:sz w:val="22"/>
          <w:szCs w:val="22"/>
        </w:rPr>
        <w:t>:</w:t>
      </w:r>
    </w:p>
    <w:p w:rsidR="000D664E" w:rsidRPr="0016268A" w:rsidP="000D664E" w14:paraId="21A7E815" w14:textId="77777777">
      <w:pPr>
        <w:pStyle w:val="BodyText2"/>
        <w:ind w:left="1440"/>
        <w:rPr>
          <w:sz w:val="22"/>
          <w:szCs w:val="22"/>
        </w:rPr>
      </w:pPr>
    </w:p>
    <w:p w:rsidR="006055A5" w:rsidRPr="0016268A" w:rsidP="00FE3E8E" w14:paraId="417F370F" w14:textId="77777777">
      <w:pPr>
        <w:pStyle w:val="BodyText2"/>
        <w:ind w:left="1440"/>
        <w:rPr>
          <w:sz w:val="22"/>
          <w:szCs w:val="22"/>
        </w:rPr>
      </w:pPr>
      <w:r w:rsidRPr="0016268A">
        <w:rPr>
          <w:sz w:val="22"/>
          <w:szCs w:val="22"/>
        </w:rPr>
        <w:t xml:space="preserve">The Commission has adopted a requirement that wireline carriers must include on their </w:t>
      </w:r>
      <w:r w:rsidR="00485456">
        <w:rPr>
          <w:sz w:val="22"/>
          <w:szCs w:val="22"/>
        </w:rPr>
        <w:t xml:space="preserve">telephone </w:t>
      </w:r>
      <w:r w:rsidRPr="0016268A">
        <w:rPr>
          <w:sz w:val="22"/>
          <w:szCs w:val="22"/>
        </w:rPr>
        <w:t>bills</w:t>
      </w:r>
      <w:r w:rsidR="00485456">
        <w:rPr>
          <w:sz w:val="22"/>
          <w:szCs w:val="22"/>
        </w:rPr>
        <w:t>, websites, and at the point of sale,</w:t>
      </w:r>
      <w:r w:rsidRPr="0016268A">
        <w:rPr>
          <w:sz w:val="22"/>
          <w:szCs w:val="22"/>
        </w:rPr>
        <w:t xml:space="preserve"> a notice that they offer the ability for consumers to block third-party charges if they offer such </w:t>
      </w:r>
      <w:r w:rsidR="00FE3E8E">
        <w:rPr>
          <w:sz w:val="22"/>
          <w:szCs w:val="22"/>
        </w:rPr>
        <w:t xml:space="preserve">option.  </w:t>
      </w:r>
      <w:r w:rsidRPr="0016268A">
        <w:rPr>
          <w:sz w:val="22"/>
          <w:szCs w:val="22"/>
        </w:rPr>
        <w:t>The</w:t>
      </w:r>
      <w:r w:rsidRPr="008C7E0A">
        <w:rPr>
          <w:sz w:val="22"/>
          <w:szCs w:val="22"/>
        </w:rPr>
        <w:t xml:space="preserve"> Commission estimates that there </w:t>
      </w:r>
      <w:r w:rsidRPr="008C7E0A" w:rsidR="00CC552F">
        <w:rPr>
          <w:sz w:val="22"/>
          <w:szCs w:val="22"/>
        </w:rPr>
        <w:t xml:space="preserve">will be </w:t>
      </w:r>
      <w:r w:rsidRPr="008C7E0A">
        <w:rPr>
          <w:sz w:val="22"/>
          <w:szCs w:val="22"/>
        </w:rPr>
        <w:t xml:space="preserve">approximately </w:t>
      </w:r>
      <w:r w:rsidR="00374DDB">
        <w:rPr>
          <w:sz w:val="22"/>
          <w:szCs w:val="22"/>
        </w:rPr>
        <w:t>3,554</w:t>
      </w:r>
      <w:r w:rsidRPr="00B852B0">
        <w:rPr>
          <w:sz w:val="22"/>
          <w:szCs w:val="22"/>
        </w:rPr>
        <w:t xml:space="preserve"> </w:t>
      </w:r>
      <w:r w:rsidRPr="00B852B0" w:rsidR="00CC552F">
        <w:rPr>
          <w:sz w:val="22"/>
          <w:szCs w:val="22"/>
        </w:rPr>
        <w:t xml:space="preserve">respondents </w:t>
      </w:r>
      <w:r w:rsidRPr="00B852B0" w:rsidR="00657CE6">
        <w:rPr>
          <w:sz w:val="22"/>
          <w:szCs w:val="22"/>
        </w:rPr>
        <w:t xml:space="preserve">subject to this requirement.  </w:t>
      </w:r>
      <w:r w:rsidRPr="00B852B0">
        <w:rPr>
          <w:sz w:val="22"/>
          <w:szCs w:val="22"/>
        </w:rPr>
        <w:t>This process will be done “on occasion”</w:t>
      </w:r>
      <w:r w:rsidRPr="0016268A" w:rsidR="00006C91">
        <w:rPr>
          <w:sz w:val="22"/>
          <w:szCs w:val="22"/>
        </w:rPr>
        <w:t xml:space="preserve"> </w:t>
      </w:r>
      <w:r w:rsidRPr="0016268A">
        <w:rPr>
          <w:sz w:val="22"/>
          <w:szCs w:val="22"/>
        </w:rPr>
        <w:t>and</w:t>
      </w:r>
      <w:r w:rsidRPr="0016268A" w:rsidR="00657CE6">
        <w:rPr>
          <w:sz w:val="22"/>
          <w:szCs w:val="22"/>
        </w:rPr>
        <w:t xml:space="preserve"> will </w:t>
      </w:r>
      <w:r w:rsidRPr="0016268A">
        <w:rPr>
          <w:sz w:val="22"/>
          <w:szCs w:val="22"/>
        </w:rPr>
        <w:t>requir</w:t>
      </w:r>
      <w:r w:rsidRPr="0016268A" w:rsidR="00657CE6">
        <w:rPr>
          <w:sz w:val="22"/>
          <w:szCs w:val="22"/>
        </w:rPr>
        <w:t xml:space="preserve">e </w:t>
      </w:r>
      <w:r w:rsidRPr="0016268A">
        <w:rPr>
          <w:sz w:val="22"/>
          <w:szCs w:val="22"/>
        </w:rPr>
        <w:t xml:space="preserve">approximately </w:t>
      </w:r>
      <w:r w:rsidR="00485456">
        <w:rPr>
          <w:sz w:val="22"/>
          <w:szCs w:val="22"/>
        </w:rPr>
        <w:t>80</w:t>
      </w:r>
      <w:r w:rsidRPr="0016268A">
        <w:rPr>
          <w:sz w:val="22"/>
          <w:szCs w:val="22"/>
        </w:rPr>
        <w:t xml:space="preserve"> hours for each of the </w:t>
      </w:r>
      <w:r w:rsidR="00374DDB">
        <w:rPr>
          <w:sz w:val="22"/>
          <w:szCs w:val="22"/>
        </w:rPr>
        <w:t>3</w:t>
      </w:r>
      <w:r w:rsidRPr="0016268A" w:rsidR="00CC552F">
        <w:rPr>
          <w:sz w:val="22"/>
          <w:szCs w:val="22"/>
        </w:rPr>
        <w:t>,</w:t>
      </w:r>
      <w:r w:rsidR="00374DDB">
        <w:rPr>
          <w:sz w:val="22"/>
          <w:szCs w:val="22"/>
        </w:rPr>
        <w:t>554</w:t>
      </w:r>
      <w:r w:rsidRPr="0016268A" w:rsidR="00657CE6">
        <w:rPr>
          <w:sz w:val="22"/>
          <w:szCs w:val="22"/>
        </w:rPr>
        <w:t xml:space="preserve"> respondents </w:t>
      </w:r>
      <w:r w:rsidRPr="0016268A">
        <w:rPr>
          <w:sz w:val="22"/>
          <w:szCs w:val="22"/>
        </w:rPr>
        <w:t>to modify their billing systems.</w:t>
      </w:r>
    </w:p>
    <w:p w:rsidR="006055A5" w:rsidRPr="0016268A" w:rsidP="006055A5" w14:paraId="48701496" w14:textId="77777777">
      <w:pPr>
        <w:ind w:left="720"/>
        <w:rPr>
          <w:sz w:val="22"/>
          <w:szCs w:val="22"/>
        </w:rPr>
      </w:pPr>
    </w:p>
    <w:p w:rsidR="006055A5" w:rsidRPr="0016268A" w:rsidP="000D664E" w14:paraId="0ED2AC0A" w14:textId="77777777">
      <w:pPr>
        <w:pStyle w:val="BodyText2"/>
        <w:ind w:left="1440"/>
        <w:rPr>
          <w:b/>
          <w:sz w:val="22"/>
          <w:szCs w:val="22"/>
        </w:rPr>
      </w:pPr>
      <w:r w:rsidRPr="0016268A">
        <w:rPr>
          <w:b/>
          <w:sz w:val="22"/>
          <w:szCs w:val="22"/>
        </w:rPr>
        <w:t xml:space="preserve">Annual Number of Responses:  </w:t>
      </w:r>
      <w:r w:rsidR="00374DDB">
        <w:rPr>
          <w:b/>
          <w:sz w:val="22"/>
          <w:szCs w:val="22"/>
        </w:rPr>
        <w:t>3</w:t>
      </w:r>
      <w:r w:rsidRPr="0016268A" w:rsidR="00CC552F">
        <w:rPr>
          <w:b/>
          <w:sz w:val="22"/>
          <w:szCs w:val="22"/>
        </w:rPr>
        <w:t>,</w:t>
      </w:r>
      <w:r w:rsidR="00374DDB">
        <w:rPr>
          <w:b/>
          <w:sz w:val="22"/>
          <w:szCs w:val="22"/>
        </w:rPr>
        <w:t>554</w:t>
      </w:r>
      <w:r w:rsidRPr="0016268A">
        <w:rPr>
          <w:b/>
          <w:sz w:val="22"/>
          <w:szCs w:val="22"/>
        </w:rPr>
        <w:t xml:space="preserve">                                                        </w:t>
      </w:r>
    </w:p>
    <w:p w:rsidR="006055A5" w:rsidRPr="0016268A" w:rsidP="006055A5" w14:paraId="431EC48A" w14:textId="77777777">
      <w:pPr>
        <w:ind w:left="720"/>
        <w:rPr>
          <w:b/>
          <w:sz w:val="22"/>
          <w:szCs w:val="22"/>
        </w:rPr>
      </w:pPr>
    </w:p>
    <w:p w:rsidR="00CC552F" w:rsidRPr="0016268A" w:rsidP="000D664E" w14:paraId="0E66B1DC" w14:textId="77777777">
      <w:pPr>
        <w:pStyle w:val="BodyText2"/>
        <w:ind w:left="1440"/>
        <w:rPr>
          <w:sz w:val="22"/>
          <w:szCs w:val="22"/>
        </w:rPr>
      </w:pPr>
      <w:r w:rsidRPr="0016268A">
        <w:rPr>
          <w:b/>
          <w:sz w:val="22"/>
          <w:szCs w:val="22"/>
        </w:rPr>
        <w:t>Annual Burden Hours:</w:t>
      </w:r>
      <w:r w:rsidRPr="0016268A">
        <w:rPr>
          <w:sz w:val="22"/>
          <w:szCs w:val="22"/>
        </w:rPr>
        <w:t xml:space="preserve">  </w:t>
      </w:r>
    </w:p>
    <w:p w:rsidR="00CC552F" w:rsidRPr="0016268A" w:rsidP="006055A5" w14:paraId="14C20297" w14:textId="77777777">
      <w:pPr>
        <w:ind w:left="720"/>
        <w:rPr>
          <w:sz w:val="22"/>
          <w:szCs w:val="22"/>
        </w:rPr>
      </w:pPr>
    </w:p>
    <w:p w:rsidR="006055A5" w:rsidRPr="0016268A" w:rsidP="000D664E" w14:paraId="71EA2123" w14:textId="77777777">
      <w:pPr>
        <w:pStyle w:val="BodyText2"/>
        <w:ind w:left="1440"/>
        <w:rPr>
          <w:sz w:val="22"/>
          <w:szCs w:val="22"/>
        </w:rPr>
      </w:pPr>
      <w:r>
        <w:rPr>
          <w:sz w:val="22"/>
          <w:szCs w:val="22"/>
        </w:rPr>
        <w:t>3,554</w:t>
      </w:r>
      <w:r w:rsidRPr="0016268A" w:rsidR="00CC552F">
        <w:rPr>
          <w:sz w:val="22"/>
          <w:szCs w:val="22"/>
        </w:rPr>
        <w:t xml:space="preserve"> </w:t>
      </w:r>
      <w:r w:rsidRPr="0016268A">
        <w:rPr>
          <w:sz w:val="22"/>
          <w:szCs w:val="22"/>
        </w:rPr>
        <w:t xml:space="preserve">respondents x 1 billing system/respondent x </w:t>
      </w:r>
      <w:r w:rsidR="00485456">
        <w:rPr>
          <w:sz w:val="22"/>
          <w:szCs w:val="22"/>
        </w:rPr>
        <w:t>80</w:t>
      </w:r>
      <w:r w:rsidRPr="0016268A">
        <w:rPr>
          <w:sz w:val="22"/>
          <w:szCs w:val="22"/>
        </w:rPr>
        <w:t xml:space="preserve"> hours = </w:t>
      </w:r>
      <w:r w:rsidR="00485456">
        <w:rPr>
          <w:b/>
          <w:sz w:val="22"/>
          <w:szCs w:val="22"/>
        </w:rPr>
        <w:t>284</w:t>
      </w:r>
      <w:r>
        <w:rPr>
          <w:b/>
          <w:sz w:val="22"/>
          <w:szCs w:val="22"/>
        </w:rPr>
        <w:t>,</w:t>
      </w:r>
      <w:r w:rsidR="00485456">
        <w:rPr>
          <w:b/>
          <w:sz w:val="22"/>
          <w:szCs w:val="22"/>
        </w:rPr>
        <w:t>320</w:t>
      </w:r>
      <w:r w:rsidRPr="0016268A">
        <w:rPr>
          <w:b/>
          <w:sz w:val="22"/>
          <w:szCs w:val="22"/>
        </w:rPr>
        <w:t xml:space="preserve"> hours</w:t>
      </w:r>
    </w:p>
    <w:p w:rsidR="006055A5" w:rsidRPr="0016268A" w:rsidP="006055A5" w14:paraId="3E062417" w14:textId="77777777">
      <w:pPr>
        <w:rPr>
          <w:b/>
          <w:sz w:val="22"/>
          <w:szCs w:val="22"/>
        </w:rPr>
      </w:pPr>
    </w:p>
    <w:p w:rsidR="00CC552F" w:rsidRPr="0016268A" w:rsidP="000D664E" w14:paraId="0CA3613F" w14:textId="77777777">
      <w:pPr>
        <w:pStyle w:val="BodyText2"/>
        <w:ind w:left="1440"/>
        <w:rPr>
          <w:sz w:val="22"/>
          <w:szCs w:val="22"/>
        </w:rPr>
      </w:pPr>
      <w:r w:rsidRPr="0016268A">
        <w:rPr>
          <w:b/>
          <w:sz w:val="22"/>
          <w:szCs w:val="22"/>
        </w:rPr>
        <w:t>Annual In-House Cost</w:t>
      </w:r>
      <w:r w:rsidRPr="0016268A">
        <w:rPr>
          <w:sz w:val="22"/>
          <w:szCs w:val="22"/>
        </w:rPr>
        <w:t xml:space="preserve">:  </w:t>
      </w:r>
    </w:p>
    <w:p w:rsidR="00CC552F" w:rsidRPr="0016268A" w:rsidP="006055A5" w14:paraId="72D66E06" w14:textId="77777777">
      <w:pPr>
        <w:pStyle w:val="BodyText2"/>
        <w:ind w:left="720"/>
        <w:rPr>
          <w:sz w:val="22"/>
          <w:szCs w:val="22"/>
        </w:rPr>
      </w:pPr>
    </w:p>
    <w:p w:rsidR="006055A5" w:rsidRPr="0016268A" w:rsidP="000D664E" w14:paraId="2747C89A" w14:textId="1FE23E02">
      <w:pPr>
        <w:pStyle w:val="BodyText2"/>
        <w:ind w:left="1440"/>
        <w:rPr>
          <w:sz w:val="22"/>
          <w:szCs w:val="22"/>
        </w:rPr>
      </w:pPr>
      <w:r w:rsidRPr="0016268A">
        <w:rPr>
          <w:sz w:val="22"/>
          <w:szCs w:val="22"/>
        </w:rPr>
        <w:t>The Commission assumes that respondents use “in house” personnel comparable in pay to that of a mid-to-senior level federal employee (GS-13/5); the Commission estimates each respondent’s cost to be about $</w:t>
      </w:r>
      <w:r w:rsidR="00C030EF">
        <w:rPr>
          <w:sz w:val="22"/>
          <w:szCs w:val="22"/>
        </w:rPr>
        <w:t>64.06</w:t>
      </w:r>
      <w:r w:rsidRPr="0016268A">
        <w:rPr>
          <w:sz w:val="22"/>
          <w:szCs w:val="22"/>
        </w:rPr>
        <w:t xml:space="preserve"> per hour to comply with the requirements:</w:t>
      </w:r>
    </w:p>
    <w:p w:rsidR="006055A5" w:rsidRPr="0016268A" w:rsidP="006055A5" w14:paraId="07E78F7E" w14:textId="77777777">
      <w:pPr>
        <w:pStyle w:val="BodyText2"/>
        <w:ind w:left="720"/>
        <w:rPr>
          <w:sz w:val="22"/>
          <w:szCs w:val="22"/>
        </w:rPr>
      </w:pPr>
    </w:p>
    <w:p w:rsidR="006055A5" w:rsidRPr="0016268A" w:rsidP="000D664E" w14:paraId="59789C8E" w14:textId="62FA51A1">
      <w:pPr>
        <w:pStyle w:val="BodyText2"/>
        <w:ind w:left="1440"/>
        <w:rPr>
          <w:sz w:val="22"/>
          <w:szCs w:val="22"/>
        </w:rPr>
      </w:pPr>
      <w:r>
        <w:rPr>
          <w:sz w:val="22"/>
          <w:szCs w:val="22"/>
        </w:rPr>
        <w:t>3,554</w:t>
      </w:r>
      <w:r w:rsidRPr="0016268A">
        <w:rPr>
          <w:sz w:val="22"/>
          <w:szCs w:val="22"/>
        </w:rPr>
        <w:t xml:space="preserve"> respon</w:t>
      </w:r>
      <w:r w:rsidRPr="0016268A" w:rsidR="00DF4A99">
        <w:rPr>
          <w:sz w:val="22"/>
          <w:szCs w:val="22"/>
        </w:rPr>
        <w:t>dents</w:t>
      </w:r>
      <w:r w:rsidRPr="0016268A" w:rsidR="00CC552F">
        <w:rPr>
          <w:sz w:val="22"/>
          <w:szCs w:val="22"/>
        </w:rPr>
        <w:t xml:space="preserve"> </w:t>
      </w:r>
      <w:r w:rsidRPr="0016268A">
        <w:rPr>
          <w:sz w:val="22"/>
          <w:szCs w:val="22"/>
        </w:rPr>
        <w:t xml:space="preserve">x </w:t>
      </w:r>
      <w:r w:rsidRPr="0016268A" w:rsidR="00DF4A99">
        <w:rPr>
          <w:sz w:val="22"/>
          <w:szCs w:val="22"/>
        </w:rPr>
        <w:t xml:space="preserve">1 billing system/respondent x </w:t>
      </w:r>
      <w:r w:rsidR="00485456">
        <w:rPr>
          <w:sz w:val="22"/>
          <w:szCs w:val="22"/>
        </w:rPr>
        <w:t>80</w:t>
      </w:r>
      <w:r w:rsidRPr="0016268A">
        <w:rPr>
          <w:sz w:val="22"/>
          <w:szCs w:val="22"/>
        </w:rPr>
        <w:t xml:space="preserve"> hours x $</w:t>
      </w:r>
      <w:r w:rsidR="00C030EF">
        <w:rPr>
          <w:sz w:val="22"/>
          <w:szCs w:val="22"/>
        </w:rPr>
        <w:t>64.06</w:t>
      </w:r>
      <w:r w:rsidRPr="0016268A">
        <w:rPr>
          <w:sz w:val="22"/>
          <w:szCs w:val="22"/>
        </w:rPr>
        <w:t>/</w:t>
      </w:r>
      <w:r w:rsidRPr="0016268A">
        <w:rPr>
          <w:sz w:val="22"/>
          <w:szCs w:val="22"/>
        </w:rPr>
        <w:t>hr</w:t>
      </w:r>
      <w:r w:rsidRPr="0016268A">
        <w:rPr>
          <w:sz w:val="22"/>
          <w:szCs w:val="22"/>
        </w:rPr>
        <w:t xml:space="preserve"> = </w:t>
      </w:r>
      <w:r w:rsidRPr="0016268A">
        <w:rPr>
          <w:b/>
          <w:sz w:val="22"/>
          <w:szCs w:val="22"/>
        </w:rPr>
        <w:t>$</w:t>
      </w:r>
      <w:r w:rsidR="00202802">
        <w:rPr>
          <w:b/>
          <w:sz w:val="22"/>
          <w:szCs w:val="22"/>
        </w:rPr>
        <w:t>18,213,539.20</w:t>
      </w:r>
    </w:p>
    <w:p w:rsidR="00530292" w:rsidP="005866D4" w14:paraId="031ACDE1" w14:textId="77777777">
      <w:pPr>
        <w:rPr>
          <w:b/>
          <w:i/>
          <w:sz w:val="22"/>
          <w:szCs w:val="22"/>
        </w:rPr>
      </w:pPr>
    </w:p>
    <w:p w:rsidR="00530292" w:rsidP="005866D4" w14:paraId="3658DF7F" w14:textId="77777777">
      <w:pPr>
        <w:rPr>
          <w:b/>
          <w:i/>
          <w:sz w:val="22"/>
          <w:szCs w:val="22"/>
        </w:rPr>
      </w:pPr>
    </w:p>
    <w:p w:rsidR="005866D4" w:rsidRPr="00B852B0" w:rsidP="005866D4" w14:paraId="0A82CBCE" w14:textId="77777777">
      <w:pPr>
        <w:rPr>
          <w:b/>
          <w:i/>
          <w:sz w:val="22"/>
          <w:szCs w:val="22"/>
        </w:rPr>
      </w:pPr>
      <w:r w:rsidRPr="008C7E0A">
        <w:rPr>
          <w:b/>
          <w:i/>
          <w:sz w:val="22"/>
          <w:szCs w:val="22"/>
        </w:rPr>
        <w:t xml:space="preserve">Table of </w:t>
      </w:r>
      <w:r w:rsidR="003309A8">
        <w:rPr>
          <w:b/>
          <w:i/>
          <w:sz w:val="22"/>
          <w:szCs w:val="22"/>
        </w:rPr>
        <w:t>Revised</w:t>
      </w:r>
      <w:r w:rsidRPr="00B852B0">
        <w:rPr>
          <w:b/>
          <w:i/>
          <w:sz w:val="22"/>
          <w:szCs w:val="22"/>
        </w:rPr>
        <w:t xml:space="preserve"> Information Collection Requirements</w:t>
      </w:r>
      <w:r w:rsidRPr="00B852B0" w:rsidR="00EC7046">
        <w:rPr>
          <w:b/>
          <w:i/>
          <w:sz w:val="22"/>
          <w:szCs w:val="22"/>
        </w:rPr>
        <w:t xml:space="preserve"> Regarding Obligations to</w:t>
      </w:r>
      <w:r w:rsidRPr="00B852B0">
        <w:rPr>
          <w:b/>
          <w:i/>
          <w:sz w:val="22"/>
          <w:szCs w:val="22"/>
        </w:rPr>
        <w:t xml:space="preserve"> Display Billed Charges Clearly and Separately, </w:t>
      </w:r>
      <w:r w:rsidRPr="00B852B0" w:rsidR="00EC7046">
        <w:rPr>
          <w:b/>
          <w:i/>
          <w:sz w:val="22"/>
          <w:szCs w:val="22"/>
        </w:rPr>
        <w:t>Highlight New Service Providers</w:t>
      </w:r>
      <w:r w:rsidR="00485456">
        <w:rPr>
          <w:b/>
          <w:i/>
          <w:sz w:val="22"/>
          <w:szCs w:val="22"/>
        </w:rPr>
        <w:t>,</w:t>
      </w:r>
      <w:r w:rsidRPr="00B852B0" w:rsidR="00EC7046">
        <w:rPr>
          <w:b/>
          <w:i/>
          <w:sz w:val="22"/>
          <w:szCs w:val="22"/>
        </w:rPr>
        <w:t xml:space="preserve"> and Prominently Display Inquiry Contact Numbers</w:t>
      </w:r>
    </w:p>
    <w:p w:rsidR="005866D4" w:rsidRPr="0016268A" w:rsidP="005866D4" w14:paraId="56D15EF3" w14:textId="77777777">
      <w:pPr>
        <w:rPr>
          <w:b/>
          <w:i/>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070"/>
        <w:gridCol w:w="1530"/>
        <w:gridCol w:w="1260"/>
        <w:gridCol w:w="990"/>
        <w:gridCol w:w="1800"/>
      </w:tblGrid>
      <w:tr w14:paraId="3D1ED847" w14:textId="77777777" w:rsidTr="007933A4">
        <w:tblPrEx>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078" w:type="dxa"/>
            <w:shd w:val="clear" w:color="auto" w:fill="auto"/>
          </w:tcPr>
          <w:p w:rsidR="005866D4" w:rsidRPr="008C7E0A" w:rsidP="007933A4" w14:paraId="39346433" w14:textId="77777777">
            <w:pPr>
              <w:jc w:val="center"/>
              <w:rPr>
                <w:b/>
              </w:rPr>
            </w:pPr>
            <w:r w:rsidRPr="008C7E0A">
              <w:rPr>
                <w:b/>
              </w:rPr>
              <w:t>Wireline/Wireless Carriers’ Obligation To Highlight New Service Providers And Prominently Display Inquiry Contact Numbers</w:t>
            </w:r>
          </w:p>
        </w:tc>
        <w:tc>
          <w:tcPr>
            <w:tcW w:w="2070" w:type="dxa"/>
            <w:shd w:val="clear" w:color="auto" w:fill="auto"/>
          </w:tcPr>
          <w:p w:rsidR="005866D4" w:rsidRPr="00B852B0" w:rsidP="007933A4" w14:paraId="29F4BCCA" w14:textId="77777777">
            <w:pPr>
              <w:jc w:val="center"/>
              <w:rPr>
                <w:b/>
              </w:rPr>
            </w:pPr>
            <w:r w:rsidRPr="00B852B0">
              <w:rPr>
                <w:b/>
              </w:rPr>
              <w:t>Estimated Number Of Wireline/Wireless Carriers (Respondents) To Comply --</w:t>
            </w:r>
          </w:p>
          <w:p w:rsidR="005866D4" w:rsidRPr="00B852B0" w:rsidP="007933A4" w14:paraId="2CFB5711" w14:textId="77777777">
            <w:pPr>
              <w:jc w:val="center"/>
              <w:rPr>
                <w:b/>
              </w:rPr>
            </w:pPr>
            <w:r w:rsidRPr="00B852B0">
              <w:rPr>
                <w:b/>
              </w:rPr>
              <w:t>(# Of Responses)</w:t>
            </w:r>
          </w:p>
        </w:tc>
        <w:tc>
          <w:tcPr>
            <w:tcW w:w="1530" w:type="dxa"/>
            <w:shd w:val="clear" w:color="auto" w:fill="auto"/>
          </w:tcPr>
          <w:p w:rsidR="005866D4" w:rsidRPr="00B852B0" w:rsidP="007933A4" w14:paraId="4147FE2B" w14:textId="77777777">
            <w:pPr>
              <w:jc w:val="center"/>
              <w:rPr>
                <w:b/>
              </w:rPr>
            </w:pPr>
            <w:r w:rsidRPr="00B852B0">
              <w:rPr>
                <w:b/>
              </w:rPr>
              <w:t>Estimate Of   Hours To Meet Requirement</w:t>
            </w:r>
          </w:p>
        </w:tc>
        <w:tc>
          <w:tcPr>
            <w:tcW w:w="1260" w:type="dxa"/>
            <w:shd w:val="clear" w:color="auto" w:fill="auto"/>
          </w:tcPr>
          <w:p w:rsidR="005866D4" w:rsidRPr="0016268A" w:rsidP="007933A4" w14:paraId="01EE8D0B" w14:textId="77777777">
            <w:pPr>
              <w:jc w:val="center"/>
              <w:rPr>
                <w:b/>
              </w:rPr>
            </w:pPr>
            <w:r w:rsidRPr="0016268A">
              <w:rPr>
                <w:b/>
              </w:rPr>
              <w:t>Annual Hourly  Burdens</w:t>
            </w:r>
          </w:p>
        </w:tc>
        <w:tc>
          <w:tcPr>
            <w:tcW w:w="990" w:type="dxa"/>
            <w:shd w:val="clear" w:color="auto" w:fill="auto"/>
          </w:tcPr>
          <w:p w:rsidR="005866D4" w:rsidRPr="0016268A" w:rsidP="007933A4" w14:paraId="37A5952C" w14:textId="77777777">
            <w:pPr>
              <w:jc w:val="center"/>
              <w:rPr>
                <w:b/>
              </w:rPr>
            </w:pPr>
            <w:r w:rsidRPr="0016268A">
              <w:rPr>
                <w:b/>
              </w:rPr>
              <w:t>Hourly “In-House” Cost</w:t>
            </w:r>
          </w:p>
        </w:tc>
        <w:tc>
          <w:tcPr>
            <w:tcW w:w="1800" w:type="dxa"/>
            <w:shd w:val="clear" w:color="auto" w:fill="auto"/>
          </w:tcPr>
          <w:p w:rsidR="005866D4" w:rsidRPr="0016268A" w:rsidP="007933A4" w14:paraId="665878F9" w14:textId="77777777">
            <w:pPr>
              <w:tabs>
                <w:tab w:val="left" w:pos="1456"/>
              </w:tabs>
              <w:ind w:right="-142"/>
              <w:jc w:val="both"/>
              <w:rPr>
                <w:b/>
              </w:rPr>
            </w:pPr>
            <w:r w:rsidRPr="0016268A">
              <w:rPr>
                <w:b/>
              </w:rPr>
              <w:t xml:space="preserve">Total </w:t>
            </w:r>
          </w:p>
          <w:p w:rsidR="005866D4" w:rsidRPr="0016268A" w:rsidP="007933A4" w14:paraId="6B25DDF1" w14:textId="77777777">
            <w:pPr>
              <w:tabs>
                <w:tab w:val="left" w:pos="1456"/>
              </w:tabs>
              <w:ind w:right="-142"/>
              <w:jc w:val="both"/>
              <w:rPr>
                <w:b/>
              </w:rPr>
            </w:pPr>
            <w:r w:rsidRPr="0016268A">
              <w:rPr>
                <w:b/>
              </w:rPr>
              <w:t xml:space="preserve">“In-House” </w:t>
            </w:r>
          </w:p>
          <w:p w:rsidR="005866D4" w:rsidRPr="0016268A" w:rsidP="007933A4" w14:paraId="26C05F90" w14:textId="77777777">
            <w:pPr>
              <w:tabs>
                <w:tab w:val="left" w:pos="1456"/>
              </w:tabs>
              <w:ind w:right="-142"/>
              <w:jc w:val="both"/>
              <w:rPr>
                <w:b/>
              </w:rPr>
            </w:pPr>
            <w:r w:rsidRPr="0016268A">
              <w:rPr>
                <w:b/>
              </w:rPr>
              <w:t>Cost</w:t>
            </w:r>
          </w:p>
        </w:tc>
      </w:tr>
      <w:tr w14:paraId="710E5112" w14:textId="77777777" w:rsidTr="007933A4">
        <w:tblPrEx>
          <w:tblW w:w="10728" w:type="dxa"/>
          <w:tblLayout w:type="fixed"/>
          <w:tblLook w:val="01E0"/>
        </w:tblPrEx>
        <w:tc>
          <w:tcPr>
            <w:tcW w:w="3078" w:type="dxa"/>
            <w:shd w:val="clear" w:color="auto" w:fill="auto"/>
          </w:tcPr>
          <w:p w:rsidR="005866D4" w:rsidRPr="0016268A" w:rsidP="007933A4" w14:paraId="635BE1C6" w14:textId="77777777">
            <w:r w:rsidRPr="0016268A">
              <w:t>a. Clear identification of service providers</w:t>
            </w:r>
          </w:p>
        </w:tc>
        <w:tc>
          <w:tcPr>
            <w:tcW w:w="2070" w:type="dxa"/>
            <w:shd w:val="clear" w:color="auto" w:fill="auto"/>
          </w:tcPr>
          <w:p w:rsidR="00094657" w:rsidP="00094657" w14:paraId="56F15BCB" w14:textId="77777777">
            <w:pPr>
              <w:jc w:val="center"/>
            </w:pPr>
            <w:r>
              <w:t>4,165</w:t>
            </w:r>
          </w:p>
          <w:p w:rsidR="005866D4" w:rsidRPr="0016268A" w:rsidP="00094657" w14:paraId="045B660C" w14:textId="77777777">
            <w:pPr>
              <w:jc w:val="center"/>
            </w:pPr>
            <w:r w:rsidRPr="0016268A">
              <w:t>(</w:t>
            </w:r>
            <w:r w:rsidR="00A02D50">
              <w:t>4,165</w:t>
            </w:r>
            <w:r w:rsidRPr="0016268A">
              <w:t xml:space="preserve"> responses)</w:t>
            </w:r>
          </w:p>
        </w:tc>
        <w:tc>
          <w:tcPr>
            <w:tcW w:w="1530" w:type="dxa"/>
            <w:shd w:val="clear" w:color="auto" w:fill="auto"/>
          </w:tcPr>
          <w:p w:rsidR="005866D4" w:rsidRPr="0016268A" w:rsidP="007933A4" w14:paraId="41669208" w14:textId="77777777">
            <w:pPr>
              <w:jc w:val="center"/>
            </w:pPr>
            <w:r w:rsidRPr="0016268A">
              <w:t>5</w:t>
            </w:r>
          </w:p>
        </w:tc>
        <w:tc>
          <w:tcPr>
            <w:tcW w:w="1260" w:type="dxa"/>
            <w:shd w:val="clear" w:color="auto" w:fill="auto"/>
          </w:tcPr>
          <w:p w:rsidR="005866D4" w:rsidRPr="0016268A" w:rsidP="00B74D2E" w14:paraId="16FD152D" w14:textId="77777777">
            <w:pPr>
              <w:jc w:val="center"/>
            </w:pPr>
            <w:r>
              <w:t>20</w:t>
            </w:r>
            <w:r w:rsidRPr="0016268A">
              <w:t>,</w:t>
            </w:r>
            <w:r>
              <w:t>825</w:t>
            </w:r>
          </w:p>
        </w:tc>
        <w:tc>
          <w:tcPr>
            <w:tcW w:w="990" w:type="dxa"/>
            <w:shd w:val="clear" w:color="auto" w:fill="auto"/>
          </w:tcPr>
          <w:p w:rsidR="005866D4" w:rsidRPr="0016268A" w:rsidP="00905D7D" w14:paraId="062211C7" w14:textId="5BFA7572">
            <w:pPr>
              <w:jc w:val="center"/>
            </w:pPr>
            <w:r w:rsidRPr="0016268A">
              <w:t>$</w:t>
            </w:r>
            <w:r w:rsidR="00070C9F">
              <w:t>64.06</w:t>
            </w:r>
          </w:p>
        </w:tc>
        <w:tc>
          <w:tcPr>
            <w:tcW w:w="1800" w:type="dxa"/>
            <w:shd w:val="clear" w:color="auto" w:fill="auto"/>
          </w:tcPr>
          <w:p w:rsidR="005866D4" w:rsidRPr="0016268A" w:rsidP="00905D7D" w14:paraId="6410BC22" w14:textId="485114B9">
            <w:r w:rsidRPr="0016268A">
              <w:t>$</w:t>
            </w:r>
            <w:r w:rsidR="00E37261">
              <w:t>1,334,049.50</w:t>
            </w:r>
          </w:p>
        </w:tc>
      </w:tr>
      <w:tr w14:paraId="1124EAE4" w14:textId="77777777" w:rsidTr="007933A4">
        <w:tblPrEx>
          <w:tblW w:w="10728" w:type="dxa"/>
          <w:tblLayout w:type="fixed"/>
          <w:tblLook w:val="01E0"/>
        </w:tblPrEx>
        <w:trPr>
          <w:trHeight w:val="782"/>
        </w:trPr>
        <w:tc>
          <w:tcPr>
            <w:tcW w:w="3078" w:type="dxa"/>
            <w:shd w:val="clear" w:color="auto" w:fill="auto"/>
          </w:tcPr>
          <w:p w:rsidR="005866D4" w:rsidRPr="0016268A" w:rsidP="007933A4" w14:paraId="4D490EE2" w14:textId="77777777">
            <w:r w:rsidRPr="0016268A">
              <w:t>b. Separation of charges by service providers and highlighting new service provider information</w:t>
            </w:r>
          </w:p>
        </w:tc>
        <w:tc>
          <w:tcPr>
            <w:tcW w:w="2070" w:type="dxa"/>
            <w:shd w:val="clear" w:color="auto" w:fill="auto"/>
          </w:tcPr>
          <w:p w:rsidR="005866D4" w:rsidRPr="0016268A" w:rsidP="007933A4" w14:paraId="06CCCAF3" w14:textId="77777777">
            <w:pPr>
              <w:jc w:val="center"/>
            </w:pPr>
            <w:r>
              <w:t>3,554</w:t>
            </w:r>
          </w:p>
          <w:p w:rsidR="005866D4" w:rsidRPr="0016268A" w:rsidP="00905D7D" w14:paraId="79926D64" w14:textId="77777777">
            <w:pPr>
              <w:jc w:val="center"/>
            </w:pPr>
            <w:r w:rsidRPr="0016268A">
              <w:t>(</w:t>
            </w:r>
            <w:r w:rsidR="00A02D50">
              <w:t>3,554</w:t>
            </w:r>
            <w:r w:rsidRPr="0016268A">
              <w:t xml:space="preserve"> responses)</w:t>
            </w:r>
          </w:p>
        </w:tc>
        <w:tc>
          <w:tcPr>
            <w:tcW w:w="1530" w:type="dxa"/>
            <w:shd w:val="clear" w:color="auto" w:fill="auto"/>
          </w:tcPr>
          <w:p w:rsidR="005866D4" w:rsidRPr="0016268A" w:rsidP="007933A4" w14:paraId="017BA079" w14:textId="77777777">
            <w:pPr>
              <w:jc w:val="center"/>
            </w:pPr>
            <w:r w:rsidRPr="0016268A">
              <w:t>230</w:t>
            </w:r>
          </w:p>
        </w:tc>
        <w:tc>
          <w:tcPr>
            <w:tcW w:w="1260" w:type="dxa"/>
            <w:shd w:val="clear" w:color="auto" w:fill="auto"/>
          </w:tcPr>
          <w:p w:rsidR="005866D4" w:rsidRPr="0016268A" w:rsidP="00905D7D" w14:paraId="7EC80145" w14:textId="77777777">
            <w:pPr>
              <w:jc w:val="center"/>
            </w:pPr>
            <w:r>
              <w:t>8</w:t>
            </w:r>
            <w:r w:rsidR="001B78FF">
              <w:t>17</w:t>
            </w:r>
            <w:r w:rsidRPr="0016268A" w:rsidR="00905D7D">
              <w:t>,</w:t>
            </w:r>
            <w:r w:rsidR="001B78FF">
              <w:t>42</w:t>
            </w:r>
            <w:r>
              <w:t>0</w:t>
            </w:r>
          </w:p>
        </w:tc>
        <w:tc>
          <w:tcPr>
            <w:tcW w:w="990" w:type="dxa"/>
            <w:shd w:val="clear" w:color="auto" w:fill="auto"/>
          </w:tcPr>
          <w:p w:rsidR="005866D4" w:rsidRPr="0016268A" w:rsidP="007933A4" w14:paraId="59E5A090" w14:textId="01D4C79D">
            <w:pPr>
              <w:jc w:val="center"/>
            </w:pPr>
            <w:r w:rsidRPr="0016268A">
              <w:t>$</w:t>
            </w:r>
            <w:r w:rsidR="00070C9F">
              <w:t>64.06</w:t>
            </w:r>
          </w:p>
        </w:tc>
        <w:tc>
          <w:tcPr>
            <w:tcW w:w="1800" w:type="dxa"/>
            <w:shd w:val="clear" w:color="auto" w:fill="auto"/>
          </w:tcPr>
          <w:p w:rsidR="005866D4" w:rsidRPr="0016268A" w:rsidP="00905D7D" w14:paraId="594D9A4A" w14:textId="12FF5B89">
            <w:r w:rsidRPr="0016268A">
              <w:t>$</w:t>
            </w:r>
            <w:r w:rsidR="00E37261">
              <w:t>52,363,925.20</w:t>
            </w:r>
          </w:p>
        </w:tc>
      </w:tr>
      <w:tr w14:paraId="6E684ACF" w14:textId="77777777" w:rsidTr="007933A4">
        <w:tblPrEx>
          <w:tblW w:w="10728" w:type="dxa"/>
          <w:tblLayout w:type="fixed"/>
          <w:tblLook w:val="01E0"/>
        </w:tblPrEx>
        <w:tc>
          <w:tcPr>
            <w:tcW w:w="3078" w:type="dxa"/>
            <w:shd w:val="clear" w:color="auto" w:fill="auto"/>
          </w:tcPr>
          <w:p w:rsidR="005866D4" w:rsidRPr="0016268A" w:rsidP="007933A4" w14:paraId="5053F6C8" w14:textId="77777777">
            <w:r w:rsidRPr="0016268A">
              <w:t>c. Full and non-misleading billed charges</w:t>
            </w:r>
          </w:p>
        </w:tc>
        <w:tc>
          <w:tcPr>
            <w:tcW w:w="2070" w:type="dxa"/>
            <w:shd w:val="clear" w:color="auto" w:fill="auto"/>
          </w:tcPr>
          <w:p w:rsidR="005866D4" w:rsidRPr="0016268A" w:rsidP="007933A4" w14:paraId="402F3B36" w14:textId="77777777">
            <w:pPr>
              <w:jc w:val="center"/>
            </w:pPr>
            <w:r>
              <w:t>4,165</w:t>
            </w:r>
          </w:p>
          <w:p w:rsidR="005866D4" w:rsidRPr="0016268A" w:rsidP="00905D7D" w14:paraId="6EFF5750" w14:textId="77777777">
            <w:pPr>
              <w:jc w:val="center"/>
            </w:pPr>
            <w:r w:rsidRPr="0016268A">
              <w:t>(</w:t>
            </w:r>
            <w:r w:rsidR="00A02D50">
              <w:t>7,719</w:t>
            </w:r>
            <w:r w:rsidRPr="0016268A">
              <w:t xml:space="preserve"> responses)</w:t>
            </w:r>
          </w:p>
        </w:tc>
        <w:tc>
          <w:tcPr>
            <w:tcW w:w="1530" w:type="dxa"/>
            <w:shd w:val="clear" w:color="auto" w:fill="auto"/>
          </w:tcPr>
          <w:p w:rsidR="005866D4" w:rsidRPr="0016268A" w:rsidP="00905D7D" w14:paraId="54C589F4" w14:textId="77777777">
            <w:pPr>
              <w:jc w:val="center"/>
            </w:pPr>
            <w:r w:rsidRPr="0016268A">
              <w:t>1</w:t>
            </w:r>
            <w:r w:rsidR="00042C30">
              <w:t>0</w:t>
            </w:r>
            <w:r w:rsidRPr="0016268A">
              <w:t>0</w:t>
            </w:r>
          </w:p>
        </w:tc>
        <w:tc>
          <w:tcPr>
            <w:tcW w:w="1260" w:type="dxa"/>
            <w:shd w:val="clear" w:color="auto" w:fill="auto"/>
          </w:tcPr>
          <w:p w:rsidR="005866D4" w:rsidRPr="0016268A" w:rsidP="00905D7D" w14:paraId="394A3314" w14:textId="77777777">
            <w:pPr>
              <w:jc w:val="center"/>
            </w:pPr>
            <w:r>
              <w:t>38</w:t>
            </w:r>
            <w:r w:rsidR="002D12C4">
              <w:t>5</w:t>
            </w:r>
            <w:r w:rsidRPr="0016268A">
              <w:t>,</w:t>
            </w:r>
            <w:r>
              <w:t>9</w:t>
            </w:r>
            <w:r w:rsidR="002D12C4">
              <w:t>5</w:t>
            </w:r>
            <w:r w:rsidRPr="0016268A">
              <w:t>0</w:t>
            </w:r>
          </w:p>
        </w:tc>
        <w:tc>
          <w:tcPr>
            <w:tcW w:w="990" w:type="dxa"/>
            <w:shd w:val="clear" w:color="auto" w:fill="auto"/>
          </w:tcPr>
          <w:p w:rsidR="005866D4" w:rsidRPr="0016268A" w:rsidP="007933A4" w14:paraId="6E964D25" w14:textId="2440CEE4">
            <w:pPr>
              <w:jc w:val="center"/>
            </w:pPr>
            <w:r w:rsidRPr="0016268A">
              <w:t>$</w:t>
            </w:r>
            <w:r w:rsidR="00070C9F">
              <w:t>64.06</w:t>
            </w:r>
          </w:p>
        </w:tc>
        <w:tc>
          <w:tcPr>
            <w:tcW w:w="1800" w:type="dxa"/>
            <w:shd w:val="clear" w:color="auto" w:fill="auto"/>
          </w:tcPr>
          <w:p w:rsidR="005866D4" w:rsidRPr="0016268A" w:rsidP="00905D7D" w14:paraId="171A7E34" w14:textId="498A69AC">
            <w:r w:rsidRPr="0016268A">
              <w:t>$</w:t>
            </w:r>
            <w:r w:rsidR="00C81369">
              <w:t>24,</w:t>
            </w:r>
            <w:r w:rsidR="00BA02D5">
              <w:t>7</w:t>
            </w:r>
            <w:r w:rsidR="00466EFD">
              <w:t>23,957</w:t>
            </w:r>
          </w:p>
        </w:tc>
      </w:tr>
      <w:tr w14:paraId="3005F734" w14:textId="77777777" w:rsidTr="007933A4">
        <w:tblPrEx>
          <w:tblW w:w="10728" w:type="dxa"/>
          <w:tblLayout w:type="fixed"/>
          <w:tblLook w:val="01E0"/>
        </w:tblPrEx>
        <w:tc>
          <w:tcPr>
            <w:tcW w:w="3078" w:type="dxa"/>
            <w:shd w:val="clear" w:color="auto" w:fill="auto"/>
          </w:tcPr>
          <w:p w:rsidR="005866D4" w:rsidRPr="0016268A" w:rsidP="007933A4" w14:paraId="320AD0B3" w14:textId="77777777">
            <w:r w:rsidRPr="0016268A">
              <w:t>d. Clear and conspicuous disclosure of inquiry contacts</w:t>
            </w:r>
          </w:p>
        </w:tc>
        <w:tc>
          <w:tcPr>
            <w:tcW w:w="2070" w:type="dxa"/>
            <w:shd w:val="clear" w:color="auto" w:fill="auto"/>
          </w:tcPr>
          <w:p w:rsidR="00094657" w:rsidP="00094657" w14:paraId="63F53346" w14:textId="77777777">
            <w:pPr>
              <w:jc w:val="center"/>
            </w:pPr>
            <w:r>
              <w:t>4,165</w:t>
            </w:r>
          </w:p>
          <w:p w:rsidR="005866D4" w:rsidRPr="0016268A" w:rsidP="00094657" w14:paraId="50BCF2E0" w14:textId="77777777">
            <w:pPr>
              <w:jc w:val="center"/>
            </w:pPr>
            <w:r w:rsidRPr="0016268A">
              <w:t>(</w:t>
            </w:r>
            <w:r w:rsidR="001B78FF">
              <w:t>4,165</w:t>
            </w:r>
            <w:r w:rsidRPr="0016268A">
              <w:t xml:space="preserve"> responses)</w:t>
            </w:r>
          </w:p>
        </w:tc>
        <w:tc>
          <w:tcPr>
            <w:tcW w:w="1530" w:type="dxa"/>
            <w:shd w:val="clear" w:color="auto" w:fill="auto"/>
          </w:tcPr>
          <w:p w:rsidR="005866D4" w:rsidRPr="0016268A" w:rsidP="007933A4" w14:paraId="7BBE4B2C" w14:textId="77777777">
            <w:pPr>
              <w:jc w:val="center"/>
            </w:pPr>
            <w:r w:rsidRPr="0016268A">
              <w:t>2</w:t>
            </w:r>
          </w:p>
        </w:tc>
        <w:tc>
          <w:tcPr>
            <w:tcW w:w="1260" w:type="dxa"/>
            <w:shd w:val="clear" w:color="auto" w:fill="auto"/>
          </w:tcPr>
          <w:p w:rsidR="005866D4" w:rsidRPr="0016268A" w:rsidP="00905D7D" w14:paraId="4E56C1FB" w14:textId="77777777">
            <w:pPr>
              <w:jc w:val="center"/>
            </w:pPr>
            <w:r>
              <w:t>8,330</w:t>
            </w:r>
          </w:p>
        </w:tc>
        <w:tc>
          <w:tcPr>
            <w:tcW w:w="990" w:type="dxa"/>
            <w:shd w:val="clear" w:color="auto" w:fill="auto"/>
          </w:tcPr>
          <w:p w:rsidR="005866D4" w:rsidRPr="0016268A" w:rsidP="007933A4" w14:paraId="715CA2B5" w14:textId="4103B487">
            <w:pPr>
              <w:jc w:val="center"/>
            </w:pPr>
            <w:r w:rsidRPr="0016268A">
              <w:t>$</w:t>
            </w:r>
            <w:r w:rsidR="00070C9F">
              <w:t>64.06</w:t>
            </w:r>
          </w:p>
        </w:tc>
        <w:tc>
          <w:tcPr>
            <w:tcW w:w="1800" w:type="dxa"/>
            <w:shd w:val="clear" w:color="auto" w:fill="auto"/>
          </w:tcPr>
          <w:p w:rsidR="005866D4" w:rsidRPr="0016268A" w:rsidP="007933A4" w14:paraId="09DAE282" w14:textId="0B930264">
            <w:r w:rsidRPr="0016268A">
              <w:t>$</w:t>
            </w:r>
            <w:r w:rsidR="006F1EF4">
              <w:t>533,619.80</w:t>
            </w:r>
          </w:p>
          <w:p w:rsidR="00EC7046" w:rsidRPr="0016268A" w:rsidP="007933A4" w14:paraId="2D30464E" w14:textId="77777777"/>
        </w:tc>
      </w:tr>
      <w:tr w14:paraId="382A8735" w14:textId="77777777" w:rsidTr="007933A4">
        <w:tblPrEx>
          <w:tblW w:w="10728" w:type="dxa"/>
          <w:tblLayout w:type="fixed"/>
          <w:tblLook w:val="01E0"/>
        </w:tblPrEx>
        <w:tc>
          <w:tcPr>
            <w:tcW w:w="3078" w:type="dxa"/>
            <w:shd w:val="clear" w:color="auto" w:fill="auto"/>
          </w:tcPr>
          <w:p w:rsidR="005866D4" w:rsidRPr="0016268A" w:rsidP="007933A4" w14:paraId="6FE949B3" w14:textId="77777777">
            <w:pPr>
              <w:jc w:val="center"/>
              <w:rPr>
                <w:b/>
              </w:rPr>
            </w:pPr>
            <w:r w:rsidRPr="0016268A">
              <w:rPr>
                <w:b/>
              </w:rPr>
              <w:t>TOTAL</w:t>
            </w:r>
          </w:p>
        </w:tc>
        <w:tc>
          <w:tcPr>
            <w:tcW w:w="2070" w:type="dxa"/>
            <w:shd w:val="clear" w:color="auto" w:fill="auto"/>
          </w:tcPr>
          <w:p w:rsidR="005866D4" w:rsidRPr="0016268A" w:rsidP="00200075" w14:paraId="63BD40A0" w14:textId="77777777">
            <w:pPr>
              <w:jc w:val="center"/>
              <w:rPr>
                <w:b/>
              </w:rPr>
            </w:pPr>
            <w:r w:rsidRPr="0016268A">
              <w:rPr>
                <w:b/>
              </w:rPr>
              <w:t xml:space="preserve">Respondents – </w:t>
            </w:r>
            <w:r w:rsidR="001B78FF">
              <w:rPr>
                <w:b/>
              </w:rPr>
              <w:t>4,165</w:t>
            </w:r>
            <w:r>
              <w:rPr>
                <w:rStyle w:val="FootnoteReference"/>
                <w:b/>
              </w:rPr>
              <w:footnoteReference w:id="16"/>
            </w:r>
            <w:r w:rsidRPr="0016268A" w:rsidR="00B74D2E">
              <w:rPr>
                <w:b/>
              </w:rPr>
              <w:t xml:space="preserve"> </w:t>
            </w:r>
            <w:r w:rsidRPr="0016268A">
              <w:rPr>
                <w:b/>
              </w:rPr>
              <w:t>/Responses</w:t>
            </w:r>
            <w:r w:rsidRPr="0016268A" w:rsidR="00B74D2E">
              <w:rPr>
                <w:b/>
              </w:rPr>
              <w:t xml:space="preserve"> </w:t>
            </w:r>
            <w:r w:rsidR="001B78FF">
              <w:rPr>
                <w:b/>
              </w:rPr>
              <w:t>–</w:t>
            </w:r>
            <w:r w:rsidRPr="0016268A" w:rsidR="00B74D2E">
              <w:rPr>
                <w:b/>
              </w:rPr>
              <w:t xml:space="preserve"> </w:t>
            </w:r>
            <w:r w:rsidR="001B78FF">
              <w:rPr>
                <w:b/>
              </w:rPr>
              <w:t>19,603</w:t>
            </w:r>
          </w:p>
        </w:tc>
        <w:tc>
          <w:tcPr>
            <w:tcW w:w="1530" w:type="dxa"/>
            <w:shd w:val="clear" w:color="auto" w:fill="auto"/>
          </w:tcPr>
          <w:p w:rsidR="005866D4" w:rsidRPr="0016268A" w:rsidP="007933A4" w14:paraId="3A0316A4" w14:textId="77777777">
            <w:pPr>
              <w:jc w:val="center"/>
              <w:rPr>
                <w:b/>
              </w:rPr>
            </w:pPr>
          </w:p>
          <w:p w:rsidR="005866D4" w:rsidRPr="0016268A" w:rsidP="007933A4" w14:paraId="23885D08" w14:textId="77777777">
            <w:pPr>
              <w:jc w:val="center"/>
              <w:rPr>
                <w:b/>
              </w:rPr>
            </w:pPr>
          </w:p>
        </w:tc>
        <w:tc>
          <w:tcPr>
            <w:tcW w:w="1260" w:type="dxa"/>
            <w:shd w:val="clear" w:color="auto" w:fill="auto"/>
          </w:tcPr>
          <w:p w:rsidR="005866D4" w:rsidRPr="0016268A" w:rsidP="00905D7D" w14:paraId="4165D260" w14:textId="77777777">
            <w:pPr>
              <w:jc w:val="center"/>
              <w:rPr>
                <w:b/>
              </w:rPr>
            </w:pPr>
            <w:r w:rsidRPr="0016268A">
              <w:rPr>
                <w:b/>
              </w:rPr>
              <w:t>1,</w:t>
            </w:r>
            <w:r w:rsidR="001B78FF">
              <w:rPr>
                <w:b/>
              </w:rPr>
              <w:t>232</w:t>
            </w:r>
            <w:r w:rsidRPr="0016268A">
              <w:rPr>
                <w:b/>
              </w:rPr>
              <w:t>,</w:t>
            </w:r>
            <w:r w:rsidRPr="0016268A" w:rsidR="00905D7D">
              <w:rPr>
                <w:b/>
              </w:rPr>
              <w:t>5</w:t>
            </w:r>
            <w:r w:rsidR="001B78FF">
              <w:rPr>
                <w:b/>
              </w:rPr>
              <w:t>25</w:t>
            </w:r>
          </w:p>
        </w:tc>
        <w:tc>
          <w:tcPr>
            <w:tcW w:w="990" w:type="dxa"/>
            <w:shd w:val="clear" w:color="auto" w:fill="auto"/>
          </w:tcPr>
          <w:p w:rsidR="005866D4" w:rsidRPr="0016268A" w:rsidP="007933A4" w14:paraId="7A4477E0" w14:textId="77777777">
            <w:pPr>
              <w:jc w:val="center"/>
              <w:rPr>
                <w:b/>
              </w:rPr>
            </w:pPr>
          </w:p>
        </w:tc>
        <w:tc>
          <w:tcPr>
            <w:tcW w:w="1800" w:type="dxa"/>
            <w:shd w:val="clear" w:color="auto" w:fill="auto"/>
          </w:tcPr>
          <w:p w:rsidR="005866D4" w:rsidRPr="0016268A" w:rsidP="00A80EA5" w14:paraId="2FB7C5C3" w14:textId="5E04D92E">
            <w:pPr>
              <w:rPr>
                <w:b/>
              </w:rPr>
            </w:pPr>
            <w:r w:rsidRPr="0016268A">
              <w:rPr>
                <w:b/>
              </w:rPr>
              <w:t>$</w:t>
            </w:r>
            <w:r w:rsidR="00B30F64">
              <w:rPr>
                <w:b/>
              </w:rPr>
              <w:t>78,</w:t>
            </w:r>
            <w:r w:rsidR="00BA02D5">
              <w:rPr>
                <w:b/>
              </w:rPr>
              <w:t>9</w:t>
            </w:r>
            <w:r w:rsidR="00B30F64">
              <w:rPr>
                <w:b/>
              </w:rPr>
              <w:t>55,551.50</w:t>
            </w:r>
          </w:p>
        </w:tc>
      </w:tr>
    </w:tbl>
    <w:p w:rsidR="005866D4" w:rsidP="002441D7" w14:paraId="5291CD07" w14:textId="77777777">
      <w:pPr>
        <w:ind w:left="1080"/>
        <w:rPr>
          <w:b/>
          <w:sz w:val="22"/>
          <w:szCs w:val="22"/>
        </w:rPr>
      </w:pPr>
    </w:p>
    <w:p w:rsidR="00767E7C" w:rsidP="007002AD" w14:paraId="3E73580A" w14:textId="77777777">
      <w:pPr>
        <w:ind w:left="1080"/>
        <w:rPr>
          <w:b/>
          <w:sz w:val="22"/>
          <w:szCs w:val="22"/>
        </w:rPr>
      </w:pPr>
    </w:p>
    <w:p w:rsidR="00485456" w:rsidP="005866D4" w14:paraId="6A0550F2" w14:textId="77777777">
      <w:pPr>
        <w:rPr>
          <w:b/>
          <w:i/>
          <w:sz w:val="22"/>
          <w:szCs w:val="22"/>
        </w:rPr>
      </w:pPr>
    </w:p>
    <w:p w:rsidR="00485456" w:rsidP="005866D4" w14:paraId="68FF4188" w14:textId="77777777">
      <w:pPr>
        <w:rPr>
          <w:b/>
          <w:i/>
          <w:sz w:val="22"/>
          <w:szCs w:val="22"/>
        </w:rPr>
      </w:pPr>
    </w:p>
    <w:p w:rsidR="00485456" w:rsidP="005866D4" w14:paraId="2381F4A5" w14:textId="77777777">
      <w:pPr>
        <w:rPr>
          <w:b/>
          <w:i/>
          <w:sz w:val="22"/>
          <w:szCs w:val="22"/>
        </w:rPr>
      </w:pPr>
    </w:p>
    <w:p w:rsidR="00485456" w:rsidP="005866D4" w14:paraId="4B93298B" w14:textId="77777777">
      <w:pPr>
        <w:rPr>
          <w:b/>
          <w:i/>
          <w:sz w:val="22"/>
          <w:szCs w:val="22"/>
        </w:rPr>
      </w:pPr>
    </w:p>
    <w:p w:rsidR="00485456" w:rsidP="005866D4" w14:paraId="67AD9DE6" w14:textId="77777777">
      <w:pPr>
        <w:rPr>
          <w:b/>
          <w:i/>
          <w:sz w:val="22"/>
          <w:szCs w:val="22"/>
        </w:rPr>
      </w:pPr>
    </w:p>
    <w:p w:rsidR="002308A6" w:rsidP="005866D4" w14:paraId="0A8F69AF" w14:textId="77777777">
      <w:pPr>
        <w:rPr>
          <w:b/>
          <w:i/>
          <w:sz w:val="22"/>
          <w:szCs w:val="22"/>
        </w:rPr>
      </w:pPr>
    </w:p>
    <w:p w:rsidR="002308A6" w:rsidP="005866D4" w14:paraId="3AD60BFB" w14:textId="77777777">
      <w:pPr>
        <w:rPr>
          <w:b/>
          <w:i/>
          <w:sz w:val="22"/>
          <w:szCs w:val="22"/>
        </w:rPr>
      </w:pPr>
    </w:p>
    <w:p w:rsidR="005866D4" w:rsidP="005866D4" w14:paraId="409678DF" w14:textId="77777777">
      <w:pPr>
        <w:rPr>
          <w:b/>
          <w:i/>
          <w:sz w:val="22"/>
          <w:szCs w:val="22"/>
        </w:rPr>
      </w:pPr>
      <w:r>
        <w:rPr>
          <w:b/>
          <w:i/>
          <w:sz w:val="22"/>
          <w:szCs w:val="22"/>
        </w:rPr>
        <w:t>Table of</w:t>
      </w:r>
      <w:r w:rsidR="003309A8">
        <w:rPr>
          <w:b/>
          <w:i/>
          <w:sz w:val="22"/>
          <w:szCs w:val="22"/>
        </w:rPr>
        <w:t xml:space="preserve"> Revised</w:t>
      </w:r>
      <w:r w:rsidR="00EC7046">
        <w:rPr>
          <w:b/>
          <w:i/>
          <w:sz w:val="22"/>
          <w:szCs w:val="22"/>
        </w:rPr>
        <w:t xml:space="preserve"> </w:t>
      </w:r>
      <w:r>
        <w:rPr>
          <w:b/>
          <w:i/>
          <w:sz w:val="22"/>
          <w:szCs w:val="22"/>
        </w:rPr>
        <w:t>Information Collection Requirements</w:t>
      </w:r>
      <w:r w:rsidRPr="00EC7046" w:rsidR="00EC7046">
        <w:rPr>
          <w:b/>
          <w:i/>
          <w:sz w:val="22"/>
          <w:szCs w:val="22"/>
        </w:rPr>
        <w:t xml:space="preserve"> </w:t>
      </w:r>
      <w:r w:rsidR="00EC7046">
        <w:rPr>
          <w:b/>
          <w:i/>
          <w:sz w:val="22"/>
          <w:szCs w:val="22"/>
        </w:rPr>
        <w:t>Regarding Wireline Carriers’ Measures to Enable Consumers to Detect and Prevent Unauthorized Charges</w:t>
      </w:r>
    </w:p>
    <w:p w:rsidR="00387D0A" w:rsidRPr="005866D4" w:rsidP="005866D4" w14:paraId="67A7D0EF" w14:textId="77777777">
      <w:pPr>
        <w:rPr>
          <w:b/>
          <w:i/>
          <w:sz w:val="22"/>
          <w:szCs w:val="22"/>
        </w:rPr>
      </w:pPr>
    </w:p>
    <w:p w:rsidR="005866D4" w:rsidP="005866D4" w14:paraId="2C075D6E" w14:textId="77777777">
      <w:pPr>
        <w:rPr>
          <w:b/>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2139"/>
        <w:gridCol w:w="1484"/>
        <w:gridCol w:w="1409"/>
        <w:gridCol w:w="1258"/>
        <w:gridCol w:w="1980"/>
      </w:tblGrid>
      <w:tr w14:paraId="5B909B88" w14:textId="77777777" w:rsidTr="00DD0417">
        <w:tblPrEx>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88" w:type="dxa"/>
            <w:shd w:val="clear" w:color="auto" w:fill="auto"/>
          </w:tcPr>
          <w:p w:rsidR="007002AD" w:rsidRPr="007E7F75" w:rsidP="00DD0417" w14:paraId="3198216C" w14:textId="77777777">
            <w:pPr>
              <w:jc w:val="center"/>
              <w:rPr>
                <w:b/>
              </w:rPr>
            </w:pPr>
            <w:r w:rsidRPr="007E7F75">
              <w:rPr>
                <w:b/>
              </w:rPr>
              <w:t xml:space="preserve">Wireline Carriers’ Measures To </w:t>
            </w:r>
            <w:r w:rsidR="00B822AF">
              <w:rPr>
                <w:b/>
              </w:rPr>
              <w:t>Enable Consumers to Detect and Prevent Unauthorized Charges</w:t>
            </w:r>
          </w:p>
        </w:tc>
        <w:tc>
          <w:tcPr>
            <w:tcW w:w="2139" w:type="dxa"/>
            <w:shd w:val="clear" w:color="auto" w:fill="auto"/>
          </w:tcPr>
          <w:p w:rsidR="007002AD" w:rsidRPr="007E7F75" w:rsidP="00DD0417" w14:paraId="34470B9E" w14:textId="77777777">
            <w:pPr>
              <w:jc w:val="center"/>
              <w:rPr>
                <w:b/>
              </w:rPr>
            </w:pPr>
            <w:r w:rsidRPr="007E7F75">
              <w:rPr>
                <w:b/>
              </w:rPr>
              <w:t xml:space="preserve">Estimated Number Of Wireline/Wireless Carriers (Respondents) To Comply – (# Of </w:t>
            </w:r>
          </w:p>
          <w:p w:rsidR="007002AD" w:rsidRPr="007E7F75" w:rsidP="00DD0417" w14:paraId="24958F02" w14:textId="77777777">
            <w:pPr>
              <w:jc w:val="center"/>
              <w:rPr>
                <w:b/>
              </w:rPr>
            </w:pPr>
            <w:r w:rsidRPr="007E7F75">
              <w:rPr>
                <w:b/>
              </w:rPr>
              <w:t>Responses)</w:t>
            </w:r>
          </w:p>
        </w:tc>
        <w:tc>
          <w:tcPr>
            <w:tcW w:w="1484" w:type="dxa"/>
            <w:shd w:val="clear" w:color="auto" w:fill="auto"/>
          </w:tcPr>
          <w:p w:rsidR="007002AD" w:rsidRPr="007E7F75" w:rsidP="00DD0417" w14:paraId="189BF4B4" w14:textId="77777777">
            <w:pPr>
              <w:jc w:val="center"/>
              <w:rPr>
                <w:b/>
              </w:rPr>
            </w:pPr>
            <w:r w:rsidRPr="007E7F75">
              <w:rPr>
                <w:b/>
              </w:rPr>
              <w:t>Estimate Of Hours To Meet Requirement</w:t>
            </w:r>
          </w:p>
        </w:tc>
        <w:tc>
          <w:tcPr>
            <w:tcW w:w="1409" w:type="dxa"/>
            <w:shd w:val="clear" w:color="auto" w:fill="auto"/>
          </w:tcPr>
          <w:p w:rsidR="007002AD" w:rsidRPr="007E7F75" w:rsidP="00DD0417" w14:paraId="320760FA" w14:textId="77777777">
            <w:pPr>
              <w:jc w:val="center"/>
              <w:rPr>
                <w:b/>
              </w:rPr>
            </w:pPr>
            <w:r w:rsidRPr="007E7F75">
              <w:rPr>
                <w:b/>
              </w:rPr>
              <w:t>Annual Hourly  Burdens</w:t>
            </w:r>
          </w:p>
        </w:tc>
        <w:tc>
          <w:tcPr>
            <w:tcW w:w="1258" w:type="dxa"/>
            <w:shd w:val="clear" w:color="auto" w:fill="auto"/>
          </w:tcPr>
          <w:p w:rsidR="007002AD" w:rsidRPr="007E7F75" w:rsidP="00DD0417" w14:paraId="60202A83" w14:textId="77777777">
            <w:pPr>
              <w:jc w:val="center"/>
              <w:rPr>
                <w:b/>
              </w:rPr>
            </w:pPr>
            <w:r w:rsidRPr="007E7F75">
              <w:rPr>
                <w:b/>
              </w:rPr>
              <w:t>Hourly “In-House” Cost</w:t>
            </w:r>
          </w:p>
        </w:tc>
        <w:tc>
          <w:tcPr>
            <w:tcW w:w="1980" w:type="dxa"/>
            <w:shd w:val="clear" w:color="auto" w:fill="auto"/>
          </w:tcPr>
          <w:p w:rsidR="007002AD" w:rsidRPr="007E7F75" w:rsidP="00DD0417" w14:paraId="4D0BDFAC" w14:textId="77777777">
            <w:pPr>
              <w:jc w:val="center"/>
              <w:rPr>
                <w:b/>
              </w:rPr>
            </w:pPr>
            <w:r w:rsidRPr="007E7F75">
              <w:rPr>
                <w:b/>
              </w:rPr>
              <w:t>Total “In-House” Cost</w:t>
            </w:r>
          </w:p>
        </w:tc>
      </w:tr>
      <w:tr w14:paraId="7CED28A5" w14:textId="77777777" w:rsidTr="00DD0417">
        <w:tblPrEx>
          <w:tblW w:w="10458" w:type="dxa"/>
          <w:tblLook w:val="01E0"/>
        </w:tblPrEx>
        <w:tc>
          <w:tcPr>
            <w:tcW w:w="2188" w:type="dxa"/>
            <w:shd w:val="clear" w:color="auto" w:fill="auto"/>
          </w:tcPr>
          <w:p w:rsidR="00B74D2E" w:rsidRPr="005D41E4" w:rsidP="00B74D2E" w14:paraId="55AB8646" w14:textId="77777777">
            <w:r>
              <w:t>e. Third-party charges in a separate bill section</w:t>
            </w:r>
          </w:p>
        </w:tc>
        <w:tc>
          <w:tcPr>
            <w:tcW w:w="2139" w:type="dxa"/>
            <w:shd w:val="clear" w:color="auto" w:fill="auto"/>
          </w:tcPr>
          <w:p w:rsidR="00B74D2E" w:rsidP="00DB6F5A" w14:paraId="304B0B6A" w14:textId="77777777">
            <w:pPr>
              <w:jc w:val="center"/>
            </w:pPr>
            <w:r>
              <w:t>3</w:t>
            </w:r>
            <w:r>
              <w:t>,</w:t>
            </w:r>
            <w:r>
              <w:t>554</w:t>
            </w:r>
          </w:p>
          <w:p w:rsidR="00B74D2E" w:rsidRPr="005D41E4" w:rsidP="00DB6F5A" w14:paraId="4A01AF22" w14:textId="77777777">
            <w:pPr>
              <w:jc w:val="center"/>
            </w:pPr>
            <w:r>
              <w:t>(</w:t>
            </w:r>
            <w:r w:rsidR="001B78FF">
              <w:t>3,554</w:t>
            </w:r>
            <w:r>
              <w:t xml:space="preserve"> responses)</w:t>
            </w:r>
          </w:p>
        </w:tc>
        <w:tc>
          <w:tcPr>
            <w:tcW w:w="1484" w:type="dxa"/>
            <w:shd w:val="clear" w:color="auto" w:fill="auto"/>
          </w:tcPr>
          <w:p w:rsidR="00B74D2E" w:rsidRPr="005D41E4" w:rsidP="00DB6F5A" w14:paraId="3DA88C16" w14:textId="77777777">
            <w:pPr>
              <w:jc w:val="center"/>
            </w:pPr>
            <w:r>
              <w:t>100</w:t>
            </w:r>
          </w:p>
        </w:tc>
        <w:tc>
          <w:tcPr>
            <w:tcW w:w="1409" w:type="dxa"/>
            <w:shd w:val="clear" w:color="auto" w:fill="auto"/>
          </w:tcPr>
          <w:p w:rsidR="00B74D2E" w:rsidRPr="005D41E4" w:rsidP="00DB6F5A" w14:paraId="0612EE94" w14:textId="77777777">
            <w:pPr>
              <w:jc w:val="center"/>
            </w:pPr>
            <w:r>
              <w:t>355</w:t>
            </w:r>
            <w:r w:rsidR="002D12C4">
              <w:t>,</w:t>
            </w:r>
            <w:r>
              <w:t>4</w:t>
            </w:r>
            <w:r w:rsidR="002D12C4">
              <w:t>00</w:t>
            </w:r>
          </w:p>
        </w:tc>
        <w:tc>
          <w:tcPr>
            <w:tcW w:w="1258" w:type="dxa"/>
            <w:shd w:val="clear" w:color="auto" w:fill="auto"/>
          </w:tcPr>
          <w:p w:rsidR="00B74D2E" w:rsidRPr="005D41E4" w:rsidP="00DB6F5A" w14:paraId="1F575B4A" w14:textId="416F0B96">
            <w:pPr>
              <w:jc w:val="center"/>
            </w:pPr>
            <w:r w:rsidRPr="0016268A">
              <w:t>$</w:t>
            </w:r>
            <w:r w:rsidR="00070C9F">
              <w:t>64.06</w:t>
            </w:r>
          </w:p>
        </w:tc>
        <w:tc>
          <w:tcPr>
            <w:tcW w:w="1980" w:type="dxa"/>
            <w:shd w:val="clear" w:color="auto" w:fill="auto"/>
          </w:tcPr>
          <w:p w:rsidR="00B74D2E" w:rsidRPr="005D41E4" w:rsidP="00DB6F5A" w14:paraId="7555F035" w14:textId="245D1CD3">
            <w:pPr>
              <w:jc w:val="center"/>
            </w:pPr>
            <w:r>
              <w:t>$</w:t>
            </w:r>
            <w:r w:rsidR="00792D83">
              <w:t>22,766,924</w:t>
            </w:r>
            <w:r>
              <w:t xml:space="preserve"> </w:t>
            </w:r>
          </w:p>
        </w:tc>
      </w:tr>
      <w:tr w14:paraId="490F20AD" w14:textId="77777777" w:rsidTr="00DD0417">
        <w:tblPrEx>
          <w:tblW w:w="10458" w:type="dxa"/>
          <w:tblLook w:val="01E0"/>
        </w:tblPrEx>
        <w:tc>
          <w:tcPr>
            <w:tcW w:w="2188" w:type="dxa"/>
            <w:shd w:val="clear" w:color="auto" w:fill="auto"/>
          </w:tcPr>
          <w:p w:rsidR="007002AD" w:rsidRPr="007E7F75" w:rsidP="00B74D2E" w14:paraId="313D4AD6" w14:textId="77777777">
            <w:r>
              <w:t>f</w:t>
            </w:r>
            <w:r w:rsidRPr="007E7F75">
              <w:t xml:space="preserve">.  </w:t>
            </w:r>
            <w:r w:rsidR="005D41E4">
              <w:t>Disclosure of blocking options on bills</w:t>
            </w:r>
            <w:r w:rsidR="00485456">
              <w:t>, website and at the point of sale</w:t>
            </w:r>
          </w:p>
        </w:tc>
        <w:tc>
          <w:tcPr>
            <w:tcW w:w="2139" w:type="dxa"/>
            <w:shd w:val="clear" w:color="auto" w:fill="auto"/>
          </w:tcPr>
          <w:p w:rsidR="007002AD" w:rsidRPr="007E7F75" w:rsidP="00DD0417" w14:paraId="176CC830" w14:textId="77777777">
            <w:pPr>
              <w:jc w:val="center"/>
            </w:pPr>
            <w:r>
              <w:t>3,554</w:t>
            </w:r>
          </w:p>
          <w:p w:rsidR="007002AD" w:rsidRPr="007E7F75" w:rsidP="00905D7D" w14:paraId="4348A81D" w14:textId="77777777">
            <w:pPr>
              <w:jc w:val="center"/>
            </w:pPr>
            <w:r w:rsidRPr="007E7F75">
              <w:t>(</w:t>
            </w:r>
            <w:r w:rsidR="001B78FF">
              <w:t>3,554</w:t>
            </w:r>
            <w:r w:rsidRPr="007E7F75">
              <w:t xml:space="preserve"> responses)</w:t>
            </w:r>
          </w:p>
        </w:tc>
        <w:tc>
          <w:tcPr>
            <w:tcW w:w="1484" w:type="dxa"/>
            <w:shd w:val="clear" w:color="auto" w:fill="auto"/>
          </w:tcPr>
          <w:p w:rsidR="007002AD" w:rsidRPr="007E7F75" w:rsidP="00DD0417" w14:paraId="55662FBC" w14:textId="77777777">
            <w:pPr>
              <w:jc w:val="center"/>
            </w:pPr>
            <w:r>
              <w:t>80</w:t>
            </w:r>
          </w:p>
        </w:tc>
        <w:tc>
          <w:tcPr>
            <w:tcW w:w="1409" w:type="dxa"/>
            <w:shd w:val="clear" w:color="auto" w:fill="auto"/>
          </w:tcPr>
          <w:p w:rsidR="007002AD" w:rsidRPr="007E7F75" w:rsidP="00905D7D" w14:paraId="4C4218E9" w14:textId="77777777">
            <w:pPr>
              <w:jc w:val="center"/>
            </w:pPr>
            <w:r>
              <w:t>284,320</w:t>
            </w:r>
          </w:p>
        </w:tc>
        <w:tc>
          <w:tcPr>
            <w:tcW w:w="1258" w:type="dxa"/>
            <w:shd w:val="clear" w:color="auto" w:fill="auto"/>
          </w:tcPr>
          <w:p w:rsidR="007002AD" w:rsidRPr="007E7F75" w:rsidP="00905D7D" w14:paraId="1EC285C7" w14:textId="6D4C2EE7">
            <w:pPr>
              <w:jc w:val="center"/>
            </w:pPr>
            <w:r w:rsidRPr="0016268A">
              <w:t>$</w:t>
            </w:r>
            <w:r w:rsidR="00070C9F">
              <w:t>64.06</w:t>
            </w:r>
          </w:p>
        </w:tc>
        <w:tc>
          <w:tcPr>
            <w:tcW w:w="1980" w:type="dxa"/>
            <w:shd w:val="clear" w:color="auto" w:fill="auto"/>
          </w:tcPr>
          <w:p w:rsidR="007002AD" w:rsidRPr="007E7F75" w:rsidP="00905D7D" w14:paraId="2792E2AF" w14:textId="4E35E838">
            <w:pPr>
              <w:jc w:val="center"/>
            </w:pPr>
            <w:r w:rsidRPr="007E7F75">
              <w:t>$</w:t>
            </w:r>
            <w:r w:rsidR="00677B46">
              <w:t>18,213,539.20</w:t>
            </w:r>
          </w:p>
        </w:tc>
      </w:tr>
      <w:tr w14:paraId="21112A9C" w14:textId="77777777" w:rsidTr="00DD0417">
        <w:tblPrEx>
          <w:tblW w:w="10458" w:type="dxa"/>
          <w:tblLook w:val="01E0"/>
        </w:tblPrEx>
        <w:tc>
          <w:tcPr>
            <w:tcW w:w="2188" w:type="dxa"/>
            <w:shd w:val="clear" w:color="auto" w:fill="auto"/>
          </w:tcPr>
          <w:p w:rsidR="007002AD" w:rsidRPr="007E7F75" w:rsidP="00DD0417" w14:paraId="6465632A" w14:textId="77777777">
            <w:pPr>
              <w:jc w:val="center"/>
              <w:rPr>
                <w:b/>
              </w:rPr>
            </w:pPr>
            <w:r w:rsidRPr="007E7F75">
              <w:rPr>
                <w:b/>
              </w:rPr>
              <w:t>TOTAL</w:t>
            </w:r>
          </w:p>
        </w:tc>
        <w:tc>
          <w:tcPr>
            <w:tcW w:w="2139" w:type="dxa"/>
            <w:shd w:val="clear" w:color="auto" w:fill="auto"/>
          </w:tcPr>
          <w:p w:rsidR="007002AD" w:rsidRPr="007E7F75" w:rsidP="00905D7D" w14:paraId="209A25B1" w14:textId="77777777">
            <w:pPr>
              <w:jc w:val="center"/>
              <w:rPr>
                <w:b/>
              </w:rPr>
            </w:pPr>
            <w:r w:rsidRPr="007E7F75">
              <w:rPr>
                <w:b/>
              </w:rPr>
              <w:t>Respondents -</w:t>
            </w:r>
            <w:r w:rsidR="001B78FF">
              <w:rPr>
                <w:b/>
              </w:rPr>
              <w:t>3,554</w:t>
            </w:r>
            <w:r>
              <w:rPr>
                <w:rStyle w:val="FootnoteReference"/>
                <w:b/>
              </w:rPr>
              <w:footnoteReference w:id="17"/>
            </w:r>
            <w:r w:rsidRPr="007E7F75">
              <w:rPr>
                <w:b/>
              </w:rPr>
              <w:t>/Responses-</w:t>
            </w:r>
            <w:r w:rsidR="00F3593B">
              <w:rPr>
                <w:b/>
              </w:rPr>
              <w:t>7,108</w:t>
            </w:r>
          </w:p>
        </w:tc>
        <w:tc>
          <w:tcPr>
            <w:tcW w:w="1484" w:type="dxa"/>
            <w:shd w:val="clear" w:color="auto" w:fill="auto"/>
          </w:tcPr>
          <w:p w:rsidR="007002AD" w:rsidRPr="007E7F75" w:rsidP="00DD0417" w14:paraId="4C6F0382" w14:textId="77777777">
            <w:pPr>
              <w:jc w:val="center"/>
              <w:rPr>
                <w:b/>
              </w:rPr>
            </w:pPr>
          </w:p>
        </w:tc>
        <w:tc>
          <w:tcPr>
            <w:tcW w:w="1409" w:type="dxa"/>
            <w:shd w:val="clear" w:color="auto" w:fill="auto"/>
          </w:tcPr>
          <w:p w:rsidR="007002AD" w:rsidRPr="007E7F75" w:rsidP="00905D7D" w14:paraId="59E66A0B" w14:textId="77777777">
            <w:pPr>
              <w:jc w:val="center"/>
              <w:rPr>
                <w:b/>
              </w:rPr>
            </w:pPr>
            <w:r>
              <w:rPr>
                <w:b/>
              </w:rPr>
              <w:t>639,720</w:t>
            </w:r>
          </w:p>
        </w:tc>
        <w:tc>
          <w:tcPr>
            <w:tcW w:w="1258" w:type="dxa"/>
            <w:shd w:val="clear" w:color="auto" w:fill="auto"/>
          </w:tcPr>
          <w:p w:rsidR="007002AD" w:rsidRPr="007E7F75" w:rsidP="00DD0417" w14:paraId="777EFD56" w14:textId="77777777">
            <w:pPr>
              <w:jc w:val="center"/>
              <w:rPr>
                <w:b/>
              </w:rPr>
            </w:pPr>
          </w:p>
        </w:tc>
        <w:tc>
          <w:tcPr>
            <w:tcW w:w="1980" w:type="dxa"/>
            <w:shd w:val="clear" w:color="auto" w:fill="auto"/>
          </w:tcPr>
          <w:p w:rsidR="007002AD" w:rsidRPr="007E7F75" w:rsidP="00905D7D" w14:paraId="5DC9C82C" w14:textId="3113F508">
            <w:pPr>
              <w:jc w:val="center"/>
              <w:rPr>
                <w:b/>
              </w:rPr>
            </w:pPr>
            <w:r w:rsidRPr="007E7F75">
              <w:rPr>
                <w:b/>
              </w:rPr>
              <w:t>$</w:t>
            </w:r>
            <w:r w:rsidR="0067358E">
              <w:rPr>
                <w:b/>
              </w:rPr>
              <w:t>40,980,463.20</w:t>
            </w:r>
          </w:p>
        </w:tc>
      </w:tr>
    </w:tbl>
    <w:p w:rsidR="007002AD" w:rsidRPr="00FB56B2" w:rsidP="007002AD" w14:paraId="2A9C685B" w14:textId="77777777">
      <w:pPr>
        <w:ind w:firstLine="720"/>
        <w:rPr>
          <w:sz w:val="22"/>
          <w:szCs w:val="22"/>
        </w:rPr>
      </w:pPr>
    </w:p>
    <w:p w:rsidR="00905D7D" w:rsidRPr="00B852B0" w:rsidP="00905D7D" w14:paraId="4D5C420D" w14:textId="77777777">
      <w:pPr>
        <w:ind w:left="720"/>
        <w:rPr>
          <w:b/>
          <w:i/>
          <w:sz w:val="22"/>
          <w:szCs w:val="22"/>
        </w:rPr>
      </w:pPr>
      <w:r w:rsidRPr="00B852B0">
        <w:rPr>
          <w:b/>
          <w:i/>
          <w:sz w:val="22"/>
          <w:szCs w:val="22"/>
          <w:u w:val="single"/>
        </w:rPr>
        <w:t>Cumulative Totals</w:t>
      </w:r>
      <w:r w:rsidRPr="00B852B0">
        <w:rPr>
          <w:b/>
          <w:i/>
          <w:sz w:val="22"/>
          <w:szCs w:val="22"/>
        </w:rPr>
        <w:t xml:space="preserve">:  </w:t>
      </w:r>
    </w:p>
    <w:p w:rsidR="00905D7D" w:rsidRPr="00B852B0" w:rsidP="00905D7D" w14:paraId="675EC224" w14:textId="77777777">
      <w:pPr>
        <w:ind w:left="720"/>
        <w:rPr>
          <w:b/>
          <w:sz w:val="22"/>
          <w:szCs w:val="22"/>
        </w:rPr>
      </w:pPr>
    </w:p>
    <w:p w:rsidR="00905D7D" w:rsidRPr="00B852B0" w:rsidP="00905D7D" w14:paraId="394ABB9E" w14:textId="77777777">
      <w:pPr>
        <w:ind w:left="720"/>
        <w:rPr>
          <w:b/>
          <w:sz w:val="22"/>
          <w:szCs w:val="22"/>
        </w:rPr>
      </w:pPr>
      <w:r w:rsidRPr="00B852B0">
        <w:rPr>
          <w:b/>
          <w:sz w:val="22"/>
          <w:szCs w:val="22"/>
        </w:rPr>
        <w:t xml:space="preserve">Cumulative Total Number of Respondents:  </w:t>
      </w:r>
      <w:r w:rsidR="00253E37">
        <w:rPr>
          <w:b/>
          <w:sz w:val="22"/>
          <w:szCs w:val="22"/>
        </w:rPr>
        <w:t>4</w:t>
      </w:r>
      <w:r w:rsidR="002D12C4">
        <w:rPr>
          <w:b/>
          <w:sz w:val="22"/>
          <w:szCs w:val="22"/>
        </w:rPr>
        <w:t>,1</w:t>
      </w:r>
      <w:r w:rsidR="00253E37">
        <w:rPr>
          <w:b/>
          <w:sz w:val="22"/>
          <w:szCs w:val="22"/>
        </w:rPr>
        <w:t>65</w:t>
      </w:r>
      <w:r w:rsidRPr="00B852B0" w:rsidR="00B74D2E">
        <w:rPr>
          <w:b/>
          <w:sz w:val="22"/>
          <w:szCs w:val="22"/>
        </w:rPr>
        <w:t xml:space="preserve"> </w:t>
      </w:r>
    </w:p>
    <w:p w:rsidR="00905D7D" w:rsidRPr="0016268A" w:rsidP="00905D7D" w14:paraId="030C5C64" w14:textId="7B0C908D">
      <w:pPr>
        <w:ind w:left="720"/>
        <w:rPr>
          <w:b/>
          <w:sz w:val="22"/>
          <w:szCs w:val="22"/>
        </w:rPr>
      </w:pPr>
      <w:r w:rsidRPr="00B852B0">
        <w:rPr>
          <w:b/>
          <w:sz w:val="22"/>
          <w:szCs w:val="22"/>
        </w:rPr>
        <w:t xml:space="preserve">Cumulative Total Number of Responses:  </w:t>
      </w:r>
      <w:r w:rsidR="00D40879">
        <w:rPr>
          <w:b/>
          <w:sz w:val="22"/>
          <w:szCs w:val="22"/>
        </w:rPr>
        <w:t xml:space="preserve">  26,711</w:t>
      </w:r>
    </w:p>
    <w:p w:rsidR="00905D7D" w:rsidRPr="0016268A" w:rsidP="00905D7D" w14:paraId="0C412074" w14:textId="77777777">
      <w:pPr>
        <w:ind w:left="720"/>
        <w:rPr>
          <w:b/>
          <w:sz w:val="22"/>
          <w:szCs w:val="22"/>
        </w:rPr>
      </w:pPr>
      <w:r w:rsidRPr="0016268A">
        <w:rPr>
          <w:b/>
          <w:sz w:val="22"/>
          <w:szCs w:val="22"/>
        </w:rPr>
        <w:t>Cumulative Tota</w:t>
      </w:r>
      <w:r w:rsidR="002D12C4">
        <w:rPr>
          <w:b/>
          <w:sz w:val="22"/>
          <w:szCs w:val="22"/>
        </w:rPr>
        <w:t>l of Annual Burden Hours:  1</w:t>
      </w:r>
      <w:r w:rsidR="00253E37">
        <w:rPr>
          <w:b/>
          <w:sz w:val="22"/>
          <w:szCs w:val="22"/>
        </w:rPr>
        <w:t>,</w:t>
      </w:r>
      <w:r w:rsidR="00F3593B">
        <w:rPr>
          <w:b/>
          <w:sz w:val="22"/>
          <w:szCs w:val="22"/>
        </w:rPr>
        <w:t>872</w:t>
      </w:r>
      <w:r w:rsidR="00253E37">
        <w:rPr>
          <w:b/>
          <w:sz w:val="22"/>
          <w:szCs w:val="22"/>
        </w:rPr>
        <w:t>,</w:t>
      </w:r>
      <w:r w:rsidR="00F3593B">
        <w:rPr>
          <w:b/>
          <w:sz w:val="22"/>
          <w:szCs w:val="22"/>
        </w:rPr>
        <w:t>245</w:t>
      </w:r>
      <w:r w:rsidRPr="0016268A">
        <w:rPr>
          <w:b/>
          <w:sz w:val="22"/>
          <w:szCs w:val="22"/>
        </w:rPr>
        <w:t xml:space="preserve">  </w:t>
      </w:r>
    </w:p>
    <w:p w:rsidR="00905D7D" w:rsidRPr="0016268A" w:rsidP="00905D7D" w14:paraId="3986B77E" w14:textId="2C125F12">
      <w:pPr>
        <w:ind w:left="720"/>
        <w:rPr>
          <w:b/>
          <w:sz w:val="22"/>
          <w:szCs w:val="22"/>
        </w:rPr>
      </w:pPr>
      <w:r w:rsidRPr="0016268A">
        <w:rPr>
          <w:b/>
          <w:sz w:val="22"/>
          <w:szCs w:val="22"/>
        </w:rPr>
        <w:t>Cumulative Total Annual “In-House” Costs:  $</w:t>
      </w:r>
      <w:r w:rsidR="00971848">
        <w:rPr>
          <w:b/>
          <w:sz w:val="22"/>
          <w:szCs w:val="22"/>
        </w:rPr>
        <w:t>119,</w:t>
      </w:r>
      <w:r w:rsidR="00BA02D5">
        <w:rPr>
          <w:b/>
          <w:sz w:val="22"/>
          <w:szCs w:val="22"/>
        </w:rPr>
        <w:t>9</w:t>
      </w:r>
      <w:r w:rsidR="00971848">
        <w:rPr>
          <w:b/>
          <w:sz w:val="22"/>
          <w:szCs w:val="22"/>
        </w:rPr>
        <w:t>36,015</w:t>
      </w:r>
    </w:p>
    <w:p w:rsidR="000D34CF" w:rsidRPr="0016268A" w:rsidP="00974837" w14:paraId="003A33D6" w14:textId="77777777">
      <w:pPr>
        <w:ind w:left="720"/>
        <w:rPr>
          <w:b/>
          <w:sz w:val="22"/>
          <w:szCs w:val="22"/>
        </w:rPr>
      </w:pPr>
    </w:p>
    <w:p w:rsidR="00CD1BB7" w:rsidRPr="0016268A" w:rsidP="00974837" w14:paraId="53E33F7B" w14:textId="77777777">
      <w:pPr>
        <w:ind w:left="720"/>
        <w:rPr>
          <w:b/>
          <w:sz w:val="22"/>
          <w:szCs w:val="22"/>
        </w:rPr>
      </w:pPr>
    </w:p>
    <w:p w:rsidR="00015B5E" w:rsidRPr="0016268A" w:rsidP="00015B5E" w14:paraId="50072800" w14:textId="77777777">
      <w:pPr>
        <w:ind w:left="720" w:hanging="720"/>
        <w:rPr>
          <w:sz w:val="22"/>
          <w:szCs w:val="22"/>
        </w:rPr>
      </w:pPr>
      <w:r w:rsidRPr="0016268A">
        <w:rPr>
          <w:sz w:val="22"/>
          <w:szCs w:val="22"/>
        </w:rPr>
        <w:t>13.</w:t>
      </w:r>
      <w:r w:rsidRPr="0016268A">
        <w:rPr>
          <w:sz w:val="22"/>
          <w:szCs w:val="22"/>
        </w:rPr>
        <w:tab/>
        <w:t xml:space="preserve">The following represents the Commission’s estimate of </w:t>
      </w:r>
      <w:r w:rsidRPr="0016268A" w:rsidR="0003084A">
        <w:rPr>
          <w:sz w:val="22"/>
          <w:szCs w:val="22"/>
        </w:rPr>
        <w:t xml:space="preserve">cumulative </w:t>
      </w:r>
      <w:r w:rsidRPr="0016268A">
        <w:rPr>
          <w:sz w:val="22"/>
          <w:szCs w:val="22"/>
        </w:rPr>
        <w:t>annual cost burden to respondents resulting from the collections of information:</w:t>
      </w:r>
    </w:p>
    <w:p w:rsidR="00015B5E" w:rsidRPr="0016268A" w:rsidP="00015B5E" w14:paraId="3D9679D1" w14:textId="77777777">
      <w:pPr>
        <w:ind w:left="720" w:hanging="720"/>
        <w:rPr>
          <w:sz w:val="22"/>
          <w:szCs w:val="22"/>
        </w:rPr>
      </w:pPr>
      <w:r w:rsidRPr="0016268A">
        <w:rPr>
          <w:sz w:val="22"/>
          <w:szCs w:val="22"/>
        </w:rPr>
        <w:tab/>
      </w:r>
    </w:p>
    <w:p w:rsidR="00B20C5E" w:rsidRPr="00B852B0" w:rsidP="003D4A72" w14:paraId="50CC1D64" w14:textId="77777777">
      <w:pPr>
        <w:ind w:left="1440" w:hanging="720"/>
        <w:rPr>
          <w:sz w:val="22"/>
          <w:szCs w:val="22"/>
        </w:rPr>
      </w:pPr>
      <w:r w:rsidRPr="0016268A">
        <w:rPr>
          <w:sz w:val="22"/>
          <w:szCs w:val="22"/>
        </w:rPr>
        <w:t>(a)</w:t>
      </w:r>
      <w:r w:rsidRPr="0016268A">
        <w:rPr>
          <w:sz w:val="22"/>
          <w:szCs w:val="22"/>
        </w:rPr>
        <w:tab/>
      </w:r>
      <w:r w:rsidRPr="0016268A" w:rsidR="0003084A">
        <w:rPr>
          <w:sz w:val="22"/>
          <w:szCs w:val="22"/>
        </w:rPr>
        <w:t xml:space="preserve">Cumulative </w:t>
      </w:r>
      <w:r w:rsidRPr="0016268A" w:rsidR="00873D34">
        <w:rPr>
          <w:sz w:val="22"/>
          <w:szCs w:val="22"/>
        </w:rPr>
        <w:t xml:space="preserve">Total </w:t>
      </w:r>
      <w:r w:rsidRPr="0016268A">
        <w:rPr>
          <w:sz w:val="22"/>
          <w:szCs w:val="22"/>
        </w:rPr>
        <w:t>annualized c</w:t>
      </w:r>
      <w:r w:rsidRPr="0016268A">
        <w:rPr>
          <w:sz w:val="22"/>
          <w:szCs w:val="22"/>
        </w:rPr>
        <w:t xml:space="preserve">apital/start-up costs: </w:t>
      </w:r>
      <w:r w:rsidRPr="0016268A" w:rsidR="001158EC">
        <w:rPr>
          <w:sz w:val="22"/>
          <w:szCs w:val="22"/>
        </w:rPr>
        <w:t>$</w:t>
      </w:r>
      <w:r w:rsidRPr="0016268A" w:rsidR="00DF12A1">
        <w:rPr>
          <w:sz w:val="22"/>
          <w:szCs w:val="22"/>
        </w:rPr>
        <w:t>1</w:t>
      </w:r>
      <w:r w:rsidR="002F0A29">
        <w:rPr>
          <w:sz w:val="22"/>
          <w:szCs w:val="22"/>
        </w:rPr>
        <w:t>0</w:t>
      </w:r>
      <w:r w:rsidRPr="0016268A" w:rsidR="00DF12A1">
        <w:rPr>
          <w:sz w:val="22"/>
          <w:szCs w:val="22"/>
        </w:rPr>
        <w:t>,</w:t>
      </w:r>
      <w:r w:rsidR="002F0A29">
        <w:rPr>
          <w:sz w:val="22"/>
          <w:szCs w:val="22"/>
        </w:rPr>
        <w:t>000</w:t>
      </w:r>
      <w:r w:rsidRPr="0016268A" w:rsidR="00DF12A1">
        <w:rPr>
          <w:sz w:val="22"/>
          <w:szCs w:val="22"/>
        </w:rPr>
        <w:t>,</w:t>
      </w:r>
      <w:r w:rsidR="002F0A29">
        <w:rPr>
          <w:sz w:val="22"/>
          <w:szCs w:val="22"/>
        </w:rPr>
        <w:t>000</w:t>
      </w:r>
    </w:p>
    <w:p w:rsidR="00DF12A1" w:rsidRPr="00B852B0" w:rsidP="003D4A72" w14:paraId="419076B2" w14:textId="77777777">
      <w:pPr>
        <w:ind w:left="1440" w:hanging="720"/>
        <w:rPr>
          <w:sz w:val="22"/>
          <w:szCs w:val="22"/>
        </w:rPr>
      </w:pPr>
    </w:p>
    <w:p w:rsidR="00DF12A1" w:rsidRPr="00B852B0" w:rsidP="00DF12A1" w14:paraId="5E265DAF" w14:textId="77777777">
      <w:pPr>
        <w:ind w:left="1440" w:hanging="720"/>
        <w:rPr>
          <w:sz w:val="22"/>
          <w:szCs w:val="22"/>
        </w:rPr>
      </w:pPr>
      <w:r w:rsidRPr="00B852B0">
        <w:rPr>
          <w:sz w:val="22"/>
          <w:szCs w:val="22"/>
        </w:rPr>
        <w:t xml:space="preserve">The Commission estimates that the annualized capital costs for wireline and wireless carriers </w:t>
      </w:r>
    </w:p>
    <w:p w:rsidR="00DF12A1" w:rsidRPr="0016268A" w:rsidP="00DF12A1" w14:paraId="00E4E64F" w14:textId="77777777">
      <w:pPr>
        <w:ind w:left="720" w:hanging="720"/>
        <w:rPr>
          <w:sz w:val="22"/>
          <w:szCs w:val="22"/>
        </w:rPr>
      </w:pPr>
      <w:r w:rsidRPr="00B852B0">
        <w:rPr>
          <w:sz w:val="22"/>
          <w:szCs w:val="22"/>
        </w:rPr>
        <w:tab/>
        <w:t xml:space="preserve">will </w:t>
      </w:r>
      <w:r w:rsidRPr="0016268A">
        <w:rPr>
          <w:sz w:val="22"/>
          <w:szCs w:val="22"/>
        </w:rPr>
        <w:t xml:space="preserve">include the purchase of upgraded software or other capital equipment on an annual basis to organize </w:t>
      </w:r>
      <w:r w:rsidR="00E624C8">
        <w:rPr>
          <w:sz w:val="22"/>
          <w:szCs w:val="22"/>
        </w:rPr>
        <w:t xml:space="preserve">customer </w:t>
      </w:r>
      <w:r w:rsidRPr="0016268A">
        <w:rPr>
          <w:sz w:val="22"/>
          <w:szCs w:val="22"/>
        </w:rPr>
        <w:t>bills in accordance with the Commission’s rules</w:t>
      </w:r>
      <w:r w:rsidRPr="0016268A" w:rsidR="00500405">
        <w:rPr>
          <w:sz w:val="22"/>
          <w:szCs w:val="22"/>
        </w:rPr>
        <w:t xml:space="preserve">.  </w:t>
      </w:r>
      <w:r w:rsidRPr="0016268A" w:rsidR="0071573F">
        <w:rPr>
          <w:sz w:val="22"/>
          <w:szCs w:val="22"/>
        </w:rPr>
        <w:t>T</w:t>
      </w:r>
      <w:r w:rsidRPr="0016268A">
        <w:rPr>
          <w:sz w:val="22"/>
          <w:szCs w:val="22"/>
        </w:rPr>
        <w:t>hese costs will vary widely depending upon the carrier’s current billing system</w:t>
      </w:r>
      <w:r w:rsidR="002F0A29">
        <w:rPr>
          <w:sz w:val="22"/>
          <w:szCs w:val="22"/>
        </w:rPr>
        <w:t xml:space="preserve"> but have likely been reduced as carriers have been complying with these billing rules for many years.  </w:t>
      </w:r>
      <w:r w:rsidRPr="0016268A">
        <w:rPr>
          <w:sz w:val="22"/>
          <w:szCs w:val="22"/>
        </w:rPr>
        <w:t>$1</w:t>
      </w:r>
      <w:r w:rsidR="002F0A29">
        <w:rPr>
          <w:sz w:val="22"/>
          <w:szCs w:val="22"/>
        </w:rPr>
        <w:t>0</w:t>
      </w:r>
      <w:r w:rsidRPr="0016268A">
        <w:rPr>
          <w:sz w:val="22"/>
          <w:szCs w:val="22"/>
        </w:rPr>
        <w:t>,</w:t>
      </w:r>
      <w:r w:rsidR="002F0A29">
        <w:rPr>
          <w:sz w:val="22"/>
          <w:szCs w:val="22"/>
        </w:rPr>
        <w:t>000</w:t>
      </w:r>
      <w:r w:rsidRPr="0016268A">
        <w:rPr>
          <w:sz w:val="22"/>
          <w:szCs w:val="22"/>
        </w:rPr>
        <w:t>,</w:t>
      </w:r>
      <w:r w:rsidR="002F0A29">
        <w:rPr>
          <w:sz w:val="22"/>
          <w:szCs w:val="22"/>
        </w:rPr>
        <w:t xml:space="preserve">000 </w:t>
      </w:r>
      <w:r w:rsidRPr="0016268A">
        <w:rPr>
          <w:sz w:val="22"/>
          <w:szCs w:val="22"/>
        </w:rPr>
        <w:t xml:space="preserve">is </w:t>
      </w:r>
      <w:r w:rsidR="002F0A29">
        <w:rPr>
          <w:sz w:val="22"/>
          <w:szCs w:val="22"/>
        </w:rPr>
        <w:t>a reasonable estimate</w:t>
      </w:r>
      <w:r w:rsidRPr="0016268A" w:rsidR="00D3270B">
        <w:rPr>
          <w:sz w:val="22"/>
          <w:szCs w:val="22"/>
        </w:rPr>
        <w:t>.</w:t>
      </w:r>
    </w:p>
    <w:p w:rsidR="002A7FFE" w:rsidRPr="008D6873" w14:paraId="68640F1B" w14:textId="77777777">
      <w:pPr>
        <w:rPr>
          <w:sz w:val="22"/>
          <w:szCs w:val="22"/>
        </w:rPr>
      </w:pPr>
    </w:p>
    <w:p w:rsidR="0055199B" w:rsidP="0055199B" w14:paraId="61A477AB" w14:textId="77777777">
      <w:pPr>
        <w:ind w:left="1440" w:hanging="720"/>
        <w:rPr>
          <w:sz w:val="22"/>
          <w:szCs w:val="22"/>
        </w:rPr>
      </w:pPr>
      <w:r w:rsidRPr="008D6873">
        <w:rPr>
          <w:sz w:val="22"/>
          <w:szCs w:val="22"/>
        </w:rPr>
        <w:t>(b)</w:t>
      </w:r>
      <w:r w:rsidRPr="008D6873">
        <w:rPr>
          <w:sz w:val="22"/>
          <w:szCs w:val="22"/>
        </w:rPr>
        <w:tab/>
      </w:r>
      <w:r w:rsidRPr="008D6873" w:rsidR="00873D34">
        <w:rPr>
          <w:sz w:val="22"/>
          <w:szCs w:val="22"/>
        </w:rPr>
        <w:t xml:space="preserve">Total </w:t>
      </w:r>
      <w:r w:rsidRPr="008D6873" w:rsidR="002A7FFE">
        <w:rPr>
          <w:sz w:val="22"/>
          <w:szCs w:val="22"/>
        </w:rPr>
        <w:t>annual cost</w:t>
      </w:r>
      <w:r w:rsidRPr="008D6873">
        <w:rPr>
          <w:sz w:val="22"/>
          <w:szCs w:val="22"/>
        </w:rPr>
        <w:t xml:space="preserve">s </w:t>
      </w:r>
      <w:r w:rsidRPr="008D6873" w:rsidR="002A7FFE">
        <w:rPr>
          <w:sz w:val="22"/>
          <w:szCs w:val="22"/>
        </w:rPr>
        <w:t>(</w:t>
      </w:r>
      <w:r w:rsidRPr="008D6873">
        <w:rPr>
          <w:sz w:val="22"/>
          <w:szCs w:val="22"/>
        </w:rPr>
        <w:t>operations and maintenance)</w:t>
      </w:r>
      <w:r w:rsidRPr="008D6873" w:rsidR="00B20C5E">
        <w:rPr>
          <w:sz w:val="22"/>
          <w:szCs w:val="22"/>
        </w:rPr>
        <w:t>: $</w:t>
      </w:r>
      <w:r w:rsidRPr="008D6873" w:rsidR="00DF12A1">
        <w:rPr>
          <w:sz w:val="22"/>
          <w:szCs w:val="22"/>
        </w:rPr>
        <w:t>0.00</w:t>
      </w:r>
    </w:p>
    <w:p w:rsidR="0055199B" w:rsidP="0055199B" w14:paraId="7D8FBFE5" w14:textId="77777777">
      <w:pPr>
        <w:ind w:left="1440" w:hanging="720"/>
        <w:rPr>
          <w:sz w:val="22"/>
          <w:szCs w:val="22"/>
        </w:rPr>
      </w:pPr>
    </w:p>
    <w:p w:rsidR="003D4A72" w:rsidRPr="00FB56B2" w:rsidP="003D4A72" w14:paraId="0EC1C029" w14:textId="77777777">
      <w:pPr>
        <w:ind w:left="1440" w:hanging="720"/>
        <w:rPr>
          <w:sz w:val="22"/>
          <w:szCs w:val="22"/>
        </w:rPr>
      </w:pPr>
      <w:r w:rsidRPr="00FB56B2">
        <w:rPr>
          <w:sz w:val="22"/>
          <w:szCs w:val="22"/>
        </w:rPr>
        <w:t>(c)</w:t>
      </w:r>
      <w:r w:rsidRPr="00FB56B2">
        <w:rPr>
          <w:sz w:val="22"/>
          <w:szCs w:val="22"/>
        </w:rPr>
        <w:tab/>
      </w:r>
      <w:r w:rsidR="0003084A">
        <w:rPr>
          <w:sz w:val="22"/>
          <w:szCs w:val="22"/>
        </w:rPr>
        <w:t xml:space="preserve">Cumulative </w:t>
      </w:r>
      <w:r w:rsidRPr="00FB56B2">
        <w:rPr>
          <w:sz w:val="22"/>
          <w:szCs w:val="22"/>
        </w:rPr>
        <w:t xml:space="preserve">Total annualized costs requested:  </w:t>
      </w:r>
      <w:r w:rsidRPr="00FB56B2">
        <w:rPr>
          <w:b/>
          <w:sz w:val="22"/>
          <w:szCs w:val="22"/>
        </w:rPr>
        <w:t>$</w:t>
      </w:r>
      <w:r w:rsidR="002F0A29">
        <w:rPr>
          <w:b/>
          <w:sz w:val="22"/>
          <w:szCs w:val="22"/>
        </w:rPr>
        <w:t>10,000,000</w:t>
      </w:r>
    </w:p>
    <w:p w:rsidR="00500405" w:rsidRPr="00FB56B2" w14:paraId="39F5A40F" w14:textId="77777777">
      <w:pPr>
        <w:rPr>
          <w:sz w:val="22"/>
          <w:szCs w:val="22"/>
        </w:rPr>
      </w:pPr>
    </w:p>
    <w:p w:rsidR="001D7A6D" w:rsidRPr="00FB56B2" w:rsidP="002A7FFE" w14:paraId="1FA3B203" w14:textId="77777777">
      <w:pPr>
        <w:ind w:left="720" w:hanging="720"/>
        <w:rPr>
          <w:sz w:val="22"/>
          <w:szCs w:val="22"/>
        </w:rPr>
      </w:pPr>
      <w:r w:rsidRPr="00FB56B2">
        <w:rPr>
          <w:sz w:val="22"/>
          <w:szCs w:val="22"/>
        </w:rPr>
        <w:t xml:space="preserve">14.  </w:t>
      </w:r>
      <w:r w:rsidRPr="00FB56B2" w:rsidR="002A7FFE">
        <w:rPr>
          <w:sz w:val="22"/>
          <w:szCs w:val="22"/>
        </w:rPr>
        <w:tab/>
        <w:t xml:space="preserve">Estimates of annualized cost to the Federal Government are as follows: </w:t>
      </w:r>
    </w:p>
    <w:p w:rsidR="001D7A6D" w:rsidRPr="00FB56B2" w:rsidP="002A7FFE" w14:paraId="65F0D968" w14:textId="77777777">
      <w:pPr>
        <w:ind w:left="720" w:hanging="720"/>
        <w:rPr>
          <w:sz w:val="22"/>
          <w:szCs w:val="22"/>
        </w:rPr>
      </w:pPr>
    </w:p>
    <w:p w:rsidR="00873D34" w:rsidRPr="00FB56B2" w:rsidP="001D7A6D" w14:paraId="63D14D16" w14:textId="77777777">
      <w:pPr>
        <w:ind w:left="720"/>
        <w:rPr>
          <w:sz w:val="22"/>
          <w:szCs w:val="22"/>
        </w:rPr>
      </w:pPr>
      <w:r w:rsidRPr="00FB56B2">
        <w:rPr>
          <w:sz w:val="22"/>
          <w:szCs w:val="22"/>
        </w:rPr>
        <w:t xml:space="preserve">The Commission </w:t>
      </w:r>
      <w:r w:rsidRPr="00FB56B2" w:rsidR="003D4A72">
        <w:rPr>
          <w:sz w:val="22"/>
          <w:szCs w:val="22"/>
        </w:rPr>
        <w:t>estimate</w:t>
      </w:r>
      <w:r w:rsidRPr="00FB56B2">
        <w:rPr>
          <w:sz w:val="22"/>
          <w:szCs w:val="22"/>
        </w:rPr>
        <w:t>s</w:t>
      </w:r>
      <w:r w:rsidRPr="00FB56B2" w:rsidR="003D4A72">
        <w:rPr>
          <w:sz w:val="22"/>
          <w:szCs w:val="22"/>
        </w:rPr>
        <w:t xml:space="preserve"> that since the Federal Government is only involved under the “third party disclosure requirements,” it will have no direct costs to bear</w:t>
      </w:r>
      <w:r w:rsidRPr="00FB56B2">
        <w:rPr>
          <w:sz w:val="22"/>
          <w:szCs w:val="22"/>
        </w:rPr>
        <w:t>, and any such costs should be included as part of its regulatory functions</w:t>
      </w:r>
      <w:r w:rsidRPr="00FB56B2" w:rsidR="003D4A72">
        <w:rPr>
          <w:sz w:val="22"/>
          <w:szCs w:val="22"/>
        </w:rPr>
        <w:t>.</w:t>
      </w:r>
      <w:r w:rsidRPr="00FB56B2" w:rsidR="005737BE">
        <w:rPr>
          <w:sz w:val="22"/>
          <w:szCs w:val="22"/>
        </w:rPr>
        <w:t xml:space="preserve">  Thus, there are no costs to the Federal Government.</w:t>
      </w:r>
    </w:p>
    <w:p w:rsidR="00870043" w14:paraId="6F872AD1" w14:textId="77777777">
      <w:pPr>
        <w:rPr>
          <w:sz w:val="22"/>
          <w:szCs w:val="22"/>
        </w:rPr>
      </w:pPr>
    </w:p>
    <w:p w:rsidR="00E0429F" w14:paraId="3D90F352" w14:textId="77777777">
      <w:pPr>
        <w:rPr>
          <w:sz w:val="22"/>
          <w:szCs w:val="22"/>
        </w:rPr>
      </w:pPr>
    </w:p>
    <w:p w:rsidR="00905D7D" w:rsidRPr="00E0429F" w:rsidP="00E0429F" w14:paraId="28605DA2" w14:textId="7CD3636E">
      <w:pPr>
        <w:ind w:left="720" w:hanging="720"/>
        <w:rPr>
          <w:b/>
          <w:sz w:val="22"/>
          <w:szCs w:val="22"/>
        </w:rPr>
      </w:pPr>
      <w:r w:rsidRPr="00FB56B2">
        <w:rPr>
          <w:sz w:val="22"/>
          <w:szCs w:val="22"/>
        </w:rPr>
        <w:t>15.</w:t>
      </w:r>
      <w:r w:rsidRPr="00FB56B2">
        <w:rPr>
          <w:sz w:val="22"/>
          <w:szCs w:val="22"/>
        </w:rPr>
        <w:tab/>
      </w:r>
      <w:r w:rsidR="0085717C">
        <w:rPr>
          <w:sz w:val="22"/>
          <w:szCs w:val="22"/>
        </w:rPr>
        <w:t>There are no program changes</w:t>
      </w:r>
      <w:r w:rsidR="00251741">
        <w:rPr>
          <w:sz w:val="22"/>
          <w:szCs w:val="22"/>
        </w:rPr>
        <w:t xml:space="preserve"> to this collection</w:t>
      </w:r>
      <w:r w:rsidR="00D40879">
        <w:rPr>
          <w:sz w:val="22"/>
          <w:szCs w:val="22"/>
        </w:rPr>
        <w:t xml:space="preserve">.  There are </w:t>
      </w:r>
      <w:r w:rsidR="00BA02D5">
        <w:rPr>
          <w:sz w:val="22"/>
          <w:szCs w:val="22"/>
        </w:rPr>
        <w:t xml:space="preserve">adjustments </w:t>
      </w:r>
      <w:r w:rsidR="00D40879">
        <w:rPr>
          <w:sz w:val="22"/>
          <w:szCs w:val="22"/>
        </w:rPr>
        <w:t xml:space="preserve">to the annual number of responses of +3,554 which </w:t>
      </w:r>
      <w:r w:rsidR="00251741">
        <w:rPr>
          <w:sz w:val="22"/>
          <w:szCs w:val="22"/>
        </w:rPr>
        <w:t>are</w:t>
      </w:r>
      <w:r w:rsidR="00D40879">
        <w:rPr>
          <w:sz w:val="22"/>
          <w:szCs w:val="22"/>
        </w:rPr>
        <w:t xml:space="preserve"> due to a miscalculation </w:t>
      </w:r>
      <w:r w:rsidR="00BA02D5">
        <w:rPr>
          <w:sz w:val="22"/>
          <w:szCs w:val="22"/>
        </w:rPr>
        <w:t>to th</w:t>
      </w:r>
      <w:r w:rsidR="00251741">
        <w:rPr>
          <w:sz w:val="22"/>
          <w:szCs w:val="22"/>
        </w:rPr>
        <w:t>e</w:t>
      </w:r>
      <w:r w:rsidR="00BA02D5">
        <w:rPr>
          <w:sz w:val="22"/>
          <w:szCs w:val="22"/>
        </w:rPr>
        <w:t xml:space="preserve"> collection</w:t>
      </w:r>
      <w:r w:rsidR="00D40879">
        <w:rPr>
          <w:sz w:val="22"/>
          <w:szCs w:val="22"/>
        </w:rPr>
        <w:t xml:space="preserve"> from our previous approval from OMB</w:t>
      </w:r>
      <w:r w:rsidR="0085717C">
        <w:rPr>
          <w:sz w:val="22"/>
          <w:szCs w:val="22"/>
        </w:rPr>
        <w:t>.</w:t>
      </w:r>
    </w:p>
    <w:p w:rsidR="00905D7D" w:rsidRPr="0016268A" w:rsidP="00905D7D" w14:paraId="13F4E280" w14:textId="77777777">
      <w:pPr>
        <w:ind w:left="720"/>
        <w:rPr>
          <w:b/>
          <w:sz w:val="22"/>
          <w:szCs w:val="22"/>
        </w:rPr>
      </w:pPr>
    </w:p>
    <w:p w:rsidR="00873D34" w:rsidRPr="00B852B0" w:rsidP="00F964F9" w14:paraId="34A20964" w14:textId="77777777">
      <w:pPr>
        <w:rPr>
          <w:sz w:val="22"/>
          <w:szCs w:val="22"/>
        </w:rPr>
      </w:pPr>
      <w:r w:rsidRPr="00FB56B2">
        <w:rPr>
          <w:sz w:val="22"/>
          <w:szCs w:val="22"/>
        </w:rPr>
        <w:t xml:space="preserve">16.  </w:t>
      </w:r>
      <w:r w:rsidRPr="00FB56B2" w:rsidR="002A7FFE">
        <w:rPr>
          <w:sz w:val="22"/>
          <w:szCs w:val="22"/>
        </w:rPr>
        <w:tab/>
      </w:r>
      <w:r w:rsidRPr="00B852B0">
        <w:rPr>
          <w:sz w:val="22"/>
          <w:szCs w:val="22"/>
        </w:rPr>
        <w:t>The</w:t>
      </w:r>
      <w:r w:rsidRPr="00B852B0" w:rsidR="00D666B2">
        <w:rPr>
          <w:sz w:val="22"/>
          <w:szCs w:val="22"/>
        </w:rPr>
        <w:t xml:space="preserve"> Commission does </w:t>
      </w:r>
      <w:r w:rsidRPr="00B852B0" w:rsidR="002A7FFE">
        <w:rPr>
          <w:sz w:val="22"/>
          <w:szCs w:val="22"/>
        </w:rPr>
        <w:t>no</w:t>
      </w:r>
      <w:r w:rsidRPr="00B852B0" w:rsidR="00D666B2">
        <w:rPr>
          <w:sz w:val="22"/>
          <w:szCs w:val="22"/>
        </w:rPr>
        <w:t>t</w:t>
      </w:r>
      <w:r w:rsidRPr="00B852B0" w:rsidR="002A7FFE">
        <w:rPr>
          <w:sz w:val="22"/>
          <w:szCs w:val="22"/>
        </w:rPr>
        <w:t xml:space="preserve"> plan</w:t>
      </w:r>
      <w:r w:rsidRPr="00B852B0" w:rsidR="00D666B2">
        <w:rPr>
          <w:sz w:val="22"/>
          <w:szCs w:val="22"/>
        </w:rPr>
        <w:t xml:space="preserve"> to</w:t>
      </w:r>
      <w:r w:rsidRPr="00B852B0" w:rsidR="002A7FFE">
        <w:rPr>
          <w:sz w:val="22"/>
          <w:szCs w:val="22"/>
        </w:rPr>
        <w:t xml:space="preserve"> publi</w:t>
      </w:r>
      <w:r w:rsidRPr="00B852B0" w:rsidR="00D666B2">
        <w:rPr>
          <w:sz w:val="22"/>
          <w:szCs w:val="22"/>
        </w:rPr>
        <w:t>sh the</w:t>
      </w:r>
      <w:r w:rsidRPr="00B852B0" w:rsidR="002A7FFE">
        <w:rPr>
          <w:sz w:val="22"/>
          <w:szCs w:val="22"/>
        </w:rPr>
        <w:t xml:space="preserve"> results</w:t>
      </w:r>
      <w:r w:rsidRPr="00B852B0" w:rsidR="00757105">
        <w:rPr>
          <w:sz w:val="22"/>
          <w:szCs w:val="22"/>
        </w:rPr>
        <w:t xml:space="preserve"> of the information collection requirements.</w:t>
      </w:r>
    </w:p>
    <w:p w:rsidR="00873D34" w:rsidRPr="00B852B0" w:rsidP="00812783" w14:paraId="474F0058" w14:textId="77777777">
      <w:pPr>
        <w:rPr>
          <w:sz w:val="22"/>
          <w:szCs w:val="22"/>
        </w:rPr>
      </w:pPr>
    </w:p>
    <w:p w:rsidR="00873D34" w:rsidRPr="0016268A" w:rsidP="00F964F9" w14:paraId="3CCD0098" w14:textId="77777777">
      <w:pPr>
        <w:ind w:left="720" w:hanging="720"/>
        <w:rPr>
          <w:sz w:val="22"/>
          <w:szCs w:val="22"/>
        </w:rPr>
      </w:pPr>
      <w:r w:rsidRPr="0016268A">
        <w:rPr>
          <w:sz w:val="22"/>
          <w:szCs w:val="22"/>
        </w:rPr>
        <w:t>17.</w:t>
      </w:r>
      <w:r w:rsidRPr="0016268A" w:rsidR="002A7FFE">
        <w:rPr>
          <w:sz w:val="22"/>
          <w:szCs w:val="22"/>
        </w:rPr>
        <w:tab/>
      </w:r>
      <w:r w:rsidRPr="0016268A">
        <w:rPr>
          <w:sz w:val="22"/>
          <w:szCs w:val="22"/>
        </w:rPr>
        <w:t xml:space="preserve">The Commission </w:t>
      </w:r>
      <w:r w:rsidRPr="0016268A" w:rsidR="00DB4EE1">
        <w:rPr>
          <w:sz w:val="22"/>
          <w:szCs w:val="22"/>
        </w:rPr>
        <w:t>does not intend to seek approval not to display the expiration date for OMB approval of the information collection.</w:t>
      </w:r>
    </w:p>
    <w:p w:rsidR="00873D34" w:rsidRPr="0016268A" w:rsidP="00F964F9" w14:paraId="1F9C8BC8" w14:textId="77777777">
      <w:pPr>
        <w:rPr>
          <w:sz w:val="22"/>
          <w:szCs w:val="22"/>
        </w:rPr>
      </w:pPr>
    </w:p>
    <w:p w:rsidR="004D3B33" w:rsidRPr="00B852B0" w:rsidP="00F964F9" w14:paraId="53AB32D9" w14:textId="77777777">
      <w:pPr>
        <w:ind w:left="720" w:hanging="720"/>
        <w:rPr>
          <w:sz w:val="22"/>
          <w:szCs w:val="22"/>
        </w:rPr>
      </w:pPr>
      <w:r w:rsidRPr="0016268A">
        <w:rPr>
          <w:sz w:val="22"/>
          <w:szCs w:val="22"/>
        </w:rPr>
        <w:t>18.</w:t>
      </w:r>
      <w:r w:rsidRPr="0016268A">
        <w:rPr>
          <w:sz w:val="22"/>
          <w:szCs w:val="22"/>
        </w:rPr>
        <w:tab/>
      </w:r>
      <w:r w:rsidR="0085717C">
        <w:rPr>
          <w:sz w:val="22"/>
          <w:szCs w:val="22"/>
        </w:rPr>
        <w:t>There are no exceptions to the Certification Statement.</w:t>
      </w:r>
      <w:r w:rsidRPr="00B852B0" w:rsidR="00107E76">
        <w:rPr>
          <w:sz w:val="22"/>
          <w:szCs w:val="22"/>
        </w:rPr>
        <w:t xml:space="preserve"> </w:t>
      </w:r>
    </w:p>
    <w:p w:rsidR="004D3B33" w:rsidRPr="0016268A" w:rsidP="00F964F9" w14:paraId="69CA9BB3" w14:textId="77777777">
      <w:pPr>
        <w:ind w:left="720" w:hanging="720"/>
        <w:rPr>
          <w:sz w:val="22"/>
          <w:szCs w:val="22"/>
        </w:rPr>
      </w:pPr>
    </w:p>
    <w:p w:rsidR="00873D34" w:rsidRPr="0016268A" w:rsidP="00922FAA" w14:paraId="1CC41F4F" w14:textId="77777777">
      <w:pPr>
        <w:ind w:left="720" w:hanging="720"/>
        <w:rPr>
          <w:b/>
          <w:sz w:val="22"/>
          <w:szCs w:val="22"/>
        </w:rPr>
      </w:pPr>
      <w:r w:rsidRPr="0016268A">
        <w:rPr>
          <w:b/>
          <w:sz w:val="22"/>
          <w:szCs w:val="22"/>
        </w:rPr>
        <w:t>B.</w:t>
      </w:r>
      <w:r w:rsidRPr="0016268A">
        <w:rPr>
          <w:b/>
          <w:sz w:val="22"/>
          <w:szCs w:val="22"/>
        </w:rPr>
        <w:tab/>
        <w:t>Collections of Information Employing Statistical Methods</w:t>
      </w:r>
    </w:p>
    <w:p w:rsidR="00873D34" w:rsidRPr="0016268A" w14:paraId="2AF1E827" w14:textId="77777777">
      <w:pPr>
        <w:rPr>
          <w:sz w:val="22"/>
          <w:szCs w:val="22"/>
        </w:rPr>
      </w:pPr>
    </w:p>
    <w:p w:rsidR="00873D34" w:rsidRPr="0016268A" w:rsidP="00D161BA" w14:paraId="1D63DA77" w14:textId="77777777">
      <w:pPr>
        <w:ind w:left="720"/>
        <w:rPr>
          <w:sz w:val="22"/>
          <w:szCs w:val="22"/>
        </w:rPr>
      </w:pPr>
      <w:r w:rsidRPr="0016268A">
        <w:rPr>
          <w:sz w:val="22"/>
          <w:szCs w:val="22"/>
        </w:rPr>
        <w:t xml:space="preserve">The information collection does not </w:t>
      </w:r>
      <w:r w:rsidRPr="0016268A">
        <w:rPr>
          <w:sz w:val="22"/>
          <w:szCs w:val="22"/>
        </w:rPr>
        <w:t xml:space="preserve">employ </w:t>
      </w:r>
      <w:r w:rsidRPr="0016268A">
        <w:rPr>
          <w:sz w:val="22"/>
          <w:szCs w:val="22"/>
        </w:rPr>
        <w:t xml:space="preserve">any </w:t>
      </w:r>
      <w:r w:rsidRPr="0016268A">
        <w:rPr>
          <w:sz w:val="22"/>
          <w:szCs w:val="22"/>
        </w:rPr>
        <w:t>statistical methods.</w:t>
      </w:r>
    </w:p>
    <w:sectPr w:rsidSect="00F82FC2">
      <w:headerReference w:type="default" r:id="rId6"/>
      <w:footerReference w:type="even" r:id="rId7"/>
      <w:footerReference w:type="default" r:id="rId8"/>
      <w:headerReference w:type="first" r:id="rId9"/>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DE" w:rsidP="00713694" w14:paraId="59C62B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21DE" w14:paraId="2291F1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DE" w:rsidP="00713694" w14:paraId="4E7D97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5F8D">
      <w:rPr>
        <w:rStyle w:val="PageNumber"/>
        <w:noProof/>
      </w:rPr>
      <w:t>14</w:t>
    </w:r>
    <w:r>
      <w:rPr>
        <w:rStyle w:val="PageNumber"/>
      </w:rPr>
      <w:fldChar w:fldCharType="end"/>
    </w:r>
  </w:p>
  <w:p w:rsidR="00CE21DE" w14:paraId="431CD6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2FC2" w14:paraId="6760670B" w14:textId="77777777">
      <w:r>
        <w:separator/>
      </w:r>
    </w:p>
  </w:footnote>
  <w:footnote w:type="continuationSeparator" w:id="1">
    <w:p w:rsidR="00F82FC2" w14:paraId="49F4F826" w14:textId="77777777">
      <w:r>
        <w:continuationSeparator/>
      </w:r>
    </w:p>
  </w:footnote>
  <w:footnote w:type="continuationNotice" w:id="2">
    <w:p w:rsidR="00F82FC2" w14:paraId="2831A8C0" w14:textId="77777777"/>
  </w:footnote>
  <w:footnote w:id="3">
    <w:p w:rsidR="00381FE4" w14:paraId="0ABDA84B" w14:textId="77777777">
      <w:pPr>
        <w:pStyle w:val="FootnoteText"/>
      </w:pPr>
      <w:r>
        <w:rPr>
          <w:rStyle w:val="FootnoteReference"/>
        </w:rPr>
        <w:footnoteRef/>
      </w:r>
      <w:r>
        <w:t xml:space="preserve"> </w:t>
      </w:r>
      <w:r w:rsidR="005A0EDF">
        <w:t xml:space="preserve">47 CFR § 64.2401.  </w:t>
      </w:r>
      <w:r w:rsidR="005A0EDF">
        <w:rPr>
          <w:i/>
        </w:rPr>
        <w:t>See Truth-in-Billing and Billing Format</w:t>
      </w:r>
      <w:r w:rsidR="005A0EDF">
        <w:t xml:space="preserve">, CC Docket 98-170, First Report and Order and Further Notice of Proposed Rulemaking, 14 FCC </w:t>
      </w:r>
      <w:r w:rsidR="005A0EDF">
        <w:t>Rcd</w:t>
      </w:r>
      <w:r w:rsidR="005A0EDF">
        <w:t xml:space="preserve"> 7492</w:t>
      </w:r>
      <w:r w:rsidR="00F261B8">
        <w:t xml:space="preserve">, </w:t>
      </w:r>
      <w:r w:rsidR="005A0EDF">
        <w:t xml:space="preserve">7494, para. 3 (1999); </w:t>
      </w:r>
      <w:r w:rsidR="005A0EDF">
        <w:rPr>
          <w:i/>
        </w:rPr>
        <w:t>Truth-in-Billing and Billing Format</w:t>
      </w:r>
      <w:r w:rsidR="005A0EDF">
        <w:t xml:space="preserve">, Errata, 15 FCC </w:t>
      </w:r>
      <w:r w:rsidR="005A0EDF">
        <w:t>Rcd</w:t>
      </w:r>
      <w:r w:rsidR="005A0EDF">
        <w:t xml:space="preserve"> 16544 (2000).</w:t>
      </w:r>
    </w:p>
  </w:footnote>
  <w:footnote w:id="4">
    <w:p w:rsidR="00C47D1D" w:rsidP="00C47D1D" w14:paraId="28EDEED5" w14:textId="77777777">
      <w:pPr>
        <w:pStyle w:val="FootnoteText"/>
      </w:pPr>
      <w:r>
        <w:rPr>
          <w:rStyle w:val="FootnoteReference"/>
        </w:rPr>
        <w:footnoteRef/>
      </w:r>
      <w:r>
        <w:t xml:space="preserve"> 47 CFR § 64.2401. </w:t>
      </w:r>
    </w:p>
  </w:footnote>
  <w:footnote w:id="5">
    <w:p w:rsidR="0085021F" w14:paraId="4AF033F3" w14:textId="77777777">
      <w:pPr>
        <w:pStyle w:val="FootnoteText"/>
      </w:pPr>
      <w:r>
        <w:rPr>
          <w:rStyle w:val="FootnoteReference"/>
        </w:rPr>
        <w:footnoteRef/>
      </w:r>
      <w:r>
        <w:t xml:space="preserve"> </w:t>
      </w:r>
      <w:r w:rsidRPr="00F261B8" w:rsidR="00F261B8">
        <w:rPr>
          <w:i/>
          <w:iCs/>
        </w:rPr>
        <w:t>Id.</w:t>
      </w:r>
      <w:r>
        <w:t xml:space="preserve"> §</w:t>
      </w:r>
      <w:r w:rsidR="00F261B8">
        <w:t>§</w:t>
      </w:r>
      <w:r>
        <w:t xml:space="preserve"> 64.2401(a)(2) and (c). </w:t>
      </w:r>
    </w:p>
  </w:footnote>
  <w:footnote w:id="6">
    <w:p w:rsidR="00C47D1D" w:rsidP="00C47D1D" w14:paraId="7C05D18F" w14:textId="77777777">
      <w:pPr>
        <w:pStyle w:val="FootnoteText"/>
      </w:pPr>
      <w:r>
        <w:rPr>
          <w:rStyle w:val="FootnoteReference"/>
        </w:rPr>
        <w:footnoteRef/>
      </w:r>
      <w:r>
        <w:t xml:space="preserve"> </w:t>
      </w:r>
      <w:r>
        <w:rPr>
          <w:i/>
        </w:rPr>
        <w:t>See Second Truth-in-Billing Order</w:t>
      </w:r>
      <w:r>
        <w:t xml:space="preserve">, 20 FCC </w:t>
      </w:r>
      <w:r>
        <w:t>Rcd</w:t>
      </w:r>
      <w:r>
        <w:t xml:space="preserve"> at 6456-58, paras. 16-20.  The Commission exempted wireless carriers from 47 CFR § 64.2401(a)(2) and (c).  </w:t>
      </w:r>
      <w:r w:rsidR="000669B2">
        <w:t xml:space="preserve">The Order included a Further Notice of Proposed Rulemaking on additional truth-in-billing measures, but </w:t>
      </w:r>
      <w:r w:rsidR="00381FE4">
        <w:t xml:space="preserve">the Commission </w:t>
      </w:r>
      <w:r w:rsidR="000669B2">
        <w:t>did not take action on such proposals</w:t>
      </w:r>
      <w:r w:rsidRPr="008D3452" w:rsidR="000669B2">
        <w:t xml:space="preserve">. </w:t>
      </w:r>
      <w:r w:rsidRPr="00922683" w:rsidR="000669B2">
        <w:rPr>
          <w:i/>
          <w:iCs/>
        </w:rPr>
        <w:t>See Second Further Notice of Proposed Rulemaking</w:t>
      </w:r>
      <w:r w:rsidRPr="008D3452" w:rsidR="000669B2">
        <w:t>, published at 70 FR 30044 (May 25, 2005</w:t>
      </w:r>
      <w:r w:rsidR="00381FE4">
        <w:t>).</w:t>
      </w:r>
      <w:r w:rsidRPr="008D3452" w:rsidR="000669B2">
        <w:t xml:space="preserve"> </w:t>
      </w:r>
    </w:p>
  </w:footnote>
  <w:footnote w:id="7">
    <w:p w:rsidR="00C47D1D" w:rsidP="00C47D1D" w14:paraId="06454474" w14:textId="77777777">
      <w:pPr>
        <w:pStyle w:val="FootnoteText"/>
      </w:pPr>
      <w:r>
        <w:rPr>
          <w:rStyle w:val="FootnoteReference"/>
        </w:rPr>
        <w:footnoteRef/>
      </w:r>
      <w:r>
        <w:t xml:space="preserve"> </w:t>
      </w:r>
      <w:r w:rsidRPr="00C04B4D">
        <w:rPr>
          <w:i/>
          <w:iCs/>
        </w:rPr>
        <w:t>See</w:t>
      </w:r>
      <w:r>
        <w:t xml:space="preserve"> </w:t>
      </w:r>
      <w:r>
        <w:rPr>
          <w:i/>
        </w:rPr>
        <w:t>Empowering Consumers to Prevent and Detect Billing for Unauthorized Charges (“Cramming”); Consumer Information and Disclosure; Truth-in-Billing and Billing Format</w:t>
      </w:r>
      <w:r>
        <w:t xml:space="preserve">, CG Docket Nos. 11-116 and 09-158, CC Docket No. 98-170, Report and Order and Further Notice of Proposed Rulemaking, 27 FCC </w:t>
      </w:r>
      <w:r>
        <w:t>Rcd</w:t>
      </w:r>
      <w:r>
        <w:t xml:space="preserve"> 4436, 4455, para. 48 (2012), Erratum (2012).</w:t>
      </w:r>
    </w:p>
  </w:footnote>
  <w:footnote w:id="8">
    <w:p w:rsidR="00CE21DE" w:rsidP="00154AC7" w14:paraId="2A5FC007" w14:textId="77777777">
      <w:pPr>
        <w:pStyle w:val="FootnoteText"/>
      </w:pPr>
      <w:r>
        <w:rPr>
          <w:rStyle w:val="FootnoteReference"/>
        </w:rPr>
        <w:footnoteRef/>
      </w:r>
      <w:r>
        <w:t xml:space="preserve"> 47 CFR § 64.2401(a)</w:t>
      </w:r>
      <w:r w:rsidR="002750EF">
        <w:t>(1)</w:t>
      </w:r>
      <w:r>
        <w:t xml:space="preserve">.  </w:t>
      </w:r>
    </w:p>
  </w:footnote>
  <w:footnote w:id="9">
    <w:p w:rsidR="002750EF" w14:paraId="365694A0" w14:textId="77777777">
      <w:pPr>
        <w:pStyle w:val="FootnoteText"/>
      </w:pPr>
      <w:r>
        <w:rPr>
          <w:rStyle w:val="FootnoteReference"/>
        </w:rPr>
        <w:footnoteRef/>
      </w:r>
      <w:r>
        <w:t xml:space="preserve"> </w:t>
      </w:r>
      <w:r w:rsidRPr="00F261B8" w:rsidR="00F261B8">
        <w:rPr>
          <w:i/>
          <w:iCs/>
        </w:rPr>
        <w:t>Id.</w:t>
      </w:r>
      <w:r>
        <w:t xml:space="preserve"> § 64.2401(a)(1), (4).  </w:t>
      </w:r>
    </w:p>
  </w:footnote>
  <w:footnote w:id="10">
    <w:p w:rsidR="00CE21DE" w:rsidP="00E102D5" w14:paraId="32908DED" w14:textId="77777777">
      <w:pPr>
        <w:pStyle w:val="FootnoteText"/>
      </w:pPr>
      <w:r>
        <w:rPr>
          <w:rStyle w:val="FootnoteReference"/>
        </w:rPr>
        <w:footnoteRef/>
      </w:r>
      <w:r>
        <w:t xml:space="preserve"> </w:t>
      </w:r>
      <w:r w:rsidRPr="00F261B8" w:rsidR="00F261B8">
        <w:rPr>
          <w:i/>
          <w:iCs/>
        </w:rPr>
        <w:t>Id.</w:t>
      </w:r>
      <w:r>
        <w:t xml:space="preserve"> § 64.2401(b).</w:t>
      </w:r>
    </w:p>
  </w:footnote>
  <w:footnote w:id="11">
    <w:p w:rsidR="00CE21DE" w:rsidP="00E102D5" w14:paraId="6EA181BB" w14:textId="77777777">
      <w:pPr>
        <w:pStyle w:val="FootnoteText"/>
      </w:pPr>
      <w:r>
        <w:rPr>
          <w:rStyle w:val="FootnoteReference"/>
        </w:rPr>
        <w:footnoteRef/>
      </w:r>
      <w:r>
        <w:t xml:space="preserve"> </w:t>
      </w:r>
      <w:r w:rsidRPr="00F261B8" w:rsidR="00F261B8">
        <w:rPr>
          <w:i/>
          <w:iCs/>
        </w:rPr>
        <w:t>Id.</w:t>
      </w:r>
      <w:r>
        <w:t xml:space="preserve"> § 64.2401(c).</w:t>
      </w:r>
    </w:p>
  </w:footnote>
  <w:footnote w:id="12">
    <w:p w:rsidR="00F335B2" w:rsidP="00F335B2" w14:paraId="44FACB75" w14:textId="77777777">
      <w:pPr>
        <w:pStyle w:val="FootnoteText"/>
      </w:pPr>
      <w:r>
        <w:rPr>
          <w:rStyle w:val="FootnoteReference"/>
        </w:rPr>
        <w:footnoteRef/>
      </w:r>
      <w:r>
        <w:t xml:space="preserve"> </w:t>
      </w:r>
      <w:r w:rsidRPr="00F261B8" w:rsidR="00F261B8">
        <w:rPr>
          <w:i/>
          <w:iCs/>
        </w:rPr>
        <w:t>Id.</w:t>
      </w:r>
      <w:r>
        <w:t xml:space="preserve"> § 64.2401(d).</w:t>
      </w:r>
    </w:p>
  </w:footnote>
  <w:footnote w:id="13">
    <w:p w:rsidR="00807453" w14:paraId="645C3054" w14:textId="77777777">
      <w:pPr>
        <w:pStyle w:val="FootnoteText"/>
      </w:pPr>
      <w:r>
        <w:rPr>
          <w:rStyle w:val="FootnoteReference"/>
        </w:rPr>
        <w:footnoteRef/>
      </w:r>
      <w:r>
        <w:t xml:space="preserve"> 47 CFR § 64.2401(a)(3).</w:t>
      </w:r>
    </w:p>
  </w:footnote>
  <w:footnote w:id="14">
    <w:p w:rsidR="00717658" w:rsidP="00717658" w14:paraId="3FB6E4C7" w14:textId="77777777">
      <w:pPr>
        <w:pStyle w:val="FootnoteText"/>
      </w:pPr>
      <w:r>
        <w:rPr>
          <w:rStyle w:val="FootnoteReference"/>
        </w:rPr>
        <w:footnoteRef/>
      </w:r>
      <w:r>
        <w:t xml:space="preserve"> 47 CFR § 64.2401(f)(1)</w:t>
      </w:r>
      <w:r w:rsidR="00D929AF">
        <w:t xml:space="preserve"> and (f)(2)</w:t>
      </w:r>
      <w:r>
        <w:t>.</w:t>
      </w:r>
    </w:p>
  </w:footnote>
  <w:footnote w:id="15">
    <w:p w:rsidR="00905D7D" w14:paraId="66736D19" w14:textId="77777777">
      <w:pPr>
        <w:pStyle w:val="FootnoteText"/>
      </w:pPr>
      <w:r>
        <w:rPr>
          <w:rStyle w:val="FootnoteReference"/>
        </w:rPr>
        <w:footnoteRef/>
      </w:r>
      <w:r>
        <w:t xml:space="preserve"> The total number of respondents is as follows:  a total of </w:t>
      </w:r>
      <w:r w:rsidR="00396785">
        <w:t>4,165</w:t>
      </w:r>
      <w:r>
        <w:t xml:space="preserve"> wireline</w:t>
      </w:r>
      <w:r w:rsidR="00467A01">
        <w:t xml:space="preserve"> </w:t>
      </w:r>
      <w:r>
        <w:t xml:space="preserve">and wireless telecommunications </w:t>
      </w:r>
      <w:r w:rsidR="00941A87">
        <w:t xml:space="preserve">carriers, </w:t>
      </w:r>
      <w:r>
        <w:t>of which</w:t>
      </w:r>
      <w:r w:rsidR="00467A01">
        <w:t xml:space="preserve"> </w:t>
      </w:r>
      <w:r w:rsidR="00396785">
        <w:t>3,554</w:t>
      </w:r>
      <w:r>
        <w:t xml:space="preserve"> are wireline</w:t>
      </w:r>
      <w:r w:rsidR="00467A01">
        <w:t xml:space="preserve"> </w:t>
      </w:r>
      <w:r>
        <w:t xml:space="preserve">telecommunications carriers and </w:t>
      </w:r>
      <w:r w:rsidR="00396785">
        <w:t>611</w:t>
      </w:r>
      <w:r>
        <w:t xml:space="preserve"> are wireless telecommunications carriers.</w:t>
      </w:r>
    </w:p>
  </w:footnote>
  <w:footnote w:id="16">
    <w:p w:rsidR="00200075" w:rsidRPr="00200075" w14:paraId="752D4ADF" w14:textId="77777777">
      <w:pPr>
        <w:pStyle w:val="FootnoteText"/>
      </w:pPr>
      <w:r>
        <w:rPr>
          <w:rStyle w:val="FootnoteReference"/>
        </w:rPr>
        <w:footnoteRef/>
      </w:r>
      <w:r>
        <w:t xml:space="preserve"> As mentioned in the </w:t>
      </w:r>
      <w:r>
        <w:rPr>
          <w:b/>
        </w:rPr>
        <w:t>*Note</w:t>
      </w:r>
      <w:r>
        <w:t xml:space="preserve"> at the beginning of question 12, there are </w:t>
      </w:r>
      <w:r w:rsidR="001B78FF">
        <w:t xml:space="preserve">4,165 </w:t>
      </w:r>
      <w:r>
        <w:t xml:space="preserve">respondents in total affected by this information collection.  Of the </w:t>
      </w:r>
      <w:r w:rsidR="001B78FF">
        <w:t>4,165</w:t>
      </w:r>
      <w:r>
        <w:t xml:space="preserve"> respondents, </w:t>
      </w:r>
      <w:r w:rsidR="00F3593B">
        <w:t xml:space="preserve">4,165 </w:t>
      </w:r>
      <w:r w:rsidR="00162A05">
        <w:t>are affected by the requirements in a, c, and d</w:t>
      </w:r>
      <w:r w:rsidR="00F3593B">
        <w:t>,</w:t>
      </w:r>
      <w:r w:rsidR="00162A05">
        <w:t xml:space="preserve"> and </w:t>
      </w:r>
      <w:r w:rsidR="001B78FF">
        <w:t>3</w:t>
      </w:r>
      <w:r>
        <w:t>,</w:t>
      </w:r>
      <w:r w:rsidR="001B78FF">
        <w:t>554</w:t>
      </w:r>
      <w:r>
        <w:t xml:space="preserve"> respondents are affected by</w:t>
      </w:r>
      <w:r w:rsidR="00162A05">
        <w:t xml:space="preserve"> the requirements in b</w:t>
      </w:r>
      <w:r w:rsidR="00F3593B">
        <w:t>, e and f</w:t>
      </w:r>
      <w:r w:rsidR="00162A05">
        <w:t xml:space="preserve">.  </w:t>
      </w:r>
    </w:p>
  </w:footnote>
  <w:footnote w:id="17">
    <w:p w:rsidR="00200075" w14:paraId="659E3157" w14:textId="77777777">
      <w:pPr>
        <w:pStyle w:val="FootnoteText"/>
      </w:pPr>
      <w:r>
        <w:rPr>
          <w:rStyle w:val="FootnoteReference"/>
        </w:rPr>
        <w:footnoteRef/>
      </w:r>
      <w:r>
        <w:t xml:space="preserve"> </w:t>
      </w:r>
      <w:r w:rsidRPr="008D10EB">
        <w:rPr>
          <w:i/>
        </w:rPr>
        <w:t xml:space="preserve">See </w:t>
      </w:r>
      <w:r w:rsidR="00941A87">
        <w:rPr>
          <w:i/>
        </w:rPr>
        <w:t>i</w:t>
      </w:r>
      <w:r w:rsidRPr="008D10EB" w:rsidR="00941A87">
        <w:rPr>
          <w:i/>
        </w:rPr>
        <w:t>d</w:t>
      </w:r>
      <w:r w:rsidRPr="008D10E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DE" w:rsidRPr="00EB37CC" w:rsidP="00C32713" w14:paraId="208CA8EB" w14:textId="75E2CDE9">
    <w:pPr>
      <w:pStyle w:val="Header"/>
      <w:rPr>
        <w:b/>
        <w:sz w:val="22"/>
        <w:szCs w:val="22"/>
      </w:rPr>
    </w:pPr>
    <w:r w:rsidRPr="00EB37CC">
      <w:rPr>
        <w:b/>
        <w:sz w:val="22"/>
        <w:szCs w:val="22"/>
      </w:rPr>
      <w:t xml:space="preserve">3060-0854                                                                                         </w:t>
    </w:r>
    <w:r>
      <w:rPr>
        <w:b/>
        <w:sz w:val="22"/>
        <w:szCs w:val="22"/>
      </w:rPr>
      <w:t xml:space="preserve">                               </w:t>
    </w:r>
    <w:r>
      <w:rPr>
        <w:b/>
        <w:sz w:val="22"/>
        <w:szCs w:val="22"/>
      </w:rPr>
      <w:tab/>
      <w:t xml:space="preserve"> </w:t>
    </w:r>
    <w:r w:rsidR="00861814">
      <w:rPr>
        <w:b/>
        <w:sz w:val="22"/>
        <w:szCs w:val="22"/>
      </w:rPr>
      <w:t>February</w:t>
    </w:r>
    <w:r w:rsidR="00261871">
      <w:rPr>
        <w:b/>
        <w:sz w:val="22"/>
        <w:szCs w:val="22"/>
      </w:rPr>
      <w:t xml:space="preserve"> </w:t>
    </w:r>
    <w:r>
      <w:rPr>
        <w:b/>
        <w:sz w:val="22"/>
        <w:szCs w:val="22"/>
      </w:rPr>
      <w:t>20</w:t>
    </w:r>
    <w:r w:rsidR="0060685B">
      <w:rPr>
        <w:b/>
        <w:sz w:val="22"/>
        <w:szCs w:val="22"/>
      </w:rPr>
      <w:t>2</w:t>
    </w:r>
    <w:r w:rsidR="00E610F0">
      <w:rPr>
        <w:b/>
        <w:sz w:val="22"/>
        <w:szCs w:val="22"/>
      </w:rPr>
      <w:t>4</w:t>
    </w:r>
    <w:r>
      <w:rPr>
        <w:b/>
        <w:sz w:val="22"/>
        <w:szCs w:val="22"/>
      </w:rPr>
      <w:t xml:space="preserve">    </w:t>
    </w:r>
    <w:r w:rsidRPr="00EB37CC">
      <w:rPr>
        <w:b/>
        <w:sz w:val="22"/>
        <w:szCs w:val="22"/>
      </w:rPr>
      <w:tab/>
    </w:r>
  </w:p>
  <w:p w:rsidR="00CE21DE" w14:paraId="4F38F698" w14:textId="77777777">
    <w:pPr>
      <w:pStyle w:val="Header"/>
      <w:rPr>
        <w:b/>
        <w:sz w:val="22"/>
        <w:szCs w:val="22"/>
      </w:rPr>
    </w:pPr>
    <w:r>
      <w:rPr>
        <w:b/>
        <w:sz w:val="22"/>
        <w:szCs w:val="22"/>
      </w:rPr>
      <w:t xml:space="preserve">Section 64.2401 </w:t>
    </w:r>
    <w:r w:rsidRPr="00EB37CC">
      <w:rPr>
        <w:b/>
        <w:sz w:val="22"/>
        <w:szCs w:val="22"/>
      </w:rPr>
      <w:t>Truth-in-Billing Format, CC Docket No. 98-170</w:t>
    </w:r>
    <w:r>
      <w:rPr>
        <w:b/>
        <w:sz w:val="22"/>
        <w:szCs w:val="22"/>
      </w:rPr>
      <w:t xml:space="preserve"> and CG Docket No. 04-208</w:t>
    </w:r>
  </w:p>
  <w:p w:rsidR="00CE21DE" w:rsidRPr="00EB37CC" w14:paraId="5758FA09" w14:textId="77777777">
    <w:pPr>
      <w:pStyle w:val="Head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1DE" w:rsidRPr="00EB37CC" w:rsidP="001413B6" w14:paraId="111EB068" w14:textId="1CB1BEC5">
    <w:pPr>
      <w:pStyle w:val="Header"/>
      <w:rPr>
        <w:b/>
        <w:sz w:val="22"/>
        <w:szCs w:val="22"/>
      </w:rPr>
    </w:pPr>
    <w:r w:rsidRPr="00EB37CC">
      <w:rPr>
        <w:b/>
        <w:sz w:val="22"/>
        <w:szCs w:val="22"/>
      </w:rPr>
      <w:t xml:space="preserve">3060-0854                                                                                                               </w:t>
    </w:r>
    <w:r w:rsidRPr="00EB37CC">
      <w:rPr>
        <w:b/>
        <w:sz w:val="22"/>
        <w:szCs w:val="22"/>
      </w:rPr>
      <w:tab/>
    </w:r>
    <w:r w:rsidR="00EC7046">
      <w:rPr>
        <w:b/>
        <w:sz w:val="22"/>
        <w:szCs w:val="22"/>
      </w:rPr>
      <w:t xml:space="preserve"> </w:t>
    </w:r>
    <w:r w:rsidR="00381AEA">
      <w:rPr>
        <w:b/>
        <w:sz w:val="22"/>
        <w:szCs w:val="22"/>
      </w:rPr>
      <w:t>April</w:t>
    </w:r>
    <w:r w:rsidR="00861814">
      <w:rPr>
        <w:b/>
        <w:sz w:val="22"/>
        <w:szCs w:val="22"/>
      </w:rPr>
      <w:t xml:space="preserve"> </w:t>
    </w:r>
    <w:r>
      <w:rPr>
        <w:b/>
        <w:sz w:val="22"/>
        <w:szCs w:val="22"/>
      </w:rPr>
      <w:t>20</w:t>
    </w:r>
    <w:r w:rsidR="00F20236">
      <w:rPr>
        <w:b/>
        <w:sz w:val="22"/>
        <w:szCs w:val="22"/>
      </w:rPr>
      <w:t>2</w:t>
    </w:r>
    <w:r w:rsidR="00017E4C">
      <w:rPr>
        <w:b/>
        <w:sz w:val="22"/>
        <w:szCs w:val="22"/>
      </w:rPr>
      <w:t>4</w:t>
    </w:r>
  </w:p>
  <w:p w:rsidR="00CE21DE" w:rsidP="00713694" w14:paraId="61624325" w14:textId="77777777">
    <w:pPr>
      <w:pStyle w:val="Header"/>
      <w:rPr>
        <w:b/>
        <w:sz w:val="22"/>
        <w:szCs w:val="22"/>
      </w:rPr>
    </w:pPr>
    <w:r>
      <w:rPr>
        <w:b/>
        <w:sz w:val="22"/>
        <w:szCs w:val="22"/>
      </w:rPr>
      <w:t>Section 64.2401, Tru</w:t>
    </w:r>
    <w:r w:rsidRPr="00EB37CC">
      <w:rPr>
        <w:b/>
        <w:sz w:val="22"/>
        <w:szCs w:val="22"/>
      </w:rPr>
      <w:t>th-in-Billing Format, CC Docket No. 98-170</w:t>
    </w:r>
    <w:r>
      <w:rPr>
        <w:b/>
        <w:sz w:val="22"/>
        <w:szCs w:val="22"/>
      </w:rPr>
      <w:t xml:space="preserve"> and CG Docket No. 04-208</w:t>
    </w:r>
  </w:p>
  <w:p w:rsidR="00CE21DE" w:rsidRPr="00725B33" w14:paraId="11B6D995" w14:textId="77777777">
    <w:pPr>
      <w:pStyle w:val="Head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9194E"/>
    <w:multiLevelType w:val="hybridMultilevel"/>
    <w:tmpl w:val="AFD61E3C"/>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67F60E2"/>
    <w:multiLevelType w:val="hybridMultilevel"/>
    <w:tmpl w:val="C99602DE"/>
    <w:lvl w:ilvl="0">
      <w:start w:val="1"/>
      <w:numFmt w:val="decimal"/>
      <w:lvlText w:val="(%1)"/>
      <w:lvlJc w:val="left"/>
      <w:pPr>
        <w:tabs>
          <w:tab w:val="num" w:pos="2535"/>
        </w:tabs>
        <w:ind w:left="2535" w:hanging="109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8990182"/>
    <w:multiLevelType w:val="singleLevel"/>
    <w:tmpl w:val="2494B4AE"/>
    <w:lvl w:ilvl="0">
      <w:start w:val="2"/>
      <w:numFmt w:val="decimal"/>
      <w:lvlText w:val="%1."/>
      <w:lvlJc w:val="left"/>
      <w:pPr>
        <w:tabs>
          <w:tab w:val="num" w:pos="720"/>
        </w:tabs>
        <w:ind w:left="720" w:hanging="720"/>
      </w:pPr>
      <w:rPr>
        <w:rFonts w:hint="default"/>
      </w:rPr>
    </w:lvl>
  </w:abstractNum>
  <w:abstractNum w:abstractNumId="3">
    <w:nsid w:val="0BA274D9"/>
    <w:multiLevelType w:val="hybridMultilevel"/>
    <w:tmpl w:val="BB9602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D3012AE"/>
    <w:multiLevelType w:val="singleLevel"/>
    <w:tmpl w:val="8C52C94E"/>
    <w:lvl w:ilvl="0">
      <w:start w:val="2"/>
      <w:numFmt w:val="lowerLetter"/>
      <w:lvlText w:val="(%1)"/>
      <w:lvlJc w:val="left"/>
      <w:pPr>
        <w:tabs>
          <w:tab w:val="num" w:pos="1830"/>
        </w:tabs>
        <w:ind w:left="1830" w:hanging="390"/>
      </w:pPr>
      <w:rPr>
        <w:rFonts w:hint="default"/>
      </w:rPr>
    </w:lvl>
  </w:abstractNum>
  <w:abstractNum w:abstractNumId="5">
    <w:nsid w:val="19D77E3F"/>
    <w:multiLevelType w:val="singleLevel"/>
    <w:tmpl w:val="37A28DD8"/>
    <w:lvl w:ilvl="0">
      <w:start w:val="1"/>
      <w:numFmt w:val="lowerLetter"/>
      <w:lvlText w:val="(%1)"/>
      <w:lvlJc w:val="left"/>
      <w:pPr>
        <w:tabs>
          <w:tab w:val="num" w:pos="1800"/>
        </w:tabs>
        <w:ind w:left="1800" w:hanging="360"/>
      </w:pPr>
      <w:rPr>
        <w:rFonts w:hint="default"/>
      </w:rPr>
    </w:lvl>
  </w:abstractNum>
  <w:abstractNum w:abstractNumId="6">
    <w:nsid w:val="27B33F8A"/>
    <w:multiLevelType w:val="hybridMultilevel"/>
    <w:tmpl w:val="B8FC29E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8DA7F54"/>
    <w:multiLevelType w:val="hybridMultilevel"/>
    <w:tmpl w:val="0C5C5F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D5D03A5"/>
    <w:multiLevelType w:val="hybridMultilevel"/>
    <w:tmpl w:val="7CB23A3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32F81A43"/>
    <w:multiLevelType w:val="hybridMultilevel"/>
    <w:tmpl w:val="490EF76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B416603"/>
    <w:multiLevelType w:val="hybridMultilevel"/>
    <w:tmpl w:val="7D7451B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4830CBD"/>
    <w:multiLevelType w:val="hybridMultilevel"/>
    <w:tmpl w:val="E68C426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B9D1418"/>
    <w:multiLevelType w:val="hybridMultilevel"/>
    <w:tmpl w:val="C99602DE"/>
    <w:lvl w:ilvl="0">
      <w:start w:val="1"/>
      <w:numFmt w:val="decimal"/>
      <w:lvlText w:val="(%1)"/>
      <w:lvlJc w:val="left"/>
      <w:pPr>
        <w:tabs>
          <w:tab w:val="num" w:pos="2535"/>
        </w:tabs>
        <w:ind w:left="2535" w:hanging="109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4C564AA9"/>
    <w:multiLevelType w:val="hybridMultilevel"/>
    <w:tmpl w:val="24D8BD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FAE7D01"/>
    <w:multiLevelType w:val="hybridMultilevel"/>
    <w:tmpl w:val="84DA073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53163AC3"/>
    <w:multiLevelType w:val="singleLevel"/>
    <w:tmpl w:val="081EBE74"/>
    <w:lvl w:ilvl="0">
      <w:start w:val="1"/>
      <w:numFmt w:val="lowerLetter"/>
      <w:lvlText w:val="%1."/>
      <w:lvlJc w:val="left"/>
      <w:pPr>
        <w:tabs>
          <w:tab w:val="num" w:pos="1440"/>
        </w:tabs>
        <w:ind w:left="1440" w:hanging="720"/>
      </w:pPr>
      <w:rPr>
        <w:rFonts w:hint="default"/>
      </w:rPr>
    </w:lvl>
  </w:abstractNum>
  <w:abstractNum w:abstractNumId="16">
    <w:nsid w:val="5341241F"/>
    <w:multiLevelType w:val="singleLevel"/>
    <w:tmpl w:val="20E0BBF2"/>
    <w:lvl w:ilvl="0">
      <w:start w:val="1"/>
      <w:numFmt w:val="decimal"/>
      <w:pStyle w:val="NumberedList"/>
      <w:lvlText w:val="%1."/>
      <w:lvlJc w:val="left"/>
      <w:pPr>
        <w:tabs>
          <w:tab w:val="num" w:pos="1080"/>
        </w:tabs>
        <w:ind w:left="0" w:firstLine="720"/>
      </w:pPr>
      <w:rPr>
        <w:rFonts w:ascii="Times New Roman" w:hAnsi="Times New Roman" w:cs="Times New Roman" w:hint="default"/>
        <w:b w:val="0"/>
        <w:i w:val="0"/>
        <w:strike w:val="0"/>
        <w:dstrike w:val="0"/>
        <w:sz w:val="22"/>
        <w:u w:val="none"/>
        <w:effect w:val="none"/>
      </w:rPr>
    </w:lvl>
  </w:abstractNum>
  <w:abstractNum w:abstractNumId="17">
    <w:nsid w:val="542D0F24"/>
    <w:multiLevelType w:val="hybridMultilevel"/>
    <w:tmpl w:val="0B04D53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8">
    <w:nsid w:val="56D860FE"/>
    <w:multiLevelType w:val="multilevel"/>
    <w:tmpl w:val="B8FC29E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55"/>
        </w:tabs>
        <w:ind w:left="1455" w:hanging="37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E321A8"/>
    <w:multiLevelType w:val="hybridMultilevel"/>
    <w:tmpl w:val="E49CE59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CC079E5"/>
    <w:multiLevelType w:val="hybridMultilevel"/>
    <w:tmpl w:val="013231CE"/>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EC27FA9"/>
    <w:multiLevelType w:val="hybridMultilevel"/>
    <w:tmpl w:val="B1E429A6"/>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5FBC7E3B"/>
    <w:multiLevelType w:val="hybridMultilevel"/>
    <w:tmpl w:val="FD52BC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24">
    <w:nsid w:val="640C6167"/>
    <w:multiLevelType w:val="hybridMultilevel"/>
    <w:tmpl w:val="24D8D758"/>
    <w:lvl w:ilvl="0">
      <w:start w:val="1"/>
      <w:numFmt w:val="decimal"/>
      <w:lvlText w:val="(%1)"/>
      <w:lvlJc w:val="left"/>
      <w:pPr>
        <w:tabs>
          <w:tab w:val="num" w:pos="1080"/>
        </w:tabs>
        <w:ind w:left="1080" w:hanging="360"/>
      </w:pPr>
      <w:rPr>
        <w:rFonts w:hint="default"/>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4FC58A4"/>
    <w:multiLevelType w:val="hybridMultilevel"/>
    <w:tmpl w:val="9C82BD1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741D3BD4"/>
    <w:multiLevelType w:val="hybridMultilevel"/>
    <w:tmpl w:val="50C0584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775A18BD"/>
    <w:multiLevelType w:val="singleLevel"/>
    <w:tmpl w:val="7AF22E9C"/>
    <w:lvl w:ilvl="0">
      <w:start w:val="1"/>
      <w:numFmt w:val="decimal"/>
      <w:lvlText w:val="%1."/>
      <w:lvlJc w:val="left"/>
      <w:pPr>
        <w:tabs>
          <w:tab w:val="num" w:pos="720"/>
        </w:tabs>
        <w:ind w:left="720" w:hanging="720"/>
      </w:pPr>
      <w:rPr>
        <w:rFonts w:hint="default"/>
      </w:rPr>
    </w:lvl>
  </w:abstractNum>
  <w:abstractNum w:abstractNumId="28">
    <w:nsid w:val="7CAF287C"/>
    <w:multiLevelType w:val="hybridMultilevel"/>
    <w:tmpl w:val="55AC28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01355925">
    <w:abstractNumId w:val="27"/>
  </w:num>
  <w:num w:numId="2" w16cid:durableId="909004587">
    <w:abstractNumId w:val="15"/>
  </w:num>
  <w:num w:numId="3" w16cid:durableId="1434087186">
    <w:abstractNumId w:val="2"/>
  </w:num>
  <w:num w:numId="4" w16cid:durableId="1467120198">
    <w:abstractNumId w:val="4"/>
  </w:num>
  <w:num w:numId="5" w16cid:durableId="1574192654">
    <w:abstractNumId w:val="5"/>
  </w:num>
  <w:num w:numId="6" w16cid:durableId="1887832303">
    <w:abstractNumId w:val="22"/>
  </w:num>
  <w:num w:numId="7" w16cid:durableId="39520592">
    <w:abstractNumId w:val="17"/>
  </w:num>
  <w:num w:numId="8" w16cid:durableId="1427535056">
    <w:abstractNumId w:val="8"/>
  </w:num>
  <w:num w:numId="9" w16cid:durableId="909658129">
    <w:abstractNumId w:val="13"/>
  </w:num>
  <w:num w:numId="10" w16cid:durableId="1499346349">
    <w:abstractNumId w:val="10"/>
  </w:num>
  <w:num w:numId="11" w16cid:durableId="1054738531">
    <w:abstractNumId w:val="20"/>
  </w:num>
  <w:num w:numId="12" w16cid:durableId="2020815880">
    <w:abstractNumId w:val="25"/>
  </w:num>
  <w:num w:numId="13" w16cid:durableId="517699110">
    <w:abstractNumId w:val="26"/>
  </w:num>
  <w:num w:numId="14" w16cid:durableId="43873422">
    <w:abstractNumId w:val="24"/>
  </w:num>
  <w:num w:numId="15" w16cid:durableId="1047073965">
    <w:abstractNumId w:val="9"/>
  </w:num>
  <w:num w:numId="16" w16cid:durableId="707608076">
    <w:abstractNumId w:val="11"/>
  </w:num>
  <w:num w:numId="17" w16cid:durableId="1559440034">
    <w:abstractNumId w:val="21"/>
  </w:num>
  <w:num w:numId="18" w16cid:durableId="1920287804">
    <w:abstractNumId w:val="7"/>
  </w:num>
  <w:num w:numId="19" w16cid:durableId="1490290968">
    <w:abstractNumId w:val="3"/>
  </w:num>
  <w:num w:numId="20" w16cid:durableId="349530024">
    <w:abstractNumId w:val="14"/>
  </w:num>
  <w:num w:numId="21" w16cid:durableId="398990120">
    <w:abstractNumId w:val="6"/>
  </w:num>
  <w:num w:numId="22" w16cid:durableId="1056973261">
    <w:abstractNumId w:val="18"/>
  </w:num>
  <w:num w:numId="23" w16cid:durableId="2092962357">
    <w:abstractNumId w:val="0"/>
  </w:num>
  <w:num w:numId="24" w16cid:durableId="1322469540">
    <w:abstractNumId w:val="23"/>
  </w:num>
  <w:num w:numId="25" w16cid:durableId="1911233665">
    <w:abstractNumId w:val="19"/>
  </w:num>
  <w:num w:numId="26" w16cid:durableId="1676608286">
    <w:abstractNumId w:val="1"/>
  </w:num>
  <w:num w:numId="27" w16cid:durableId="1292319812">
    <w:abstractNumId w:val="28"/>
  </w:num>
  <w:num w:numId="28" w16cid:durableId="1402870547">
    <w:abstractNumId w:val="12"/>
  </w:num>
  <w:num w:numId="29" w16cid:durableId="236550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FD"/>
    <w:rsid w:val="000004DB"/>
    <w:rsid w:val="0000161A"/>
    <w:rsid w:val="0000585A"/>
    <w:rsid w:val="00005BFE"/>
    <w:rsid w:val="00005EE3"/>
    <w:rsid w:val="00006C91"/>
    <w:rsid w:val="0000767A"/>
    <w:rsid w:val="00007E1A"/>
    <w:rsid w:val="00010DFC"/>
    <w:rsid w:val="00012ECB"/>
    <w:rsid w:val="00014465"/>
    <w:rsid w:val="00015B5E"/>
    <w:rsid w:val="00017E4C"/>
    <w:rsid w:val="000200D3"/>
    <w:rsid w:val="000210BA"/>
    <w:rsid w:val="00023B4A"/>
    <w:rsid w:val="00023E37"/>
    <w:rsid w:val="000254D1"/>
    <w:rsid w:val="000257EC"/>
    <w:rsid w:val="000264D8"/>
    <w:rsid w:val="0003028D"/>
    <w:rsid w:val="0003084A"/>
    <w:rsid w:val="00031BB5"/>
    <w:rsid w:val="00031E45"/>
    <w:rsid w:val="000323FC"/>
    <w:rsid w:val="000324B8"/>
    <w:rsid w:val="00034DA1"/>
    <w:rsid w:val="000350FD"/>
    <w:rsid w:val="000352C5"/>
    <w:rsid w:val="00035802"/>
    <w:rsid w:val="00037459"/>
    <w:rsid w:val="00040CE9"/>
    <w:rsid w:val="000415B9"/>
    <w:rsid w:val="0004195A"/>
    <w:rsid w:val="00041A58"/>
    <w:rsid w:val="00041BB4"/>
    <w:rsid w:val="00042C30"/>
    <w:rsid w:val="00042C69"/>
    <w:rsid w:val="000446AD"/>
    <w:rsid w:val="0004746B"/>
    <w:rsid w:val="000475B4"/>
    <w:rsid w:val="00050D64"/>
    <w:rsid w:val="0005198D"/>
    <w:rsid w:val="00051FD4"/>
    <w:rsid w:val="00053301"/>
    <w:rsid w:val="00053415"/>
    <w:rsid w:val="0005540A"/>
    <w:rsid w:val="00055ED2"/>
    <w:rsid w:val="00056532"/>
    <w:rsid w:val="00056BAD"/>
    <w:rsid w:val="00057D02"/>
    <w:rsid w:val="00060530"/>
    <w:rsid w:val="00063B6C"/>
    <w:rsid w:val="0006575E"/>
    <w:rsid w:val="000657E4"/>
    <w:rsid w:val="00066313"/>
    <w:rsid w:val="000669B2"/>
    <w:rsid w:val="00067985"/>
    <w:rsid w:val="00070930"/>
    <w:rsid w:val="00070C9F"/>
    <w:rsid w:val="00071B3A"/>
    <w:rsid w:val="0007358B"/>
    <w:rsid w:val="00073957"/>
    <w:rsid w:val="00076447"/>
    <w:rsid w:val="00083FAC"/>
    <w:rsid w:val="000872F7"/>
    <w:rsid w:val="000875DA"/>
    <w:rsid w:val="00092270"/>
    <w:rsid w:val="00093BBA"/>
    <w:rsid w:val="00094657"/>
    <w:rsid w:val="000967A5"/>
    <w:rsid w:val="000976C7"/>
    <w:rsid w:val="000A0970"/>
    <w:rsid w:val="000A78AC"/>
    <w:rsid w:val="000B27D6"/>
    <w:rsid w:val="000B324E"/>
    <w:rsid w:val="000B39F6"/>
    <w:rsid w:val="000B551C"/>
    <w:rsid w:val="000C2D3B"/>
    <w:rsid w:val="000C31DD"/>
    <w:rsid w:val="000C514E"/>
    <w:rsid w:val="000C5D4F"/>
    <w:rsid w:val="000D0A54"/>
    <w:rsid w:val="000D2A73"/>
    <w:rsid w:val="000D34CF"/>
    <w:rsid w:val="000D5D7B"/>
    <w:rsid w:val="000D5E8C"/>
    <w:rsid w:val="000D664E"/>
    <w:rsid w:val="000D6C83"/>
    <w:rsid w:val="000E0C25"/>
    <w:rsid w:val="000E1101"/>
    <w:rsid w:val="000E4830"/>
    <w:rsid w:val="000E48D7"/>
    <w:rsid w:val="000E7F0F"/>
    <w:rsid w:val="000F4ED5"/>
    <w:rsid w:val="00100EA9"/>
    <w:rsid w:val="0010351A"/>
    <w:rsid w:val="00103F2E"/>
    <w:rsid w:val="001055C2"/>
    <w:rsid w:val="00106A27"/>
    <w:rsid w:val="00107E76"/>
    <w:rsid w:val="001120E1"/>
    <w:rsid w:val="001148FF"/>
    <w:rsid w:val="00114E89"/>
    <w:rsid w:val="001158EC"/>
    <w:rsid w:val="00117DD7"/>
    <w:rsid w:val="00120465"/>
    <w:rsid w:val="00122B19"/>
    <w:rsid w:val="00122BA5"/>
    <w:rsid w:val="001243D5"/>
    <w:rsid w:val="001248AE"/>
    <w:rsid w:val="001266C1"/>
    <w:rsid w:val="00133573"/>
    <w:rsid w:val="001348D9"/>
    <w:rsid w:val="0013508B"/>
    <w:rsid w:val="0013511E"/>
    <w:rsid w:val="00137B09"/>
    <w:rsid w:val="001413B6"/>
    <w:rsid w:val="00141899"/>
    <w:rsid w:val="0014236A"/>
    <w:rsid w:val="00143975"/>
    <w:rsid w:val="00147908"/>
    <w:rsid w:val="00150C5B"/>
    <w:rsid w:val="00151548"/>
    <w:rsid w:val="00152141"/>
    <w:rsid w:val="00154AC7"/>
    <w:rsid w:val="00154C8F"/>
    <w:rsid w:val="00154F4E"/>
    <w:rsid w:val="001560FE"/>
    <w:rsid w:val="0015628B"/>
    <w:rsid w:val="0015748B"/>
    <w:rsid w:val="0016268A"/>
    <w:rsid w:val="00162A05"/>
    <w:rsid w:val="00163314"/>
    <w:rsid w:val="0016406E"/>
    <w:rsid w:val="0017247C"/>
    <w:rsid w:val="001728BD"/>
    <w:rsid w:val="00172C9A"/>
    <w:rsid w:val="0017439C"/>
    <w:rsid w:val="00176294"/>
    <w:rsid w:val="001766D6"/>
    <w:rsid w:val="00177FE4"/>
    <w:rsid w:val="0018039E"/>
    <w:rsid w:val="00182077"/>
    <w:rsid w:val="00182905"/>
    <w:rsid w:val="0018348D"/>
    <w:rsid w:val="0018461E"/>
    <w:rsid w:val="00195247"/>
    <w:rsid w:val="00195B80"/>
    <w:rsid w:val="001976E1"/>
    <w:rsid w:val="001A5227"/>
    <w:rsid w:val="001A64D7"/>
    <w:rsid w:val="001B430F"/>
    <w:rsid w:val="001B49E8"/>
    <w:rsid w:val="001B5A67"/>
    <w:rsid w:val="001B789F"/>
    <w:rsid w:val="001B78FF"/>
    <w:rsid w:val="001C0EDF"/>
    <w:rsid w:val="001C2746"/>
    <w:rsid w:val="001C42C2"/>
    <w:rsid w:val="001C5FFE"/>
    <w:rsid w:val="001C7892"/>
    <w:rsid w:val="001D30A2"/>
    <w:rsid w:val="001D4F65"/>
    <w:rsid w:val="001D520D"/>
    <w:rsid w:val="001D7A6D"/>
    <w:rsid w:val="001E2126"/>
    <w:rsid w:val="001E2E73"/>
    <w:rsid w:val="001E73BF"/>
    <w:rsid w:val="001E743C"/>
    <w:rsid w:val="001F0A9E"/>
    <w:rsid w:val="001F31BA"/>
    <w:rsid w:val="001F3E71"/>
    <w:rsid w:val="001F4629"/>
    <w:rsid w:val="00200075"/>
    <w:rsid w:val="00201CDF"/>
    <w:rsid w:val="00202802"/>
    <w:rsid w:val="002108CA"/>
    <w:rsid w:val="00220B1B"/>
    <w:rsid w:val="00220C78"/>
    <w:rsid w:val="00222F9A"/>
    <w:rsid w:val="002236E1"/>
    <w:rsid w:val="00224BB4"/>
    <w:rsid w:val="0022786A"/>
    <w:rsid w:val="00227C8E"/>
    <w:rsid w:val="002308A6"/>
    <w:rsid w:val="00231CD1"/>
    <w:rsid w:val="002441D7"/>
    <w:rsid w:val="002455C1"/>
    <w:rsid w:val="00245BBD"/>
    <w:rsid w:val="00251741"/>
    <w:rsid w:val="0025323D"/>
    <w:rsid w:val="00253C33"/>
    <w:rsid w:val="00253E37"/>
    <w:rsid w:val="00255A29"/>
    <w:rsid w:val="002565B7"/>
    <w:rsid w:val="002579A2"/>
    <w:rsid w:val="00260A07"/>
    <w:rsid w:val="00261439"/>
    <w:rsid w:val="00261871"/>
    <w:rsid w:val="00262EE5"/>
    <w:rsid w:val="00270712"/>
    <w:rsid w:val="002747CE"/>
    <w:rsid w:val="00274965"/>
    <w:rsid w:val="002750EF"/>
    <w:rsid w:val="002759A2"/>
    <w:rsid w:val="002767A1"/>
    <w:rsid w:val="0027755A"/>
    <w:rsid w:val="002776C8"/>
    <w:rsid w:val="00281C47"/>
    <w:rsid w:val="00282C5C"/>
    <w:rsid w:val="002830D5"/>
    <w:rsid w:val="00291BF2"/>
    <w:rsid w:val="0029201E"/>
    <w:rsid w:val="00292257"/>
    <w:rsid w:val="002932F0"/>
    <w:rsid w:val="00294F93"/>
    <w:rsid w:val="002A0653"/>
    <w:rsid w:val="002A4587"/>
    <w:rsid w:val="002A5930"/>
    <w:rsid w:val="002A727F"/>
    <w:rsid w:val="002A7FFE"/>
    <w:rsid w:val="002B17CD"/>
    <w:rsid w:val="002B3958"/>
    <w:rsid w:val="002B689C"/>
    <w:rsid w:val="002C00AB"/>
    <w:rsid w:val="002C3622"/>
    <w:rsid w:val="002C71CF"/>
    <w:rsid w:val="002D12C4"/>
    <w:rsid w:val="002D1997"/>
    <w:rsid w:val="002D27A2"/>
    <w:rsid w:val="002D5EF2"/>
    <w:rsid w:val="002E0185"/>
    <w:rsid w:val="002E044C"/>
    <w:rsid w:val="002E0B06"/>
    <w:rsid w:val="002E3B7F"/>
    <w:rsid w:val="002E7C2E"/>
    <w:rsid w:val="002F0A29"/>
    <w:rsid w:val="002F0E7E"/>
    <w:rsid w:val="00301636"/>
    <w:rsid w:val="003048F1"/>
    <w:rsid w:val="0030620F"/>
    <w:rsid w:val="00307967"/>
    <w:rsid w:val="00307D13"/>
    <w:rsid w:val="00311403"/>
    <w:rsid w:val="00315285"/>
    <w:rsid w:val="00315531"/>
    <w:rsid w:val="00316335"/>
    <w:rsid w:val="003234BD"/>
    <w:rsid w:val="003309A8"/>
    <w:rsid w:val="00331344"/>
    <w:rsid w:val="003329B1"/>
    <w:rsid w:val="00332A87"/>
    <w:rsid w:val="003353A2"/>
    <w:rsid w:val="00335770"/>
    <w:rsid w:val="00335F55"/>
    <w:rsid w:val="0033726F"/>
    <w:rsid w:val="003378AE"/>
    <w:rsid w:val="0034510C"/>
    <w:rsid w:val="00347B21"/>
    <w:rsid w:val="0035377E"/>
    <w:rsid w:val="00354DB5"/>
    <w:rsid w:val="003552B7"/>
    <w:rsid w:val="0035562D"/>
    <w:rsid w:val="00356195"/>
    <w:rsid w:val="00356238"/>
    <w:rsid w:val="00360FED"/>
    <w:rsid w:val="0036145A"/>
    <w:rsid w:val="003627C5"/>
    <w:rsid w:val="00366454"/>
    <w:rsid w:val="0037261E"/>
    <w:rsid w:val="00373296"/>
    <w:rsid w:val="00374DDB"/>
    <w:rsid w:val="00381AEA"/>
    <w:rsid w:val="00381FE4"/>
    <w:rsid w:val="0038529A"/>
    <w:rsid w:val="00387D0A"/>
    <w:rsid w:val="00390E65"/>
    <w:rsid w:val="00392F5E"/>
    <w:rsid w:val="00395795"/>
    <w:rsid w:val="00396785"/>
    <w:rsid w:val="003A32F1"/>
    <w:rsid w:val="003A6B6F"/>
    <w:rsid w:val="003B0A40"/>
    <w:rsid w:val="003B400B"/>
    <w:rsid w:val="003C021C"/>
    <w:rsid w:val="003C0F2C"/>
    <w:rsid w:val="003C2B5F"/>
    <w:rsid w:val="003D44C7"/>
    <w:rsid w:val="003D4A72"/>
    <w:rsid w:val="003E34E9"/>
    <w:rsid w:val="003E50C9"/>
    <w:rsid w:val="003F08F8"/>
    <w:rsid w:val="003F0B92"/>
    <w:rsid w:val="003F2ED1"/>
    <w:rsid w:val="00401AC7"/>
    <w:rsid w:val="0040340D"/>
    <w:rsid w:val="0040459B"/>
    <w:rsid w:val="004072DD"/>
    <w:rsid w:val="00411379"/>
    <w:rsid w:val="00411EF5"/>
    <w:rsid w:val="00412633"/>
    <w:rsid w:val="0041527F"/>
    <w:rsid w:val="00415579"/>
    <w:rsid w:val="0041651D"/>
    <w:rsid w:val="00422577"/>
    <w:rsid w:val="004238DA"/>
    <w:rsid w:val="004262AF"/>
    <w:rsid w:val="00437676"/>
    <w:rsid w:val="004401D9"/>
    <w:rsid w:val="00443B2E"/>
    <w:rsid w:val="004475D7"/>
    <w:rsid w:val="004503EB"/>
    <w:rsid w:val="00452E99"/>
    <w:rsid w:val="004547A7"/>
    <w:rsid w:val="00461032"/>
    <w:rsid w:val="00465208"/>
    <w:rsid w:val="00466EFD"/>
    <w:rsid w:val="00466F1A"/>
    <w:rsid w:val="00467A01"/>
    <w:rsid w:val="0047262B"/>
    <w:rsid w:val="004761E4"/>
    <w:rsid w:val="00480C20"/>
    <w:rsid w:val="00482F00"/>
    <w:rsid w:val="0048450A"/>
    <w:rsid w:val="00484D3E"/>
    <w:rsid w:val="00485456"/>
    <w:rsid w:val="004968B2"/>
    <w:rsid w:val="004971DD"/>
    <w:rsid w:val="004A0EA5"/>
    <w:rsid w:val="004A27A4"/>
    <w:rsid w:val="004A2B67"/>
    <w:rsid w:val="004A4B5D"/>
    <w:rsid w:val="004A4BF8"/>
    <w:rsid w:val="004A75EB"/>
    <w:rsid w:val="004A799E"/>
    <w:rsid w:val="004B33E3"/>
    <w:rsid w:val="004B4FD0"/>
    <w:rsid w:val="004C2DC7"/>
    <w:rsid w:val="004C4197"/>
    <w:rsid w:val="004C45DC"/>
    <w:rsid w:val="004C4FAB"/>
    <w:rsid w:val="004C50CE"/>
    <w:rsid w:val="004D0086"/>
    <w:rsid w:val="004D1395"/>
    <w:rsid w:val="004D1C81"/>
    <w:rsid w:val="004D31C5"/>
    <w:rsid w:val="004D3B33"/>
    <w:rsid w:val="004E1431"/>
    <w:rsid w:val="004E44C9"/>
    <w:rsid w:val="004E5CB3"/>
    <w:rsid w:val="004F2834"/>
    <w:rsid w:val="004F37AC"/>
    <w:rsid w:val="004F6590"/>
    <w:rsid w:val="004F67C4"/>
    <w:rsid w:val="004F6AF3"/>
    <w:rsid w:val="004F7CFF"/>
    <w:rsid w:val="00500405"/>
    <w:rsid w:val="00501B66"/>
    <w:rsid w:val="005101AC"/>
    <w:rsid w:val="00511BDE"/>
    <w:rsid w:val="00513DC5"/>
    <w:rsid w:val="00515E89"/>
    <w:rsid w:val="00517D55"/>
    <w:rsid w:val="00522376"/>
    <w:rsid w:val="00525DE8"/>
    <w:rsid w:val="00527884"/>
    <w:rsid w:val="00530292"/>
    <w:rsid w:val="0053290C"/>
    <w:rsid w:val="00533C4B"/>
    <w:rsid w:val="00534EB6"/>
    <w:rsid w:val="005355CA"/>
    <w:rsid w:val="00540BE9"/>
    <w:rsid w:val="00540D95"/>
    <w:rsid w:val="00541520"/>
    <w:rsid w:val="005427D1"/>
    <w:rsid w:val="00543AE8"/>
    <w:rsid w:val="005444BA"/>
    <w:rsid w:val="00544F00"/>
    <w:rsid w:val="00544FBB"/>
    <w:rsid w:val="00545D7B"/>
    <w:rsid w:val="005465D0"/>
    <w:rsid w:val="00546846"/>
    <w:rsid w:val="00550644"/>
    <w:rsid w:val="0055099E"/>
    <w:rsid w:val="0055199B"/>
    <w:rsid w:val="00552EC5"/>
    <w:rsid w:val="005553E4"/>
    <w:rsid w:val="00557CD8"/>
    <w:rsid w:val="005602B7"/>
    <w:rsid w:val="00562ACC"/>
    <w:rsid w:val="005640A2"/>
    <w:rsid w:val="005667C3"/>
    <w:rsid w:val="00571F5B"/>
    <w:rsid w:val="00572B11"/>
    <w:rsid w:val="00572CAE"/>
    <w:rsid w:val="005737BE"/>
    <w:rsid w:val="0057518E"/>
    <w:rsid w:val="00581E3E"/>
    <w:rsid w:val="005866D4"/>
    <w:rsid w:val="0058773D"/>
    <w:rsid w:val="00593252"/>
    <w:rsid w:val="00593E6B"/>
    <w:rsid w:val="005A0EDF"/>
    <w:rsid w:val="005A1A4D"/>
    <w:rsid w:val="005A2165"/>
    <w:rsid w:val="005A21A1"/>
    <w:rsid w:val="005A30D9"/>
    <w:rsid w:val="005A3835"/>
    <w:rsid w:val="005A5D2E"/>
    <w:rsid w:val="005A783A"/>
    <w:rsid w:val="005B0759"/>
    <w:rsid w:val="005B0CA0"/>
    <w:rsid w:val="005B46E7"/>
    <w:rsid w:val="005B5C2B"/>
    <w:rsid w:val="005C0515"/>
    <w:rsid w:val="005C351D"/>
    <w:rsid w:val="005D41E4"/>
    <w:rsid w:val="005D4F65"/>
    <w:rsid w:val="005D7679"/>
    <w:rsid w:val="005E034D"/>
    <w:rsid w:val="005E2D5A"/>
    <w:rsid w:val="005E3C09"/>
    <w:rsid w:val="005E52E2"/>
    <w:rsid w:val="005E6159"/>
    <w:rsid w:val="005F041A"/>
    <w:rsid w:val="005F2F42"/>
    <w:rsid w:val="005F464B"/>
    <w:rsid w:val="005F5B46"/>
    <w:rsid w:val="005F7123"/>
    <w:rsid w:val="005F7761"/>
    <w:rsid w:val="00600445"/>
    <w:rsid w:val="00600D66"/>
    <w:rsid w:val="00602414"/>
    <w:rsid w:val="00602F35"/>
    <w:rsid w:val="006055A5"/>
    <w:rsid w:val="0060685B"/>
    <w:rsid w:val="00610036"/>
    <w:rsid w:val="006111BE"/>
    <w:rsid w:val="006116FD"/>
    <w:rsid w:val="00612305"/>
    <w:rsid w:val="006135AE"/>
    <w:rsid w:val="00614C02"/>
    <w:rsid w:val="00614F4E"/>
    <w:rsid w:val="00617C4C"/>
    <w:rsid w:val="00621656"/>
    <w:rsid w:val="00630901"/>
    <w:rsid w:val="006321BD"/>
    <w:rsid w:val="006333BE"/>
    <w:rsid w:val="00637717"/>
    <w:rsid w:val="006409F7"/>
    <w:rsid w:val="0064173B"/>
    <w:rsid w:val="00642FC5"/>
    <w:rsid w:val="00644C03"/>
    <w:rsid w:val="0065023F"/>
    <w:rsid w:val="006514A8"/>
    <w:rsid w:val="006567CE"/>
    <w:rsid w:val="00657CE6"/>
    <w:rsid w:val="00660036"/>
    <w:rsid w:val="0066041E"/>
    <w:rsid w:val="00664614"/>
    <w:rsid w:val="0066725F"/>
    <w:rsid w:val="006718CF"/>
    <w:rsid w:val="00672C0D"/>
    <w:rsid w:val="0067358E"/>
    <w:rsid w:val="00675336"/>
    <w:rsid w:val="00677B46"/>
    <w:rsid w:val="006814AD"/>
    <w:rsid w:val="0068323A"/>
    <w:rsid w:val="00687733"/>
    <w:rsid w:val="006927EB"/>
    <w:rsid w:val="00695F9E"/>
    <w:rsid w:val="006A14EB"/>
    <w:rsid w:val="006A4845"/>
    <w:rsid w:val="006B0064"/>
    <w:rsid w:val="006B04AF"/>
    <w:rsid w:val="006B66F7"/>
    <w:rsid w:val="006B6DF8"/>
    <w:rsid w:val="006B7D69"/>
    <w:rsid w:val="006C3B49"/>
    <w:rsid w:val="006C57A6"/>
    <w:rsid w:val="006D0C87"/>
    <w:rsid w:val="006D55FA"/>
    <w:rsid w:val="006D7516"/>
    <w:rsid w:val="006E1E93"/>
    <w:rsid w:val="006E6D70"/>
    <w:rsid w:val="006F1EF4"/>
    <w:rsid w:val="006F4873"/>
    <w:rsid w:val="006F7884"/>
    <w:rsid w:val="007002AD"/>
    <w:rsid w:val="007013A9"/>
    <w:rsid w:val="00701A75"/>
    <w:rsid w:val="00701B69"/>
    <w:rsid w:val="00702658"/>
    <w:rsid w:val="0070291A"/>
    <w:rsid w:val="0070763D"/>
    <w:rsid w:val="00710888"/>
    <w:rsid w:val="007117F6"/>
    <w:rsid w:val="00713694"/>
    <w:rsid w:val="0071573F"/>
    <w:rsid w:val="00716387"/>
    <w:rsid w:val="00717658"/>
    <w:rsid w:val="00721182"/>
    <w:rsid w:val="00725B33"/>
    <w:rsid w:val="0072752E"/>
    <w:rsid w:val="00727AD5"/>
    <w:rsid w:val="00730413"/>
    <w:rsid w:val="00731798"/>
    <w:rsid w:val="00732690"/>
    <w:rsid w:val="00733377"/>
    <w:rsid w:val="007341B8"/>
    <w:rsid w:val="0073427E"/>
    <w:rsid w:val="0073454D"/>
    <w:rsid w:val="00740322"/>
    <w:rsid w:val="00741322"/>
    <w:rsid w:val="0074197F"/>
    <w:rsid w:val="0074489D"/>
    <w:rsid w:val="00744D8E"/>
    <w:rsid w:val="00746052"/>
    <w:rsid w:val="007540A5"/>
    <w:rsid w:val="00756795"/>
    <w:rsid w:val="007570AF"/>
    <w:rsid w:val="00757105"/>
    <w:rsid w:val="0076176E"/>
    <w:rsid w:val="00765CED"/>
    <w:rsid w:val="00766191"/>
    <w:rsid w:val="00767E7C"/>
    <w:rsid w:val="00771057"/>
    <w:rsid w:val="00771CF7"/>
    <w:rsid w:val="007736A2"/>
    <w:rsid w:val="00775B3A"/>
    <w:rsid w:val="0078068C"/>
    <w:rsid w:val="00780A21"/>
    <w:rsid w:val="00781AE4"/>
    <w:rsid w:val="00782399"/>
    <w:rsid w:val="00784B64"/>
    <w:rsid w:val="007866CC"/>
    <w:rsid w:val="007900EA"/>
    <w:rsid w:val="00790494"/>
    <w:rsid w:val="00792721"/>
    <w:rsid w:val="00792D83"/>
    <w:rsid w:val="007933A4"/>
    <w:rsid w:val="0079346F"/>
    <w:rsid w:val="00793B61"/>
    <w:rsid w:val="00795AC0"/>
    <w:rsid w:val="0079611C"/>
    <w:rsid w:val="00796B72"/>
    <w:rsid w:val="007A077B"/>
    <w:rsid w:val="007A1C83"/>
    <w:rsid w:val="007A2606"/>
    <w:rsid w:val="007A5490"/>
    <w:rsid w:val="007B1A7A"/>
    <w:rsid w:val="007B4D2F"/>
    <w:rsid w:val="007B68EB"/>
    <w:rsid w:val="007C1FC0"/>
    <w:rsid w:val="007C203A"/>
    <w:rsid w:val="007C39FA"/>
    <w:rsid w:val="007C6E32"/>
    <w:rsid w:val="007C6E78"/>
    <w:rsid w:val="007C7C6D"/>
    <w:rsid w:val="007D1CCF"/>
    <w:rsid w:val="007D4836"/>
    <w:rsid w:val="007D5196"/>
    <w:rsid w:val="007D79F3"/>
    <w:rsid w:val="007E1F0A"/>
    <w:rsid w:val="007E2435"/>
    <w:rsid w:val="007E3415"/>
    <w:rsid w:val="007E4330"/>
    <w:rsid w:val="007E4B14"/>
    <w:rsid w:val="007E509A"/>
    <w:rsid w:val="007E7927"/>
    <w:rsid w:val="007E7F75"/>
    <w:rsid w:val="007F03C5"/>
    <w:rsid w:val="007F5174"/>
    <w:rsid w:val="007F778D"/>
    <w:rsid w:val="00805184"/>
    <w:rsid w:val="0080546D"/>
    <w:rsid w:val="00807453"/>
    <w:rsid w:val="00807567"/>
    <w:rsid w:val="008103FE"/>
    <w:rsid w:val="008104AF"/>
    <w:rsid w:val="008104B0"/>
    <w:rsid w:val="00811619"/>
    <w:rsid w:val="0081276A"/>
    <w:rsid w:val="00812783"/>
    <w:rsid w:val="008159DA"/>
    <w:rsid w:val="00816090"/>
    <w:rsid w:val="00816353"/>
    <w:rsid w:val="008178FB"/>
    <w:rsid w:val="008237E1"/>
    <w:rsid w:val="00825FF1"/>
    <w:rsid w:val="0082699E"/>
    <w:rsid w:val="00832B28"/>
    <w:rsid w:val="00833131"/>
    <w:rsid w:val="0083710F"/>
    <w:rsid w:val="00841767"/>
    <w:rsid w:val="00841F28"/>
    <w:rsid w:val="00843EFB"/>
    <w:rsid w:val="008456F5"/>
    <w:rsid w:val="00845F05"/>
    <w:rsid w:val="0085021F"/>
    <w:rsid w:val="00851806"/>
    <w:rsid w:val="00852B12"/>
    <w:rsid w:val="008537CC"/>
    <w:rsid w:val="008552E8"/>
    <w:rsid w:val="0085717C"/>
    <w:rsid w:val="00857A39"/>
    <w:rsid w:val="00861814"/>
    <w:rsid w:val="00861F95"/>
    <w:rsid w:val="00863C47"/>
    <w:rsid w:val="00866EFE"/>
    <w:rsid w:val="00870043"/>
    <w:rsid w:val="00872B45"/>
    <w:rsid w:val="00873492"/>
    <w:rsid w:val="00873D34"/>
    <w:rsid w:val="00873EB9"/>
    <w:rsid w:val="00875DBF"/>
    <w:rsid w:val="00876AE7"/>
    <w:rsid w:val="008833E8"/>
    <w:rsid w:val="00885B4D"/>
    <w:rsid w:val="00891C8B"/>
    <w:rsid w:val="008925B3"/>
    <w:rsid w:val="00892690"/>
    <w:rsid w:val="00895F45"/>
    <w:rsid w:val="008973F4"/>
    <w:rsid w:val="00897BCA"/>
    <w:rsid w:val="008A2760"/>
    <w:rsid w:val="008A2BB5"/>
    <w:rsid w:val="008A4CD9"/>
    <w:rsid w:val="008A642A"/>
    <w:rsid w:val="008A7CC3"/>
    <w:rsid w:val="008B03AE"/>
    <w:rsid w:val="008B2324"/>
    <w:rsid w:val="008C0481"/>
    <w:rsid w:val="008C328D"/>
    <w:rsid w:val="008C4CE7"/>
    <w:rsid w:val="008C7E0A"/>
    <w:rsid w:val="008D0E96"/>
    <w:rsid w:val="008D0F6F"/>
    <w:rsid w:val="008D10EB"/>
    <w:rsid w:val="008D1B91"/>
    <w:rsid w:val="008D3452"/>
    <w:rsid w:val="008D3627"/>
    <w:rsid w:val="008D39A0"/>
    <w:rsid w:val="008D5B48"/>
    <w:rsid w:val="008D6873"/>
    <w:rsid w:val="008D6E28"/>
    <w:rsid w:val="008E093D"/>
    <w:rsid w:val="008E3C2F"/>
    <w:rsid w:val="008E3D1D"/>
    <w:rsid w:val="008E5E2D"/>
    <w:rsid w:val="008E787F"/>
    <w:rsid w:val="008E7BB6"/>
    <w:rsid w:val="008F5BB8"/>
    <w:rsid w:val="009003A0"/>
    <w:rsid w:val="00901D1A"/>
    <w:rsid w:val="0090523C"/>
    <w:rsid w:val="00905D7D"/>
    <w:rsid w:val="00913107"/>
    <w:rsid w:val="00916A57"/>
    <w:rsid w:val="00916C38"/>
    <w:rsid w:val="00916F0F"/>
    <w:rsid w:val="00917123"/>
    <w:rsid w:val="00920128"/>
    <w:rsid w:val="00920734"/>
    <w:rsid w:val="00922683"/>
    <w:rsid w:val="00922FAA"/>
    <w:rsid w:val="00924541"/>
    <w:rsid w:val="00924EEF"/>
    <w:rsid w:val="00925BB2"/>
    <w:rsid w:val="00925C1F"/>
    <w:rsid w:val="00926E6D"/>
    <w:rsid w:val="009274A8"/>
    <w:rsid w:val="009304BD"/>
    <w:rsid w:val="00930B27"/>
    <w:rsid w:val="009311FE"/>
    <w:rsid w:val="009327D3"/>
    <w:rsid w:val="00932F3D"/>
    <w:rsid w:val="00933639"/>
    <w:rsid w:val="00935D41"/>
    <w:rsid w:val="00940D91"/>
    <w:rsid w:val="00941A87"/>
    <w:rsid w:val="00943467"/>
    <w:rsid w:val="00946F38"/>
    <w:rsid w:val="009479C8"/>
    <w:rsid w:val="00952158"/>
    <w:rsid w:val="00953690"/>
    <w:rsid w:val="00954111"/>
    <w:rsid w:val="00956362"/>
    <w:rsid w:val="00956FBD"/>
    <w:rsid w:val="009607E4"/>
    <w:rsid w:val="00961A44"/>
    <w:rsid w:val="00961BD0"/>
    <w:rsid w:val="00963CE3"/>
    <w:rsid w:val="00966F9B"/>
    <w:rsid w:val="00971848"/>
    <w:rsid w:val="00974837"/>
    <w:rsid w:val="00975CA1"/>
    <w:rsid w:val="009777A3"/>
    <w:rsid w:val="00985550"/>
    <w:rsid w:val="00986049"/>
    <w:rsid w:val="00986BEE"/>
    <w:rsid w:val="00993110"/>
    <w:rsid w:val="00993C54"/>
    <w:rsid w:val="00995BF7"/>
    <w:rsid w:val="009978B5"/>
    <w:rsid w:val="0099799F"/>
    <w:rsid w:val="009A11FC"/>
    <w:rsid w:val="009A2B7F"/>
    <w:rsid w:val="009A3F7B"/>
    <w:rsid w:val="009A6946"/>
    <w:rsid w:val="009A7E2F"/>
    <w:rsid w:val="009B2FC4"/>
    <w:rsid w:val="009B35E8"/>
    <w:rsid w:val="009B4044"/>
    <w:rsid w:val="009B4C84"/>
    <w:rsid w:val="009B589A"/>
    <w:rsid w:val="009B6438"/>
    <w:rsid w:val="009C16A9"/>
    <w:rsid w:val="009C1C27"/>
    <w:rsid w:val="009C41B4"/>
    <w:rsid w:val="009C6370"/>
    <w:rsid w:val="009C66DA"/>
    <w:rsid w:val="009C72D6"/>
    <w:rsid w:val="009C7B0A"/>
    <w:rsid w:val="009D32C5"/>
    <w:rsid w:val="009D5D04"/>
    <w:rsid w:val="009E32B0"/>
    <w:rsid w:val="009E3321"/>
    <w:rsid w:val="009E392C"/>
    <w:rsid w:val="009E4FCD"/>
    <w:rsid w:val="009E64C9"/>
    <w:rsid w:val="009E6C2D"/>
    <w:rsid w:val="009E7F80"/>
    <w:rsid w:val="009F54B0"/>
    <w:rsid w:val="009F7CF5"/>
    <w:rsid w:val="00A00B5B"/>
    <w:rsid w:val="00A018D9"/>
    <w:rsid w:val="00A02D50"/>
    <w:rsid w:val="00A07995"/>
    <w:rsid w:val="00A11A1D"/>
    <w:rsid w:val="00A12122"/>
    <w:rsid w:val="00A1396E"/>
    <w:rsid w:val="00A14345"/>
    <w:rsid w:val="00A15ED3"/>
    <w:rsid w:val="00A16389"/>
    <w:rsid w:val="00A173D2"/>
    <w:rsid w:val="00A20269"/>
    <w:rsid w:val="00A229C1"/>
    <w:rsid w:val="00A2676C"/>
    <w:rsid w:val="00A301A4"/>
    <w:rsid w:val="00A31A90"/>
    <w:rsid w:val="00A35071"/>
    <w:rsid w:val="00A4270F"/>
    <w:rsid w:val="00A42851"/>
    <w:rsid w:val="00A455E0"/>
    <w:rsid w:val="00A5236D"/>
    <w:rsid w:val="00A617AF"/>
    <w:rsid w:val="00A631E4"/>
    <w:rsid w:val="00A63366"/>
    <w:rsid w:val="00A64709"/>
    <w:rsid w:val="00A65DBD"/>
    <w:rsid w:val="00A71E36"/>
    <w:rsid w:val="00A7427B"/>
    <w:rsid w:val="00A755C8"/>
    <w:rsid w:val="00A75EA3"/>
    <w:rsid w:val="00A76586"/>
    <w:rsid w:val="00A76B0C"/>
    <w:rsid w:val="00A77CF1"/>
    <w:rsid w:val="00A80EA5"/>
    <w:rsid w:val="00A8457F"/>
    <w:rsid w:val="00A87398"/>
    <w:rsid w:val="00A903F2"/>
    <w:rsid w:val="00A92C4A"/>
    <w:rsid w:val="00A92CE8"/>
    <w:rsid w:val="00A93F50"/>
    <w:rsid w:val="00A94A53"/>
    <w:rsid w:val="00A94C75"/>
    <w:rsid w:val="00A95CDB"/>
    <w:rsid w:val="00AA30B0"/>
    <w:rsid w:val="00AB1C17"/>
    <w:rsid w:val="00AB1D22"/>
    <w:rsid w:val="00AB304E"/>
    <w:rsid w:val="00AB3E8D"/>
    <w:rsid w:val="00AB40A0"/>
    <w:rsid w:val="00AB491E"/>
    <w:rsid w:val="00AB66C3"/>
    <w:rsid w:val="00AB752A"/>
    <w:rsid w:val="00AB78DC"/>
    <w:rsid w:val="00AC0286"/>
    <w:rsid w:val="00AC5082"/>
    <w:rsid w:val="00AD000A"/>
    <w:rsid w:val="00AD7C77"/>
    <w:rsid w:val="00AE0C1B"/>
    <w:rsid w:val="00AE14AD"/>
    <w:rsid w:val="00AE1EC7"/>
    <w:rsid w:val="00AE2C1A"/>
    <w:rsid w:val="00AE4825"/>
    <w:rsid w:val="00AE4BD0"/>
    <w:rsid w:val="00AE5444"/>
    <w:rsid w:val="00AE5F2C"/>
    <w:rsid w:val="00AF1213"/>
    <w:rsid w:val="00AF2DE0"/>
    <w:rsid w:val="00B06623"/>
    <w:rsid w:val="00B073BB"/>
    <w:rsid w:val="00B167F7"/>
    <w:rsid w:val="00B16B04"/>
    <w:rsid w:val="00B20C5E"/>
    <w:rsid w:val="00B23624"/>
    <w:rsid w:val="00B23BDA"/>
    <w:rsid w:val="00B25220"/>
    <w:rsid w:val="00B30F64"/>
    <w:rsid w:val="00B377D9"/>
    <w:rsid w:val="00B41712"/>
    <w:rsid w:val="00B41FBB"/>
    <w:rsid w:val="00B42ED8"/>
    <w:rsid w:val="00B43819"/>
    <w:rsid w:val="00B45F6B"/>
    <w:rsid w:val="00B46ABE"/>
    <w:rsid w:val="00B47940"/>
    <w:rsid w:val="00B50EB2"/>
    <w:rsid w:val="00B53C5D"/>
    <w:rsid w:val="00B56473"/>
    <w:rsid w:val="00B56F20"/>
    <w:rsid w:val="00B57152"/>
    <w:rsid w:val="00B60558"/>
    <w:rsid w:val="00B63034"/>
    <w:rsid w:val="00B63C6B"/>
    <w:rsid w:val="00B6584F"/>
    <w:rsid w:val="00B660B2"/>
    <w:rsid w:val="00B66B88"/>
    <w:rsid w:val="00B70A12"/>
    <w:rsid w:val="00B74D2E"/>
    <w:rsid w:val="00B77A6C"/>
    <w:rsid w:val="00B822AF"/>
    <w:rsid w:val="00B83476"/>
    <w:rsid w:val="00B840DA"/>
    <w:rsid w:val="00B849D2"/>
    <w:rsid w:val="00B84F38"/>
    <w:rsid w:val="00B852B0"/>
    <w:rsid w:val="00B90348"/>
    <w:rsid w:val="00B90C80"/>
    <w:rsid w:val="00B9149A"/>
    <w:rsid w:val="00B93714"/>
    <w:rsid w:val="00B9391E"/>
    <w:rsid w:val="00B950C4"/>
    <w:rsid w:val="00BA02D5"/>
    <w:rsid w:val="00BA07EC"/>
    <w:rsid w:val="00BA1BD7"/>
    <w:rsid w:val="00BA3969"/>
    <w:rsid w:val="00BA415C"/>
    <w:rsid w:val="00BB092B"/>
    <w:rsid w:val="00BB1901"/>
    <w:rsid w:val="00BB3C2E"/>
    <w:rsid w:val="00BC0743"/>
    <w:rsid w:val="00BC1353"/>
    <w:rsid w:val="00BC1C83"/>
    <w:rsid w:val="00BC21F2"/>
    <w:rsid w:val="00BC4DA8"/>
    <w:rsid w:val="00BD31F1"/>
    <w:rsid w:val="00BD5D61"/>
    <w:rsid w:val="00BD68C3"/>
    <w:rsid w:val="00BE0E17"/>
    <w:rsid w:val="00BE36F8"/>
    <w:rsid w:val="00BE65B9"/>
    <w:rsid w:val="00BF3870"/>
    <w:rsid w:val="00BF7188"/>
    <w:rsid w:val="00C030EF"/>
    <w:rsid w:val="00C04894"/>
    <w:rsid w:val="00C04B4D"/>
    <w:rsid w:val="00C04EDA"/>
    <w:rsid w:val="00C063C0"/>
    <w:rsid w:val="00C07E82"/>
    <w:rsid w:val="00C103B5"/>
    <w:rsid w:val="00C12508"/>
    <w:rsid w:val="00C12A02"/>
    <w:rsid w:val="00C144CE"/>
    <w:rsid w:val="00C14B8A"/>
    <w:rsid w:val="00C16AA9"/>
    <w:rsid w:val="00C20716"/>
    <w:rsid w:val="00C20EAA"/>
    <w:rsid w:val="00C2195C"/>
    <w:rsid w:val="00C21BA4"/>
    <w:rsid w:val="00C21FCF"/>
    <w:rsid w:val="00C312EE"/>
    <w:rsid w:val="00C32713"/>
    <w:rsid w:val="00C35EF0"/>
    <w:rsid w:val="00C40686"/>
    <w:rsid w:val="00C413C7"/>
    <w:rsid w:val="00C43B7E"/>
    <w:rsid w:val="00C4469C"/>
    <w:rsid w:val="00C45289"/>
    <w:rsid w:val="00C47AC7"/>
    <w:rsid w:val="00C47D1D"/>
    <w:rsid w:val="00C50062"/>
    <w:rsid w:val="00C53F65"/>
    <w:rsid w:val="00C54EC6"/>
    <w:rsid w:val="00C5647F"/>
    <w:rsid w:val="00C578F4"/>
    <w:rsid w:val="00C61347"/>
    <w:rsid w:val="00C62FA2"/>
    <w:rsid w:val="00C64CBE"/>
    <w:rsid w:val="00C77847"/>
    <w:rsid w:val="00C81369"/>
    <w:rsid w:val="00C8356E"/>
    <w:rsid w:val="00C84CC5"/>
    <w:rsid w:val="00C93723"/>
    <w:rsid w:val="00C938A3"/>
    <w:rsid w:val="00C9494B"/>
    <w:rsid w:val="00C94E60"/>
    <w:rsid w:val="00C9583F"/>
    <w:rsid w:val="00CA0D46"/>
    <w:rsid w:val="00CA18A8"/>
    <w:rsid w:val="00CA2B8B"/>
    <w:rsid w:val="00CA2E9F"/>
    <w:rsid w:val="00CA7873"/>
    <w:rsid w:val="00CA7900"/>
    <w:rsid w:val="00CB0735"/>
    <w:rsid w:val="00CB1314"/>
    <w:rsid w:val="00CB1714"/>
    <w:rsid w:val="00CB4674"/>
    <w:rsid w:val="00CB651D"/>
    <w:rsid w:val="00CB664D"/>
    <w:rsid w:val="00CB708F"/>
    <w:rsid w:val="00CB70B9"/>
    <w:rsid w:val="00CB79F2"/>
    <w:rsid w:val="00CC0C30"/>
    <w:rsid w:val="00CC459F"/>
    <w:rsid w:val="00CC552F"/>
    <w:rsid w:val="00CC58F2"/>
    <w:rsid w:val="00CC5C41"/>
    <w:rsid w:val="00CC6C59"/>
    <w:rsid w:val="00CC777C"/>
    <w:rsid w:val="00CC7F3E"/>
    <w:rsid w:val="00CD1BB7"/>
    <w:rsid w:val="00CD1CC2"/>
    <w:rsid w:val="00CD4151"/>
    <w:rsid w:val="00CD5612"/>
    <w:rsid w:val="00CD781C"/>
    <w:rsid w:val="00CE0047"/>
    <w:rsid w:val="00CE21DE"/>
    <w:rsid w:val="00CE42C5"/>
    <w:rsid w:val="00CE4DA8"/>
    <w:rsid w:val="00CE5735"/>
    <w:rsid w:val="00CF0D5B"/>
    <w:rsid w:val="00CF1EA6"/>
    <w:rsid w:val="00CF345D"/>
    <w:rsid w:val="00CF3DF7"/>
    <w:rsid w:val="00CF5F78"/>
    <w:rsid w:val="00CF61A3"/>
    <w:rsid w:val="00CF6907"/>
    <w:rsid w:val="00CF7D9C"/>
    <w:rsid w:val="00D0670D"/>
    <w:rsid w:val="00D075BE"/>
    <w:rsid w:val="00D075F0"/>
    <w:rsid w:val="00D10B09"/>
    <w:rsid w:val="00D1379E"/>
    <w:rsid w:val="00D1434A"/>
    <w:rsid w:val="00D15A95"/>
    <w:rsid w:val="00D161BA"/>
    <w:rsid w:val="00D1667F"/>
    <w:rsid w:val="00D16E06"/>
    <w:rsid w:val="00D205DB"/>
    <w:rsid w:val="00D21CD7"/>
    <w:rsid w:val="00D222B0"/>
    <w:rsid w:val="00D22E72"/>
    <w:rsid w:val="00D23E06"/>
    <w:rsid w:val="00D3270B"/>
    <w:rsid w:val="00D33139"/>
    <w:rsid w:val="00D3711A"/>
    <w:rsid w:val="00D37277"/>
    <w:rsid w:val="00D376C5"/>
    <w:rsid w:val="00D40879"/>
    <w:rsid w:val="00D42F87"/>
    <w:rsid w:val="00D43C12"/>
    <w:rsid w:val="00D44A49"/>
    <w:rsid w:val="00D45481"/>
    <w:rsid w:val="00D45F8D"/>
    <w:rsid w:val="00D46FD7"/>
    <w:rsid w:val="00D50616"/>
    <w:rsid w:val="00D559C6"/>
    <w:rsid w:val="00D61612"/>
    <w:rsid w:val="00D6378C"/>
    <w:rsid w:val="00D64FB9"/>
    <w:rsid w:val="00D653CB"/>
    <w:rsid w:val="00D666B2"/>
    <w:rsid w:val="00D7231F"/>
    <w:rsid w:val="00D72D81"/>
    <w:rsid w:val="00D75E98"/>
    <w:rsid w:val="00D764F9"/>
    <w:rsid w:val="00D776C9"/>
    <w:rsid w:val="00D8037D"/>
    <w:rsid w:val="00D81005"/>
    <w:rsid w:val="00D8194E"/>
    <w:rsid w:val="00D81AB6"/>
    <w:rsid w:val="00D84E18"/>
    <w:rsid w:val="00D871A9"/>
    <w:rsid w:val="00D874DC"/>
    <w:rsid w:val="00D90135"/>
    <w:rsid w:val="00D929AF"/>
    <w:rsid w:val="00D92D88"/>
    <w:rsid w:val="00D939AF"/>
    <w:rsid w:val="00D949B1"/>
    <w:rsid w:val="00D961AF"/>
    <w:rsid w:val="00DA2BD8"/>
    <w:rsid w:val="00DA6C16"/>
    <w:rsid w:val="00DA6D43"/>
    <w:rsid w:val="00DB12A8"/>
    <w:rsid w:val="00DB17C4"/>
    <w:rsid w:val="00DB3837"/>
    <w:rsid w:val="00DB413B"/>
    <w:rsid w:val="00DB4EE1"/>
    <w:rsid w:val="00DB6F5A"/>
    <w:rsid w:val="00DC1AED"/>
    <w:rsid w:val="00DC2DDA"/>
    <w:rsid w:val="00DC460C"/>
    <w:rsid w:val="00DC771E"/>
    <w:rsid w:val="00DD0417"/>
    <w:rsid w:val="00DD2B8C"/>
    <w:rsid w:val="00DD330C"/>
    <w:rsid w:val="00DD761F"/>
    <w:rsid w:val="00DE122C"/>
    <w:rsid w:val="00DE124C"/>
    <w:rsid w:val="00DE4F86"/>
    <w:rsid w:val="00DE50C3"/>
    <w:rsid w:val="00DE6AEF"/>
    <w:rsid w:val="00DF12A1"/>
    <w:rsid w:val="00DF147B"/>
    <w:rsid w:val="00DF4A99"/>
    <w:rsid w:val="00DF5821"/>
    <w:rsid w:val="00E03D0A"/>
    <w:rsid w:val="00E0429F"/>
    <w:rsid w:val="00E05390"/>
    <w:rsid w:val="00E102D5"/>
    <w:rsid w:val="00E15632"/>
    <w:rsid w:val="00E163AA"/>
    <w:rsid w:val="00E173BA"/>
    <w:rsid w:val="00E2250D"/>
    <w:rsid w:val="00E226A8"/>
    <w:rsid w:val="00E257B5"/>
    <w:rsid w:val="00E30AC3"/>
    <w:rsid w:val="00E31924"/>
    <w:rsid w:val="00E323F1"/>
    <w:rsid w:val="00E33621"/>
    <w:rsid w:val="00E340FF"/>
    <w:rsid w:val="00E354D5"/>
    <w:rsid w:val="00E37261"/>
    <w:rsid w:val="00E373BB"/>
    <w:rsid w:val="00E37960"/>
    <w:rsid w:val="00E406F9"/>
    <w:rsid w:val="00E41792"/>
    <w:rsid w:val="00E43E12"/>
    <w:rsid w:val="00E479F7"/>
    <w:rsid w:val="00E50589"/>
    <w:rsid w:val="00E55360"/>
    <w:rsid w:val="00E610F0"/>
    <w:rsid w:val="00E6150B"/>
    <w:rsid w:val="00E61736"/>
    <w:rsid w:val="00E624C8"/>
    <w:rsid w:val="00E636FA"/>
    <w:rsid w:val="00E64B08"/>
    <w:rsid w:val="00E72AB8"/>
    <w:rsid w:val="00E732F7"/>
    <w:rsid w:val="00E77FAE"/>
    <w:rsid w:val="00E8101B"/>
    <w:rsid w:val="00E8316E"/>
    <w:rsid w:val="00E86268"/>
    <w:rsid w:val="00E86D79"/>
    <w:rsid w:val="00E86EE2"/>
    <w:rsid w:val="00E87BF6"/>
    <w:rsid w:val="00E90110"/>
    <w:rsid w:val="00E91AC7"/>
    <w:rsid w:val="00E929CA"/>
    <w:rsid w:val="00E94867"/>
    <w:rsid w:val="00E95110"/>
    <w:rsid w:val="00E951DF"/>
    <w:rsid w:val="00E964F1"/>
    <w:rsid w:val="00EA245F"/>
    <w:rsid w:val="00EA3B17"/>
    <w:rsid w:val="00EA4244"/>
    <w:rsid w:val="00EB144B"/>
    <w:rsid w:val="00EB37CC"/>
    <w:rsid w:val="00EB4F2E"/>
    <w:rsid w:val="00EB61AA"/>
    <w:rsid w:val="00EC07BA"/>
    <w:rsid w:val="00EC2F97"/>
    <w:rsid w:val="00EC570A"/>
    <w:rsid w:val="00EC63CD"/>
    <w:rsid w:val="00EC7046"/>
    <w:rsid w:val="00ED1DE7"/>
    <w:rsid w:val="00ED2983"/>
    <w:rsid w:val="00ED70F7"/>
    <w:rsid w:val="00EE054E"/>
    <w:rsid w:val="00EE62E1"/>
    <w:rsid w:val="00EF2EAD"/>
    <w:rsid w:val="00EF3F09"/>
    <w:rsid w:val="00EF6240"/>
    <w:rsid w:val="00EF77A1"/>
    <w:rsid w:val="00F0022B"/>
    <w:rsid w:val="00F00D31"/>
    <w:rsid w:val="00F00E5B"/>
    <w:rsid w:val="00F03C0E"/>
    <w:rsid w:val="00F10375"/>
    <w:rsid w:val="00F10F84"/>
    <w:rsid w:val="00F122AB"/>
    <w:rsid w:val="00F12E16"/>
    <w:rsid w:val="00F1570A"/>
    <w:rsid w:val="00F173E5"/>
    <w:rsid w:val="00F20236"/>
    <w:rsid w:val="00F21984"/>
    <w:rsid w:val="00F261B8"/>
    <w:rsid w:val="00F26334"/>
    <w:rsid w:val="00F26BEA"/>
    <w:rsid w:val="00F26D8D"/>
    <w:rsid w:val="00F27E7B"/>
    <w:rsid w:val="00F335B2"/>
    <w:rsid w:val="00F33977"/>
    <w:rsid w:val="00F3461F"/>
    <w:rsid w:val="00F3593B"/>
    <w:rsid w:val="00F369BB"/>
    <w:rsid w:val="00F37C88"/>
    <w:rsid w:val="00F40128"/>
    <w:rsid w:val="00F46875"/>
    <w:rsid w:val="00F477C0"/>
    <w:rsid w:val="00F50DAC"/>
    <w:rsid w:val="00F53150"/>
    <w:rsid w:val="00F53D2A"/>
    <w:rsid w:val="00F54C7A"/>
    <w:rsid w:val="00F5618C"/>
    <w:rsid w:val="00F638CD"/>
    <w:rsid w:val="00F66999"/>
    <w:rsid w:val="00F70016"/>
    <w:rsid w:val="00F7077E"/>
    <w:rsid w:val="00F70C9D"/>
    <w:rsid w:val="00F70F9E"/>
    <w:rsid w:val="00F750AD"/>
    <w:rsid w:val="00F81687"/>
    <w:rsid w:val="00F8194D"/>
    <w:rsid w:val="00F8243B"/>
    <w:rsid w:val="00F82916"/>
    <w:rsid w:val="00F82A29"/>
    <w:rsid w:val="00F82FC2"/>
    <w:rsid w:val="00F85376"/>
    <w:rsid w:val="00F85377"/>
    <w:rsid w:val="00F867ED"/>
    <w:rsid w:val="00F917A4"/>
    <w:rsid w:val="00F917FD"/>
    <w:rsid w:val="00F93433"/>
    <w:rsid w:val="00F943A9"/>
    <w:rsid w:val="00F964F9"/>
    <w:rsid w:val="00FA6AE4"/>
    <w:rsid w:val="00FA7635"/>
    <w:rsid w:val="00FB2D88"/>
    <w:rsid w:val="00FB3547"/>
    <w:rsid w:val="00FB3553"/>
    <w:rsid w:val="00FB40E6"/>
    <w:rsid w:val="00FB4D9E"/>
    <w:rsid w:val="00FB522B"/>
    <w:rsid w:val="00FB55F4"/>
    <w:rsid w:val="00FB56B2"/>
    <w:rsid w:val="00FB738F"/>
    <w:rsid w:val="00FC1580"/>
    <w:rsid w:val="00FC5842"/>
    <w:rsid w:val="00FD3079"/>
    <w:rsid w:val="00FD4766"/>
    <w:rsid w:val="00FE0F76"/>
    <w:rsid w:val="00FE10D9"/>
    <w:rsid w:val="00FE122A"/>
    <w:rsid w:val="00FE3E8E"/>
    <w:rsid w:val="00FE4180"/>
    <w:rsid w:val="00FE64C4"/>
    <w:rsid w:val="00FE6692"/>
    <w:rsid w:val="00FF0FA2"/>
    <w:rsid w:val="00FF376F"/>
    <w:rsid w:val="00FF7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F43FD1"/>
  <w15:chartTrackingRefBased/>
  <w15:docId w15:val="{BDAFB29D-1576-4FC3-BC8F-21B3BC9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046"/>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BodyText2">
    <w:name w:val="Body Text 2"/>
    <w:basedOn w:val="Normal"/>
    <w:link w:val="BodyText2Char"/>
    <w:rPr>
      <w:sz w:val="24"/>
    </w:rPr>
  </w:style>
  <w:style w:type="paragraph" w:styleId="BodyTextIndent">
    <w:name w:val="Body Text Indent"/>
    <w:basedOn w:val="Normal"/>
    <w:pPr>
      <w:ind w:left="1440"/>
    </w:pPr>
    <w:rPr>
      <w:sz w:val="24"/>
      <w:u w:val="single"/>
    </w:rPr>
  </w:style>
  <w:style w:type="paragraph" w:styleId="BodyTextIndent2">
    <w:name w:val="Body Text Indent 2"/>
    <w:basedOn w:val="Normal"/>
    <w:pPr>
      <w:ind w:left="720" w:firstLine="720"/>
    </w:pPr>
    <w:rPr>
      <w:sz w:val="24"/>
    </w:rPr>
  </w:style>
  <w:style w:type="paragraph" w:styleId="BodyTextIndent3">
    <w:name w:val="Body Text Indent 3"/>
    <w:basedOn w:val="Normal"/>
    <w:pPr>
      <w:ind w:left="720"/>
    </w:pPr>
    <w:rPr>
      <w:sz w:val="24"/>
    </w:rPr>
  </w:style>
  <w:style w:type="paragraph" w:styleId="Header">
    <w:name w:val="header"/>
    <w:basedOn w:val="Normal"/>
    <w:rsid w:val="00261439"/>
    <w:pPr>
      <w:tabs>
        <w:tab w:val="center" w:pos="4320"/>
        <w:tab w:val="right" w:pos="8640"/>
      </w:tabs>
    </w:pPr>
  </w:style>
  <w:style w:type="paragraph" w:styleId="Footer">
    <w:name w:val="footer"/>
    <w:basedOn w:val="Normal"/>
    <w:rsid w:val="00261439"/>
    <w:pPr>
      <w:tabs>
        <w:tab w:val="center" w:pos="4320"/>
        <w:tab w:val="right" w:pos="8640"/>
      </w:tabs>
    </w:pPr>
  </w:style>
  <w:style w:type="paragraph" w:styleId="FootnoteText">
    <w:name w:val="footnote text"/>
    <w:aliases w:val="ALTS FOOTNOTE,Footnote Text Char,Footnote Text Char Char,Footnote Text Char Char Char Char,Footnote Text Char Char Char Char Char Char1,Footnote Text Char1,Footnote Text Char1 Char Char,Footnote Text Char1 Char Char Char Char,f,fn,fn Ch"/>
    <w:basedOn w:val="Normal"/>
    <w:link w:val="FootnoteTextChar2"/>
    <w:rsid w:val="00F173E5"/>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F173E5"/>
    <w:rPr>
      <w:vertAlign w:val="superscript"/>
    </w:rPr>
  </w:style>
  <w:style w:type="character" w:styleId="PageNumber">
    <w:name w:val="page number"/>
    <w:basedOn w:val="DefaultParagraphFont"/>
    <w:rsid w:val="00713694"/>
  </w:style>
  <w:style w:type="character" w:customStyle="1" w:styleId="FootnoteTextChar2">
    <w:name w:val="Footnote Text Char2"/>
    <w:aliases w:val="Footnote Text Char Char Char,Footnote Text Char Char Char Char Char,Footnote Text Char Char Char Char Char Char1 Char,Footnote Text Char1 Char,Footnote Text Char1 Char Char Char,Footnote Text Char1 Char Char Char Char Char,fn Char"/>
    <w:link w:val="FootnoteText"/>
    <w:rsid w:val="00C144CE"/>
    <w:rPr>
      <w:lang w:val="en-US" w:eastAsia="en-US" w:bidi="ar-SA"/>
    </w:rPr>
  </w:style>
  <w:style w:type="table" w:styleId="TableGrid">
    <w:name w:val="Table Grid"/>
    <w:basedOn w:val="TableNormal"/>
    <w:rsid w:val="00BF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F2C"/>
    <w:rPr>
      <w:rFonts w:ascii="Tahoma" w:hAnsi="Tahoma" w:cs="Tahoma"/>
      <w:sz w:val="16"/>
      <w:szCs w:val="16"/>
    </w:rPr>
  </w:style>
  <w:style w:type="paragraph" w:customStyle="1" w:styleId="ParaNumChar">
    <w:name w:val="ParaNum Char"/>
    <w:basedOn w:val="Normal"/>
    <w:link w:val="ParaNumCharChar"/>
    <w:rsid w:val="00C8356E"/>
    <w:pPr>
      <w:widowControl w:val="0"/>
      <w:numPr>
        <w:numId w:val="24"/>
      </w:numPr>
      <w:spacing w:after="220"/>
      <w:jc w:val="both"/>
    </w:pPr>
    <w:rPr>
      <w:snapToGrid w:val="0"/>
      <w:kern w:val="28"/>
      <w:sz w:val="22"/>
    </w:rPr>
  </w:style>
  <w:style w:type="character" w:customStyle="1" w:styleId="ParaNumCharChar">
    <w:name w:val="ParaNum Char Char"/>
    <w:link w:val="ParaNumChar"/>
    <w:rsid w:val="00C8356E"/>
    <w:rPr>
      <w:snapToGrid w:val="0"/>
      <w:kern w:val="28"/>
      <w:sz w:val="22"/>
      <w:lang w:val="en-US" w:eastAsia="en-US" w:bidi="ar-SA"/>
    </w:rPr>
  </w:style>
  <w:style w:type="paragraph" w:customStyle="1" w:styleId="ParaNum">
    <w:name w:val="ParaNum"/>
    <w:basedOn w:val="Normal"/>
    <w:link w:val="ParaNumChar1"/>
    <w:rsid w:val="00E05390"/>
    <w:pPr>
      <w:widowControl w:val="0"/>
      <w:tabs>
        <w:tab w:val="num" w:pos="1080"/>
      </w:tabs>
      <w:spacing w:after="220"/>
      <w:ind w:firstLine="720"/>
      <w:jc w:val="both"/>
    </w:pPr>
    <w:rPr>
      <w:snapToGrid w:val="0"/>
      <w:kern w:val="28"/>
      <w:sz w:val="22"/>
    </w:rPr>
  </w:style>
  <w:style w:type="character" w:styleId="CommentReference">
    <w:name w:val="annotation reference"/>
    <w:semiHidden/>
    <w:rsid w:val="0005198D"/>
    <w:rPr>
      <w:sz w:val="16"/>
      <w:szCs w:val="16"/>
    </w:rPr>
  </w:style>
  <w:style w:type="paragraph" w:styleId="CommentText">
    <w:name w:val="annotation text"/>
    <w:basedOn w:val="Normal"/>
    <w:semiHidden/>
    <w:rsid w:val="0005198D"/>
  </w:style>
  <w:style w:type="paragraph" w:styleId="CommentSubject">
    <w:name w:val="annotation subject"/>
    <w:basedOn w:val="CommentText"/>
    <w:next w:val="CommentText"/>
    <w:semiHidden/>
    <w:rsid w:val="0005198D"/>
    <w:rPr>
      <w:b/>
      <w:bCs/>
    </w:rPr>
  </w:style>
  <w:style w:type="character" w:customStyle="1" w:styleId="ParaNumChar1">
    <w:name w:val="ParaNum Char1"/>
    <w:link w:val="ParaNum"/>
    <w:locked/>
    <w:rsid w:val="006055A5"/>
    <w:rPr>
      <w:snapToGrid w:val="0"/>
      <w:kern w:val="28"/>
      <w:sz w:val="22"/>
      <w:lang w:val="en-US" w:eastAsia="en-US" w:bidi="ar-SA"/>
    </w:rPr>
  </w:style>
  <w:style w:type="character" w:customStyle="1" w:styleId="BodyText2Char">
    <w:name w:val="Body Text 2 Char"/>
    <w:link w:val="BodyText2"/>
    <w:rsid w:val="00467A01"/>
    <w:rPr>
      <w:sz w:val="24"/>
    </w:rPr>
  </w:style>
  <w:style w:type="paragraph" w:styleId="Revision">
    <w:name w:val="Revision"/>
    <w:hidden/>
    <w:uiPriority w:val="99"/>
    <w:semiHidden/>
    <w:rsid w:val="003627C5"/>
  </w:style>
  <w:style w:type="paragraph" w:customStyle="1" w:styleId="NumberedList">
    <w:name w:val="Numbered List"/>
    <w:basedOn w:val="Normal"/>
    <w:rsid w:val="00C47D1D"/>
    <w:pPr>
      <w:numPr>
        <w:numId w:val="29"/>
      </w:numPr>
      <w:spacing w:after="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FC45-5188-487C-A4B3-A7772C6D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3258</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Note:  This submission is being made pursuant to Section 3507 of the Paperwork Reduction Act of 1995</vt:lpstr>
    </vt:vector>
  </TitlesOfParts>
  <Company>NECA, Inc.</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pursuant to Section 3507 of the Paperwork Reduction Act of 1995</dc:title>
  <dc:creator>ALAN YAMARONE</dc:creator>
  <cp:lastModifiedBy>Cathy Williams</cp:lastModifiedBy>
  <cp:revision>7</cp:revision>
  <cp:lastPrinted>2024-02-05T17:13:00Z</cp:lastPrinted>
  <dcterms:created xsi:type="dcterms:W3CDTF">2024-02-15T21:04:00Z</dcterms:created>
  <dcterms:modified xsi:type="dcterms:W3CDTF">2024-05-01T16:43:00Z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