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1AE8" w14:paraId="6F4B79C6" w14:textId="13D8C4FC">
      <w:pPr>
        <w:pStyle w:val="Title"/>
        <w:rPr>
          <w:rFonts w:ascii="Times New Roman" w:hAnsi="Times New Roman"/>
        </w:rPr>
      </w:pPr>
      <w:r>
        <w:rPr>
          <w:rFonts w:ascii="Times New Roman" w:hAnsi="Times New Roman"/>
        </w:rPr>
        <w:t>DEPARTMENT OF TRANSPORTATION (DOT)</w:t>
      </w:r>
    </w:p>
    <w:p w:rsidR="00561AE8" w14:paraId="7E09BF66" w14:textId="7BF63450">
      <w:pPr>
        <w:pStyle w:val="Title"/>
        <w:rPr>
          <w:rFonts w:ascii="Times New Roman" w:hAnsi="Times New Roman"/>
        </w:rPr>
      </w:pPr>
      <w:r>
        <w:rPr>
          <w:rFonts w:ascii="Times New Roman" w:hAnsi="Times New Roman"/>
        </w:rPr>
        <w:t>FEDERAL HIGHWAY ADMINISTRATION (FHWA)</w:t>
      </w:r>
    </w:p>
    <w:p w:rsidR="0088612C" w14:paraId="4D371241" w14:textId="2F41DE32">
      <w:pPr>
        <w:pStyle w:val="Title"/>
        <w:rPr>
          <w:rFonts w:ascii="Times New Roman" w:hAnsi="Times New Roman"/>
        </w:rPr>
      </w:pPr>
      <w:r>
        <w:rPr>
          <w:rFonts w:ascii="Times New Roman" w:hAnsi="Times New Roman"/>
        </w:rPr>
        <w:t>SUPPORTING STATEMENT</w:t>
      </w:r>
      <w:r w:rsidR="00561AE8">
        <w:rPr>
          <w:rFonts w:ascii="Times New Roman" w:hAnsi="Times New Roman"/>
        </w:rPr>
        <w:t xml:space="preserve"> B</w:t>
      </w:r>
    </w:p>
    <w:p w:rsidR="00561AE8" w14:paraId="0CF5E4D5" w14:textId="250A55AB">
      <w:pPr>
        <w:pStyle w:val="Title"/>
        <w:rPr>
          <w:rFonts w:ascii="Times New Roman" w:hAnsi="Times New Roman"/>
        </w:rPr>
      </w:pPr>
      <w:r>
        <w:rPr>
          <w:rFonts w:ascii="Times New Roman" w:hAnsi="Times New Roman"/>
        </w:rPr>
        <w:t>OMB CONTROL NUMBER 2125-0028</w:t>
      </w:r>
    </w:p>
    <w:p w:rsidR="0088612C" w14:paraId="54C41B02" w14:textId="77777777">
      <w:pPr>
        <w:rPr>
          <w:rFonts w:ascii="Times New Roman" w:hAnsi="Times New Roman"/>
          <w:b/>
          <w:bCs/>
          <w:sz w:val="24"/>
          <w:szCs w:val="24"/>
        </w:rPr>
      </w:pPr>
    </w:p>
    <w:p w:rsidR="0088612C" w14:paraId="024CFBF0" w14:textId="77777777">
      <w:pPr>
        <w:pStyle w:val="NormalWeb"/>
        <w:rPr>
          <w:rFonts w:ascii="Times New Roman" w:hAnsi="Times New Roman" w:cs="Times New Roman"/>
          <w:b/>
          <w:bCs/>
          <w:szCs w:val="20"/>
          <w:u w:val="single"/>
        </w:rPr>
      </w:pPr>
      <w:r>
        <w:rPr>
          <w:rFonts w:ascii="Times New Roman" w:hAnsi="Times New Roman" w:cs="Times New Roman"/>
          <w:b/>
          <w:bCs/>
          <w:szCs w:val="20"/>
          <w:u w:val="single"/>
        </w:rPr>
        <w:t>Part B. Collections of Information Employing Statistical Methods.</w:t>
      </w:r>
    </w:p>
    <w:p w:rsidR="0088612C" w14:paraId="5E69E25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88612C" w14:paraId="1F1D916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Pr>
          <w:rFonts w:ascii="Times New Roman" w:hAnsi="Times New Roman"/>
          <w:b/>
          <w:bCs/>
          <w:sz w:val="24"/>
        </w:rPr>
        <w:t>1. Describe potential respondent universe and any sampling selection method to be used.</w:t>
      </w:r>
    </w:p>
    <w:p w:rsidR="0088612C" w14:paraId="4C6107A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
    <w:p w:rsidR="0088612C" w14:paraId="41701BBD" w14:textId="4FE6799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b/>
          <w:bCs/>
          <w:sz w:val="24"/>
        </w:rPr>
        <w:tab/>
      </w:r>
      <w:r>
        <w:rPr>
          <w:rFonts w:ascii="Times New Roman" w:hAnsi="Times New Roman"/>
          <w:sz w:val="24"/>
        </w:rPr>
        <w:t>The respondent universe for annual HPMS data collection is ultimately each of the State transportation agencies</w:t>
      </w:r>
      <w:r w:rsidR="0003536F">
        <w:rPr>
          <w:rFonts w:ascii="Times New Roman" w:hAnsi="Times New Roman"/>
          <w:sz w:val="24"/>
        </w:rPr>
        <w:t>;</w:t>
      </w:r>
      <w:r>
        <w:rPr>
          <w:rFonts w:ascii="Times New Roman" w:hAnsi="Times New Roman"/>
          <w:sz w:val="24"/>
        </w:rPr>
        <w:t xml:space="preserve"> </w:t>
      </w:r>
      <w:r w:rsidR="0003536F">
        <w:rPr>
          <w:rFonts w:ascii="Times New Roman" w:hAnsi="Times New Roman"/>
          <w:sz w:val="24"/>
        </w:rPr>
        <w:t>e</w:t>
      </w:r>
      <w:r>
        <w:rPr>
          <w:rFonts w:ascii="Times New Roman" w:hAnsi="Times New Roman"/>
          <w:sz w:val="24"/>
        </w:rPr>
        <w:t xml:space="preserve">ach year by June 15, the States (in addition to the District of Columbia and Puerto Rico) are required to </w:t>
      </w:r>
      <w:r w:rsidRPr="009544F6">
        <w:rPr>
          <w:rFonts w:ascii="Times New Roman" w:hAnsi="Times New Roman"/>
          <w:sz w:val="24"/>
        </w:rPr>
        <w:t xml:space="preserve">submit their HPMS data to FHWA Headquarters in compliance with the procedures and coding contained within the </w:t>
      </w:r>
      <w:r w:rsidRPr="009544F6">
        <w:rPr>
          <w:rFonts w:ascii="Times New Roman" w:hAnsi="Times New Roman"/>
          <w:i/>
          <w:iCs/>
          <w:sz w:val="24"/>
        </w:rPr>
        <w:t>HPMS Field Manual</w:t>
      </w:r>
      <w:r w:rsidRPr="009544F6">
        <w:rPr>
          <w:rFonts w:ascii="Times New Roman" w:hAnsi="Times New Roman"/>
          <w:sz w:val="24"/>
        </w:rPr>
        <w:t>.  These data are mostly collected by State and</w:t>
      </w:r>
      <w:r w:rsidRPr="009544F6" w:rsidR="00441D72">
        <w:rPr>
          <w:rFonts w:ascii="Times New Roman" w:hAnsi="Times New Roman"/>
          <w:sz w:val="24"/>
        </w:rPr>
        <w:t xml:space="preserve">/or </w:t>
      </w:r>
      <w:r w:rsidRPr="009544F6">
        <w:rPr>
          <w:rFonts w:ascii="Times New Roman" w:hAnsi="Times New Roman"/>
          <w:sz w:val="24"/>
        </w:rPr>
        <w:t xml:space="preserve">local agencies.  A </w:t>
      </w:r>
      <w:r w:rsidRPr="009544F6" w:rsidR="0044400C">
        <w:rPr>
          <w:rFonts w:ascii="Times New Roman" w:hAnsi="Times New Roman"/>
          <w:sz w:val="24"/>
        </w:rPr>
        <w:t xml:space="preserve">random </w:t>
      </w:r>
      <w:r w:rsidRPr="009544F6">
        <w:rPr>
          <w:rFonts w:ascii="Times New Roman" w:hAnsi="Times New Roman"/>
          <w:sz w:val="24"/>
        </w:rPr>
        <w:t xml:space="preserve">sampling technique is used for </w:t>
      </w:r>
      <w:r w:rsidRPr="009544F6" w:rsidR="00441D72">
        <w:rPr>
          <w:rFonts w:ascii="Times New Roman" w:hAnsi="Times New Roman"/>
          <w:sz w:val="24"/>
        </w:rPr>
        <w:t xml:space="preserve">certain </w:t>
      </w:r>
      <w:r w:rsidRPr="009544F6">
        <w:rPr>
          <w:rFonts w:ascii="Times New Roman" w:hAnsi="Times New Roman"/>
          <w:sz w:val="24"/>
        </w:rPr>
        <w:t xml:space="preserve">various data items </w:t>
      </w:r>
      <w:r w:rsidRPr="009544F6" w:rsidR="00441D72">
        <w:rPr>
          <w:rFonts w:ascii="Times New Roman" w:hAnsi="Times New Roman"/>
          <w:sz w:val="24"/>
        </w:rPr>
        <w:t xml:space="preserve">which are </w:t>
      </w:r>
      <w:r w:rsidRPr="009544F6">
        <w:rPr>
          <w:rFonts w:ascii="Times New Roman" w:hAnsi="Times New Roman"/>
          <w:sz w:val="24"/>
        </w:rPr>
        <w:t xml:space="preserve">not needed on a universe basis.  </w:t>
      </w:r>
      <w:r w:rsidR="00951F01">
        <w:rPr>
          <w:rFonts w:ascii="Times New Roman" w:hAnsi="Times New Roman"/>
          <w:sz w:val="24"/>
        </w:rPr>
        <w:t>T</w:t>
      </w:r>
      <w:r w:rsidRPr="009544F6" w:rsidR="0003536F">
        <w:rPr>
          <w:rFonts w:ascii="Times New Roman" w:hAnsi="Times New Roman"/>
          <w:sz w:val="24"/>
        </w:rPr>
        <w:t>he universe from which the random sample is drawn</w:t>
      </w:r>
      <w:r w:rsidRPr="009544F6" w:rsidR="002A3C50">
        <w:rPr>
          <w:rFonts w:ascii="Times New Roman" w:hAnsi="Times New Roman"/>
          <w:sz w:val="24"/>
        </w:rPr>
        <w:t xml:space="preserve"> by the State/local agencies</w:t>
      </w:r>
      <w:r w:rsidR="00951F01">
        <w:rPr>
          <w:rFonts w:ascii="Times New Roman" w:hAnsi="Times New Roman"/>
          <w:sz w:val="24"/>
        </w:rPr>
        <w:t xml:space="preserve"> are </w:t>
      </w:r>
      <w:r w:rsidRPr="009544F6" w:rsidR="0003536F">
        <w:rPr>
          <w:rFonts w:ascii="Times New Roman" w:hAnsi="Times New Roman"/>
          <w:sz w:val="24"/>
        </w:rPr>
        <w:t xml:space="preserve">all public and open to travel roadway sections for all functional systems except for the rural minor collectors and rural and urban local functional systems.  </w:t>
      </w:r>
      <w:r w:rsidRPr="009544F6">
        <w:rPr>
          <w:rFonts w:ascii="Times New Roman" w:hAnsi="Times New Roman"/>
          <w:sz w:val="24"/>
        </w:rPr>
        <w:t>This sampling scheme consists of a random sampling of roadway sections stratified by area</w:t>
      </w:r>
      <w:r w:rsidR="00FF5660">
        <w:rPr>
          <w:rFonts w:ascii="Times New Roman" w:hAnsi="Times New Roman"/>
          <w:sz w:val="24"/>
        </w:rPr>
        <w:t xml:space="preserve"> type (e.g., </w:t>
      </w:r>
      <w:r w:rsidR="00FF5660">
        <w:rPr>
          <w:rFonts w:ascii="Times New Roman" w:hAnsi="Times New Roman"/>
          <w:sz w:val="24"/>
        </w:rPr>
        <w:t>rural</w:t>
      </w:r>
      <w:r w:rsidR="00FF5660">
        <w:rPr>
          <w:rFonts w:ascii="Times New Roman" w:hAnsi="Times New Roman"/>
          <w:sz w:val="24"/>
        </w:rPr>
        <w:t xml:space="preserve"> and urban)</w:t>
      </w:r>
      <w:r w:rsidR="00277063">
        <w:rPr>
          <w:rFonts w:ascii="Times New Roman" w:hAnsi="Times New Roman"/>
          <w:sz w:val="24"/>
        </w:rPr>
        <w:t xml:space="preserve"> and</w:t>
      </w:r>
      <w:r w:rsidRPr="009544F6">
        <w:rPr>
          <w:rFonts w:ascii="Times New Roman" w:hAnsi="Times New Roman"/>
          <w:sz w:val="24"/>
        </w:rPr>
        <w:t xml:space="preserve"> functional classification of roadway</w:t>
      </w:r>
      <w:r w:rsidR="00FF5660">
        <w:rPr>
          <w:rFonts w:ascii="Times New Roman" w:hAnsi="Times New Roman"/>
          <w:sz w:val="24"/>
        </w:rPr>
        <w:t xml:space="preserve"> (e.g., interstate, arterial, and collector)</w:t>
      </w:r>
      <w:r w:rsidRPr="009544F6">
        <w:rPr>
          <w:rFonts w:ascii="Times New Roman" w:hAnsi="Times New Roman"/>
          <w:sz w:val="24"/>
        </w:rPr>
        <w:t xml:space="preserve"> and traffic volume group strata and is the only real statistical aspect of the HPMS program.  </w:t>
      </w:r>
      <w:r w:rsidR="008E53AD">
        <w:rPr>
          <w:rFonts w:ascii="Times New Roman" w:hAnsi="Times New Roman"/>
          <w:sz w:val="24"/>
        </w:rPr>
        <w:t xml:space="preserve">Limited information is collected on a summary basis for rural minor collectors and local roadways.  </w:t>
      </w:r>
      <w:r w:rsidRPr="009544F6">
        <w:rPr>
          <w:rFonts w:ascii="Times New Roman" w:hAnsi="Times New Roman"/>
          <w:sz w:val="24"/>
        </w:rPr>
        <w:t xml:space="preserve">For further details please </w:t>
      </w:r>
      <w:r w:rsidRPr="009544F6" w:rsidR="00254DFC">
        <w:rPr>
          <w:rFonts w:ascii="Times New Roman" w:hAnsi="Times New Roman"/>
          <w:sz w:val="24"/>
        </w:rPr>
        <w:t xml:space="preserve">see below and </w:t>
      </w:r>
      <w:r w:rsidRPr="009544F6">
        <w:rPr>
          <w:rFonts w:ascii="Times New Roman" w:hAnsi="Times New Roman"/>
          <w:sz w:val="24"/>
        </w:rPr>
        <w:t xml:space="preserve">refer to the </w:t>
      </w:r>
      <w:r w:rsidRPr="009544F6">
        <w:rPr>
          <w:rFonts w:ascii="Times New Roman" w:hAnsi="Times New Roman"/>
          <w:i/>
          <w:iCs/>
          <w:sz w:val="24"/>
        </w:rPr>
        <w:t>HPMS Field Manual</w:t>
      </w:r>
      <w:r w:rsidRPr="009544F6">
        <w:rPr>
          <w:rFonts w:ascii="Times New Roman" w:hAnsi="Times New Roman"/>
          <w:sz w:val="24"/>
        </w:rPr>
        <w:t>.</w:t>
      </w:r>
      <w:r w:rsidRPr="009544F6" w:rsidR="0094435C">
        <w:rPr>
          <w:rFonts w:ascii="Times New Roman" w:hAnsi="Times New Roman"/>
          <w:sz w:val="24"/>
        </w:rPr>
        <w:t xml:space="preserve">  </w:t>
      </w:r>
    </w:p>
    <w:p w:rsidR="0088612C" w14:paraId="04E4FBB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Pr>
          <w:rFonts w:ascii="Times New Roman" w:hAnsi="Times New Roman"/>
          <w:b/>
          <w:bCs/>
          <w:sz w:val="24"/>
        </w:rPr>
        <w:br/>
        <w:t>2. Describe procedures for collecting information, including statistical methodology for stratification and sample selection, estimation procedures, degree of accuracy needed, and less than annual periodic data cycles.</w:t>
      </w:r>
    </w:p>
    <w:p w:rsidR="0088612C" w14:paraId="5F99CEC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
    <w:p w:rsidR="00302E19" w14:paraId="2A9EC20C" w14:textId="4D727BD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b/>
          <w:bCs/>
          <w:sz w:val="24"/>
        </w:rPr>
        <w:tab/>
      </w:r>
      <w:r w:rsidRPr="008E53AD">
        <w:rPr>
          <w:rFonts w:ascii="Times New Roman" w:hAnsi="Times New Roman"/>
          <w:b/>
          <w:bCs/>
          <w:sz w:val="24"/>
        </w:rPr>
        <w:t xml:space="preserve">All procedures for collecting, reporting, and statistical methodologies can be found in the </w:t>
      </w:r>
      <w:r w:rsidRPr="008E53AD">
        <w:rPr>
          <w:rFonts w:ascii="Times New Roman" w:hAnsi="Times New Roman"/>
          <w:b/>
          <w:bCs/>
          <w:i/>
          <w:iCs/>
          <w:sz w:val="24"/>
        </w:rPr>
        <w:t>HPMS Field Manual</w:t>
      </w:r>
      <w:r w:rsidRPr="008E53AD">
        <w:rPr>
          <w:rFonts w:ascii="Times New Roman" w:hAnsi="Times New Roman"/>
          <w:b/>
          <w:bCs/>
          <w:sz w:val="24"/>
        </w:rPr>
        <w:t>.</w:t>
      </w:r>
      <w:r>
        <w:rPr>
          <w:rFonts w:ascii="Times New Roman" w:hAnsi="Times New Roman"/>
          <w:sz w:val="24"/>
        </w:rPr>
        <w:t xml:space="preserve">  Random samples</w:t>
      </w:r>
      <w:r w:rsidR="00C74871">
        <w:rPr>
          <w:rFonts w:ascii="Times New Roman" w:hAnsi="Times New Roman"/>
          <w:sz w:val="24"/>
        </w:rPr>
        <w:t>, which are used for the collection of certain data items,</w:t>
      </w:r>
      <w:r>
        <w:rPr>
          <w:rFonts w:ascii="Times New Roman" w:hAnsi="Times New Roman"/>
          <w:sz w:val="24"/>
        </w:rPr>
        <w:t xml:space="preserve"> are to be drawn by the State that conform to the traffic volume group strata</w:t>
      </w:r>
      <w:r w:rsidR="008A5877">
        <w:rPr>
          <w:rFonts w:ascii="Times New Roman" w:hAnsi="Times New Roman"/>
          <w:sz w:val="24"/>
        </w:rPr>
        <w:t>,</w:t>
      </w:r>
      <w:r>
        <w:rPr>
          <w:rFonts w:ascii="Times New Roman" w:hAnsi="Times New Roman"/>
          <w:sz w:val="24"/>
        </w:rPr>
        <w:t xml:space="preserve"> confidence interval </w:t>
      </w:r>
      <w:r w:rsidR="008D038E">
        <w:rPr>
          <w:rFonts w:ascii="Times New Roman" w:hAnsi="Times New Roman"/>
          <w:sz w:val="24"/>
        </w:rPr>
        <w:t>and</w:t>
      </w:r>
      <w:r w:rsidR="006706DB">
        <w:rPr>
          <w:rFonts w:ascii="Times New Roman" w:hAnsi="Times New Roman"/>
          <w:sz w:val="24"/>
        </w:rPr>
        <w:t xml:space="preserve"> precision rates, </w:t>
      </w:r>
      <w:r>
        <w:rPr>
          <w:rFonts w:ascii="Times New Roman" w:hAnsi="Times New Roman"/>
          <w:sz w:val="24"/>
        </w:rPr>
        <w:t xml:space="preserve">based on area and roadway functional classification </w:t>
      </w:r>
      <w:r>
        <w:rPr>
          <w:rFonts w:ascii="Times New Roman" w:hAnsi="Times New Roman"/>
          <w:sz w:val="24"/>
        </w:rPr>
        <w:t>as follows</w:t>
      </w:r>
      <w:r w:rsidR="00041D0E">
        <w:rPr>
          <w:rFonts w:ascii="Times New Roman" w:hAnsi="Times New Roman"/>
          <w:sz w:val="24"/>
        </w:rPr>
        <w:t xml:space="preserve"> in the table below.  Within each cell, the first number represents the confidence </w:t>
      </w:r>
      <w:r w:rsidR="008E53AD">
        <w:rPr>
          <w:rFonts w:ascii="Times New Roman" w:hAnsi="Times New Roman"/>
          <w:sz w:val="24"/>
        </w:rPr>
        <w:t>level</w:t>
      </w:r>
      <w:r w:rsidR="00041D0E">
        <w:rPr>
          <w:rFonts w:ascii="Times New Roman" w:hAnsi="Times New Roman"/>
          <w:sz w:val="24"/>
        </w:rPr>
        <w:t xml:space="preserve">, while the second number is the precision rate.  </w:t>
      </w:r>
    </w:p>
    <w:p w:rsidR="00302E19" w14:paraId="278715B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tbl>
      <w:tblPr>
        <w:tblW w:w="92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1002"/>
        <w:gridCol w:w="1802"/>
        <w:gridCol w:w="1001"/>
        <w:gridCol w:w="1439"/>
        <w:gridCol w:w="1063"/>
        <w:gridCol w:w="990"/>
        <w:gridCol w:w="990"/>
        <w:gridCol w:w="900"/>
        <w:gridCol w:w="18"/>
      </w:tblGrid>
      <w:tr w14:paraId="17040E76" w14:textId="77777777" w:rsidTr="008E53AD">
        <w:tblPrEx>
          <w:tblW w:w="92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cantSplit/>
        </w:trPr>
        <w:tc>
          <w:tcPr>
            <w:tcW w:w="2807" w:type="dxa"/>
            <w:gridSpan w:val="2"/>
            <w:vMerge w:val="restart"/>
            <w:shd w:val="clear" w:color="auto" w:fill="D9D9D9"/>
          </w:tcPr>
          <w:p w:rsidR="008A5877" w:rsidRPr="00D77B04" w:rsidP="003B322C" w14:paraId="6310A8AA" w14:textId="77777777">
            <w:pPr>
              <w:pStyle w:val="BodyText"/>
              <w:spacing w:before="60" w:after="60"/>
              <w:jc w:val="center"/>
              <w:rPr>
                <w:rFonts w:ascii="Arial Narrow" w:hAnsi="Arial Narrow"/>
                <w:color w:val="000000"/>
                <w:sz w:val="20"/>
                <w:szCs w:val="20"/>
              </w:rPr>
            </w:pPr>
          </w:p>
        </w:tc>
        <w:tc>
          <w:tcPr>
            <w:tcW w:w="6398" w:type="dxa"/>
            <w:gridSpan w:val="7"/>
            <w:shd w:val="clear" w:color="auto" w:fill="D9D9D9"/>
            <w:vAlign w:val="bottom"/>
          </w:tcPr>
          <w:p w:rsidR="008A5877" w:rsidRPr="00D77B04" w:rsidP="003B322C" w14:paraId="4DE9A24C" w14:textId="29D4A3A4">
            <w:pPr>
              <w:pStyle w:val="BodyText"/>
              <w:spacing w:before="60" w:after="60"/>
              <w:jc w:val="center"/>
              <w:rPr>
                <w:rFonts w:ascii="Arial Narrow" w:hAnsi="Arial Narrow"/>
                <w:b/>
                <w:color w:val="000000"/>
                <w:sz w:val="20"/>
                <w:szCs w:val="20"/>
              </w:rPr>
            </w:pPr>
            <w:r>
              <w:rPr>
                <w:rFonts w:ascii="Arial Narrow" w:hAnsi="Arial Narrow"/>
                <w:b/>
                <w:color w:val="000000"/>
                <w:sz w:val="20"/>
                <w:szCs w:val="20"/>
              </w:rPr>
              <w:t>Functional Classification</w:t>
            </w:r>
          </w:p>
        </w:tc>
      </w:tr>
      <w:tr w14:paraId="592140AC" w14:textId="77777777" w:rsidTr="008E53AD">
        <w:tblPrEx>
          <w:tblW w:w="9205" w:type="dxa"/>
          <w:tblInd w:w="72" w:type="dxa"/>
          <w:tblLayout w:type="fixed"/>
          <w:tblCellMar>
            <w:left w:w="58" w:type="dxa"/>
            <w:right w:w="58" w:type="dxa"/>
          </w:tblCellMar>
          <w:tblLook w:val="01E0"/>
        </w:tblPrEx>
        <w:trPr>
          <w:gridAfter w:val="1"/>
          <w:wAfter w:w="14" w:type="dxa"/>
          <w:cantSplit/>
        </w:trPr>
        <w:tc>
          <w:tcPr>
            <w:tcW w:w="2807" w:type="dxa"/>
            <w:gridSpan w:val="2"/>
            <w:vMerge/>
            <w:shd w:val="clear" w:color="auto" w:fill="D9D9D9"/>
          </w:tcPr>
          <w:p w:rsidR="008A5877" w:rsidRPr="00D77B04" w:rsidP="003B322C" w14:paraId="0458A84F" w14:textId="3E651DEE">
            <w:pPr>
              <w:pStyle w:val="BodyText"/>
              <w:spacing w:before="60" w:after="60"/>
              <w:jc w:val="center"/>
              <w:rPr>
                <w:rFonts w:ascii="Arial Narrow" w:hAnsi="Arial Narrow"/>
                <w:color w:val="000000"/>
                <w:sz w:val="20"/>
                <w:szCs w:val="20"/>
              </w:rPr>
            </w:pPr>
          </w:p>
        </w:tc>
        <w:tc>
          <w:tcPr>
            <w:tcW w:w="1001" w:type="dxa"/>
            <w:shd w:val="clear" w:color="auto" w:fill="D9D9D9"/>
            <w:vAlign w:val="bottom"/>
          </w:tcPr>
          <w:p w:rsidR="008A5877" w:rsidRPr="00D77B04" w:rsidP="003B322C" w14:paraId="583D9339"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Interstate</w:t>
            </w:r>
          </w:p>
        </w:tc>
        <w:tc>
          <w:tcPr>
            <w:tcW w:w="1440" w:type="dxa"/>
            <w:shd w:val="clear" w:color="auto" w:fill="D9D9D9"/>
            <w:vAlign w:val="bottom"/>
          </w:tcPr>
          <w:p w:rsidR="008A5877" w:rsidRPr="00D77B04" w:rsidP="003B322C" w14:paraId="4D45D835"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Other Freeways and Expressways</w:t>
            </w:r>
          </w:p>
        </w:tc>
        <w:tc>
          <w:tcPr>
            <w:tcW w:w="1063" w:type="dxa"/>
            <w:shd w:val="clear" w:color="auto" w:fill="D9D9D9"/>
            <w:vAlign w:val="bottom"/>
          </w:tcPr>
          <w:p w:rsidR="008A5877" w:rsidRPr="00D77B04" w:rsidP="003B322C" w14:paraId="0B8455AE"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Other Principal Arterial</w:t>
            </w:r>
          </w:p>
        </w:tc>
        <w:tc>
          <w:tcPr>
            <w:tcW w:w="990" w:type="dxa"/>
            <w:shd w:val="clear" w:color="auto" w:fill="D9D9D9"/>
            <w:vAlign w:val="bottom"/>
          </w:tcPr>
          <w:p w:rsidR="008A5877" w:rsidRPr="00D77B04" w:rsidP="003B322C" w14:paraId="6ED7A151"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 xml:space="preserve">Minor </w:t>
            </w:r>
            <w:r w:rsidRPr="00D77B04">
              <w:rPr>
                <w:rFonts w:ascii="Arial Narrow" w:hAnsi="Arial Narrow"/>
                <w:b/>
                <w:color w:val="000000"/>
                <w:sz w:val="20"/>
                <w:szCs w:val="20"/>
              </w:rPr>
              <w:br/>
              <w:t>Arterial</w:t>
            </w:r>
          </w:p>
        </w:tc>
        <w:tc>
          <w:tcPr>
            <w:tcW w:w="990" w:type="dxa"/>
            <w:shd w:val="clear" w:color="auto" w:fill="D9D9D9"/>
            <w:vAlign w:val="bottom"/>
          </w:tcPr>
          <w:p w:rsidR="008A5877" w:rsidRPr="00D77B04" w:rsidP="003B322C" w14:paraId="6154879A"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 xml:space="preserve">Major </w:t>
            </w:r>
            <w:r w:rsidRPr="00D77B04">
              <w:rPr>
                <w:rFonts w:ascii="Arial Narrow" w:hAnsi="Arial Narrow"/>
                <w:b/>
                <w:color w:val="000000"/>
                <w:sz w:val="20"/>
                <w:szCs w:val="20"/>
              </w:rPr>
              <w:br/>
              <w:t>Collector</w:t>
            </w:r>
          </w:p>
        </w:tc>
        <w:tc>
          <w:tcPr>
            <w:tcW w:w="900" w:type="dxa"/>
            <w:shd w:val="clear" w:color="auto" w:fill="D9D9D9"/>
            <w:vAlign w:val="bottom"/>
          </w:tcPr>
          <w:p w:rsidR="008A5877" w:rsidRPr="00D77B04" w:rsidP="003B322C" w14:paraId="02E2FD6F" w14:textId="77777777">
            <w:pPr>
              <w:pStyle w:val="BodyText"/>
              <w:spacing w:before="60" w:after="60"/>
              <w:jc w:val="center"/>
              <w:rPr>
                <w:rFonts w:ascii="Arial Narrow" w:hAnsi="Arial Narrow"/>
                <w:b/>
                <w:color w:val="000000"/>
                <w:sz w:val="20"/>
                <w:szCs w:val="20"/>
              </w:rPr>
            </w:pPr>
            <w:r w:rsidRPr="00D77B04">
              <w:rPr>
                <w:rFonts w:ascii="Arial Narrow" w:hAnsi="Arial Narrow"/>
                <w:b/>
                <w:color w:val="000000"/>
                <w:sz w:val="20"/>
                <w:szCs w:val="20"/>
              </w:rPr>
              <w:t xml:space="preserve">Minor </w:t>
            </w:r>
            <w:r w:rsidRPr="00D77B04">
              <w:rPr>
                <w:rFonts w:ascii="Arial Narrow" w:hAnsi="Arial Narrow"/>
                <w:b/>
                <w:color w:val="000000"/>
                <w:sz w:val="20"/>
                <w:szCs w:val="20"/>
              </w:rPr>
              <w:br/>
              <w:t>Collector</w:t>
            </w:r>
          </w:p>
        </w:tc>
      </w:tr>
      <w:tr w14:paraId="7B3415DB" w14:textId="77777777" w:rsidTr="008E53AD">
        <w:tblPrEx>
          <w:tblW w:w="9205" w:type="dxa"/>
          <w:tblInd w:w="72" w:type="dxa"/>
          <w:tblLayout w:type="fixed"/>
          <w:tblCellMar>
            <w:left w:w="58" w:type="dxa"/>
            <w:right w:w="58" w:type="dxa"/>
          </w:tblCellMar>
          <w:tblLook w:val="01E0"/>
        </w:tblPrEx>
        <w:trPr>
          <w:gridAfter w:val="1"/>
          <w:wAfter w:w="18" w:type="dxa"/>
          <w:cantSplit/>
        </w:trPr>
        <w:tc>
          <w:tcPr>
            <w:tcW w:w="1003" w:type="dxa"/>
            <w:vMerge w:val="restart"/>
          </w:tcPr>
          <w:p w:rsidR="008A5877" w:rsidRPr="00D77B04" w:rsidP="003B322C" w14:paraId="19CC68D0" w14:textId="5783FFB0">
            <w:pPr>
              <w:pStyle w:val="BodyText"/>
              <w:spacing w:before="60" w:after="60"/>
              <w:rPr>
                <w:rFonts w:ascii="Arial Narrow" w:hAnsi="Arial Narrow"/>
                <w:b/>
                <w:color w:val="000000"/>
                <w:sz w:val="20"/>
                <w:szCs w:val="20"/>
              </w:rPr>
            </w:pPr>
            <w:r>
              <w:rPr>
                <w:rFonts w:ascii="Arial Narrow" w:hAnsi="Arial Narrow"/>
                <w:b/>
                <w:color w:val="000000"/>
                <w:sz w:val="20"/>
                <w:szCs w:val="20"/>
              </w:rPr>
              <w:t>Area Type</w:t>
            </w:r>
          </w:p>
        </w:tc>
        <w:tc>
          <w:tcPr>
            <w:tcW w:w="1800" w:type="dxa"/>
          </w:tcPr>
          <w:p w:rsidR="008A5877" w:rsidRPr="00D77B04" w:rsidP="003B322C" w14:paraId="6BBAECE9" w14:textId="74EF4239">
            <w:pPr>
              <w:pStyle w:val="BodyText"/>
              <w:spacing w:before="60" w:after="60"/>
              <w:rPr>
                <w:rFonts w:ascii="Arial Narrow" w:hAnsi="Arial Narrow"/>
                <w:b/>
                <w:color w:val="000000"/>
                <w:sz w:val="20"/>
                <w:szCs w:val="20"/>
              </w:rPr>
            </w:pPr>
            <w:r w:rsidRPr="00D77B04">
              <w:rPr>
                <w:rFonts w:ascii="Arial Narrow" w:hAnsi="Arial Narrow"/>
                <w:b/>
                <w:color w:val="000000"/>
                <w:sz w:val="20"/>
                <w:szCs w:val="20"/>
              </w:rPr>
              <w:t xml:space="preserve">RURAL </w:t>
            </w:r>
          </w:p>
        </w:tc>
        <w:tc>
          <w:tcPr>
            <w:tcW w:w="1001" w:type="dxa"/>
          </w:tcPr>
          <w:p w:rsidR="008A5877" w:rsidRPr="00D77B04" w:rsidP="003B322C" w14:paraId="7D1FA319"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1440" w:type="dxa"/>
          </w:tcPr>
          <w:p w:rsidR="008A5877" w:rsidRPr="00D77B04" w:rsidP="003B322C" w14:paraId="41C0EB0C"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1063" w:type="dxa"/>
          </w:tcPr>
          <w:p w:rsidR="008A5877" w:rsidRPr="00D77B04" w:rsidP="003B322C" w14:paraId="2105F3AB"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990" w:type="dxa"/>
          </w:tcPr>
          <w:p w:rsidR="008A5877" w:rsidRPr="00D77B04" w:rsidP="003B322C" w14:paraId="7C61A575"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990" w:type="dxa"/>
          </w:tcPr>
          <w:p w:rsidR="008A5877" w:rsidRPr="00D77B04" w:rsidP="003B322C" w14:paraId="49157E80"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900" w:type="dxa"/>
          </w:tcPr>
          <w:p w:rsidR="008A5877" w:rsidRPr="00D77B04" w:rsidP="003B322C" w14:paraId="58A2DE39"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w:t>
            </w:r>
          </w:p>
        </w:tc>
      </w:tr>
      <w:tr w14:paraId="4B37D219" w14:textId="77777777" w:rsidTr="008E53AD">
        <w:tblPrEx>
          <w:tblW w:w="9205" w:type="dxa"/>
          <w:tblInd w:w="72" w:type="dxa"/>
          <w:tblLayout w:type="fixed"/>
          <w:tblCellMar>
            <w:left w:w="58" w:type="dxa"/>
            <w:right w:w="58" w:type="dxa"/>
          </w:tblCellMar>
          <w:tblLook w:val="01E0"/>
        </w:tblPrEx>
        <w:trPr>
          <w:gridAfter w:val="1"/>
          <w:wAfter w:w="18" w:type="dxa"/>
          <w:cantSplit/>
        </w:trPr>
        <w:tc>
          <w:tcPr>
            <w:tcW w:w="1003" w:type="dxa"/>
            <w:vMerge/>
          </w:tcPr>
          <w:p w:rsidR="008A5877" w:rsidRPr="00D77B04" w:rsidP="003B322C" w14:paraId="433ACFD1" w14:textId="77777777">
            <w:pPr>
              <w:pStyle w:val="BodyText"/>
              <w:spacing w:before="60" w:after="60"/>
              <w:rPr>
                <w:rFonts w:ascii="Arial Narrow" w:hAnsi="Arial Narrow"/>
                <w:b/>
                <w:color w:val="000000"/>
                <w:sz w:val="20"/>
                <w:szCs w:val="20"/>
              </w:rPr>
            </w:pPr>
          </w:p>
        </w:tc>
        <w:tc>
          <w:tcPr>
            <w:tcW w:w="1800" w:type="dxa"/>
          </w:tcPr>
          <w:p w:rsidR="008A5877" w:rsidRPr="00D77B04" w:rsidP="003B322C" w14:paraId="18377B01" w14:textId="51DDC0D0">
            <w:pPr>
              <w:pStyle w:val="BodyText"/>
              <w:spacing w:before="60" w:after="60"/>
              <w:rPr>
                <w:rFonts w:ascii="Arial Narrow" w:hAnsi="Arial Narrow"/>
                <w:b/>
                <w:color w:val="000000"/>
                <w:sz w:val="20"/>
                <w:szCs w:val="20"/>
              </w:rPr>
            </w:pPr>
            <w:r w:rsidRPr="00D77B04">
              <w:rPr>
                <w:rFonts w:ascii="Arial Narrow" w:hAnsi="Arial Narrow"/>
                <w:b/>
                <w:color w:val="000000"/>
                <w:sz w:val="20"/>
                <w:szCs w:val="20"/>
              </w:rPr>
              <w:t>SMALL URBAN</w:t>
            </w:r>
          </w:p>
        </w:tc>
        <w:tc>
          <w:tcPr>
            <w:tcW w:w="1001" w:type="dxa"/>
          </w:tcPr>
          <w:p w:rsidR="008A5877" w:rsidRPr="00D77B04" w:rsidP="003B322C" w14:paraId="2376A65D"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1440" w:type="dxa"/>
          </w:tcPr>
          <w:p w:rsidR="008A5877" w:rsidRPr="00D77B04" w:rsidP="003B322C" w14:paraId="19D8FED3"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1063" w:type="dxa"/>
          </w:tcPr>
          <w:p w:rsidR="008A5877" w:rsidRPr="00D77B04" w:rsidP="003B322C" w14:paraId="34B4B19B"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90-5</w:t>
            </w:r>
          </w:p>
        </w:tc>
        <w:tc>
          <w:tcPr>
            <w:tcW w:w="990" w:type="dxa"/>
          </w:tcPr>
          <w:p w:rsidR="008A5877" w:rsidRPr="00D77B04" w:rsidP="003B322C" w14:paraId="130E4FB1"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990" w:type="dxa"/>
          </w:tcPr>
          <w:p w:rsidR="008A5877" w:rsidRPr="00D77B04" w:rsidP="003B322C" w14:paraId="2713FE9C"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900" w:type="dxa"/>
          </w:tcPr>
          <w:p w:rsidR="008A5877" w:rsidRPr="00D77B04" w:rsidP="003B322C" w14:paraId="451B812F"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r>
      <w:tr w14:paraId="19C15D20" w14:textId="77777777" w:rsidTr="008E53AD">
        <w:tblPrEx>
          <w:tblW w:w="9205" w:type="dxa"/>
          <w:tblInd w:w="72" w:type="dxa"/>
          <w:tblLayout w:type="fixed"/>
          <w:tblCellMar>
            <w:left w:w="58" w:type="dxa"/>
            <w:right w:w="58" w:type="dxa"/>
          </w:tblCellMar>
          <w:tblLook w:val="01E0"/>
        </w:tblPrEx>
        <w:trPr>
          <w:gridAfter w:val="1"/>
          <w:wAfter w:w="18" w:type="dxa"/>
          <w:cantSplit/>
        </w:trPr>
        <w:tc>
          <w:tcPr>
            <w:tcW w:w="1003" w:type="dxa"/>
            <w:vMerge/>
          </w:tcPr>
          <w:p w:rsidR="008A5877" w:rsidRPr="00D77B04" w:rsidP="003B322C" w14:paraId="2DCB148C" w14:textId="77777777">
            <w:pPr>
              <w:pStyle w:val="BodyText"/>
              <w:spacing w:before="60" w:after="60"/>
              <w:rPr>
                <w:rFonts w:ascii="Arial Narrow" w:hAnsi="Arial Narrow"/>
                <w:b/>
                <w:color w:val="000000"/>
                <w:sz w:val="20"/>
                <w:szCs w:val="20"/>
              </w:rPr>
            </w:pPr>
          </w:p>
        </w:tc>
        <w:tc>
          <w:tcPr>
            <w:tcW w:w="1800" w:type="dxa"/>
          </w:tcPr>
          <w:p w:rsidR="008A5877" w:rsidRPr="00D77B04" w:rsidP="003B322C" w14:paraId="3783E3BF" w14:textId="4243601D">
            <w:pPr>
              <w:pStyle w:val="BodyText"/>
              <w:spacing w:before="60" w:after="60"/>
              <w:rPr>
                <w:rFonts w:ascii="Arial Narrow" w:hAnsi="Arial Narrow"/>
                <w:b/>
                <w:color w:val="000000"/>
                <w:sz w:val="20"/>
                <w:szCs w:val="20"/>
              </w:rPr>
            </w:pPr>
            <w:r w:rsidRPr="00D77B04">
              <w:rPr>
                <w:rFonts w:ascii="Arial Narrow" w:hAnsi="Arial Narrow"/>
                <w:b/>
                <w:color w:val="000000"/>
                <w:sz w:val="20"/>
                <w:szCs w:val="20"/>
              </w:rPr>
              <w:t xml:space="preserve">URBANIZED </w:t>
            </w:r>
            <w:r w:rsidRPr="00D77B04">
              <w:rPr>
                <w:rFonts w:ascii="Arial Narrow" w:hAnsi="Arial Narrow"/>
                <w:b/>
                <w:color w:val="000000"/>
                <w:sz w:val="20"/>
                <w:szCs w:val="20"/>
              </w:rPr>
              <w:br/>
              <w:t>&lt; 200,000 population</w:t>
            </w:r>
          </w:p>
        </w:tc>
        <w:tc>
          <w:tcPr>
            <w:tcW w:w="1001" w:type="dxa"/>
          </w:tcPr>
          <w:p w:rsidR="008A5877" w:rsidRPr="00D77B04" w:rsidP="003B322C" w14:paraId="59C4E7FB"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1440" w:type="dxa"/>
          </w:tcPr>
          <w:p w:rsidR="008A5877" w:rsidRPr="00D77B04" w:rsidP="003B322C" w14:paraId="720480F7"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1063" w:type="dxa"/>
          </w:tcPr>
          <w:p w:rsidR="008A5877" w:rsidRPr="00D77B04" w:rsidP="003B322C" w14:paraId="31D47C71"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990" w:type="dxa"/>
          </w:tcPr>
          <w:p w:rsidR="008A5877" w:rsidRPr="00D77B04" w:rsidP="003B322C" w14:paraId="3FB6C681"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 xml:space="preserve">80-10 or </w:t>
            </w:r>
            <w:r w:rsidRPr="00D77B04">
              <w:rPr>
                <w:rFonts w:ascii="Arial Narrow" w:hAnsi="Arial Narrow"/>
                <w:color w:val="000000"/>
                <w:sz w:val="20"/>
                <w:szCs w:val="20"/>
              </w:rPr>
              <w:br/>
              <w:t>70-15</w:t>
            </w:r>
            <w:r w:rsidRPr="00D77B04">
              <w:rPr>
                <w:rFonts w:ascii="Arial Narrow" w:hAnsi="Arial Narrow"/>
                <w:color w:val="000000"/>
                <w:sz w:val="20"/>
                <w:szCs w:val="20"/>
                <w:vertAlign w:val="superscript"/>
              </w:rPr>
              <w:t>*</w:t>
            </w:r>
          </w:p>
        </w:tc>
        <w:tc>
          <w:tcPr>
            <w:tcW w:w="990" w:type="dxa"/>
          </w:tcPr>
          <w:p w:rsidR="008A5877" w:rsidRPr="00D77B04" w:rsidP="003B322C" w14:paraId="61EA1954"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 xml:space="preserve">80-10 or </w:t>
            </w:r>
            <w:r w:rsidRPr="00D77B04">
              <w:rPr>
                <w:rFonts w:ascii="Arial Narrow" w:hAnsi="Arial Narrow"/>
                <w:color w:val="000000"/>
                <w:sz w:val="20"/>
                <w:szCs w:val="20"/>
              </w:rPr>
              <w:br/>
              <w:t>70-15</w:t>
            </w:r>
            <w:r w:rsidRPr="00D77B04">
              <w:rPr>
                <w:rFonts w:ascii="Arial Narrow" w:hAnsi="Arial Narrow"/>
                <w:color w:val="000000"/>
                <w:sz w:val="20"/>
                <w:szCs w:val="20"/>
                <w:vertAlign w:val="superscript"/>
              </w:rPr>
              <w:t xml:space="preserve"> *</w:t>
            </w:r>
          </w:p>
        </w:tc>
        <w:tc>
          <w:tcPr>
            <w:tcW w:w="900" w:type="dxa"/>
          </w:tcPr>
          <w:p w:rsidR="008A5877" w:rsidRPr="00D77B04" w:rsidP="003B322C" w14:paraId="6CDA9CE1"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 xml:space="preserve">80-10 or </w:t>
            </w:r>
            <w:r w:rsidRPr="00D77B04">
              <w:rPr>
                <w:rFonts w:ascii="Arial Narrow" w:hAnsi="Arial Narrow"/>
                <w:color w:val="000000"/>
                <w:sz w:val="20"/>
                <w:szCs w:val="20"/>
              </w:rPr>
              <w:br/>
              <w:t>70-15</w:t>
            </w:r>
            <w:r w:rsidRPr="00D77B04">
              <w:rPr>
                <w:rFonts w:ascii="Arial Narrow" w:hAnsi="Arial Narrow"/>
                <w:color w:val="000000"/>
                <w:sz w:val="20"/>
                <w:szCs w:val="20"/>
                <w:vertAlign w:val="superscript"/>
              </w:rPr>
              <w:t xml:space="preserve"> *</w:t>
            </w:r>
          </w:p>
        </w:tc>
      </w:tr>
      <w:tr w14:paraId="11C14764" w14:textId="77777777" w:rsidTr="008E53AD">
        <w:tblPrEx>
          <w:tblW w:w="9205" w:type="dxa"/>
          <w:tblInd w:w="72" w:type="dxa"/>
          <w:tblLayout w:type="fixed"/>
          <w:tblCellMar>
            <w:left w:w="58" w:type="dxa"/>
            <w:right w:w="58" w:type="dxa"/>
          </w:tblCellMar>
          <w:tblLook w:val="01E0"/>
        </w:tblPrEx>
        <w:trPr>
          <w:gridAfter w:val="1"/>
          <w:wAfter w:w="18" w:type="dxa"/>
          <w:cantSplit/>
        </w:trPr>
        <w:tc>
          <w:tcPr>
            <w:tcW w:w="1003" w:type="dxa"/>
            <w:vMerge/>
          </w:tcPr>
          <w:p w:rsidR="008A5877" w:rsidRPr="00D77B04" w:rsidP="003B322C" w14:paraId="4A70D914" w14:textId="77777777">
            <w:pPr>
              <w:pStyle w:val="BodyText"/>
              <w:spacing w:before="60" w:after="60"/>
              <w:rPr>
                <w:rFonts w:ascii="Arial Narrow" w:hAnsi="Arial Narrow"/>
                <w:b/>
                <w:color w:val="000000"/>
                <w:sz w:val="20"/>
                <w:szCs w:val="20"/>
              </w:rPr>
            </w:pPr>
          </w:p>
        </w:tc>
        <w:tc>
          <w:tcPr>
            <w:tcW w:w="1800" w:type="dxa"/>
          </w:tcPr>
          <w:p w:rsidR="008A5877" w:rsidRPr="00D77B04" w:rsidP="003B322C" w14:paraId="2A1E51FE" w14:textId="62E01ACB">
            <w:pPr>
              <w:pStyle w:val="BodyText"/>
              <w:spacing w:before="60" w:after="60"/>
              <w:rPr>
                <w:rFonts w:ascii="Arial Narrow" w:hAnsi="Arial Narrow"/>
                <w:b/>
                <w:color w:val="000000"/>
                <w:sz w:val="20"/>
                <w:szCs w:val="20"/>
              </w:rPr>
            </w:pPr>
            <w:r w:rsidRPr="00D77B04">
              <w:rPr>
                <w:rFonts w:ascii="Arial Narrow" w:hAnsi="Arial Narrow"/>
                <w:b/>
                <w:color w:val="000000"/>
                <w:sz w:val="20"/>
                <w:szCs w:val="20"/>
              </w:rPr>
              <w:t xml:space="preserve">URBANIZED </w:t>
            </w:r>
            <w:r w:rsidRPr="00D77B04">
              <w:rPr>
                <w:rFonts w:ascii="Arial Narrow" w:hAnsi="Arial Narrow"/>
                <w:b/>
                <w:color w:val="000000"/>
                <w:sz w:val="20"/>
                <w:szCs w:val="20"/>
              </w:rPr>
              <w:br/>
            </w:r>
            <w:r w:rsidRPr="00D77B04">
              <w:rPr>
                <w:rFonts w:ascii="Arial Narrow" w:hAnsi="Arial Narrow"/>
                <w:b/>
                <w:color w:val="000000"/>
                <w:sz w:val="20"/>
                <w:szCs w:val="20"/>
                <w:u w:val="single"/>
              </w:rPr>
              <w:t xml:space="preserve">&gt; </w:t>
            </w:r>
            <w:r w:rsidRPr="00D77B04">
              <w:rPr>
                <w:rFonts w:ascii="Arial Narrow" w:hAnsi="Arial Narrow"/>
                <w:b/>
                <w:color w:val="000000"/>
                <w:sz w:val="20"/>
                <w:szCs w:val="20"/>
              </w:rPr>
              <w:t>200,000 population</w:t>
            </w:r>
          </w:p>
        </w:tc>
        <w:tc>
          <w:tcPr>
            <w:tcW w:w="1001" w:type="dxa"/>
          </w:tcPr>
          <w:p w:rsidR="008A5877" w:rsidRPr="00D77B04" w:rsidP="003B322C" w14:paraId="683C4E0B"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1440" w:type="dxa"/>
          </w:tcPr>
          <w:p w:rsidR="008A5877" w:rsidRPr="00D77B04" w:rsidP="003B322C" w14:paraId="6C8AF4DA"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1063" w:type="dxa"/>
          </w:tcPr>
          <w:p w:rsidR="008A5877" w:rsidRPr="00D77B04" w:rsidP="003B322C" w14:paraId="29E04EE0"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990" w:type="dxa"/>
          </w:tcPr>
          <w:p w:rsidR="008A5877" w:rsidRPr="00D77B04" w:rsidP="003B322C" w14:paraId="1D3EAEA2"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90-10</w:t>
            </w:r>
          </w:p>
        </w:tc>
        <w:tc>
          <w:tcPr>
            <w:tcW w:w="990" w:type="dxa"/>
          </w:tcPr>
          <w:p w:rsidR="008A5877" w:rsidRPr="00D77B04" w:rsidP="003B322C" w14:paraId="08BE4CBB"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c>
          <w:tcPr>
            <w:tcW w:w="900" w:type="dxa"/>
          </w:tcPr>
          <w:p w:rsidR="008A5877" w:rsidRPr="00D77B04" w:rsidP="003B322C" w14:paraId="0792472D" w14:textId="77777777">
            <w:pPr>
              <w:pStyle w:val="BodyText"/>
              <w:spacing w:before="60" w:after="60"/>
              <w:jc w:val="center"/>
              <w:rPr>
                <w:rFonts w:ascii="Arial Narrow" w:hAnsi="Arial Narrow"/>
                <w:color w:val="000000"/>
                <w:sz w:val="20"/>
                <w:szCs w:val="20"/>
              </w:rPr>
            </w:pPr>
            <w:r w:rsidRPr="00D77B04">
              <w:rPr>
                <w:rFonts w:ascii="Arial Narrow" w:hAnsi="Arial Narrow"/>
                <w:color w:val="000000"/>
                <w:sz w:val="20"/>
                <w:szCs w:val="20"/>
              </w:rPr>
              <w:t>80-10</w:t>
            </w:r>
          </w:p>
        </w:tc>
      </w:tr>
    </w:tbl>
    <w:p w:rsidR="00D77B04" w:rsidRPr="002E3159" w:rsidP="00D77B04" w14:paraId="3EDC8A17" w14:textId="77777777">
      <w:pPr>
        <w:ind w:hanging="486"/>
        <w:rPr>
          <w:rFonts w:ascii="Calibri" w:hAnsi="Calibri"/>
        </w:rPr>
      </w:pPr>
      <w:r>
        <w:rPr>
          <w:rFonts w:ascii="Calibri" w:hAnsi="Calibri"/>
        </w:rPr>
        <w:t>*T</w:t>
      </w:r>
      <w:r w:rsidRPr="002E3159">
        <w:rPr>
          <w:rFonts w:ascii="Calibri" w:hAnsi="Calibri"/>
        </w:rPr>
        <w:t>hese precision levels</w:t>
      </w:r>
      <w:r>
        <w:rPr>
          <w:rFonts w:ascii="Calibri" w:hAnsi="Calibri"/>
        </w:rPr>
        <w:t xml:space="preserve"> will be applied</w:t>
      </w:r>
      <w:r w:rsidRPr="002E3159">
        <w:rPr>
          <w:rFonts w:ascii="Calibri" w:hAnsi="Calibri"/>
        </w:rPr>
        <w:t xml:space="preserve"> if </w:t>
      </w:r>
      <w:r>
        <w:rPr>
          <w:rFonts w:ascii="Calibri" w:hAnsi="Calibri"/>
        </w:rPr>
        <w:t>a State</w:t>
      </w:r>
      <w:r w:rsidRPr="002E3159">
        <w:rPr>
          <w:rFonts w:ascii="Calibri" w:hAnsi="Calibri"/>
        </w:rPr>
        <w:t xml:space="preserve"> has three or more urbanized areas with a population &lt; 200,000.</w:t>
      </w:r>
    </w:p>
    <w:p w:rsidR="006706DB" w14:paraId="61468B0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34489" w14:paraId="7D69704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ab/>
        <w:t xml:space="preserve">The formula used to estimate the required number of samples </w:t>
      </w:r>
      <w:r w:rsidR="00BE308D">
        <w:rPr>
          <w:rFonts w:ascii="Times New Roman" w:hAnsi="Times New Roman"/>
          <w:sz w:val="24"/>
        </w:rPr>
        <w:t xml:space="preserve">in each volume group </w:t>
      </w:r>
      <w:r w:rsidR="008915E7">
        <w:rPr>
          <w:rFonts w:ascii="Times New Roman" w:hAnsi="Times New Roman"/>
          <w:sz w:val="24"/>
        </w:rPr>
        <w:t xml:space="preserve">and </w:t>
      </w:r>
      <w:r>
        <w:rPr>
          <w:rFonts w:ascii="Times New Roman" w:hAnsi="Times New Roman"/>
          <w:sz w:val="24"/>
        </w:rPr>
        <w:t>to check sample adequacy is:</w:t>
      </w:r>
    </w:p>
    <w:p w:rsidR="00C34489" w:rsidRPr="00B03806" w:rsidP="00C34489" w14:paraId="51067AFD" w14:textId="77777777">
      <w:pPr>
        <w:pStyle w:val="BodyText"/>
      </w:pPr>
      <w:r>
        <w:rPr>
          <w:position w:val="-72"/>
          <w:szCs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91.5pt" o:oleicon="f" o:ole="">
            <v:imagedata r:id="rId4" o:title=""/>
          </v:shape>
          <o:OLEObject Type="Embed" ProgID="Equation.3" ShapeID="_x0000_i1025" DrawAspect="Content" ObjectID="_1781427043" r:id="rId5"/>
        </w:object>
      </w:r>
    </w:p>
    <w:p w:rsidR="00C34489" w:rsidP="00C34489" w14:paraId="00A91228" w14:textId="77777777">
      <w:pPr>
        <w:pStyle w:val="BodyText"/>
        <w:keepNext/>
        <w:rPr>
          <w:color w:val="000000"/>
        </w:rPr>
      </w:pPr>
    </w:p>
    <w:p w:rsidR="00C34489" w:rsidRPr="00C34489" w:rsidP="00C34489" w14:paraId="712A3EA0" w14:textId="77777777">
      <w:pPr>
        <w:pStyle w:val="BodyText"/>
        <w:keepNext/>
        <w:rPr>
          <w:color w:val="000000"/>
          <w:sz w:val="20"/>
          <w:szCs w:val="20"/>
        </w:rPr>
      </w:pPr>
      <w:r w:rsidRPr="00C34489">
        <w:rPr>
          <w:color w:val="000000"/>
          <w:sz w:val="20"/>
          <w:szCs w:val="20"/>
        </w:rPr>
        <w:t>Where:</w:t>
      </w:r>
    </w:p>
    <w:p w:rsidR="00C34489" w:rsidRPr="00C34489" w:rsidP="00C34489" w14:paraId="7CB185DF" w14:textId="77777777">
      <w:pPr>
        <w:pStyle w:val="BodyText"/>
        <w:keepNext/>
        <w:tabs>
          <w:tab w:val="left" w:pos="360"/>
        </w:tabs>
        <w:ind w:left="720" w:hanging="720"/>
        <w:rPr>
          <w:color w:val="000000"/>
          <w:sz w:val="20"/>
          <w:szCs w:val="20"/>
        </w:rPr>
      </w:pPr>
      <w:r w:rsidRPr="00C34489">
        <w:rPr>
          <w:i/>
          <w:color w:val="000000"/>
          <w:sz w:val="20"/>
          <w:szCs w:val="20"/>
        </w:rPr>
        <w:t>n</w:t>
      </w:r>
      <w:r w:rsidRPr="00C34489">
        <w:rPr>
          <w:color w:val="000000"/>
          <w:sz w:val="20"/>
          <w:szCs w:val="20"/>
        </w:rPr>
        <w:tab/>
        <w:t>=</w:t>
      </w:r>
      <w:r w:rsidRPr="00C34489">
        <w:rPr>
          <w:color w:val="000000"/>
          <w:sz w:val="20"/>
          <w:szCs w:val="20"/>
        </w:rPr>
        <w:tab/>
        <w:t>Required sample size</w:t>
      </w:r>
    </w:p>
    <w:p w:rsidR="00C34489" w:rsidRPr="00C34489" w:rsidP="00C34489" w14:paraId="4169AA3B" w14:textId="77777777">
      <w:pPr>
        <w:pStyle w:val="BodyText"/>
        <w:tabs>
          <w:tab w:val="left" w:pos="360"/>
        </w:tabs>
        <w:ind w:left="720" w:hanging="720"/>
        <w:rPr>
          <w:color w:val="000000"/>
          <w:sz w:val="20"/>
          <w:szCs w:val="20"/>
        </w:rPr>
      </w:pPr>
      <w:r w:rsidRPr="00C34489">
        <w:rPr>
          <w:i/>
          <w:color w:val="000000"/>
          <w:sz w:val="20"/>
          <w:szCs w:val="20"/>
        </w:rPr>
        <w:t>Z</w:t>
      </w:r>
      <w:r w:rsidRPr="00C34489">
        <w:rPr>
          <w:color w:val="000000"/>
          <w:sz w:val="20"/>
          <w:szCs w:val="20"/>
        </w:rPr>
        <w:tab/>
        <w:t>=</w:t>
      </w:r>
      <w:r w:rsidRPr="00C34489">
        <w:rPr>
          <w:color w:val="000000"/>
          <w:sz w:val="20"/>
          <w:szCs w:val="20"/>
        </w:rPr>
        <w:tab/>
        <w:t>Value of the standard normal statistic for an alpha confidence level (two-sided):</w:t>
      </w:r>
    </w:p>
    <w:p w:rsidR="00C34489" w:rsidRPr="00C34489" w:rsidP="00C34489" w14:paraId="0DB47AC5" w14:textId="77777777">
      <w:pPr>
        <w:pStyle w:val="BodyText"/>
        <w:keepNext/>
        <w:tabs>
          <w:tab w:val="left" w:pos="360"/>
        </w:tabs>
        <w:ind w:left="720" w:hanging="720"/>
        <w:rPr>
          <w:color w:val="000000"/>
          <w:sz w:val="20"/>
          <w:szCs w:val="20"/>
        </w:rPr>
      </w:pPr>
      <w:r w:rsidRPr="00C34489">
        <w:rPr>
          <w:i/>
          <w:color w:val="000000"/>
          <w:sz w:val="20"/>
          <w:szCs w:val="20"/>
        </w:rPr>
        <w:t>C</w:t>
      </w:r>
      <w:r w:rsidRPr="00C34489">
        <w:rPr>
          <w:color w:val="000000"/>
          <w:sz w:val="20"/>
          <w:szCs w:val="20"/>
        </w:rPr>
        <w:tab/>
        <w:t>=</w:t>
      </w:r>
      <w:r w:rsidRPr="00C34489">
        <w:rPr>
          <w:color w:val="000000"/>
          <w:sz w:val="20"/>
          <w:szCs w:val="20"/>
        </w:rPr>
        <w:tab/>
        <w:t>AADT coefficient of variation from a State’s AADT data</w:t>
      </w:r>
    </w:p>
    <w:p w:rsidR="00C34489" w:rsidRPr="00C34489" w:rsidP="00C34489" w14:paraId="5FD6892B" w14:textId="77777777">
      <w:pPr>
        <w:pStyle w:val="BodyText"/>
        <w:keepNext/>
        <w:tabs>
          <w:tab w:val="left" w:pos="360"/>
        </w:tabs>
        <w:ind w:left="720" w:hanging="720"/>
        <w:rPr>
          <w:color w:val="000000"/>
          <w:sz w:val="20"/>
          <w:szCs w:val="20"/>
        </w:rPr>
      </w:pPr>
      <w:r w:rsidRPr="00C34489">
        <w:rPr>
          <w:i/>
          <w:color w:val="000000"/>
          <w:sz w:val="20"/>
          <w:szCs w:val="20"/>
        </w:rPr>
        <w:t>d</w:t>
      </w:r>
      <w:r w:rsidRPr="00C34489">
        <w:rPr>
          <w:color w:val="000000"/>
          <w:sz w:val="20"/>
          <w:szCs w:val="20"/>
        </w:rPr>
        <w:tab/>
        <w:t>=</w:t>
      </w:r>
      <w:r w:rsidRPr="00C34489">
        <w:rPr>
          <w:color w:val="000000"/>
          <w:sz w:val="20"/>
          <w:szCs w:val="20"/>
        </w:rPr>
        <w:tab/>
        <w:t xml:space="preserve">Desired </w:t>
      </w:r>
      <w:r w:rsidR="008D038E">
        <w:rPr>
          <w:color w:val="000000"/>
          <w:sz w:val="20"/>
          <w:szCs w:val="20"/>
        </w:rPr>
        <w:t>degree of accuracy</w:t>
      </w:r>
    </w:p>
    <w:p w:rsidR="00C34489" w:rsidRPr="00C34489" w:rsidP="00C34489" w14:paraId="445919E7" w14:textId="77777777">
      <w:pPr>
        <w:pStyle w:val="BodyText"/>
        <w:tabs>
          <w:tab w:val="left" w:pos="360"/>
        </w:tabs>
        <w:ind w:left="720" w:hanging="720"/>
        <w:rPr>
          <w:color w:val="000000"/>
          <w:sz w:val="20"/>
          <w:szCs w:val="20"/>
        </w:rPr>
      </w:pPr>
      <w:r w:rsidRPr="00C34489">
        <w:rPr>
          <w:i/>
          <w:color w:val="000000"/>
          <w:sz w:val="20"/>
          <w:szCs w:val="20"/>
        </w:rPr>
        <w:t>N</w:t>
      </w:r>
      <w:r w:rsidRPr="00C34489">
        <w:rPr>
          <w:color w:val="000000"/>
          <w:sz w:val="20"/>
          <w:szCs w:val="20"/>
        </w:rPr>
        <w:tab/>
        <w:t>=</w:t>
      </w:r>
      <w:r w:rsidRPr="00C34489">
        <w:rPr>
          <w:color w:val="000000"/>
          <w:sz w:val="20"/>
          <w:szCs w:val="20"/>
        </w:rPr>
        <w:tab/>
      </w:r>
      <w:r>
        <w:rPr>
          <w:color w:val="000000"/>
          <w:sz w:val="20"/>
          <w:szCs w:val="20"/>
        </w:rPr>
        <w:t>P</w:t>
      </w:r>
      <w:r w:rsidRPr="00C34489">
        <w:rPr>
          <w:color w:val="000000"/>
          <w:sz w:val="20"/>
          <w:szCs w:val="20"/>
        </w:rPr>
        <w:t>opulation stratum size (number sections available for sampling in a volume group)</w:t>
      </w:r>
    </w:p>
    <w:p w:rsidR="00C34489" w14:paraId="2943803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4A43E3" w14:paraId="1D9BB5C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ab/>
        <w:t xml:space="preserve">The AADT </w:t>
      </w:r>
      <w:r w:rsidR="00046994">
        <w:rPr>
          <w:rFonts w:ascii="Times New Roman" w:hAnsi="Times New Roman"/>
          <w:sz w:val="24"/>
        </w:rPr>
        <w:t xml:space="preserve">(Annual Average Daily Traffic) </w:t>
      </w:r>
      <w:r>
        <w:rPr>
          <w:rFonts w:ascii="Times New Roman" w:hAnsi="Times New Roman"/>
          <w:sz w:val="24"/>
        </w:rPr>
        <w:t xml:space="preserve">volume group strata </w:t>
      </w:r>
      <w:r w:rsidR="00046994">
        <w:rPr>
          <w:rFonts w:ascii="Times New Roman" w:hAnsi="Times New Roman"/>
          <w:sz w:val="24"/>
        </w:rPr>
        <w:t xml:space="preserve">used </w:t>
      </w:r>
      <w:r>
        <w:rPr>
          <w:rFonts w:ascii="Times New Roman" w:hAnsi="Times New Roman"/>
          <w:sz w:val="24"/>
        </w:rPr>
        <w:t>is described as follows:</w:t>
      </w:r>
    </w:p>
    <w:p w:rsidR="004A43E3" w14:paraId="7998377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0"/>
        <w:gridCol w:w="1921"/>
      </w:tblGrid>
      <w:tr w14:paraId="5F6CF71A" w14:textId="77777777" w:rsidTr="003B322C">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rPr>
        <w:tc>
          <w:tcPr>
            <w:tcW w:w="1350" w:type="dxa"/>
            <w:shd w:val="clear" w:color="auto" w:fill="E6E6E6"/>
          </w:tcPr>
          <w:p w:rsidR="004A43E3" w:rsidRPr="007F2F50" w:rsidP="003B322C" w14:paraId="5F943987" w14:textId="77777777">
            <w:pPr>
              <w:jc w:val="center"/>
              <w:rPr>
                <w:rFonts w:ascii="Arial Narrow" w:hAnsi="Arial Narrow"/>
                <w:b/>
              </w:rPr>
            </w:pPr>
            <w:r w:rsidRPr="007F2F50">
              <w:rPr>
                <w:rFonts w:ascii="Arial Narrow" w:hAnsi="Arial Narrow"/>
                <w:b/>
              </w:rPr>
              <w:t>Volume Group</w:t>
            </w:r>
          </w:p>
        </w:tc>
        <w:tc>
          <w:tcPr>
            <w:tcW w:w="1921" w:type="dxa"/>
            <w:shd w:val="clear" w:color="auto" w:fill="E6E6E6"/>
          </w:tcPr>
          <w:p w:rsidR="004A43E3" w:rsidRPr="007F2F50" w:rsidP="003B322C" w14:paraId="546FC888" w14:textId="77777777">
            <w:pPr>
              <w:rPr>
                <w:rFonts w:ascii="Arial Narrow" w:hAnsi="Arial Narrow"/>
                <w:b/>
              </w:rPr>
            </w:pPr>
            <w:r w:rsidRPr="007F2F50">
              <w:rPr>
                <w:rFonts w:ascii="Arial Narrow" w:hAnsi="Arial Narrow"/>
                <w:b/>
              </w:rPr>
              <w:t>AADT</w:t>
            </w:r>
            <w:r>
              <w:rPr>
                <w:rFonts w:ascii="Arial Narrow" w:hAnsi="Arial Narrow"/>
                <w:b/>
              </w:rPr>
              <w:t xml:space="preserve"> Ranges</w:t>
            </w:r>
          </w:p>
        </w:tc>
      </w:tr>
      <w:tr w14:paraId="6FC2E9B6" w14:textId="77777777" w:rsidTr="003B322C">
        <w:tblPrEx>
          <w:tblW w:w="0" w:type="auto"/>
          <w:tblInd w:w="72" w:type="dxa"/>
          <w:tblLook w:val="00A0"/>
        </w:tblPrEx>
        <w:trPr>
          <w:cantSplit/>
        </w:trPr>
        <w:tc>
          <w:tcPr>
            <w:tcW w:w="1350" w:type="dxa"/>
          </w:tcPr>
          <w:p w:rsidR="004A43E3" w:rsidRPr="007F2F50" w:rsidP="003B322C" w14:paraId="72507749" w14:textId="77777777">
            <w:pPr>
              <w:jc w:val="center"/>
              <w:rPr>
                <w:rFonts w:ascii="Arial Narrow" w:hAnsi="Arial Narrow"/>
              </w:rPr>
            </w:pPr>
            <w:r w:rsidRPr="007F2F50">
              <w:rPr>
                <w:rFonts w:ascii="Arial Narrow" w:hAnsi="Arial Narrow"/>
              </w:rPr>
              <w:t>1</w:t>
            </w:r>
          </w:p>
        </w:tc>
        <w:tc>
          <w:tcPr>
            <w:tcW w:w="1921" w:type="dxa"/>
          </w:tcPr>
          <w:p w:rsidR="004A43E3" w:rsidRPr="007F2F50" w:rsidP="003B322C" w14:paraId="13FD195E" w14:textId="77777777">
            <w:pPr>
              <w:rPr>
                <w:rFonts w:ascii="Arial Narrow" w:hAnsi="Arial Narrow"/>
              </w:rPr>
            </w:pPr>
            <w:r w:rsidRPr="007F2F50">
              <w:rPr>
                <w:rFonts w:ascii="Arial Narrow" w:hAnsi="Arial Narrow"/>
              </w:rPr>
              <w:t>Under 500</w:t>
            </w:r>
          </w:p>
        </w:tc>
      </w:tr>
      <w:tr w14:paraId="28ECB27A" w14:textId="77777777" w:rsidTr="003B322C">
        <w:tblPrEx>
          <w:tblW w:w="0" w:type="auto"/>
          <w:tblInd w:w="72" w:type="dxa"/>
          <w:tblLook w:val="00A0"/>
        </w:tblPrEx>
        <w:trPr>
          <w:cantSplit/>
        </w:trPr>
        <w:tc>
          <w:tcPr>
            <w:tcW w:w="1350" w:type="dxa"/>
          </w:tcPr>
          <w:p w:rsidR="004A43E3" w:rsidRPr="007F2F50" w:rsidP="003B322C" w14:paraId="238CDEA9" w14:textId="77777777">
            <w:pPr>
              <w:jc w:val="center"/>
              <w:rPr>
                <w:rFonts w:ascii="Arial Narrow" w:hAnsi="Arial Narrow"/>
              </w:rPr>
            </w:pPr>
            <w:r w:rsidRPr="007F2F50">
              <w:rPr>
                <w:rFonts w:ascii="Arial Narrow" w:hAnsi="Arial Narrow"/>
              </w:rPr>
              <w:t>2</w:t>
            </w:r>
          </w:p>
        </w:tc>
        <w:tc>
          <w:tcPr>
            <w:tcW w:w="1921" w:type="dxa"/>
          </w:tcPr>
          <w:p w:rsidR="004A43E3" w:rsidRPr="007F2F50" w:rsidP="003B322C" w14:paraId="6E46B077" w14:textId="77777777">
            <w:pPr>
              <w:rPr>
                <w:rFonts w:ascii="Arial Narrow" w:hAnsi="Arial Narrow"/>
              </w:rPr>
            </w:pPr>
            <w:r w:rsidRPr="007F2F50">
              <w:rPr>
                <w:rFonts w:ascii="Arial Narrow" w:hAnsi="Arial Narrow"/>
              </w:rPr>
              <w:t>500 to 1,999</w:t>
            </w:r>
          </w:p>
        </w:tc>
      </w:tr>
      <w:tr w14:paraId="25AA5F40" w14:textId="77777777" w:rsidTr="003B322C">
        <w:tblPrEx>
          <w:tblW w:w="0" w:type="auto"/>
          <w:tblInd w:w="72" w:type="dxa"/>
          <w:tblLook w:val="00A0"/>
        </w:tblPrEx>
        <w:trPr>
          <w:cantSplit/>
        </w:trPr>
        <w:tc>
          <w:tcPr>
            <w:tcW w:w="1350" w:type="dxa"/>
          </w:tcPr>
          <w:p w:rsidR="004A43E3" w:rsidRPr="007F2F50" w:rsidP="003B322C" w14:paraId="1B87C5DE" w14:textId="77777777">
            <w:pPr>
              <w:jc w:val="center"/>
              <w:rPr>
                <w:rFonts w:ascii="Arial Narrow" w:hAnsi="Arial Narrow"/>
              </w:rPr>
            </w:pPr>
            <w:r w:rsidRPr="007F2F50">
              <w:rPr>
                <w:rFonts w:ascii="Arial Narrow" w:hAnsi="Arial Narrow"/>
              </w:rPr>
              <w:t>3</w:t>
            </w:r>
          </w:p>
        </w:tc>
        <w:tc>
          <w:tcPr>
            <w:tcW w:w="1921" w:type="dxa"/>
          </w:tcPr>
          <w:p w:rsidR="004A43E3" w:rsidRPr="007F2F50" w:rsidP="003B322C" w14:paraId="42BE9D6E" w14:textId="77777777">
            <w:pPr>
              <w:rPr>
                <w:rFonts w:ascii="Arial Narrow" w:hAnsi="Arial Narrow"/>
              </w:rPr>
            </w:pPr>
            <w:r w:rsidRPr="007F2F50">
              <w:rPr>
                <w:rFonts w:ascii="Arial Narrow" w:hAnsi="Arial Narrow"/>
              </w:rPr>
              <w:t>2,000 to 4,999</w:t>
            </w:r>
          </w:p>
        </w:tc>
      </w:tr>
      <w:tr w14:paraId="7F521ED1" w14:textId="77777777" w:rsidTr="003B322C">
        <w:tblPrEx>
          <w:tblW w:w="0" w:type="auto"/>
          <w:tblInd w:w="72" w:type="dxa"/>
          <w:tblLook w:val="00A0"/>
        </w:tblPrEx>
        <w:trPr>
          <w:cantSplit/>
        </w:trPr>
        <w:tc>
          <w:tcPr>
            <w:tcW w:w="1350" w:type="dxa"/>
          </w:tcPr>
          <w:p w:rsidR="004A43E3" w:rsidRPr="007F2F50" w:rsidP="003B322C" w14:paraId="1414EF5F" w14:textId="77777777">
            <w:pPr>
              <w:jc w:val="center"/>
              <w:rPr>
                <w:rFonts w:ascii="Arial Narrow" w:hAnsi="Arial Narrow"/>
              </w:rPr>
            </w:pPr>
            <w:r w:rsidRPr="007F2F50">
              <w:rPr>
                <w:rFonts w:ascii="Arial Narrow" w:hAnsi="Arial Narrow"/>
              </w:rPr>
              <w:t>4</w:t>
            </w:r>
          </w:p>
        </w:tc>
        <w:tc>
          <w:tcPr>
            <w:tcW w:w="1921" w:type="dxa"/>
          </w:tcPr>
          <w:p w:rsidR="004A43E3" w:rsidRPr="007F2F50" w:rsidP="003B322C" w14:paraId="022FD02E" w14:textId="77777777">
            <w:pPr>
              <w:rPr>
                <w:rFonts w:ascii="Arial Narrow" w:hAnsi="Arial Narrow"/>
              </w:rPr>
            </w:pPr>
            <w:r w:rsidRPr="007F2F50">
              <w:rPr>
                <w:rFonts w:ascii="Arial Narrow" w:hAnsi="Arial Narrow"/>
              </w:rPr>
              <w:t>5,000 to 9,999</w:t>
            </w:r>
          </w:p>
        </w:tc>
      </w:tr>
      <w:tr w14:paraId="48ECD37D" w14:textId="77777777" w:rsidTr="003B322C">
        <w:tblPrEx>
          <w:tblW w:w="0" w:type="auto"/>
          <w:tblInd w:w="72" w:type="dxa"/>
          <w:tblLook w:val="00A0"/>
        </w:tblPrEx>
        <w:trPr>
          <w:cantSplit/>
        </w:trPr>
        <w:tc>
          <w:tcPr>
            <w:tcW w:w="1350" w:type="dxa"/>
          </w:tcPr>
          <w:p w:rsidR="004A43E3" w:rsidRPr="007F2F50" w:rsidP="003B322C" w14:paraId="0C753B48" w14:textId="77777777">
            <w:pPr>
              <w:jc w:val="center"/>
              <w:rPr>
                <w:rFonts w:ascii="Arial Narrow" w:hAnsi="Arial Narrow"/>
              </w:rPr>
            </w:pPr>
            <w:r w:rsidRPr="007F2F50">
              <w:rPr>
                <w:rFonts w:ascii="Arial Narrow" w:hAnsi="Arial Narrow"/>
              </w:rPr>
              <w:t>5</w:t>
            </w:r>
          </w:p>
        </w:tc>
        <w:tc>
          <w:tcPr>
            <w:tcW w:w="1921" w:type="dxa"/>
          </w:tcPr>
          <w:p w:rsidR="004A43E3" w:rsidRPr="007F2F50" w:rsidP="003B322C" w14:paraId="086FED3C" w14:textId="77777777">
            <w:pPr>
              <w:rPr>
                <w:rFonts w:ascii="Arial Narrow" w:hAnsi="Arial Narrow"/>
              </w:rPr>
            </w:pPr>
            <w:r w:rsidRPr="007F2F50">
              <w:rPr>
                <w:rFonts w:ascii="Arial Narrow" w:hAnsi="Arial Narrow"/>
              </w:rPr>
              <w:t>10,000 to 19,999</w:t>
            </w:r>
          </w:p>
        </w:tc>
      </w:tr>
      <w:tr w14:paraId="563067E8" w14:textId="77777777" w:rsidTr="003B322C">
        <w:tblPrEx>
          <w:tblW w:w="0" w:type="auto"/>
          <w:tblInd w:w="72" w:type="dxa"/>
          <w:tblLook w:val="00A0"/>
        </w:tblPrEx>
        <w:trPr>
          <w:cantSplit/>
        </w:trPr>
        <w:tc>
          <w:tcPr>
            <w:tcW w:w="1350" w:type="dxa"/>
          </w:tcPr>
          <w:p w:rsidR="004A43E3" w:rsidRPr="007F2F50" w:rsidP="003B322C" w14:paraId="407A4132" w14:textId="77777777">
            <w:pPr>
              <w:jc w:val="center"/>
              <w:rPr>
                <w:rFonts w:ascii="Arial Narrow" w:hAnsi="Arial Narrow"/>
              </w:rPr>
            </w:pPr>
            <w:r w:rsidRPr="007F2F50">
              <w:rPr>
                <w:rFonts w:ascii="Arial Narrow" w:hAnsi="Arial Narrow"/>
              </w:rPr>
              <w:t>6</w:t>
            </w:r>
          </w:p>
        </w:tc>
        <w:tc>
          <w:tcPr>
            <w:tcW w:w="1921" w:type="dxa"/>
          </w:tcPr>
          <w:p w:rsidR="004A43E3" w:rsidRPr="007F2F50" w:rsidP="003B322C" w14:paraId="2D23EC63" w14:textId="77777777">
            <w:pPr>
              <w:rPr>
                <w:rFonts w:ascii="Arial Narrow" w:hAnsi="Arial Narrow"/>
              </w:rPr>
            </w:pPr>
            <w:r w:rsidRPr="007F2F50">
              <w:rPr>
                <w:rFonts w:ascii="Arial Narrow" w:hAnsi="Arial Narrow"/>
              </w:rPr>
              <w:t>20,000 to 34,999</w:t>
            </w:r>
          </w:p>
        </w:tc>
      </w:tr>
      <w:tr w14:paraId="30A1FC15" w14:textId="77777777" w:rsidTr="003B322C">
        <w:tblPrEx>
          <w:tblW w:w="0" w:type="auto"/>
          <w:tblInd w:w="72" w:type="dxa"/>
          <w:tblLook w:val="00A0"/>
        </w:tblPrEx>
        <w:trPr>
          <w:cantSplit/>
        </w:trPr>
        <w:tc>
          <w:tcPr>
            <w:tcW w:w="1350" w:type="dxa"/>
          </w:tcPr>
          <w:p w:rsidR="004A43E3" w:rsidRPr="007F2F50" w:rsidP="003B322C" w14:paraId="1A0F163C" w14:textId="77777777">
            <w:pPr>
              <w:jc w:val="center"/>
              <w:rPr>
                <w:rFonts w:ascii="Arial Narrow" w:hAnsi="Arial Narrow"/>
              </w:rPr>
            </w:pPr>
            <w:r w:rsidRPr="007F2F50">
              <w:rPr>
                <w:rFonts w:ascii="Arial Narrow" w:hAnsi="Arial Narrow"/>
              </w:rPr>
              <w:t>7</w:t>
            </w:r>
          </w:p>
        </w:tc>
        <w:tc>
          <w:tcPr>
            <w:tcW w:w="1921" w:type="dxa"/>
          </w:tcPr>
          <w:p w:rsidR="004A43E3" w:rsidRPr="007F2F50" w:rsidP="003B322C" w14:paraId="4FD4C54D" w14:textId="77777777">
            <w:pPr>
              <w:rPr>
                <w:rFonts w:ascii="Arial Narrow" w:hAnsi="Arial Narrow"/>
              </w:rPr>
            </w:pPr>
            <w:r w:rsidRPr="007F2F50">
              <w:rPr>
                <w:rFonts w:ascii="Arial Narrow" w:hAnsi="Arial Narrow"/>
              </w:rPr>
              <w:t>35,000 to 54,999</w:t>
            </w:r>
          </w:p>
        </w:tc>
      </w:tr>
      <w:tr w14:paraId="17F3E755" w14:textId="77777777" w:rsidTr="003B322C">
        <w:tblPrEx>
          <w:tblW w:w="0" w:type="auto"/>
          <w:tblInd w:w="72" w:type="dxa"/>
          <w:tblLook w:val="00A0"/>
        </w:tblPrEx>
        <w:trPr>
          <w:cantSplit/>
        </w:trPr>
        <w:tc>
          <w:tcPr>
            <w:tcW w:w="1350" w:type="dxa"/>
          </w:tcPr>
          <w:p w:rsidR="004A43E3" w:rsidRPr="007F2F50" w:rsidP="003B322C" w14:paraId="515074B0" w14:textId="77777777">
            <w:pPr>
              <w:jc w:val="center"/>
              <w:rPr>
                <w:rFonts w:ascii="Arial Narrow" w:hAnsi="Arial Narrow"/>
              </w:rPr>
            </w:pPr>
            <w:r w:rsidRPr="007F2F50">
              <w:rPr>
                <w:rFonts w:ascii="Arial Narrow" w:hAnsi="Arial Narrow"/>
              </w:rPr>
              <w:t>8</w:t>
            </w:r>
          </w:p>
        </w:tc>
        <w:tc>
          <w:tcPr>
            <w:tcW w:w="1921" w:type="dxa"/>
          </w:tcPr>
          <w:p w:rsidR="004A43E3" w:rsidRPr="007F2F50" w:rsidP="003B322C" w14:paraId="16997395" w14:textId="77777777">
            <w:pPr>
              <w:rPr>
                <w:rFonts w:ascii="Arial Narrow" w:hAnsi="Arial Narrow"/>
              </w:rPr>
            </w:pPr>
            <w:r w:rsidRPr="007F2F50">
              <w:rPr>
                <w:rFonts w:ascii="Arial Narrow" w:hAnsi="Arial Narrow"/>
              </w:rPr>
              <w:t>55,000 to 84,999</w:t>
            </w:r>
          </w:p>
        </w:tc>
      </w:tr>
      <w:tr w14:paraId="1579BF8C" w14:textId="77777777" w:rsidTr="003B322C">
        <w:tblPrEx>
          <w:tblW w:w="0" w:type="auto"/>
          <w:tblInd w:w="72" w:type="dxa"/>
          <w:tblLook w:val="00A0"/>
        </w:tblPrEx>
        <w:trPr>
          <w:cantSplit/>
        </w:trPr>
        <w:tc>
          <w:tcPr>
            <w:tcW w:w="1350" w:type="dxa"/>
          </w:tcPr>
          <w:p w:rsidR="004A43E3" w:rsidRPr="007F2F50" w:rsidP="003B322C" w14:paraId="02FE774F" w14:textId="77777777">
            <w:pPr>
              <w:jc w:val="center"/>
              <w:rPr>
                <w:rFonts w:ascii="Arial Narrow" w:hAnsi="Arial Narrow"/>
              </w:rPr>
            </w:pPr>
            <w:r w:rsidRPr="007F2F50">
              <w:rPr>
                <w:rFonts w:ascii="Arial Narrow" w:hAnsi="Arial Narrow"/>
              </w:rPr>
              <w:t>9</w:t>
            </w:r>
          </w:p>
        </w:tc>
        <w:tc>
          <w:tcPr>
            <w:tcW w:w="1921" w:type="dxa"/>
          </w:tcPr>
          <w:p w:rsidR="004A43E3" w:rsidRPr="007F2F50" w:rsidP="003B322C" w14:paraId="7733B37D" w14:textId="77777777">
            <w:pPr>
              <w:rPr>
                <w:rFonts w:ascii="Arial Narrow" w:hAnsi="Arial Narrow"/>
              </w:rPr>
            </w:pPr>
            <w:r w:rsidRPr="007F2F50">
              <w:rPr>
                <w:rFonts w:ascii="Arial Narrow" w:hAnsi="Arial Narrow"/>
              </w:rPr>
              <w:t>85,000 to 124,999</w:t>
            </w:r>
          </w:p>
        </w:tc>
      </w:tr>
      <w:tr w14:paraId="4A7E3EAD" w14:textId="77777777" w:rsidTr="003B322C">
        <w:tblPrEx>
          <w:tblW w:w="0" w:type="auto"/>
          <w:tblInd w:w="72" w:type="dxa"/>
          <w:tblLook w:val="00A0"/>
        </w:tblPrEx>
        <w:trPr>
          <w:cantSplit/>
        </w:trPr>
        <w:tc>
          <w:tcPr>
            <w:tcW w:w="1350" w:type="dxa"/>
          </w:tcPr>
          <w:p w:rsidR="004A43E3" w:rsidRPr="007F2F50" w:rsidP="003B322C" w14:paraId="7AB60F16" w14:textId="77777777">
            <w:pPr>
              <w:jc w:val="center"/>
              <w:rPr>
                <w:rFonts w:ascii="Arial Narrow" w:hAnsi="Arial Narrow"/>
              </w:rPr>
            </w:pPr>
            <w:r w:rsidRPr="007F2F50">
              <w:rPr>
                <w:rFonts w:ascii="Arial Narrow" w:hAnsi="Arial Narrow"/>
              </w:rPr>
              <w:t>10</w:t>
            </w:r>
          </w:p>
        </w:tc>
        <w:tc>
          <w:tcPr>
            <w:tcW w:w="1921" w:type="dxa"/>
          </w:tcPr>
          <w:p w:rsidR="004A43E3" w:rsidRPr="007F2F50" w:rsidP="003B322C" w14:paraId="356DA5CB" w14:textId="77777777">
            <w:pPr>
              <w:rPr>
                <w:rFonts w:ascii="Arial Narrow" w:hAnsi="Arial Narrow"/>
              </w:rPr>
            </w:pPr>
            <w:r w:rsidRPr="007F2F50">
              <w:rPr>
                <w:rFonts w:ascii="Arial Narrow" w:hAnsi="Arial Narrow"/>
              </w:rPr>
              <w:t>125,000 to 174,999</w:t>
            </w:r>
          </w:p>
        </w:tc>
      </w:tr>
      <w:tr w14:paraId="4F1D526E" w14:textId="77777777" w:rsidTr="003B322C">
        <w:tblPrEx>
          <w:tblW w:w="0" w:type="auto"/>
          <w:tblInd w:w="72" w:type="dxa"/>
          <w:tblLook w:val="00A0"/>
        </w:tblPrEx>
        <w:trPr>
          <w:cantSplit/>
        </w:trPr>
        <w:tc>
          <w:tcPr>
            <w:tcW w:w="1350" w:type="dxa"/>
          </w:tcPr>
          <w:p w:rsidR="004A43E3" w:rsidRPr="007F2F50" w:rsidP="003B322C" w14:paraId="68375C32" w14:textId="77777777">
            <w:pPr>
              <w:jc w:val="center"/>
              <w:rPr>
                <w:rFonts w:ascii="Arial Narrow" w:hAnsi="Arial Narrow"/>
              </w:rPr>
            </w:pPr>
            <w:r w:rsidRPr="007F2F50">
              <w:rPr>
                <w:rFonts w:ascii="Arial Narrow" w:hAnsi="Arial Narrow"/>
              </w:rPr>
              <w:t>11</w:t>
            </w:r>
          </w:p>
        </w:tc>
        <w:tc>
          <w:tcPr>
            <w:tcW w:w="1921" w:type="dxa"/>
          </w:tcPr>
          <w:p w:rsidR="004A43E3" w:rsidRPr="007F2F50" w:rsidP="003B322C" w14:paraId="2ED8D2D7" w14:textId="77777777">
            <w:pPr>
              <w:rPr>
                <w:rFonts w:ascii="Arial Narrow" w:hAnsi="Arial Narrow"/>
              </w:rPr>
            </w:pPr>
            <w:r w:rsidRPr="007F2F50">
              <w:rPr>
                <w:rFonts w:ascii="Arial Narrow" w:hAnsi="Arial Narrow"/>
              </w:rPr>
              <w:t>175,000 to 249,999</w:t>
            </w:r>
          </w:p>
        </w:tc>
      </w:tr>
      <w:tr w14:paraId="4F2F4D93" w14:textId="77777777" w:rsidTr="003B322C">
        <w:tblPrEx>
          <w:tblW w:w="0" w:type="auto"/>
          <w:tblInd w:w="72" w:type="dxa"/>
          <w:tblLook w:val="00A0"/>
        </w:tblPrEx>
        <w:trPr>
          <w:cantSplit/>
        </w:trPr>
        <w:tc>
          <w:tcPr>
            <w:tcW w:w="1350" w:type="dxa"/>
          </w:tcPr>
          <w:p w:rsidR="004A43E3" w:rsidRPr="007F2F50" w:rsidP="003B322C" w14:paraId="32F01503" w14:textId="77777777">
            <w:pPr>
              <w:jc w:val="center"/>
              <w:rPr>
                <w:rFonts w:ascii="Arial Narrow" w:hAnsi="Arial Narrow"/>
              </w:rPr>
            </w:pPr>
            <w:r w:rsidRPr="007F2F50">
              <w:rPr>
                <w:rFonts w:ascii="Arial Narrow" w:hAnsi="Arial Narrow"/>
              </w:rPr>
              <w:t>12</w:t>
            </w:r>
          </w:p>
        </w:tc>
        <w:tc>
          <w:tcPr>
            <w:tcW w:w="1921" w:type="dxa"/>
          </w:tcPr>
          <w:p w:rsidR="004A43E3" w:rsidRPr="007F2F50" w:rsidP="003B322C" w14:paraId="3F62DFC5" w14:textId="77777777">
            <w:pPr>
              <w:rPr>
                <w:rFonts w:ascii="Arial Narrow" w:hAnsi="Arial Narrow"/>
              </w:rPr>
            </w:pPr>
            <w:r w:rsidRPr="007F2F50">
              <w:rPr>
                <w:rFonts w:ascii="Arial Narrow" w:hAnsi="Arial Narrow"/>
              </w:rPr>
              <w:t>250,000 and more</w:t>
            </w:r>
          </w:p>
        </w:tc>
      </w:tr>
    </w:tbl>
    <w:p w:rsidR="004A43E3" w14:paraId="64BFE56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D17470" w14:paraId="420BE90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 xml:space="preserve">AADT is one of 5 key data items that are used to establish the universe of potential sample sections.  The others are Functional System, Through Lanes, Urban ID, and Facility Type.  Where these data items change in value along a route, and new potential sample is created.  </w:t>
      </w:r>
    </w:p>
    <w:p w:rsidR="0088612C" w14:paraId="30D09AED" w14:textId="3C0555B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 xml:space="preserve">The HPMS software takes care of the computations and provides States with their universe of potential samples to choose from.  </w:t>
      </w:r>
      <w:r w:rsidR="006706DB">
        <w:rPr>
          <w:rFonts w:ascii="Times New Roman" w:hAnsi="Times New Roman"/>
          <w:sz w:val="24"/>
        </w:rPr>
        <w:t xml:space="preserve">Sample bias is addressed with annual reviews conducted by the States.  The HPMS Field Manual identifies common sample bias issues that the States should be looking for.  </w:t>
      </w:r>
      <w:r>
        <w:rPr>
          <w:rFonts w:ascii="Times New Roman" w:hAnsi="Times New Roman"/>
          <w:sz w:val="24"/>
        </w:rPr>
        <w:t xml:space="preserve">Samples remain in place and generally tend to be constant over time so as to reduce the data collection burden on State and local agencies (the reason for </w:t>
      </w:r>
      <w:r>
        <w:rPr>
          <w:rFonts w:ascii="Times New Roman" w:hAnsi="Times New Roman"/>
          <w:sz w:val="24"/>
        </w:rPr>
        <w:t>statistically-based</w:t>
      </w:r>
      <w:r>
        <w:rPr>
          <w:rFonts w:ascii="Times New Roman" w:hAnsi="Times New Roman"/>
          <w:sz w:val="24"/>
        </w:rPr>
        <w:t xml:space="preserve"> sampling</w:t>
      </w:r>
      <w:r w:rsidR="00441D72">
        <w:rPr>
          <w:rFonts w:ascii="Times New Roman" w:hAnsi="Times New Roman"/>
          <w:sz w:val="24"/>
        </w:rPr>
        <w:t xml:space="preserve"> in the first place</w:t>
      </w:r>
      <w:r>
        <w:rPr>
          <w:rFonts w:ascii="Times New Roman" w:hAnsi="Times New Roman"/>
          <w:sz w:val="24"/>
        </w:rPr>
        <w:t>).  Sample panel updates are done by the State on an as-needed basis.  There are no less than annual periodic data cycles.  HPMS data are to be reported annually by June 15 based on the previous calendar year.</w:t>
      </w:r>
      <w:r>
        <w:rPr>
          <w:rFonts w:ascii="Times New Roman" w:hAnsi="Times New Roman"/>
          <w:sz w:val="24"/>
        </w:rPr>
        <w:t xml:space="preserve">  Additional information on the development of samples can be found in Chapter 9.2 of the HPMS Field Manual.</w:t>
      </w:r>
    </w:p>
    <w:p w:rsidR="0088612C" w14:paraId="4DD44F43" w14:textId="77777777">
      <w:pPr>
        <w:pStyle w:val="BodyText2"/>
      </w:pPr>
      <w:r>
        <w:br/>
        <w:t>3. Describe methods to maximize response rate.</w:t>
      </w:r>
    </w:p>
    <w:p w:rsidR="0088612C" w14:paraId="64F19D05" w14:textId="77777777">
      <w:pPr>
        <w:pStyle w:val="BodyText2"/>
      </w:pPr>
    </w:p>
    <w:p w:rsidR="0088612C" w14:paraId="2421C74C" w14:textId="77777777">
      <w:pPr>
        <w:pStyle w:val="BodyText2"/>
        <w:rPr>
          <w:b w:val="0"/>
          <w:bCs w:val="0"/>
        </w:rPr>
      </w:pPr>
      <w:r>
        <w:rPr>
          <w:b w:val="0"/>
          <w:bCs w:val="0"/>
        </w:rPr>
        <w:tab/>
        <w:t xml:space="preserve">All 50 States in addition to the District of Columbia and Puerto Rico are required to report </w:t>
      </w:r>
      <w:r>
        <w:rPr>
          <w:b w:val="0"/>
          <w:bCs w:val="0"/>
        </w:rPr>
        <w:t>HPMS data annually.</w:t>
      </w:r>
      <w:r w:rsidR="003A17CA">
        <w:rPr>
          <w:b w:val="0"/>
          <w:bCs w:val="0"/>
        </w:rPr>
        <w:t xml:space="preserve">  A continuing communicative rapport exists with HPMS State </w:t>
      </w:r>
      <w:r w:rsidR="00841E84">
        <w:rPr>
          <w:b w:val="0"/>
          <w:bCs w:val="0"/>
        </w:rPr>
        <w:t xml:space="preserve">transportation agency </w:t>
      </w:r>
      <w:r w:rsidR="003A17CA">
        <w:rPr>
          <w:b w:val="0"/>
          <w:bCs w:val="0"/>
        </w:rPr>
        <w:t xml:space="preserve">staff and FHWA Division Office staff </w:t>
      </w:r>
      <w:r w:rsidR="00C54169">
        <w:rPr>
          <w:b w:val="0"/>
          <w:bCs w:val="0"/>
        </w:rPr>
        <w:t xml:space="preserve">on an annual basis </w:t>
      </w:r>
      <w:r w:rsidR="003A17CA">
        <w:rPr>
          <w:b w:val="0"/>
          <w:bCs w:val="0"/>
        </w:rPr>
        <w:t xml:space="preserve">to ensure complete and accurate reporting of the HPMS data </w:t>
      </w:r>
      <w:r w:rsidR="00C54169">
        <w:rPr>
          <w:b w:val="0"/>
          <w:bCs w:val="0"/>
        </w:rPr>
        <w:t>(</w:t>
      </w:r>
      <w:r w:rsidR="003A17CA">
        <w:rPr>
          <w:b w:val="0"/>
          <w:bCs w:val="0"/>
        </w:rPr>
        <w:t>both sampled and unsampled</w:t>
      </w:r>
      <w:r w:rsidR="00C54169">
        <w:rPr>
          <w:b w:val="0"/>
          <w:bCs w:val="0"/>
        </w:rPr>
        <w:t>)</w:t>
      </w:r>
      <w:r w:rsidR="003A17CA">
        <w:rPr>
          <w:b w:val="0"/>
          <w:bCs w:val="0"/>
        </w:rPr>
        <w:t>.</w:t>
      </w:r>
      <w:r w:rsidR="0034209E">
        <w:rPr>
          <w:b w:val="0"/>
          <w:bCs w:val="0"/>
        </w:rPr>
        <w:t xml:space="preserve">  The use of State Planning and Research (SPR) funds is encouraged to allocate resources for the collection of the needed data and sample panel maintenance.</w:t>
      </w:r>
    </w:p>
    <w:p w:rsidR="0088612C" w14:paraId="3EE7797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Pr>
          <w:rFonts w:ascii="Times New Roman" w:hAnsi="Times New Roman"/>
          <w:b/>
          <w:bCs/>
          <w:sz w:val="24"/>
        </w:rPr>
        <w:br/>
        <w:t>4. Describe tests of procedures or methods.</w:t>
      </w:r>
    </w:p>
    <w:p w:rsidR="0088612C" w14:paraId="512B8F5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
    <w:p w:rsidR="0088612C" w14:paraId="0F25DC0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ab/>
        <w:t>Aside from initial tests and development of the HPMS program in 1978, there are none.</w:t>
      </w:r>
    </w:p>
    <w:p w:rsidR="0088612C" w14:paraId="3A77154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b/>
          <w:bCs/>
          <w:sz w:val="24"/>
        </w:rPr>
        <w:br/>
        <w:t>5. Provide name and telephone number of individuals who were consulted on statistical aspects of the IC and who will actually collect and/or analyze the information.</w:t>
      </w:r>
    </w:p>
    <w:p w:rsidR="0088612C" w14:paraId="0578B7C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88612C" w14:paraId="032F762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r>
        <w:rPr>
          <w:rFonts w:ascii="Times New Roman" w:hAnsi="Times New Roman"/>
          <w:sz w:val="24"/>
        </w:rPr>
        <w:tab/>
        <w:t xml:space="preserve">No legacy contact information is available for individuals consulted on the statistical aspects of the IC.  Current contact for the Highway System Performance Division (HPPI-20): </w:t>
      </w:r>
      <w:r w:rsidR="003C3E94">
        <w:rPr>
          <w:rFonts w:ascii="Times New Roman" w:hAnsi="Times New Roman"/>
          <w:sz w:val="24"/>
        </w:rPr>
        <w:t>Paul Foundoukis</w:t>
      </w:r>
      <w:r w:rsidR="009C6E14">
        <w:rPr>
          <w:rFonts w:ascii="Times New Roman" w:hAnsi="Times New Roman"/>
          <w:sz w:val="24"/>
        </w:rPr>
        <w:t xml:space="preserve">, </w:t>
      </w:r>
      <w:hyperlink r:id="rId6" w:history="1">
        <w:r w:rsidRPr="00E32543" w:rsidR="003C3E94">
          <w:rPr>
            <w:rStyle w:val="Hyperlink"/>
            <w:rFonts w:ascii="Times New Roman" w:hAnsi="Times New Roman"/>
            <w:sz w:val="24"/>
          </w:rPr>
          <w:t>Paul.Foundoukis@dot.gov</w:t>
        </w:r>
      </w:hyperlink>
      <w:r w:rsidR="003C3E94">
        <w:rPr>
          <w:rFonts w:ascii="Times New Roman" w:hAnsi="Times New Roman"/>
          <w:sz w:val="24"/>
        </w:rPr>
        <w:t xml:space="preserve">, </w:t>
      </w:r>
      <w:r>
        <w:rPr>
          <w:rFonts w:ascii="Times New Roman" w:hAnsi="Times New Roman"/>
          <w:sz w:val="24"/>
        </w:rPr>
        <w:t>(</w:t>
      </w:r>
      <w:r w:rsidR="003C3E94">
        <w:rPr>
          <w:rFonts w:ascii="Times New Roman" w:hAnsi="Times New Roman"/>
          <w:sz w:val="24"/>
        </w:rPr>
        <w:t>785</w:t>
      </w:r>
      <w:r>
        <w:rPr>
          <w:rFonts w:ascii="Times New Roman" w:hAnsi="Times New Roman"/>
          <w:sz w:val="24"/>
        </w:rPr>
        <w:t xml:space="preserve">) </w:t>
      </w:r>
      <w:r w:rsidR="003C3E94">
        <w:rPr>
          <w:rFonts w:ascii="Times New Roman" w:hAnsi="Times New Roman"/>
          <w:sz w:val="24"/>
        </w:rPr>
        <w:t>438</w:t>
      </w:r>
      <w:r>
        <w:rPr>
          <w:rFonts w:ascii="Times New Roman" w:hAnsi="Times New Roman"/>
          <w:sz w:val="24"/>
        </w:rPr>
        <w:t>-</w:t>
      </w:r>
      <w:r w:rsidR="003C3E94">
        <w:rPr>
          <w:rFonts w:ascii="Times New Roman" w:hAnsi="Times New Roman"/>
          <w:sz w:val="24"/>
        </w:rPr>
        <w:t>7545</w:t>
      </w:r>
      <w:r>
        <w:rPr>
          <w:rFonts w:ascii="Times New Roman" w:hAnsi="Times New Roman"/>
          <w:sz w:val="24"/>
        </w:rPr>
        <w:t>.</w:t>
      </w:r>
    </w:p>
    <w:p w:rsidR="009C6E14" w14:paraId="4ED5AC9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footerReference w:type="default" r:id="rId7"/>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12C" w14:paraId="7DE42AD5"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41E72">
      <w:rPr>
        <w:rStyle w:val="PageNumber"/>
        <w:noProof/>
      </w:rPr>
      <w:t>3</w:t>
    </w:r>
    <w:r>
      <w:rPr>
        <w:rStyle w:val="PageNumber"/>
      </w:rPr>
      <w:fldChar w:fldCharType="end"/>
    </w:r>
  </w:p>
  <w:p w:rsidR="0088612C" w14:paraId="354C16A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72"/>
    <w:rsid w:val="000005EB"/>
    <w:rsid w:val="000270E5"/>
    <w:rsid w:val="0003536F"/>
    <w:rsid w:val="00041D0E"/>
    <w:rsid w:val="00046994"/>
    <w:rsid w:val="000F5FBD"/>
    <w:rsid w:val="00141E72"/>
    <w:rsid w:val="001576C9"/>
    <w:rsid w:val="0018073A"/>
    <w:rsid w:val="002459D7"/>
    <w:rsid w:val="00254DFC"/>
    <w:rsid w:val="00277063"/>
    <w:rsid w:val="00277FEF"/>
    <w:rsid w:val="002A3C50"/>
    <w:rsid w:val="002E3159"/>
    <w:rsid w:val="00302E19"/>
    <w:rsid w:val="0034209E"/>
    <w:rsid w:val="00344CCC"/>
    <w:rsid w:val="0034794C"/>
    <w:rsid w:val="003A0029"/>
    <w:rsid w:val="003A17CA"/>
    <w:rsid w:val="003B322C"/>
    <w:rsid w:val="003C3E94"/>
    <w:rsid w:val="00417CAC"/>
    <w:rsid w:val="00435BA6"/>
    <w:rsid w:val="00440E7A"/>
    <w:rsid w:val="00440F4E"/>
    <w:rsid w:val="00441D72"/>
    <w:rsid w:val="0044400C"/>
    <w:rsid w:val="004A43E3"/>
    <w:rsid w:val="004B6FFB"/>
    <w:rsid w:val="004D3D08"/>
    <w:rsid w:val="00503ACD"/>
    <w:rsid w:val="00561AE8"/>
    <w:rsid w:val="0059596A"/>
    <w:rsid w:val="005A2FA2"/>
    <w:rsid w:val="006706DB"/>
    <w:rsid w:val="006715E8"/>
    <w:rsid w:val="00695807"/>
    <w:rsid w:val="006C3B4C"/>
    <w:rsid w:val="006C6C48"/>
    <w:rsid w:val="006E75E1"/>
    <w:rsid w:val="00720D2F"/>
    <w:rsid w:val="007717BD"/>
    <w:rsid w:val="007B0CB8"/>
    <w:rsid w:val="007F2F50"/>
    <w:rsid w:val="007F4533"/>
    <w:rsid w:val="0081787F"/>
    <w:rsid w:val="00841E84"/>
    <w:rsid w:val="0088612C"/>
    <w:rsid w:val="008915E7"/>
    <w:rsid w:val="008A5877"/>
    <w:rsid w:val="008D038E"/>
    <w:rsid w:val="008E53AD"/>
    <w:rsid w:val="0094435C"/>
    <w:rsid w:val="00951F01"/>
    <w:rsid w:val="009544F6"/>
    <w:rsid w:val="00996492"/>
    <w:rsid w:val="009C09C4"/>
    <w:rsid w:val="009C6E14"/>
    <w:rsid w:val="009E000C"/>
    <w:rsid w:val="009E11BC"/>
    <w:rsid w:val="00A125F5"/>
    <w:rsid w:val="00A21258"/>
    <w:rsid w:val="00A45100"/>
    <w:rsid w:val="00AC4119"/>
    <w:rsid w:val="00AE1B1E"/>
    <w:rsid w:val="00B03806"/>
    <w:rsid w:val="00B65BC2"/>
    <w:rsid w:val="00B80B67"/>
    <w:rsid w:val="00BC4381"/>
    <w:rsid w:val="00BE308D"/>
    <w:rsid w:val="00C24759"/>
    <w:rsid w:val="00C34489"/>
    <w:rsid w:val="00C524FC"/>
    <w:rsid w:val="00C54169"/>
    <w:rsid w:val="00C62468"/>
    <w:rsid w:val="00C73F4E"/>
    <w:rsid w:val="00C74871"/>
    <w:rsid w:val="00C8725C"/>
    <w:rsid w:val="00C96151"/>
    <w:rsid w:val="00CF4FD6"/>
    <w:rsid w:val="00D17470"/>
    <w:rsid w:val="00D77B04"/>
    <w:rsid w:val="00E25678"/>
    <w:rsid w:val="00E32543"/>
    <w:rsid w:val="00E403F4"/>
    <w:rsid w:val="00E452A5"/>
    <w:rsid w:val="00E92159"/>
    <w:rsid w:val="00EE402A"/>
    <w:rsid w:val="00F25E6F"/>
    <w:rsid w:val="00F574A4"/>
    <w:rsid w:val="00FF566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60759A2"/>
  <w15:chartTrackingRefBased/>
  <w15:docId w15:val="{FE42C0FA-3222-412F-A0A6-FB00EB1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semiHidden/>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semiHidden/>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semiHidden/>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semiHidden/>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semiHidden/>
    <w:rPr>
      <w:color w:val="0000FF"/>
      <w:u w:val="single"/>
    </w:rPr>
  </w:style>
  <w:style w:type="character" w:styleId="Strong">
    <w:name w:val="Strong"/>
    <w:qFormat/>
    <w:rPr>
      <w:b/>
      <w:bCs/>
    </w:rPr>
  </w:style>
  <w:style w:type="paragraph" w:styleId="BodyText2">
    <w:name w:val="Body Text 2"/>
    <w:basedOn w:val="Normal"/>
    <w:semiHidden/>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styleId="CommentReference">
    <w:name w:val="annotation reference"/>
    <w:uiPriority w:val="99"/>
    <w:semiHidden/>
    <w:unhideWhenUsed/>
    <w:rsid w:val="00996492"/>
    <w:rPr>
      <w:sz w:val="16"/>
      <w:szCs w:val="16"/>
    </w:rPr>
  </w:style>
  <w:style w:type="paragraph" w:styleId="CommentText">
    <w:name w:val="annotation text"/>
    <w:basedOn w:val="Normal"/>
    <w:link w:val="CommentTextChar"/>
    <w:uiPriority w:val="99"/>
    <w:unhideWhenUsed/>
    <w:rsid w:val="00996492"/>
  </w:style>
  <w:style w:type="character" w:customStyle="1" w:styleId="CommentTextChar">
    <w:name w:val="Comment Text Char"/>
    <w:link w:val="CommentText"/>
    <w:uiPriority w:val="99"/>
    <w:rsid w:val="00996492"/>
    <w:rPr>
      <w:rFonts w:ascii="Letter Gothic 12cpi" w:hAnsi="Letter Gothic 12cpi"/>
    </w:rPr>
  </w:style>
  <w:style w:type="paragraph" w:styleId="CommentSubject">
    <w:name w:val="annotation subject"/>
    <w:basedOn w:val="CommentText"/>
    <w:next w:val="CommentText"/>
    <w:link w:val="CommentSubjectChar"/>
    <w:uiPriority w:val="99"/>
    <w:semiHidden/>
    <w:unhideWhenUsed/>
    <w:rsid w:val="00996492"/>
    <w:rPr>
      <w:b/>
      <w:bCs/>
    </w:rPr>
  </w:style>
  <w:style w:type="character" w:customStyle="1" w:styleId="CommentSubjectChar">
    <w:name w:val="Comment Subject Char"/>
    <w:link w:val="CommentSubject"/>
    <w:uiPriority w:val="99"/>
    <w:semiHidden/>
    <w:rsid w:val="00996492"/>
    <w:rPr>
      <w:rFonts w:ascii="Letter Gothic 12cpi" w:hAnsi="Letter Gothic 12cpi"/>
      <w:b/>
      <w:bCs/>
    </w:rPr>
  </w:style>
  <w:style w:type="paragraph" w:styleId="BalloonText">
    <w:name w:val="Balloon Text"/>
    <w:basedOn w:val="Normal"/>
    <w:link w:val="BalloonTextChar"/>
    <w:uiPriority w:val="99"/>
    <w:semiHidden/>
    <w:unhideWhenUsed/>
    <w:rsid w:val="00996492"/>
    <w:rPr>
      <w:rFonts w:ascii="Tahoma" w:hAnsi="Tahoma" w:cs="Tahoma"/>
      <w:sz w:val="16"/>
      <w:szCs w:val="16"/>
    </w:rPr>
  </w:style>
  <w:style w:type="character" w:customStyle="1" w:styleId="BalloonTextChar">
    <w:name w:val="Balloon Text Char"/>
    <w:link w:val="BalloonText"/>
    <w:uiPriority w:val="99"/>
    <w:semiHidden/>
    <w:rsid w:val="00996492"/>
    <w:rPr>
      <w:rFonts w:ascii="Tahoma" w:hAnsi="Tahoma" w:cs="Tahoma"/>
      <w:sz w:val="16"/>
      <w:szCs w:val="16"/>
    </w:rPr>
  </w:style>
  <w:style w:type="character" w:styleId="UnresolvedMention">
    <w:name w:val="Unresolved Mention"/>
    <w:uiPriority w:val="99"/>
    <w:semiHidden/>
    <w:unhideWhenUsed/>
    <w:rsid w:val="003C3E94"/>
    <w:rPr>
      <w:color w:val="605E5C"/>
      <w:shd w:val="clear" w:color="auto" w:fill="E1DFDD"/>
    </w:rPr>
  </w:style>
  <w:style w:type="paragraph" w:styleId="Revision">
    <w:name w:val="Revision"/>
    <w:hidden/>
    <w:uiPriority w:val="99"/>
    <w:semiHidden/>
    <w:rsid w:val="00FF5660"/>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hyperlink" Target="mailto:Paul.Foundoukis@dot.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Lewis, Jazmyne (FHWA)</cp:lastModifiedBy>
  <cp:revision>3</cp:revision>
  <cp:lastPrinted>2004-08-18T21:00:00Z</cp:lastPrinted>
  <dcterms:created xsi:type="dcterms:W3CDTF">2024-07-02T16:04:00Z</dcterms:created>
  <dcterms:modified xsi:type="dcterms:W3CDTF">2024-07-02T16:04:00Z</dcterms:modified>
</cp:coreProperties>
</file>