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59E9" w:rsidRPr="001A59B6" w:rsidP="004C59E9" w14:paraId="63CFFCED" w14:textId="77777777">
      <w:pPr>
        <w:pStyle w:val="ReportCover-Title"/>
        <w:jc w:val="center"/>
        <w:rPr>
          <w:rFonts w:eastAsia="Arial Unicode MS" w:asciiTheme="minorHAnsi" w:hAnsiTheme="minorHAnsi" w:cstheme="minorHAnsi"/>
          <w:noProof/>
          <w:color w:val="auto"/>
        </w:rPr>
      </w:pPr>
    </w:p>
    <w:p w:rsidR="004C59E9" w:rsidRPr="001A59B6" w:rsidP="004C59E9" w14:paraId="3D26F939" w14:textId="77777777">
      <w:pPr>
        <w:pStyle w:val="ReportCover-Title"/>
        <w:jc w:val="center"/>
        <w:rPr>
          <w:rFonts w:eastAsia="Arial Unicode MS" w:asciiTheme="minorHAnsi" w:hAnsiTheme="minorHAnsi" w:cstheme="minorHAnsi"/>
          <w:noProof/>
          <w:color w:val="auto"/>
        </w:rPr>
      </w:pPr>
    </w:p>
    <w:p w:rsidR="004C59E9" w:rsidRPr="001A59B6" w:rsidP="004C59E9" w14:paraId="1B33D37B" w14:textId="77777777">
      <w:pPr>
        <w:pStyle w:val="ReportCover-Title"/>
        <w:jc w:val="center"/>
        <w:rPr>
          <w:rFonts w:eastAsia="Arial Unicode MS" w:asciiTheme="minorHAnsi" w:hAnsiTheme="minorHAnsi" w:cstheme="minorHAnsi"/>
          <w:noProof/>
          <w:color w:val="auto"/>
        </w:rPr>
      </w:pPr>
    </w:p>
    <w:p w:rsidR="004C59E9" w:rsidRPr="001A59B6" w:rsidP="004C59E9" w14:paraId="2E44CC02" w14:textId="77777777">
      <w:pPr>
        <w:pStyle w:val="ReportCover-Title"/>
        <w:jc w:val="center"/>
        <w:rPr>
          <w:rFonts w:eastAsia="Arial Unicode MS" w:asciiTheme="minorHAnsi" w:hAnsiTheme="minorHAnsi" w:cstheme="minorHAnsi"/>
          <w:noProof/>
          <w:color w:val="auto"/>
        </w:rPr>
      </w:pPr>
    </w:p>
    <w:p w:rsidR="004C59E9" w:rsidRPr="001A59B6" w:rsidP="008F5709" w14:paraId="33647AE9" w14:textId="10216E8B">
      <w:pPr>
        <w:pStyle w:val="ReportCover-Title"/>
        <w:jc w:val="center"/>
        <w:rPr>
          <w:rFonts w:asciiTheme="minorHAnsi" w:hAnsiTheme="minorHAnsi" w:cstheme="minorHAnsi"/>
          <w:color w:val="auto"/>
        </w:rPr>
      </w:pPr>
      <w:bookmarkStart w:id="0" w:name="_Hlk149657605"/>
      <w:r w:rsidRPr="001A59B6">
        <w:rPr>
          <w:rFonts w:eastAsia="Arial Unicode MS" w:asciiTheme="minorHAnsi" w:hAnsiTheme="minorHAnsi" w:cstheme="minorHAnsi"/>
          <w:noProof/>
          <w:color w:val="auto"/>
        </w:rPr>
        <w:t>S</w:t>
      </w:r>
      <w:r w:rsidR="008F5709">
        <w:rPr>
          <w:rFonts w:eastAsia="Arial Unicode MS" w:asciiTheme="minorHAnsi" w:hAnsiTheme="minorHAnsi" w:cstheme="minorHAnsi"/>
          <w:noProof/>
          <w:color w:val="auto"/>
        </w:rPr>
        <w:t>urvey of Staff Recruitment, Training, and Professional Development in Early Head Start</w:t>
      </w:r>
      <w:bookmarkEnd w:id="0"/>
    </w:p>
    <w:p w:rsidR="004C59E9" w:rsidRPr="001A59B6" w:rsidP="004C59E9" w14:paraId="30CC191B" w14:textId="77777777">
      <w:pPr>
        <w:pStyle w:val="ReportCover-Title"/>
        <w:rPr>
          <w:rFonts w:asciiTheme="minorHAnsi" w:hAnsiTheme="minorHAnsi" w:cstheme="minorHAnsi"/>
          <w:color w:val="auto"/>
        </w:rPr>
      </w:pPr>
    </w:p>
    <w:p w:rsidR="004C59E9" w:rsidRPr="001A59B6" w:rsidP="004C59E9" w14:paraId="20EC0032"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004C59E9" w:rsidRPr="001A59B6" w:rsidP="004C59E9" w14:paraId="18D03A69" w14:textId="17322D41">
      <w:pPr>
        <w:pStyle w:val="ReportCover-Title"/>
        <w:jc w:val="center"/>
        <w:rPr>
          <w:rFonts w:asciiTheme="minorHAnsi" w:hAnsiTheme="minorHAnsi" w:cstheme="minorHAnsi"/>
          <w:color w:val="auto"/>
          <w:sz w:val="32"/>
          <w:szCs w:val="32"/>
        </w:rPr>
      </w:pPr>
      <w:r>
        <w:rPr>
          <w:rFonts w:asciiTheme="minorHAnsi" w:hAnsiTheme="minorHAnsi" w:cstheme="minorHAnsi"/>
          <w:color w:val="auto"/>
          <w:sz w:val="32"/>
          <w:szCs w:val="32"/>
        </w:rPr>
        <w:t>0970-0629</w:t>
      </w:r>
    </w:p>
    <w:p w:rsidR="004C59E9" w:rsidRPr="001A59B6" w:rsidP="004C59E9" w14:paraId="075D831F" w14:textId="77777777"/>
    <w:p w:rsidR="004C59E9" w:rsidRPr="001A59B6" w:rsidP="004C59E9" w14:paraId="297BFFD9" w14:textId="77777777">
      <w:pPr>
        <w:pStyle w:val="ReportCover-Date"/>
        <w:spacing w:after="0"/>
        <w:jc w:val="center"/>
        <w:rPr>
          <w:rFonts w:asciiTheme="minorHAnsi" w:hAnsiTheme="minorHAnsi" w:cstheme="minorHAnsi"/>
          <w:color w:val="auto"/>
        </w:rPr>
      </w:pPr>
    </w:p>
    <w:p w:rsidR="004C59E9" w:rsidRPr="001A59B6" w:rsidP="004C59E9" w14:paraId="1512FB88" w14:textId="77777777">
      <w:pPr>
        <w:pStyle w:val="ReportCover-Date"/>
        <w:spacing w:after="0"/>
        <w:jc w:val="center"/>
        <w:rPr>
          <w:rFonts w:asciiTheme="minorHAnsi" w:hAnsiTheme="minorHAnsi" w:cstheme="minorHAnsi"/>
          <w:color w:val="auto"/>
        </w:rPr>
      </w:pPr>
    </w:p>
    <w:p w:rsidR="004C59E9" w:rsidRPr="001A59B6" w:rsidP="004C59E9" w14:paraId="14483FC4" w14:textId="77777777">
      <w:pPr>
        <w:pStyle w:val="ReportCover-Date"/>
        <w:spacing w:after="0"/>
        <w:jc w:val="center"/>
        <w:rPr>
          <w:rFonts w:asciiTheme="minorHAnsi" w:hAnsiTheme="minorHAnsi" w:cstheme="minorHAnsi"/>
          <w:color w:val="auto"/>
        </w:rPr>
      </w:pPr>
    </w:p>
    <w:p w:rsidR="004C59E9" w:rsidRPr="001A59B6" w:rsidP="004C59E9" w14:paraId="32C2EDE3"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004C59E9" w:rsidRPr="001A59B6" w:rsidP="004C59E9" w14:paraId="7B2CF354" w14:textId="502587A0">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 xml:space="preserve">Part </w:t>
      </w:r>
      <w:r>
        <w:rPr>
          <w:rFonts w:asciiTheme="minorHAnsi" w:hAnsiTheme="minorHAnsi" w:cstheme="minorHAnsi"/>
          <w:color w:val="auto"/>
          <w:sz w:val="48"/>
          <w:szCs w:val="48"/>
        </w:rPr>
        <w:t>A</w:t>
      </w:r>
    </w:p>
    <w:p w:rsidR="004C59E9" w:rsidRPr="001A59B6" w:rsidP="004C59E9" w14:paraId="067FE3DE" w14:textId="77777777">
      <w:pPr>
        <w:pStyle w:val="ReportCover-Date"/>
        <w:spacing w:after="0" w:line="240" w:lineRule="auto"/>
        <w:jc w:val="center"/>
        <w:rPr>
          <w:rFonts w:asciiTheme="minorHAnsi" w:hAnsiTheme="minorHAnsi" w:cstheme="minorHAnsi"/>
          <w:color w:val="auto"/>
          <w:sz w:val="48"/>
          <w:szCs w:val="48"/>
        </w:rPr>
      </w:pPr>
    </w:p>
    <w:p w:rsidR="004C59E9" w:rsidRPr="001A59B6" w:rsidP="004C59E9" w14:paraId="735562FC" w14:textId="77777777">
      <w:pPr>
        <w:pStyle w:val="ReportCover-Date"/>
        <w:spacing w:after="0" w:line="240" w:lineRule="auto"/>
        <w:jc w:val="center"/>
        <w:rPr>
          <w:rFonts w:asciiTheme="minorHAnsi" w:hAnsiTheme="minorHAnsi" w:cstheme="minorHAnsi"/>
          <w:color w:val="auto"/>
          <w:sz w:val="48"/>
          <w:szCs w:val="48"/>
        </w:rPr>
      </w:pPr>
    </w:p>
    <w:p w:rsidR="004C59E9" w:rsidP="004C59E9" w14:paraId="2DC34540" w14:textId="6B033C74">
      <w:pPr>
        <w:pStyle w:val="ReportCover-Date"/>
        <w:spacing w:after="0"/>
        <w:jc w:val="center"/>
        <w:rPr>
          <w:rFonts w:asciiTheme="minorHAnsi" w:hAnsiTheme="minorHAnsi" w:cstheme="minorHAnsi"/>
          <w:color w:val="auto"/>
        </w:rPr>
      </w:pPr>
      <w:r w:rsidRPr="00897CA0">
        <w:rPr>
          <w:rFonts w:asciiTheme="minorHAnsi" w:hAnsiTheme="minorHAnsi" w:cstheme="minorHAnsi"/>
          <w:color w:val="auto"/>
        </w:rPr>
        <w:t>JANUARY 2024</w:t>
      </w:r>
    </w:p>
    <w:p w:rsidR="002F01A0" w:rsidRPr="001A59B6" w:rsidP="004C59E9" w14:paraId="18FDA61B" w14:textId="1B753F4D">
      <w:pPr>
        <w:pStyle w:val="ReportCover-Date"/>
        <w:spacing w:after="0"/>
        <w:jc w:val="center"/>
        <w:rPr>
          <w:rFonts w:asciiTheme="minorHAnsi" w:hAnsiTheme="minorHAnsi" w:cstheme="minorHAnsi"/>
          <w:color w:val="auto"/>
        </w:rPr>
      </w:pPr>
      <w:r>
        <w:rPr>
          <w:rFonts w:asciiTheme="minorHAnsi" w:hAnsiTheme="minorHAnsi" w:cstheme="minorHAnsi"/>
          <w:color w:val="auto"/>
        </w:rPr>
        <w:t>Revised on MAY 2024</w:t>
      </w:r>
    </w:p>
    <w:p w:rsidR="004C59E9" w:rsidRPr="001A59B6" w:rsidP="004C59E9" w14:paraId="6B019E0B" w14:textId="77777777">
      <w:pPr>
        <w:pStyle w:val="ReportCover-Date"/>
        <w:spacing w:after="0"/>
        <w:jc w:val="center"/>
        <w:rPr>
          <w:rFonts w:asciiTheme="minorHAnsi" w:hAnsiTheme="minorHAnsi" w:cstheme="minorHAnsi"/>
          <w:color w:val="auto"/>
        </w:rPr>
      </w:pPr>
    </w:p>
    <w:p w:rsidR="004C59E9" w:rsidRPr="001A59B6" w:rsidP="004C59E9" w14:paraId="5D51BD7D" w14:textId="77777777">
      <w:pPr>
        <w:pStyle w:val="ReportCover-Date"/>
        <w:spacing w:after="0"/>
        <w:jc w:val="center"/>
        <w:rPr>
          <w:rFonts w:asciiTheme="minorHAnsi" w:hAnsiTheme="minorHAnsi" w:cstheme="minorHAnsi"/>
          <w:color w:val="auto"/>
        </w:rPr>
      </w:pPr>
    </w:p>
    <w:p w:rsidR="004C59E9" w:rsidRPr="001A59B6" w:rsidP="004C59E9" w14:paraId="23DF3C4E" w14:textId="77777777">
      <w:pPr>
        <w:pStyle w:val="ReportCover-Date"/>
        <w:spacing w:after="0"/>
        <w:jc w:val="center"/>
        <w:rPr>
          <w:rFonts w:asciiTheme="minorHAnsi" w:hAnsiTheme="minorHAnsi" w:cstheme="minorHAnsi"/>
          <w:color w:val="auto"/>
        </w:rPr>
      </w:pPr>
    </w:p>
    <w:p w:rsidR="004C59E9" w:rsidRPr="001A59B6" w:rsidP="004C59E9" w14:paraId="46193249" w14:textId="77777777">
      <w:pPr>
        <w:pStyle w:val="ReportCover-Date"/>
        <w:spacing w:after="0"/>
        <w:jc w:val="center"/>
        <w:rPr>
          <w:rFonts w:asciiTheme="minorHAnsi" w:hAnsiTheme="minorHAnsi" w:cstheme="minorHAnsi"/>
          <w:color w:val="auto"/>
        </w:rPr>
      </w:pPr>
    </w:p>
    <w:p w:rsidR="004C59E9" w:rsidRPr="001A59B6" w:rsidP="004C59E9" w14:paraId="4FAAEBF7" w14:textId="77777777">
      <w:pPr>
        <w:pStyle w:val="ReportCover-Date"/>
        <w:spacing w:after="0"/>
        <w:jc w:val="center"/>
        <w:rPr>
          <w:rFonts w:asciiTheme="minorHAnsi" w:hAnsiTheme="minorHAnsi" w:cstheme="minorHAnsi"/>
          <w:color w:val="auto"/>
        </w:rPr>
      </w:pPr>
    </w:p>
    <w:p w:rsidR="004C59E9" w:rsidRPr="001A59B6" w:rsidP="004C59E9" w14:paraId="6B2B4D93" w14:textId="77777777">
      <w:pPr>
        <w:jc w:val="center"/>
      </w:pPr>
    </w:p>
    <w:p w:rsidR="004C59E9" w:rsidRPr="001A59B6" w:rsidP="004C59E9" w14:paraId="774C015A" w14:textId="77777777">
      <w:pPr>
        <w:jc w:val="center"/>
      </w:pPr>
      <w:r w:rsidRPr="001A59B6">
        <w:t>Submitted By:</w:t>
      </w:r>
    </w:p>
    <w:p w:rsidR="004C59E9" w:rsidRPr="001A59B6" w:rsidP="004C59E9" w14:paraId="39DCCAC3" w14:textId="77777777">
      <w:pPr>
        <w:jc w:val="center"/>
      </w:pPr>
      <w:r w:rsidRPr="001A59B6">
        <w:t>Office of Planning, Research, and Evaluation</w:t>
      </w:r>
    </w:p>
    <w:p w:rsidR="004C59E9" w:rsidRPr="001A59B6" w:rsidP="004C59E9" w14:paraId="665B786C" w14:textId="77777777">
      <w:pPr>
        <w:jc w:val="center"/>
      </w:pPr>
      <w:r w:rsidRPr="001A59B6">
        <w:t xml:space="preserve">Administration for Children and Families </w:t>
      </w:r>
    </w:p>
    <w:p w:rsidR="004C59E9" w:rsidRPr="001A59B6" w:rsidP="004C59E9" w14:paraId="5E27C26A" w14:textId="77777777">
      <w:pPr>
        <w:jc w:val="center"/>
      </w:pPr>
      <w:r w:rsidRPr="001A59B6">
        <w:t>U.S. Department of Health and Human Services</w:t>
      </w:r>
    </w:p>
    <w:p w:rsidR="004C59E9" w:rsidRPr="001A59B6" w:rsidP="004C59E9" w14:paraId="365A4E06" w14:textId="77777777">
      <w:pPr>
        <w:jc w:val="center"/>
      </w:pPr>
    </w:p>
    <w:p w:rsidR="004C59E9" w:rsidRPr="001A59B6" w:rsidP="004C59E9" w14:paraId="41701D23" w14:textId="77777777">
      <w:pPr>
        <w:jc w:val="center"/>
      </w:pPr>
      <w:r w:rsidRPr="001A59B6">
        <w:t>4</w:t>
      </w:r>
      <w:r w:rsidRPr="001A59B6">
        <w:rPr>
          <w:vertAlign w:val="superscript"/>
        </w:rPr>
        <w:t>th</w:t>
      </w:r>
      <w:r w:rsidRPr="001A59B6">
        <w:t xml:space="preserve"> Floor, Mary E. Switzer Building</w:t>
      </w:r>
    </w:p>
    <w:p w:rsidR="004C59E9" w:rsidRPr="001A59B6" w:rsidP="004C59E9" w14:paraId="051AA335" w14:textId="77777777">
      <w:pPr>
        <w:jc w:val="center"/>
      </w:pPr>
      <w:r w:rsidRPr="001A59B6">
        <w:t>330 C Street, SW</w:t>
      </w:r>
    </w:p>
    <w:p w:rsidR="004C59E9" w:rsidRPr="001A59B6" w:rsidP="004C59E9" w14:paraId="69F3D369" w14:textId="77777777">
      <w:pPr>
        <w:jc w:val="center"/>
      </w:pPr>
      <w:r w:rsidRPr="001A59B6">
        <w:t>Washington, D.C. 20201</w:t>
      </w:r>
    </w:p>
    <w:p w:rsidR="004C59E9" w:rsidRPr="001A59B6" w:rsidP="004C59E9" w14:paraId="4A0254F6" w14:textId="77777777">
      <w:pPr>
        <w:jc w:val="center"/>
      </w:pPr>
    </w:p>
    <w:p w:rsidR="004C59E9" w:rsidP="004C59E9" w14:paraId="568237D5" w14:textId="5025A4F1">
      <w:pPr>
        <w:jc w:val="center"/>
      </w:pPr>
      <w:r w:rsidRPr="001A59B6">
        <w:t>Project Officers:</w:t>
      </w:r>
    </w:p>
    <w:p w:rsidR="008F5709" w:rsidP="004C59E9" w14:paraId="4F3584F2" w14:textId="52530529">
      <w:pPr>
        <w:jc w:val="center"/>
      </w:pPr>
      <w:bookmarkStart w:id="1" w:name="_Hlk149657626"/>
      <w:r>
        <w:t>Jenessa Malin</w:t>
      </w:r>
    </w:p>
    <w:p w:rsidR="008F5709" w:rsidRPr="001A59B6" w:rsidP="004C59E9" w14:paraId="55F9CBC3" w14:textId="4EF112DF">
      <w:pPr>
        <w:jc w:val="center"/>
      </w:pPr>
      <w:r>
        <w:t xml:space="preserve">Krystal </w:t>
      </w:r>
      <w:r w:rsidRPr="008F5709">
        <w:t>Bichay-Awadalla</w:t>
      </w:r>
    </w:p>
    <w:bookmarkEnd w:id="1"/>
    <w:p w:rsidR="004C59E9" w:rsidRPr="001A59B6" w:rsidP="004C59E9" w14:paraId="5CA4D7BE" w14:textId="77777777">
      <w:pPr>
        <w:jc w:val="center"/>
        <w:rPr>
          <w:b/>
        </w:rPr>
      </w:pPr>
    </w:p>
    <w:p w:rsidR="001D1C73" w:rsidRPr="00816292" w:rsidP="004C59E9" w14:paraId="43581017" w14:textId="77777777">
      <w:pPr>
        <w:pStyle w:val="Title"/>
      </w:pPr>
      <w:r w:rsidRPr="00816292">
        <w:t>Part A</w:t>
      </w:r>
    </w:p>
    <w:p w:rsidR="001D1C73" w:rsidRPr="009139B3" w:rsidP="004C59E9" w14:paraId="246E14EE" w14:textId="77777777"/>
    <w:p w:rsidR="001D1C73" w:rsidRPr="009139B3" w:rsidP="004C59E9" w14:paraId="2E25A862" w14:textId="77777777"/>
    <w:p w:rsidR="001D1C73" w:rsidRPr="009139B3" w:rsidP="004C59E9" w14:paraId="75B97ABC" w14:textId="77777777"/>
    <w:p w:rsidR="001D1C73" w:rsidRPr="009139B3" w:rsidP="004C59E9" w14:paraId="67A674E8" w14:textId="77777777">
      <w:r w:rsidRPr="009139B3">
        <w:t>Executive Summary</w:t>
      </w:r>
    </w:p>
    <w:p w:rsidR="001D1C73" w:rsidRPr="009139B3" w:rsidP="004C59E9" w14:paraId="77DFD6CC" w14:textId="77777777"/>
    <w:p w:rsidR="00816292" w:rsidRPr="009139B3" w:rsidP="004C59E9" w14:paraId="6B1A5C31" w14:textId="248280BC">
      <w:pPr>
        <w:pStyle w:val="ListParagraph"/>
        <w:numPr>
          <w:ilvl w:val="0"/>
          <w:numId w:val="27"/>
        </w:numPr>
      </w:pPr>
      <w:r w:rsidRPr="00816292">
        <w:rPr>
          <w:b/>
        </w:rPr>
        <w:t xml:space="preserve">Type of Request: </w:t>
      </w:r>
      <w:r>
        <w:t xml:space="preserve">This Information Collection Request is for a new request. The </w:t>
      </w:r>
      <w:r w:rsidRPr="4E4347F2">
        <w:rPr>
          <w:rFonts w:ascii="Calibri" w:eastAsia="Calibri" w:hAnsi="Calibri" w:cs="Calibri"/>
        </w:rPr>
        <w:t xml:space="preserve">research team </w:t>
      </w:r>
      <w:r>
        <w:t xml:space="preserve">is requesting </w:t>
      </w:r>
      <w:r w:rsidR="00B07EF9">
        <w:t>1</w:t>
      </w:r>
      <w:r>
        <w:t xml:space="preserve"> year of approval. </w:t>
      </w:r>
    </w:p>
    <w:p w:rsidR="00816292" w:rsidRPr="009139B3" w:rsidP="004C59E9" w14:paraId="6D4FA4AE" w14:textId="77777777">
      <w:pPr>
        <w:pStyle w:val="ListParagraph"/>
      </w:pPr>
    </w:p>
    <w:p w:rsidR="001D1C73" w:rsidRPr="009139B3" w:rsidP="00DA5D19" w14:paraId="685C9784" w14:textId="28602874">
      <w:pPr>
        <w:pStyle w:val="ListParagraph"/>
        <w:numPr>
          <w:ilvl w:val="0"/>
          <w:numId w:val="27"/>
        </w:numPr>
      </w:pPr>
      <w:r w:rsidRPr="004C59E9">
        <w:rPr>
          <w:b/>
          <w:bCs/>
        </w:rPr>
        <w:t>Description of Request:</w:t>
      </w:r>
      <w:r w:rsidRPr="004C59E9" w:rsidR="004C59E9">
        <w:rPr>
          <w:b/>
          <w:bCs/>
        </w:rPr>
        <w:t xml:space="preserve"> </w:t>
      </w:r>
      <w:r w:rsidRPr="001A006E" w:rsidR="00816292">
        <w:t xml:space="preserve">The research team is seeking approval for a one-time </w:t>
      </w:r>
      <w:r w:rsidR="00816292">
        <w:t xml:space="preserve">national </w:t>
      </w:r>
      <w:r w:rsidRPr="001A006E" w:rsidR="00816292">
        <w:t xml:space="preserve">survey of </w:t>
      </w:r>
      <w:r w:rsidRPr="00816292" w:rsidR="00816292">
        <w:t xml:space="preserve">respondents from </w:t>
      </w:r>
      <w:r w:rsidR="008F5709">
        <w:t>Early Head Start (</w:t>
      </w:r>
      <w:r w:rsidRPr="00816292" w:rsidR="00816292">
        <w:t>EHS</w:t>
      </w:r>
      <w:r w:rsidR="008F5709">
        <w:t>)</w:t>
      </w:r>
      <w:r w:rsidRPr="00816292" w:rsidR="00816292">
        <w:t xml:space="preserve"> grant recipients regarding </w:t>
      </w:r>
      <w:r w:rsidR="00F85A5F">
        <w:t>practices to</w:t>
      </w:r>
      <w:r w:rsidRPr="00816292" w:rsidR="00816292">
        <w:t xml:space="preserve"> ensure that</w:t>
      </w:r>
      <w:r w:rsidR="00F85A5F">
        <w:t xml:space="preserve"> </w:t>
      </w:r>
      <w:r w:rsidRPr="00816292" w:rsidR="00816292">
        <w:t xml:space="preserve">center-based infant and toddler teachers as well as home visitors have sufficient knowledge, training, experience, and competencies to fulfill the roles and duties of their positions. This study is intended to produce nationally representative estimates of EHS </w:t>
      </w:r>
      <w:r w:rsidR="00B54C4B">
        <w:t>grant recipients’</w:t>
      </w:r>
      <w:r w:rsidRPr="00816292" w:rsidR="00B54C4B">
        <w:t xml:space="preserve"> </w:t>
      </w:r>
      <w:r w:rsidRPr="00816292" w:rsidR="00816292">
        <w:t xml:space="preserve">teacher and home visitor recruitment, training, and professional development practices. </w:t>
      </w:r>
      <w:r w:rsidRPr="001A006E" w:rsidR="00816292">
        <w:t>Th</w:t>
      </w:r>
      <w:r w:rsidR="00F85A5F">
        <w:t>e survey also aims to identify</w:t>
      </w:r>
      <w:r w:rsidRPr="001A006E" w:rsidR="00816292">
        <w:t xml:space="preserve"> challenges and</w:t>
      </w:r>
      <w:r w:rsidR="00F85A5F">
        <w:t xml:space="preserve"> promising </w:t>
      </w:r>
      <w:r w:rsidRPr="001A006E" w:rsidR="00816292">
        <w:t>practices</w:t>
      </w:r>
      <w:r w:rsidR="00CB63A1">
        <w:t>.</w:t>
      </w:r>
      <w:r w:rsidRPr="001A006E" w:rsidR="00816292">
        <w:t xml:space="preserve"> </w:t>
      </w:r>
      <w:r w:rsidR="00CB63A1">
        <w:t>The information collection is intended to</w:t>
      </w:r>
      <w:r w:rsidRPr="001A006E" w:rsidR="00816292">
        <w:t xml:space="preserve"> </w:t>
      </w:r>
      <w:r w:rsidR="00F85A5F">
        <w:t>inform the</w:t>
      </w:r>
      <w:r w:rsidRPr="001A006E" w:rsidR="00F85A5F">
        <w:t xml:space="preserve"> </w:t>
      </w:r>
      <w:r w:rsidR="008F5709">
        <w:t>Office of Head Start</w:t>
      </w:r>
      <w:r w:rsidRPr="001A006E" w:rsidR="00816292">
        <w:t xml:space="preserve"> </w:t>
      </w:r>
      <w:r w:rsidR="00CB63A1">
        <w:t>i</w:t>
      </w:r>
      <w:r w:rsidR="00F85A5F">
        <w:t xml:space="preserve">n their efforts to </w:t>
      </w:r>
      <w:r w:rsidRPr="001A006E" w:rsidR="00816292">
        <w:t xml:space="preserve">support EHS </w:t>
      </w:r>
      <w:r w:rsidR="00F85A5F">
        <w:t>grant recipients</w:t>
      </w:r>
      <w:r w:rsidR="00CB63A1">
        <w:t xml:space="preserve"> through program planning and training and technical assistance as well as to inform future research</w:t>
      </w:r>
      <w:r w:rsidR="0098786E">
        <w:t xml:space="preserve"> of relevance to the EHS workforce</w:t>
      </w:r>
      <w:r w:rsidRPr="001A006E" w:rsidR="00816292">
        <w:t xml:space="preserve">. </w:t>
      </w:r>
      <w:r w:rsidRPr="004C59E9" w:rsidR="00816292">
        <w:rPr>
          <w:rFonts w:cs="Calibri"/>
        </w:rPr>
        <w:t xml:space="preserve">The research team does </w:t>
      </w:r>
      <w:r w:rsidRPr="004C59E9">
        <w:rPr>
          <w:rFonts w:cs="Calibri"/>
        </w:rPr>
        <w:t>not intend for this information to be used as the principal basis for public policy decisions.</w:t>
      </w:r>
    </w:p>
    <w:p w:rsidR="001D1C73" w:rsidRPr="009139B3" w:rsidP="004C59E9" w14:paraId="44585B10" w14:textId="77777777"/>
    <w:p w:rsidR="001D1C73" w:rsidRPr="009139B3" w:rsidP="004C59E9" w14:paraId="0CAA5121" w14:textId="77777777"/>
    <w:p w:rsidR="001D1C73" w:rsidRPr="009139B3" w:rsidP="004C59E9" w14:paraId="7CF70A12" w14:textId="77777777">
      <w:r w:rsidRPr="009139B3">
        <w:br w:type="page"/>
      </w:r>
    </w:p>
    <w:p w:rsidR="001D1C73" w:rsidRPr="009139B3" w:rsidP="004C59E9" w14:paraId="2C4A3F63" w14:textId="77777777"/>
    <w:p w:rsidR="001D1C73" w:rsidRPr="009139B3" w:rsidP="004C59E9" w14:paraId="376E93B4" w14:textId="77777777">
      <w:pPr>
        <w:pStyle w:val="Heading1"/>
      </w:pPr>
      <w:r w:rsidRPr="009139B3">
        <w:t>A1.</w:t>
      </w:r>
      <w:r w:rsidRPr="009139B3">
        <w:tab/>
        <w:t xml:space="preserve">Necessity for Collection </w:t>
      </w:r>
    </w:p>
    <w:p w:rsidR="00816292" w:rsidP="004C59E9" w14:paraId="3CBAA492" w14:textId="47A114A5">
      <w:r>
        <w:t xml:space="preserve">The Administration for Children and Families (ACF) at the U.S. Department of Health and Human Services (HHS) seeks approval to collect descriptive information related to </w:t>
      </w:r>
      <w:r w:rsidR="0084361C">
        <w:t>Early Head Start (</w:t>
      </w:r>
      <w:r w:rsidR="0098786E">
        <w:t>EHS</w:t>
      </w:r>
      <w:r w:rsidR="0084361C">
        <w:t>)</w:t>
      </w:r>
      <w:r>
        <w:t xml:space="preserve"> staff recruitment, training, and professional development practices. </w:t>
      </w:r>
    </w:p>
    <w:p w:rsidR="004C59E9" w:rsidP="004C59E9" w14:paraId="63A8AC02" w14:textId="77777777"/>
    <w:p w:rsidR="0084361C" w:rsidP="0084361C" w14:paraId="176A01C8" w14:textId="77777777">
      <w:pPr>
        <w:rPr>
          <w:rFonts w:eastAsia="Lato"/>
        </w:rPr>
      </w:pPr>
      <w:r>
        <w:rPr>
          <w:rFonts w:eastAsiaTheme="minorEastAsia"/>
        </w:rPr>
        <w:t>EHS</w:t>
      </w:r>
      <w:r w:rsidRPr="00CE4BAB">
        <w:rPr>
          <w:rFonts w:eastAsiaTheme="minorEastAsia"/>
        </w:rPr>
        <w:t xml:space="preserve"> grant recipients need to search for, hire, and train </w:t>
      </w:r>
      <w:r w:rsidR="00DA5D19">
        <w:rPr>
          <w:rFonts w:eastAsiaTheme="minorEastAsia"/>
        </w:rPr>
        <w:t>teachers</w:t>
      </w:r>
      <w:r w:rsidRPr="00CE4BAB" w:rsidR="00DA5D19">
        <w:rPr>
          <w:rFonts w:eastAsiaTheme="minorEastAsia"/>
        </w:rPr>
        <w:t xml:space="preserve"> </w:t>
      </w:r>
      <w:r w:rsidRPr="00CE4BAB">
        <w:rPr>
          <w:rFonts w:eastAsiaTheme="minorEastAsia"/>
        </w:rPr>
        <w:t xml:space="preserve">and home visitors to provide high-quality services to infants, toddlers, and their families. Specifically, EHS grant recipients must make sure that their </w:t>
      </w:r>
      <w:r w:rsidR="00AC4AEF">
        <w:rPr>
          <w:rFonts w:eastAsiaTheme="minorEastAsia"/>
        </w:rPr>
        <w:t>teachers and home visitors</w:t>
      </w:r>
      <w:r w:rsidRPr="00CE4BAB" w:rsidR="00AC4AEF">
        <w:rPr>
          <w:rFonts w:eastAsiaTheme="minorEastAsia"/>
        </w:rPr>
        <w:t xml:space="preserve"> </w:t>
      </w:r>
      <w:r w:rsidRPr="00CE4BAB">
        <w:rPr>
          <w:rFonts w:eastAsiaTheme="minorEastAsia"/>
        </w:rPr>
        <w:t xml:space="preserve">meet or exceed the qualification and </w:t>
      </w:r>
      <w:r w:rsidRPr="00CE4BAB" w:rsidR="00F85A5F">
        <w:rPr>
          <w:rFonts w:eastAsiaTheme="minorEastAsia"/>
        </w:rPr>
        <w:t>competenc</w:t>
      </w:r>
      <w:r w:rsidR="00F85A5F">
        <w:rPr>
          <w:rFonts w:eastAsiaTheme="minorEastAsia"/>
        </w:rPr>
        <w:t>y requirements</w:t>
      </w:r>
      <w:r w:rsidRPr="00CE4BAB" w:rsidR="00F85A5F">
        <w:rPr>
          <w:rFonts w:eastAsiaTheme="minorEastAsia"/>
        </w:rPr>
        <w:t xml:space="preserve"> </w:t>
      </w:r>
      <w:r w:rsidRPr="00CE4BAB">
        <w:rPr>
          <w:rFonts w:eastAsiaTheme="minorEastAsia"/>
        </w:rPr>
        <w:t>described in the Head Start Program Performance Standards (HSPPS)</w:t>
      </w:r>
      <w:bookmarkStart w:id="2" w:name="_Hlk155265154"/>
      <w:r>
        <w:rPr>
          <w:rStyle w:val="FootnoteReference"/>
          <w:rFonts w:eastAsiaTheme="minorEastAsia"/>
        </w:rPr>
        <w:footnoteReference w:id="2"/>
      </w:r>
      <w:r w:rsidRPr="00CE4BAB">
        <w:rPr>
          <w:rFonts w:eastAsiaTheme="minorEastAsia"/>
        </w:rPr>
        <w:t>.</w:t>
      </w:r>
      <w:bookmarkEnd w:id="2"/>
      <w:r w:rsidRPr="00CE4BAB">
        <w:rPr>
          <w:rFonts w:eastAsiaTheme="minorEastAsia"/>
        </w:rPr>
        <w:t xml:space="preserve"> </w:t>
      </w:r>
      <w:r>
        <w:rPr>
          <w:rFonts w:eastAsia="Lato"/>
        </w:rPr>
        <w:t>Previous research has highlighted ongoing staffing challenges and turnover faced by early care and education programs, including EHS programs. Yet, nationally representative information specific to EHS grant recipients is limited. Little is known about how EHS programs recruit and hire qualified and competent teachers and home visitors and how they support staff training and professional development.</w:t>
      </w:r>
    </w:p>
    <w:p w:rsidR="0084361C" w:rsidP="004C59E9" w14:paraId="63EB2ABA" w14:textId="77777777"/>
    <w:p w:rsidR="00F85A5F" w:rsidP="004C59E9" w14:paraId="70267F45" w14:textId="7720398D">
      <w:pPr>
        <w:rPr>
          <w:rFonts w:eastAsiaTheme="minorEastAsia"/>
        </w:rPr>
      </w:pPr>
      <w:r>
        <w:t>Th</w:t>
      </w:r>
      <w:r w:rsidR="0084361C">
        <w:t>is proposed</w:t>
      </w:r>
      <w:r>
        <w:t xml:space="preserve"> information collection is a nationally representative survey that will describe how EHS programs ensure staff have the qualifications and competencies to deliver high-quality services to infants, toddlers, and their families. The information collection will examine how EHS grant recipients search for and hire qualified teaching and home visiting staff and support staff in their ongoing professional development and career advancement. The information collection </w:t>
      </w:r>
      <w:r w:rsidR="00CB63A1">
        <w:t xml:space="preserve">also </w:t>
      </w:r>
      <w:r>
        <w:t xml:space="preserve">aims to identify </w:t>
      </w:r>
      <w:r w:rsidR="00CB63A1">
        <w:t xml:space="preserve">promising </w:t>
      </w:r>
      <w:r>
        <w:t xml:space="preserve">strategies or approaches as well as challenges faced as EHS programs search for, hire, and train teaching and home visiting staff. </w:t>
      </w:r>
    </w:p>
    <w:p w:rsidR="00114374" w:rsidP="004C59E9" w14:paraId="2FD7E4BE" w14:textId="77777777">
      <w:pPr>
        <w:rPr>
          <w:rFonts w:eastAsia="Lato"/>
        </w:rPr>
      </w:pPr>
    </w:p>
    <w:p w:rsidR="00816292" w:rsidP="004C59E9" w14:paraId="6EB13B85" w14:textId="4BFA9F48">
      <w:pPr>
        <w:rPr>
          <w:rFonts w:eastAsiaTheme="minorEastAsia"/>
        </w:rPr>
      </w:pPr>
      <w:r w:rsidRPr="00CE4BAB">
        <w:rPr>
          <w:rFonts w:eastAsiaTheme="minorEastAsia"/>
        </w:rPr>
        <w:t xml:space="preserve">ACF has contracted with the Urban Institute </w:t>
      </w:r>
      <w:r w:rsidR="00C97928">
        <w:rPr>
          <w:rFonts w:eastAsiaTheme="minorEastAsia"/>
        </w:rPr>
        <w:t xml:space="preserve">and MEF Associates </w:t>
      </w:r>
      <w:r w:rsidRPr="00CE4BAB">
        <w:rPr>
          <w:rFonts w:eastAsiaTheme="minorEastAsia"/>
        </w:rPr>
        <w:t>to complete this study. There are no legal or administrative requirements that necessitate this collection. ACF is undertaking the collection at the discretion of the agency.</w:t>
      </w:r>
    </w:p>
    <w:p w:rsidR="00721DFD" w:rsidP="004C59E9" w14:paraId="70C2A0E1" w14:textId="77777777"/>
    <w:p w:rsidR="001D1C73" w:rsidRPr="009139B3" w:rsidP="004C59E9" w14:paraId="1D64CC0F" w14:textId="77777777">
      <w:pPr>
        <w:pStyle w:val="Heading1"/>
      </w:pPr>
      <w:r w:rsidRPr="009139B3">
        <w:t>A2.</w:t>
      </w:r>
      <w:r w:rsidRPr="009139B3">
        <w:tab/>
        <w:t>Purpose</w:t>
      </w:r>
    </w:p>
    <w:p w:rsidR="001D1C73" w:rsidRPr="009139B3" w:rsidP="004C59E9" w14:paraId="3EF5234E" w14:textId="77777777">
      <w:pPr>
        <w:pStyle w:val="Heading2"/>
      </w:pPr>
      <w:r w:rsidRPr="009139B3">
        <w:t xml:space="preserve">Purpose and Use </w:t>
      </w:r>
    </w:p>
    <w:p w:rsidR="005E7991" w:rsidP="004C59E9" w14:paraId="0E09F1A1" w14:textId="2CD4A66D">
      <w:pPr>
        <w:rPr>
          <w:rFonts w:eastAsia="Lato"/>
        </w:rPr>
      </w:pPr>
      <w:r>
        <w:rPr>
          <w:rFonts w:eastAsiaTheme="minorEastAsia"/>
        </w:rPr>
        <w:t>Information gathered from this</w:t>
      </w:r>
      <w:r w:rsidRPr="00CE4BAB">
        <w:rPr>
          <w:rFonts w:eastAsiaTheme="minorEastAsia"/>
        </w:rPr>
        <w:t xml:space="preserve"> survey </w:t>
      </w:r>
      <w:r w:rsidR="00CB63A1">
        <w:rPr>
          <w:rFonts w:eastAsiaTheme="minorEastAsia"/>
        </w:rPr>
        <w:t>is intended to inform ACF’s</w:t>
      </w:r>
      <w:r>
        <w:rPr>
          <w:rFonts w:eastAsiaTheme="minorEastAsia"/>
        </w:rPr>
        <w:t xml:space="preserve"> understanding of </w:t>
      </w:r>
      <w:r w:rsidRPr="00CE4BAB">
        <w:rPr>
          <w:rFonts w:eastAsiaTheme="minorEastAsia"/>
        </w:rPr>
        <w:t>the strategies</w:t>
      </w:r>
      <w:r w:rsidRPr="008F5709">
        <w:rPr>
          <w:rFonts w:eastAsiaTheme="minorEastAsia"/>
        </w:rPr>
        <w:t xml:space="preserve"> </w:t>
      </w:r>
      <w:r w:rsidRPr="00CE4BAB">
        <w:rPr>
          <w:rFonts w:eastAsiaTheme="minorEastAsia"/>
        </w:rPr>
        <w:t>EHS grant recipients use</w:t>
      </w:r>
      <w:r>
        <w:rPr>
          <w:rFonts w:eastAsiaTheme="minorEastAsia"/>
        </w:rPr>
        <w:t xml:space="preserve"> and the </w:t>
      </w:r>
      <w:r w:rsidRPr="00CE4BAB">
        <w:rPr>
          <w:rFonts w:eastAsiaTheme="minorEastAsia"/>
        </w:rPr>
        <w:t xml:space="preserve">successes and challenges that </w:t>
      </w:r>
      <w:r>
        <w:rPr>
          <w:rFonts w:eastAsiaTheme="minorEastAsia"/>
        </w:rPr>
        <w:t xml:space="preserve">they </w:t>
      </w:r>
      <w:r w:rsidRPr="00CE4BAB">
        <w:rPr>
          <w:rFonts w:eastAsiaTheme="minorEastAsia"/>
        </w:rPr>
        <w:t xml:space="preserve">experience when </w:t>
      </w:r>
      <w:r w:rsidR="00CB63A1">
        <w:rPr>
          <w:rFonts w:eastAsiaTheme="minorEastAsia"/>
        </w:rPr>
        <w:t>searching</w:t>
      </w:r>
      <w:r w:rsidRPr="00CE4BAB">
        <w:rPr>
          <w:rFonts w:eastAsiaTheme="minorEastAsia"/>
        </w:rPr>
        <w:t xml:space="preserve"> for</w:t>
      </w:r>
      <w:r w:rsidR="00CB63A1">
        <w:rPr>
          <w:rFonts w:eastAsiaTheme="minorEastAsia"/>
        </w:rPr>
        <w:t xml:space="preserve">, </w:t>
      </w:r>
      <w:r w:rsidR="00CB63A1">
        <w:rPr>
          <w:rFonts w:eastAsiaTheme="minorEastAsia"/>
        </w:rPr>
        <w:t xml:space="preserve">hiring, </w:t>
      </w:r>
      <w:r w:rsidRPr="00CE4BAB">
        <w:rPr>
          <w:rFonts w:eastAsiaTheme="minorEastAsia"/>
        </w:rPr>
        <w:t xml:space="preserve"> and</w:t>
      </w:r>
      <w:r w:rsidRPr="00CE4BAB">
        <w:rPr>
          <w:rFonts w:eastAsiaTheme="minorEastAsia"/>
        </w:rPr>
        <w:t xml:space="preserve"> train</w:t>
      </w:r>
      <w:r w:rsidR="00CB63A1">
        <w:rPr>
          <w:rFonts w:eastAsiaTheme="minorEastAsia"/>
        </w:rPr>
        <w:t>ing</w:t>
      </w:r>
      <w:r w:rsidRPr="00CE4BAB">
        <w:rPr>
          <w:rFonts w:eastAsiaTheme="minorEastAsia"/>
        </w:rPr>
        <w:t xml:space="preserve"> </w:t>
      </w:r>
      <w:r w:rsidR="00AC4AEF">
        <w:rPr>
          <w:rFonts w:eastAsiaTheme="minorEastAsia"/>
        </w:rPr>
        <w:t>teachers and home visitors</w:t>
      </w:r>
      <w:r w:rsidRPr="00CE4BAB">
        <w:rPr>
          <w:rFonts w:eastAsiaTheme="minorEastAsia"/>
        </w:rPr>
        <w:t xml:space="preserve"> who have the competencies and qualifications </w:t>
      </w:r>
      <w:r w:rsidR="00CB63A1">
        <w:rPr>
          <w:rFonts w:eastAsiaTheme="minorEastAsia"/>
        </w:rPr>
        <w:t>to provide high-quality services to</w:t>
      </w:r>
      <w:r w:rsidRPr="00CE4BAB">
        <w:rPr>
          <w:rFonts w:eastAsiaTheme="minorEastAsia"/>
        </w:rPr>
        <w:t xml:space="preserve"> infants, toddlers, and pregnant women. </w:t>
      </w:r>
      <w:r w:rsidR="00CB63A1">
        <w:t xml:space="preserve">Findings are intended to inform </w:t>
      </w:r>
      <w:r w:rsidR="004B0B34">
        <w:t xml:space="preserve">ACF staff who support </w:t>
      </w:r>
      <w:r w:rsidR="00CB63A1">
        <w:t>EHS program planning</w:t>
      </w:r>
      <w:r w:rsidR="004B0B34">
        <w:t xml:space="preserve"> and operations</w:t>
      </w:r>
      <w:r w:rsidR="00CB63A1">
        <w:t xml:space="preserve">, </w:t>
      </w:r>
      <w:r w:rsidR="004B0B34">
        <w:t xml:space="preserve">those who provide </w:t>
      </w:r>
      <w:r w:rsidR="00CB63A1">
        <w:t xml:space="preserve">training and technical assistance to EHS grant recipients, </w:t>
      </w:r>
      <w:r w:rsidR="004B0B34">
        <w:t xml:space="preserve">EHS grant recipients, </w:t>
      </w:r>
      <w:r w:rsidR="00CB63A1">
        <w:t>and research</w:t>
      </w:r>
      <w:r w:rsidR="004B0B34">
        <w:t>ers</w:t>
      </w:r>
      <w:r w:rsidRPr="00CE4BAB" w:rsidR="00CB63A1">
        <w:rPr>
          <w:rFonts w:eastAsiaTheme="minorEastAsia"/>
        </w:rPr>
        <w:t xml:space="preserve">. </w:t>
      </w:r>
    </w:p>
    <w:p w:rsidR="004C59E9" w:rsidRPr="00835C65" w:rsidP="004C59E9" w14:paraId="7694A99D" w14:textId="77777777">
      <w:pPr>
        <w:rPr>
          <w:rFonts w:eastAsia="Lato"/>
        </w:rPr>
      </w:pPr>
    </w:p>
    <w:p w:rsidR="005E7991" w:rsidP="004C59E9" w14:paraId="2E876D54" w14:textId="03DF9598">
      <w:pPr>
        <w:rPr>
          <w:rFonts w:eastAsia="Lato"/>
        </w:rPr>
      </w:pPr>
      <w:r w:rsidRPr="11EC9E92">
        <w:rPr>
          <w:rFonts w:eastAsia="Lato"/>
        </w:rPr>
        <w:t>The information collected is meant to contribute to the body of knowledge on ACF programs. It is not intended to be used as the principal basis for a decision by a federal decision-</w:t>
      </w:r>
      <w:r w:rsidRPr="11EC9E92">
        <w:rPr>
          <w:rFonts w:eastAsia="Lato"/>
        </w:rPr>
        <w:t>maker, and</w:t>
      </w:r>
      <w:r w:rsidRPr="11EC9E92">
        <w:rPr>
          <w:rFonts w:eastAsia="Lato"/>
        </w:rPr>
        <w:t xml:space="preserve"> is not expected to meet the threshold of influential or highly influential scientific information.</w:t>
      </w:r>
    </w:p>
    <w:p w:rsidR="004C59E9" w:rsidRPr="00835C65" w:rsidP="004C59E9" w14:paraId="337A8F68" w14:textId="77777777">
      <w:pPr>
        <w:rPr>
          <w:rFonts w:eastAsia="Lato"/>
        </w:rPr>
      </w:pPr>
    </w:p>
    <w:p w:rsidR="001D1C73" w:rsidP="004C59E9" w14:paraId="6F0BE561" w14:textId="611ADEE0">
      <w:pPr>
        <w:pStyle w:val="Heading2"/>
      </w:pPr>
      <w:r w:rsidRPr="009139B3">
        <w:t>Research Questions or Tests</w:t>
      </w:r>
    </w:p>
    <w:p w:rsidR="005E7991" w:rsidRPr="00835C65" w:rsidP="004C59E9" w14:paraId="7C2C8A80" w14:textId="750170CF">
      <w:pPr>
        <w:rPr>
          <w:rFonts w:eastAsia="Lato"/>
        </w:rPr>
      </w:pPr>
      <w:r w:rsidRPr="1C38AF72">
        <w:rPr>
          <w:rFonts w:eastAsia="Lato"/>
        </w:rPr>
        <w:t xml:space="preserve">The </w:t>
      </w:r>
      <w:r w:rsidR="004B0B34">
        <w:rPr>
          <w:rFonts w:eastAsia="Lato"/>
        </w:rPr>
        <w:t xml:space="preserve">information collection addresses </w:t>
      </w:r>
      <w:r w:rsidRPr="1C38AF72">
        <w:rPr>
          <w:rFonts w:eastAsia="Lato"/>
        </w:rPr>
        <w:t xml:space="preserve">four </w:t>
      </w:r>
      <w:r w:rsidR="004B0B34">
        <w:rPr>
          <w:rFonts w:eastAsia="Lato"/>
        </w:rPr>
        <w:t xml:space="preserve">high-level </w:t>
      </w:r>
      <w:r w:rsidRPr="1C38AF72">
        <w:rPr>
          <w:rFonts w:eastAsia="Lato"/>
        </w:rPr>
        <w:t>research questions:</w:t>
      </w:r>
    </w:p>
    <w:p w:rsidR="005E7991" w:rsidP="004C59E9" w14:paraId="53CA513A" w14:textId="5351A926">
      <w:pPr>
        <w:pStyle w:val="ListParagraph"/>
        <w:numPr>
          <w:ilvl w:val="0"/>
          <w:numId w:val="42"/>
        </w:numPr>
        <w:rPr>
          <w:rFonts w:eastAsia="Lato"/>
        </w:rPr>
      </w:pPr>
      <w:r w:rsidRPr="00835C65">
        <w:rPr>
          <w:rFonts w:eastAsia="Lato"/>
        </w:rPr>
        <w:t xml:space="preserve">How do </w:t>
      </w:r>
      <w:r w:rsidR="004B0B34">
        <w:rPr>
          <w:rFonts w:eastAsia="Lato"/>
        </w:rPr>
        <w:t xml:space="preserve">EHS </w:t>
      </w:r>
      <w:r w:rsidRPr="00835C65">
        <w:rPr>
          <w:rFonts w:eastAsia="Lato"/>
        </w:rPr>
        <w:t xml:space="preserve">grant recipients search for </w:t>
      </w:r>
      <w:r w:rsidR="00AC4AEF">
        <w:rPr>
          <w:rFonts w:eastAsiaTheme="minorEastAsia"/>
        </w:rPr>
        <w:t>teachers and home visitors</w:t>
      </w:r>
      <w:r w:rsidRPr="00CE4BAB" w:rsidR="00AC4AEF">
        <w:rPr>
          <w:rFonts w:eastAsiaTheme="minorEastAsia"/>
        </w:rPr>
        <w:t xml:space="preserve"> </w:t>
      </w:r>
      <w:r w:rsidRPr="00835C65">
        <w:rPr>
          <w:rFonts w:eastAsia="Lato"/>
        </w:rPr>
        <w:t xml:space="preserve">with the qualifications and competencies necessary to deliver high-quality services to infants, toddlers, and their families? </w:t>
      </w:r>
      <w:r w:rsidRPr="00835C65">
        <w:rPr>
          <w:rFonts w:eastAsia="Lato"/>
        </w:rPr>
        <w:t>What strategies or approaches have been most successful? What challenges do grant recipients face?</w:t>
      </w:r>
    </w:p>
    <w:p w:rsidR="005E7991" w:rsidP="004C59E9" w14:paraId="139AFA4F" w14:textId="00CAD490">
      <w:pPr>
        <w:pStyle w:val="ListParagraph"/>
        <w:numPr>
          <w:ilvl w:val="0"/>
          <w:numId w:val="42"/>
        </w:numPr>
        <w:rPr>
          <w:rFonts w:eastAsia="Lato"/>
        </w:rPr>
      </w:pPr>
      <w:r w:rsidRPr="00835C65">
        <w:rPr>
          <w:rFonts w:eastAsia="Lato"/>
        </w:rPr>
        <w:t>How do</w:t>
      </w:r>
      <w:r w:rsidR="004B0B34">
        <w:rPr>
          <w:rFonts w:eastAsia="Lato"/>
        </w:rPr>
        <w:t xml:space="preserve"> EHS</w:t>
      </w:r>
      <w:r w:rsidRPr="00835C65">
        <w:rPr>
          <w:rFonts w:eastAsia="Lato"/>
        </w:rPr>
        <w:t xml:space="preserve"> grant recipients hire </w:t>
      </w:r>
      <w:r w:rsidR="00AC4AEF">
        <w:rPr>
          <w:rFonts w:eastAsiaTheme="minorEastAsia"/>
        </w:rPr>
        <w:t>teachers and home visitors</w:t>
      </w:r>
      <w:r w:rsidRPr="00CE4BAB" w:rsidR="00AC4AEF">
        <w:rPr>
          <w:rFonts w:eastAsiaTheme="minorEastAsia"/>
        </w:rPr>
        <w:t xml:space="preserve"> </w:t>
      </w:r>
      <w:r w:rsidRPr="00835C65">
        <w:rPr>
          <w:rFonts w:eastAsia="Lato"/>
        </w:rPr>
        <w:t>with the qualifications and competencies necessary to deliver high-quality services to infants, toddlers, and their families? What strategies or approaches have been most successful? What challenges do grant recipients face?</w:t>
      </w:r>
    </w:p>
    <w:p w:rsidR="005E7991" w:rsidP="004C59E9" w14:paraId="3B81732E" w14:textId="12C04EA6">
      <w:pPr>
        <w:pStyle w:val="ListParagraph"/>
        <w:numPr>
          <w:ilvl w:val="0"/>
          <w:numId w:val="42"/>
        </w:numPr>
        <w:rPr>
          <w:rFonts w:eastAsia="Lato"/>
        </w:rPr>
      </w:pPr>
      <w:r w:rsidRPr="00835C65">
        <w:rPr>
          <w:rFonts w:eastAsia="Lato"/>
        </w:rPr>
        <w:t xml:space="preserve">How do EHS grant recipients support existing </w:t>
      </w:r>
      <w:r w:rsidR="00AC4AEF">
        <w:rPr>
          <w:rFonts w:eastAsiaTheme="minorEastAsia"/>
        </w:rPr>
        <w:t>teachers and home visitors</w:t>
      </w:r>
      <w:r w:rsidRPr="00CE4BAB" w:rsidR="00AC4AEF">
        <w:rPr>
          <w:rFonts w:eastAsiaTheme="minorEastAsia"/>
        </w:rPr>
        <w:t xml:space="preserve"> </w:t>
      </w:r>
      <w:r w:rsidRPr="00835C65">
        <w:rPr>
          <w:rFonts w:eastAsia="Lato"/>
        </w:rPr>
        <w:t>in improving their qualifications and competencies? What strategies or approaches have been most successful? What challenges do grant recipients face?</w:t>
      </w:r>
    </w:p>
    <w:p w:rsidR="005E7991" w:rsidRPr="00835C65" w:rsidP="004C59E9" w14:paraId="702C7450" w14:textId="69EDBD8A">
      <w:pPr>
        <w:pStyle w:val="ListParagraph"/>
        <w:numPr>
          <w:ilvl w:val="0"/>
          <w:numId w:val="42"/>
        </w:numPr>
        <w:rPr>
          <w:rFonts w:eastAsia="Lato"/>
        </w:rPr>
      </w:pPr>
      <w:r w:rsidRPr="11EC9E92">
        <w:rPr>
          <w:rFonts w:eastAsia="Lato"/>
        </w:rPr>
        <w:t>How have any challenges searching for, hiring, and training teaching and home visiting staff impacted EHS program operations?</w:t>
      </w:r>
    </w:p>
    <w:p w:rsidR="004C59E9" w:rsidP="009573DE" w14:paraId="3C4AF060" w14:textId="77777777"/>
    <w:p w:rsidR="001D1C73" w:rsidRPr="009139B3" w:rsidP="004C59E9" w14:paraId="51121746" w14:textId="3007F4E6">
      <w:pPr>
        <w:pStyle w:val="Heading2"/>
      </w:pPr>
      <w:r w:rsidRPr="009139B3">
        <w:t>Study Design</w:t>
      </w:r>
    </w:p>
    <w:p w:rsidR="005E7991" w:rsidP="004C59E9" w14:paraId="33FD7542" w14:textId="09B01F6F">
      <w:pPr>
        <w:rPr>
          <w:rFonts w:eastAsia="Lato"/>
        </w:rPr>
      </w:pPr>
      <w:r w:rsidRPr="493C5975">
        <w:rPr>
          <w:rFonts w:eastAsia="Lato"/>
        </w:rPr>
        <w:t>The research team</w:t>
      </w:r>
      <w:r>
        <w:rPr>
          <w:rFonts w:eastAsia="Lato"/>
        </w:rPr>
        <w:t xml:space="preserve"> proposes</w:t>
      </w:r>
      <w:r w:rsidRPr="493C5975">
        <w:rPr>
          <w:rFonts w:eastAsia="Lato"/>
        </w:rPr>
        <w:t xml:space="preserve"> a statistically representative </w:t>
      </w:r>
      <w:r>
        <w:rPr>
          <w:rFonts w:eastAsia="Lato"/>
        </w:rPr>
        <w:t xml:space="preserve">web-based </w:t>
      </w:r>
      <w:r w:rsidRPr="493C5975">
        <w:rPr>
          <w:rFonts w:eastAsia="Lato"/>
        </w:rPr>
        <w:t xml:space="preserve">survey of EHS grant recipients’ teacher and home visitor recruitment, </w:t>
      </w:r>
      <w:r w:rsidR="00C720CA">
        <w:rPr>
          <w:rFonts w:eastAsia="Lato"/>
        </w:rPr>
        <w:t>training</w:t>
      </w:r>
      <w:r>
        <w:rPr>
          <w:rFonts w:eastAsia="Lato"/>
        </w:rPr>
        <w:t xml:space="preserve">, and </w:t>
      </w:r>
      <w:r w:rsidRPr="493C5975">
        <w:rPr>
          <w:rFonts w:eastAsia="Lato"/>
        </w:rPr>
        <w:t xml:space="preserve">professional development strategies, challenges, and successes (see Supporting Statement B1 for more information). Prior data collection efforts on EHS </w:t>
      </w:r>
      <w:r w:rsidR="00B54C4B">
        <w:t>grant recipients</w:t>
      </w:r>
      <w:r w:rsidRPr="00816292" w:rsidR="00B54C4B">
        <w:t xml:space="preserve"> </w:t>
      </w:r>
      <w:r w:rsidRPr="493C5975">
        <w:rPr>
          <w:rFonts w:eastAsia="Lato"/>
        </w:rPr>
        <w:t xml:space="preserve">do not </w:t>
      </w:r>
      <w:r w:rsidR="00D35FC5">
        <w:rPr>
          <w:rFonts w:eastAsia="Lato"/>
        </w:rPr>
        <w:t>include</w:t>
      </w:r>
      <w:r w:rsidRPr="493C5975" w:rsidR="00D35FC5">
        <w:rPr>
          <w:rFonts w:eastAsia="Lato"/>
        </w:rPr>
        <w:t xml:space="preserve"> </w:t>
      </w:r>
      <w:r>
        <w:rPr>
          <w:rFonts w:eastAsia="Lato"/>
        </w:rPr>
        <w:t>in</w:t>
      </w:r>
      <w:r w:rsidR="00D35FC5">
        <w:rPr>
          <w:rFonts w:eastAsia="Lato"/>
        </w:rPr>
        <w:t>-</w:t>
      </w:r>
      <w:r w:rsidRPr="493C5975">
        <w:rPr>
          <w:rFonts w:eastAsia="Lato"/>
        </w:rPr>
        <w:t xml:space="preserve">depth information on </w:t>
      </w:r>
      <w:r w:rsidR="004B0B34">
        <w:rPr>
          <w:rFonts w:eastAsia="Lato"/>
        </w:rPr>
        <w:t>workforce recruitment, hiring, and professional development practices</w:t>
      </w:r>
      <w:r w:rsidRPr="493C5975">
        <w:rPr>
          <w:rFonts w:eastAsia="Lato"/>
        </w:rPr>
        <w:t xml:space="preserve">. The research team plans to distribute </w:t>
      </w:r>
      <w:r>
        <w:rPr>
          <w:rFonts w:eastAsia="Lato"/>
        </w:rPr>
        <w:t>a</w:t>
      </w:r>
      <w:r w:rsidRPr="493C5975">
        <w:rPr>
          <w:rFonts w:eastAsia="Lato"/>
        </w:rPr>
        <w:t xml:space="preserve"> one-time survey to a representative, random sample of </w:t>
      </w:r>
      <w:r>
        <w:rPr>
          <w:rFonts w:eastAsia="Lato"/>
        </w:rPr>
        <w:t xml:space="preserve">EHS </w:t>
      </w:r>
      <w:r w:rsidRPr="493C5975">
        <w:rPr>
          <w:rFonts w:eastAsia="Lato"/>
        </w:rPr>
        <w:t xml:space="preserve">program </w:t>
      </w:r>
      <w:r w:rsidR="004B0B34">
        <w:rPr>
          <w:rFonts w:eastAsia="Lato"/>
        </w:rPr>
        <w:t>directors or their designee</w:t>
      </w:r>
      <w:r w:rsidRPr="493C5975" w:rsidR="004B0B34">
        <w:rPr>
          <w:rFonts w:eastAsia="Lato"/>
        </w:rPr>
        <w:t xml:space="preserve"> </w:t>
      </w:r>
      <w:r w:rsidRPr="493C5975">
        <w:rPr>
          <w:rFonts w:eastAsia="Lato"/>
        </w:rPr>
        <w:t xml:space="preserve">(see </w:t>
      </w:r>
      <w:r w:rsidR="0049571A">
        <w:rPr>
          <w:rFonts w:eastAsia="Lato"/>
        </w:rPr>
        <w:t>T</w:t>
      </w:r>
      <w:r w:rsidRPr="493C5975">
        <w:rPr>
          <w:rFonts w:eastAsia="Lato"/>
        </w:rPr>
        <w:t>able</w:t>
      </w:r>
      <w:r w:rsidR="0049571A">
        <w:rPr>
          <w:rFonts w:eastAsia="Lato"/>
        </w:rPr>
        <w:t xml:space="preserve"> 1</w:t>
      </w:r>
      <w:r w:rsidRPr="493C5975">
        <w:rPr>
          <w:rFonts w:eastAsia="Lato"/>
        </w:rPr>
        <w:t xml:space="preserve"> below for more information on each survey instrument).</w:t>
      </w:r>
      <w:r w:rsidR="004B0B34">
        <w:rPr>
          <w:rFonts w:eastAsia="Lato"/>
        </w:rPr>
        <w:t xml:space="preserve"> The instrument will be aligned with the program option</w:t>
      </w:r>
      <w:r w:rsidR="001659B4">
        <w:rPr>
          <w:rFonts w:eastAsia="Lato"/>
        </w:rPr>
        <w:t>(s)</w:t>
      </w:r>
      <w:r w:rsidR="004B0B34">
        <w:rPr>
          <w:rFonts w:eastAsia="Lato"/>
        </w:rPr>
        <w:t xml:space="preserve"> offered by the EHS program. </w:t>
      </w:r>
      <w:r w:rsidR="00671163">
        <w:t xml:space="preserve">Center-based </w:t>
      </w:r>
      <w:r w:rsidRPr="176181AE" w:rsidR="00671163">
        <w:rPr>
          <w:i/>
          <w:iCs/>
        </w:rPr>
        <w:t xml:space="preserve">only </w:t>
      </w:r>
      <w:r w:rsidR="00671163">
        <w:t xml:space="preserve">grant recipients’ educational services are delivered in classrooms by teachers. Home-based </w:t>
      </w:r>
      <w:r w:rsidRPr="176181AE" w:rsidR="00671163">
        <w:rPr>
          <w:i/>
          <w:iCs/>
        </w:rPr>
        <w:t xml:space="preserve">only </w:t>
      </w:r>
      <w:r w:rsidR="00671163">
        <w:t xml:space="preserve">grant recipients’ services are delivered in families’ homes by home-visitors. </w:t>
      </w:r>
      <w:r w:rsidR="001659B4">
        <w:rPr>
          <w:rFonts w:eastAsia="Lato"/>
        </w:rPr>
        <w:t xml:space="preserve">Respondents from EHS programs that offer only center-based and/or family </w:t>
      </w:r>
      <w:r w:rsidR="001659B4">
        <w:rPr>
          <w:rFonts w:eastAsia="Lato"/>
        </w:rPr>
        <w:t>child care</w:t>
      </w:r>
      <w:r w:rsidR="001659B4">
        <w:rPr>
          <w:rFonts w:eastAsia="Lato"/>
        </w:rPr>
        <w:t xml:space="preserve"> services will respond to a survey about searching for, hiring, and training teachers. Respondents from EHS programs that offer only home-based services will respond to a survey about searching for, hiring, and training home visitors. Respondents from EHS programs that offer both center-based and home-based services will receive an instrument that selects one type of staff (either teachers </w:t>
      </w:r>
      <w:r w:rsidRPr="00C53719" w:rsidR="001659B4">
        <w:rPr>
          <w:rFonts w:eastAsia="Lato"/>
          <w:i/>
          <w:iCs/>
        </w:rPr>
        <w:t>or</w:t>
      </w:r>
      <w:r w:rsidR="001659B4">
        <w:rPr>
          <w:rFonts w:eastAsia="Lato"/>
        </w:rPr>
        <w:t xml:space="preserve"> home visitors) to report on.  </w:t>
      </w:r>
      <w:r>
        <w:rPr>
          <w:rFonts w:eastAsia="Lato"/>
        </w:rPr>
        <w:t>L</w:t>
      </w:r>
      <w:r w:rsidRPr="493C5975">
        <w:rPr>
          <w:rFonts w:eastAsia="Lato"/>
        </w:rPr>
        <w:t xml:space="preserve">imits </w:t>
      </w:r>
      <w:r w:rsidRPr="00EE0B00">
        <w:rPr>
          <w:rFonts w:eastAsia="Lato"/>
        </w:rPr>
        <w:t>to the generalizability of this study</w:t>
      </w:r>
      <w:r w:rsidR="00D35FC5">
        <w:rPr>
          <w:rFonts w:eastAsia="Lato"/>
        </w:rPr>
        <w:t xml:space="preserve"> are </w:t>
      </w:r>
      <w:r w:rsidR="00D35FC5">
        <w:rPr>
          <w:rFonts w:eastAsia="Lato"/>
        </w:rPr>
        <w:t>to</w:t>
      </w:r>
      <w:r w:rsidR="00D35FC5">
        <w:rPr>
          <w:rFonts w:eastAsia="Lato"/>
        </w:rPr>
        <w:t xml:space="preserve"> specific ACF regions, which</w:t>
      </w:r>
      <w:r w:rsidRPr="00EE0B00">
        <w:rPr>
          <w:rFonts w:eastAsia="Lato"/>
        </w:rPr>
        <w:t xml:space="preserve"> are discussed in </w:t>
      </w:r>
      <w:r w:rsidRPr="493C5975">
        <w:rPr>
          <w:rFonts w:eastAsia="Lato"/>
        </w:rPr>
        <w:t xml:space="preserve">Supporting Statement B1. This limitation will be clearly stated in published results. </w:t>
      </w:r>
    </w:p>
    <w:p w:rsidR="004C59E9" w:rsidP="004C59E9" w14:paraId="70651E48" w14:textId="31771E6F">
      <w:pPr>
        <w:rPr>
          <w:rFonts w:eastAsia="Lato"/>
        </w:rPr>
      </w:pPr>
    </w:p>
    <w:p w:rsidR="0049571A" w:rsidP="004C59E9" w14:paraId="41D75427" w14:textId="532416ED">
      <w:pPr>
        <w:rPr>
          <w:rFonts w:eastAsia="Lato"/>
        </w:rPr>
      </w:pPr>
      <w:r>
        <w:rPr>
          <w:rFonts w:eastAsia="Lato"/>
        </w:rPr>
        <w:t>Table 1. Summary of instruments</w:t>
      </w:r>
    </w:p>
    <w:tbl>
      <w:tblPr>
        <w:tblStyle w:val="TableGrid"/>
        <w:tblW w:w="9372" w:type="dxa"/>
        <w:tblInd w:w="0" w:type="dxa"/>
        <w:tblLayout w:type="fixed"/>
        <w:tblLook w:val="04A0"/>
      </w:tblPr>
      <w:tblGrid>
        <w:gridCol w:w="1435"/>
        <w:gridCol w:w="6660"/>
        <w:gridCol w:w="1277"/>
      </w:tblGrid>
      <w:tr w14:paraId="7B296F10" w14:textId="77777777" w:rsidTr="00651E0D">
        <w:tblPrEx>
          <w:tblW w:w="9372" w:type="dxa"/>
          <w:tblInd w:w="0" w:type="dxa"/>
          <w:tblLayout w:type="fixed"/>
          <w:tblLook w:val="04A0"/>
        </w:tblPrEx>
        <w:tc>
          <w:tcPr>
            <w:tcW w:w="1435" w:type="dxa"/>
            <w:shd w:val="clear" w:color="auto" w:fill="D9D9D9" w:themeFill="background1" w:themeFillShade="D9"/>
          </w:tcPr>
          <w:p w:rsidR="005E7991" w:rsidRPr="00553367" w:rsidP="004C59E9" w14:paraId="1D883381" w14:textId="2DD80913">
            <w:pPr>
              <w:rPr>
                <w:rFonts w:eastAsia="Lato" w:asciiTheme="minorHAnsi" w:hAnsiTheme="minorHAnsi"/>
                <w:b/>
                <w:bCs/>
              </w:rPr>
            </w:pPr>
            <w:r w:rsidRPr="00553367">
              <w:rPr>
                <w:rFonts w:eastAsia="Lato" w:asciiTheme="minorHAnsi" w:hAnsiTheme="minorHAnsi"/>
                <w:b/>
                <w:bCs/>
              </w:rPr>
              <w:t>Instruments</w:t>
            </w:r>
          </w:p>
        </w:tc>
        <w:tc>
          <w:tcPr>
            <w:tcW w:w="6660" w:type="dxa"/>
            <w:shd w:val="clear" w:color="auto" w:fill="D9D9D9" w:themeFill="background1" w:themeFillShade="D9"/>
          </w:tcPr>
          <w:p w:rsidR="005E7991" w:rsidRPr="00553367" w:rsidP="004C59E9" w14:paraId="0D2C9D21" w14:textId="77777777">
            <w:pPr>
              <w:rPr>
                <w:rFonts w:eastAsia="Lato" w:asciiTheme="minorHAnsi" w:hAnsiTheme="minorHAnsi"/>
                <w:b/>
                <w:bCs/>
              </w:rPr>
            </w:pPr>
            <w:r w:rsidRPr="00553367">
              <w:rPr>
                <w:rFonts w:eastAsia="Lato" w:asciiTheme="minorHAnsi" w:hAnsiTheme="minorHAnsi"/>
                <w:b/>
                <w:bCs/>
              </w:rPr>
              <w:t>Respondent, Content, Purpose of Collection</w:t>
            </w:r>
          </w:p>
        </w:tc>
        <w:tc>
          <w:tcPr>
            <w:tcW w:w="1277" w:type="dxa"/>
            <w:shd w:val="clear" w:color="auto" w:fill="D9D9D9" w:themeFill="background1" w:themeFillShade="D9"/>
          </w:tcPr>
          <w:p w:rsidR="005E7991" w:rsidRPr="00553367" w:rsidP="004C59E9" w14:paraId="0394B67C" w14:textId="77777777">
            <w:pPr>
              <w:rPr>
                <w:rFonts w:eastAsia="Lato" w:asciiTheme="minorHAnsi" w:hAnsiTheme="minorHAnsi"/>
                <w:b/>
                <w:bCs/>
              </w:rPr>
            </w:pPr>
            <w:r w:rsidRPr="00553367">
              <w:rPr>
                <w:rFonts w:eastAsia="Lato" w:asciiTheme="minorHAnsi" w:hAnsiTheme="minorHAnsi"/>
                <w:b/>
                <w:bCs/>
              </w:rPr>
              <w:t>Mode and Duration</w:t>
            </w:r>
          </w:p>
        </w:tc>
      </w:tr>
      <w:tr w14:paraId="1C000442" w14:textId="77777777" w:rsidTr="00651E0D">
        <w:tblPrEx>
          <w:tblW w:w="9372" w:type="dxa"/>
          <w:tblInd w:w="0" w:type="dxa"/>
          <w:tblLayout w:type="fixed"/>
          <w:tblLook w:val="04A0"/>
        </w:tblPrEx>
        <w:tc>
          <w:tcPr>
            <w:tcW w:w="1435" w:type="dxa"/>
          </w:tcPr>
          <w:p w:rsidR="005E7991" w:rsidRPr="00553367" w:rsidP="004C59E9" w14:paraId="7F96A59B" w14:textId="591280C8">
            <w:pPr>
              <w:rPr>
                <w:rFonts w:eastAsia="Lato" w:asciiTheme="minorHAnsi" w:hAnsiTheme="minorHAnsi"/>
              </w:rPr>
            </w:pPr>
            <w:r w:rsidRPr="00553367">
              <w:rPr>
                <w:rFonts w:eastAsia="Lato" w:asciiTheme="minorHAnsi" w:hAnsiTheme="minorHAnsi"/>
              </w:rPr>
              <w:t>Instrument 1 Center-</w:t>
            </w:r>
            <w:r w:rsidRPr="00553367" w:rsidR="00596991">
              <w:rPr>
                <w:rFonts w:eastAsia="Lato" w:asciiTheme="minorHAnsi" w:hAnsiTheme="minorHAnsi"/>
              </w:rPr>
              <w:t>B</w:t>
            </w:r>
            <w:r w:rsidRPr="00553367">
              <w:rPr>
                <w:rFonts w:eastAsia="Lato" w:asciiTheme="minorHAnsi" w:hAnsiTheme="minorHAnsi"/>
              </w:rPr>
              <w:t>ased</w:t>
            </w:r>
            <w:r w:rsidRPr="00553367" w:rsidR="00596991">
              <w:rPr>
                <w:rFonts w:eastAsia="Lato" w:asciiTheme="minorHAnsi" w:hAnsiTheme="minorHAnsi"/>
              </w:rPr>
              <w:t xml:space="preserve"> Only</w:t>
            </w:r>
          </w:p>
        </w:tc>
        <w:tc>
          <w:tcPr>
            <w:tcW w:w="6660" w:type="dxa"/>
          </w:tcPr>
          <w:p w:rsidR="005E7991" w:rsidRPr="00553367" w:rsidP="004C59E9" w14:paraId="515C219F" w14:textId="77777777">
            <w:pPr>
              <w:rPr>
                <w:rFonts w:eastAsia="Lato" w:asciiTheme="minorHAnsi" w:hAnsiTheme="minorHAnsi"/>
                <w:b/>
                <w:bCs/>
              </w:rPr>
            </w:pPr>
            <w:r w:rsidRPr="00553367">
              <w:rPr>
                <w:rFonts w:eastAsia="Lato" w:asciiTheme="minorHAnsi" w:hAnsiTheme="minorHAnsi"/>
                <w:b/>
                <w:bCs/>
              </w:rPr>
              <w:t xml:space="preserve">Respondents: </w:t>
            </w:r>
          </w:p>
          <w:p w:rsidR="005E7991" w:rsidRPr="00553367" w:rsidP="004C59E9" w14:paraId="5682A368" w14:textId="4F13FB49">
            <w:pPr>
              <w:rPr>
                <w:rFonts w:eastAsia="Lato" w:asciiTheme="minorHAnsi" w:hAnsiTheme="minorHAnsi"/>
              </w:rPr>
            </w:pPr>
            <w:r w:rsidRPr="00553367">
              <w:rPr>
                <w:rFonts w:eastAsia="Lato" w:asciiTheme="minorHAnsi" w:hAnsiTheme="minorHAnsi"/>
              </w:rPr>
              <w:t xml:space="preserve">EHS </w:t>
            </w:r>
            <w:r w:rsidRPr="00553367" w:rsidR="00671163">
              <w:rPr>
                <w:rFonts w:eastAsia="Lato" w:asciiTheme="minorHAnsi" w:hAnsiTheme="minorHAnsi"/>
              </w:rPr>
              <w:t>program administrator</w:t>
            </w:r>
            <w:r w:rsidRPr="00553367" w:rsidR="004B0B34">
              <w:rPr>
                <w:rFonts w:eastAsia="Lato" w:asciiTheme="minorHAnsi" w:hAnsiTheme="minorHAnsi"/>
              </w:rPr>
              <w:t xml:space="preserve"> </w:t>
            </w:r>
            <w:r w:rsidRPr="00553367">
              <w:rPr>
                <w:rFonts w:eastAsia="Lato" w:asciiTheme="minorHAnsi" w:hAnsiTheme="minorHAnsi"/>
              </w:rPr>
              <w:t xml:space="preserve">from EHS </w:t>
            </w:r>
            <w:r w:rsidRPr="00553367" w:rsidR="00B54C4B">
              <w:rPr>
                <w:rFonts w:eastAsia="Lato" w:asciiTheme="minorHAnsi" w:hAnsiTheme="minorHAnsi"/>
              </w:rPr>
              <w:t xml:space="preserve">grant recipients </w:t>
            </w:r>
            <w:r w:rsidRPr="00553367" w:rsidR="00596991">
              <w:rPr>
                <w:rFonts w:eastAsia="Lato" w:asciiTheme="minorHAnsi" w:hAnsiTheme="minorHAnsi"/>
              </w:rPr>
              <w:t>that employ teachers.</w:t>
            </w:r>
          </w:p>
          <w:p w:rsidR="00651E0D" w:rsidRPr="00553367" w:rsidP="004C59E9" w14:paraId="24839F6F" w14:textId="77777777">
            <w:pPr>
              <w:rPr>
                <w:rFonts w:eastAsia="Lato" w:asciiTheme="minorHAnsi" w:hAnsiTheme="minorHAnsi"/>
              </w:rPr>
            </w:pPr>
            <w:r w:rsidRPr="00553367">
              <w:rPr>
                <w:rFonts w:eastAsia="Lato" w:asciiTheme="minorHAnsi" w:hAnsiTheme="minorHAnsi"/>
                <w:b/>
                <w:bCs/>
              </w:rPr>
              <w:t>Content:</w:t>
            </w:r>
            <w:r w:rsidRPr="00553367">
              <w:rPr>
                <w:rFonts w:eastAsia="Lato" w:asciiTheme="minorHAnsi" w:hAnsiTheme="minorHAnsi"/>
              </w:rPr>
              <w:t xml:space="preserve"> </w:t>
            </w:r>
          </w:p>
          <w:p w:rsidR="005E7991" w:rsidRPr="00553367" w:rsidP="004C59E9" w14:paraId="5E1B6F08" w14:textId="4C02DA75">
            <w:pPr>
              <w:rPr>
                <w:rFonts w:eastAsia="Lato" w:asciiTheme="minorHAnsi" w:hAnsiTheme="minorHAnsi"/>
              </w:rPr>
            </w:pPr>
            <w:r w:rsidRPr="00553367">
              <w:rPr>
                <w:rFonts w:eastAsia="Lato" w:asciiTheme="minorHAnsi" w:hAnsiTheme="minorHAnsi"/>
              </w:rPr>
              <w:t>Closed-ended questions</w:t>
            </w:r>
            <w:r w:rsidRPr="00553367" w:rsidR="00651E0D">
              <w:rPr>
                <w:rFonts w:eastAsia="Lato" w:asciiTheme="minorHAnsi" w:hAnsiTheme="minorHAnsi"/>
              </w:rPr>
              <w:t xml:space="preserve"> about the strategies, successes, and challenges EHS programs use and experience when recruiting and providing professional development and training EHS teachers. </w:t>
            </w:r>
            <w:r w:rsidRPr="00553367">
              <w:rPr>
                <w:rFonts w:eastAsia="Lato" w:asciiTheme="minorHAnsi" w:hAnsiTheme="minorHAnsi"/>
              </w:rPr>
              <w:t xml:space="preserve"> </w:t>
            </w:r>
          </w:p>
          <w:p w:rsidR="00A82814" w:rsidRPr="00553367" w:rsidP="004C59E9" w14:paraId="24502391" w14:textId="77777777">
            <w:pPr>
              <w:rPr>
                <w:rFonts w:eastAsia="Lato" w:asciiTheme="minorHAnsi" w:hAnsiTheme="minorHAnsi"/>
                <w:b/>
                <w:bCs/>
              </w:rPr>
            </w:pPr>
            <w:r w:rsidRPr="00553367">
              <w:rPr>
                <w:rFonts w:eastAsia="Lato" w:asciiTheme="minorHAnsi" w:hAnsiTheme="minorHAnsi"/>
                <w:b/>
                <w:bCs/>
              </w:rPr>
              <w:t xml:space="preserve">Purpose: </w:t>
            </w:r>
          </w:p>
          <w:p w:rsidR="00651E0D" w:rsidRPr="00553367" w:rsidP="004C59E9" w14:paraId="6797A8DF" w14:textId="5874A17D">
            <w:pPr>
              <w:rPr>
                <w:rFonts w:eastAsia="Lato" w:asciiTheme="minorHAnsi" w:hAnsiTheme="minorHAnsi"/>
              </w:rPr>
            </w:pPr>
            <w:r w:rsidRPr="00553367">
              <w:rPr>
                <w:rFonts w:eastAsia="Lato" w:asciiTheme="minorHAnsi" w:hAnsiTheme="minorHAnsi"/>
              </w:rPr>
              <w:t>To gather nationally representative information on how EHS programs recruit and hire qualified and competent EHS teachers and how they support EHS teachers training and professional development.</w:t>
            </w:r>
          </w:p>
        </w:tc>
        <w:tc>
          <w:tcPr>
            <w:tcW w:w="1277" w:type="dxa"/>
          </w:tcPr>
          <w:p w:rsidR="005E7991" w:rsidRPr="00553367" w:rsidP="004C59E9" w14:paraId="40365073" w14:textId="77777777">
            <w:pPr>
              <w:rPr>
                <w:rFonts w:eastAsia="Lato" w:asciiTheme="minorHAnsi" w:hAnsiTheme="minorHAnsi"/>
                <w:b/>
                <w:bCs/>
              </w:rPr>
            </w:pPr>
            <w:r w:rsidRPr="00553367">
              <w:rPr>
                <w:rFonts w:eastAsia="Lato" w:asciiTheme="minorHAnsi" w:hAnsiTheme="minorHAnsi"/>
                <w:b/>
                <w:bCs/>
              </w:rPr>
              <w:t xml:space="preserve">Mode: </w:t>
            </w:r>
          </w:p>
          <w:p w:rsidR="005E7991" w:rsidRPr="00553367" w:rsidP="004C59E9" w14:paraId="7EB912A8" w14:textId="77777777">
            <w:pPr>
              <w:rPr>
                <w:rFonts w:eastAsia="Lato" w:asciiTheme="minorHAnsi" w:hAnsiTheme="minorHAnsi"/>
              </w:rPr>
            </w:pPr>
            <w:r w:rsidRPr="00553367">
              <w:rPr>
                <w:rFonts w:eastAsia="Lato" w:asciiTheme="minorHAnsi" w:hAnsiTheme="minorHAnsi"/>
              </w:rPr>
              <w:t>Online</w:t>
            </w:r>
          </w:p>
          <w:p w:rsidR="005E7991" w:rsidRPr="00553367" w:rsidP="004C59E9" w14:paraId="1D0DB0CB" w14:textId="77777777">
            <w:pPr>
              <w:rPr>
                <w:rFonts w:eastAsia="Lato" w:asciiTheme="minorHAnsi" w:hAnsiTheme="minorHAnsi"/>
                <w:b/>
                <w:bCs/>
              </w:rPr>
            </w:pPr>
            <w:r w:rsidRPr="00553367">
              <w:rPr>
                <w:rFonts w:eastAsia="Lato" w:asciiTheme="minorHAnsi" w:hAnsiTheme="minorHAnsi"/>
                <w:b/>
                <w:bCs/>
              </w:rPr>
              <w:t>Duration:</w:t>
            </w:r>
          </w:p>
          <w:p w:rsidR="00E659A1" w:rsidRPr="00553367" w:rsidP="004C59E9" w14:paraId="314415AB" w14:textId="4029FB19">
            <w:pPr>
              <w:rPr>
                <w:rFonts w:eastAsia="Lato" w:asciiTheme="minorHAnsi" w:hAnsiTheme="minorHAnsi"/>
              </w:rPr>
            </w:pPr>
            <w:r w:rsidRPr="00553367">
              <w:rPr>
                <w:rFonts w:eastAsia="Lato" w:asciiTheme="minorHAnsi" w:hAnsiTheme="minorHAnsi"/>
              </w:rPr>
              <w:t>3</w:t>
            </w:r>
            <w:r w:rsidRPr="00553367" w:rsidR="006E5564">
              <w:rPr>
                <w:rFonts w:eastAsia="Lato" w:asciiTheme="minorHAnsi" w:hAnsiTheme="minorHAnsi"/>
              </w:rPr>
              <w:t>0</w:t>
            </w:r>
            <w:r w:rsidRPr="00553367">
              <w:rPr>
                <w:rFonts w:eastAsia="Lato" w:asciiTheme="minorHAnsi" w:hAnsiTheme="minorHAnsi"/>
              </w:rPr>
              <w:t xml:space="preserve"> minutes</w:t>
            </w:r>
          </w:p>
        </w:tc>
      </w:tr>
      <w:tr w14:paraId="6626A098" w14:textId="77777777" w:rsidTr="00651E0D">
        <w:tblPrEx>
          <w:tblW w:w="9372" w:type="dxa"/>
          <w:tblInd w:w="0" w:type="dxa"/>
          <w:tblLayout w:type="fixed"/>
          <w:tblLook w:val="04A0"/>
        </w:tblPrEx>
        <w:tc>
          <w:tcPr>
            <w:tcW w:w="1435" w:type="dxa"/>
          </w:tcPr>
          <w:p w:rsidR="005E7991" w:rsidRPr="00553367" w:rsidP="004C59E9" w14:paraId="47B0283A" w14:textId="0DC5014E">
            <w:pPr>
              <w:rPr>
                <w:rFonts w:eastAsia="Lato" w:asciiTheme="minorHAnsi" w:hAnsiTheme="minorHAnsi"/>
              </w:rPr>
            </w:pPr>
            <w:r w:rsidRPr="00553367">
              <w:rPr>
                <w:rFonts w:eastAsia="Lato" w:asciiTheme="minorHAnsi" w:hAnsiTheme="minorHAnsi"/>
              </w:rPr>
              <w:t>Instrument 2 Home-</w:t>
            </w:r>
            <w:r w:rsidRPr="00553367" w:rsidR="00596991">
              <w:rPr>
                <w:rFonts w:eastAsia="Lato" w:asciiTheme="minorHAnsi" w:hAnsiTheme="minorHAnsi"/>
              </w:rPr>
              <w:t>B</w:t>
            </w:r>
            <w:r w:rsidRPr="00553367">
              <w:rPr>
                <w:rFonts w:eastAsia="Lato" w:asciiTheme="minorHAnsi" w:hAnsiTheme="minorHAnsi"/>
              </w:rPr>
              <w:t>ased</w:t>
            </w:r>
            <w:r w:rsidRPr="00553367" w:rsidR="00596991">
              <w:rPr>
                <w:rFonts w:eastAsia="Lato" w:asciiTheme="minorHAnsi" w:hAnsiTheme="minorHAnsi"/>
              </w:rPr>
              <w:t xml:space="preserve"> Only</w:t>
            </w:r>
          </w:p>
        </w:tc>
        <w:tc>
          <w:tcPr>
            <w:tcW w:w="6660" w:type="dxa"/>
          </w:tcPr>
          <w:p w:rsidR="005E7991" w:rsidRPr="00553367" w:rsidP="004C59E9" w14:paraId="4C040127" w14:textId="77777777">
            <w:pPr>
              <w:rPr>
                <w:rFonts w:eastAsia="Lato" w:asciiTheme="minorHAnsi" w:hAnsiTheme="minorHAnsi"/>
                <w:b/>
                <w:bCs/>
              </w:rPr>
            </w:pPr>
            <w:r w:rsidRPr="00553367">
              <w:rPr>
                <w:rFonts w:eastAsia="Lato" w:asciiTheme="minorHAnsi" w:hAnsiTheme="minorHAnsi"/>
                <w:b/>
                <w:bCs/>
              </w:rPr>
              <w:t xml:space="preserve">Respondents: </w:t>
            </w:r>
          </w:p>
          <w:p w:rsidR="005E7991" w:rsidRPr="00553367" w:rsidP="004C59E9" w14:paraId="50AD04F7" w14:textId="3C28BBD9">
            <w:pPr>
              <w:rPr>
                <w:rFonts w:eastAsia="Lato" w:asciiTheme="minorHAnsi" w:hAnsiTheme="minorHAnsi"/>
              </w:rPr>
            </w:pPr>
            <w:r w:rsidRPr="00553367">
              <w:rPr>
                <w:rFonts w:eastAsia="Lato" w:asciiTheme="minorHAnsi" w:hAnsiTheme="minorHAnsi"/>
              </w:rPr>
              <w:t xml:space="preserve">EHS program </w:t>
            </w:r>
            <w:r w:rsidRPr="00553367" w:rsidR="00671163">
              <w:rPr>
                <w:rFonts w:eastAsia="Lato" w:asciiTheme="minorHAnsi" w:hAnsiTheme="minorHAnsi"/>
              </w:rPr>
              <w:t>administrator</w:t>
            </w:r>
            <w:r w:rsidRPr="00553367" w:rsidR="001659B4">
              <w:rPr>
                <w:rFonts w:eastAsia="Lato" w:asciiTheme="minorHAnsi" w:hAnsiTheme="minorHAnsi"/>
              </w:rPr>
              <w:t xml:space="preserve"> </w:t>
            </w:r>
            <w:r w:rsidRPr="00553367">
              <w:rPr>
                <w:rFonts w:eastAsia="Lato" w:asciiTheme="minorHAnsi" w:hAnsiTheme="minorHAnsi"/>
              </w:rPr>
              <w:t xml:space="preserve">from EHS </w:t>
            </w:r>
            <w:r w:rsidRPr="00553367" w:rsidR="00B54C4B">
              <w:rPr>
                <w:rFonts w:eastAsia="Lato" w:asciiTheme="minorHAnsi" w:hAnsiTheme="minorHAnsi"/>
              </w:rPr>
              <w:t xml:space="preserve">grant recipients </w:t>
            </w:r>
            <w:r w:rsidRPr="00553367" w:rsidR="00596991">
              <w:rPr>
                <w:rFonts w:eastAsia="Lato" w:asciiTheme="minorHAnsi" w:hAnsiTheme="minorHAnsi"/>
              </w:rPr>
              <w:t>that employ home visitors.</w:t>
            </w:r>
          </w:p>
          <w:p w:rsidR="005E7991" w:rsidRPr="00553367" w:rsidP="004C59E9" w14:paraId="18A462BB" w14:textId="77777777">
            <w:pPr>
              <w:rPr>
                <w:rFonts w:eastAsia="Lato" w:asciiTheme="minorHAnsi" w:hAnsiTheme="minorHAnsi"/>
                <w:b/>
                <w:bCs/>
              </w:rPr>
            </w:pPr>
            <w:r w:rsidRPr="00553367">
              <w:rPr>
                <w:rFonts w:eastAsia="Lato" w:asciiTheme="minorHAnsi" w:hAnsiTheme="minorHAnsi"/>
                <w:b/>
                <w:bCs/>
              </w:rPr>
              <w:t xml:space="preserve">Content: </w:t>
            </w:r>
          </w:p>
          <w:p w:rsidR="00A82814" w:rsidRPr="00553367" w:rsidP="004C59E9" w14:paraId="237EBFC5" w14:textId="007FF7C2">
            <w:pPr>
              <w:rPr>
                <w:rFonts w:eastAsia="Lato" w:asciiTheme="minorHAnsi" w:hAnsiTheme="minorHAnsi"/>
              </w:rPr>
            </w:pPr>
            <w:r w:rsidRPr="00553367">
              <w:rPr>
                <w:rFonts w:eastAsia="Lato" w:asciiTheme="minorHAnsi" w:hAnsiTheme="minorHAnsi"/>
              </w:rPr>
              <w:t>Closed-ended questions</w:t>
            </w:r>
            <w:r w:rsidRPr="00553367" w:rsidR="00651E0D">
              <w:rPr>
                <w:rFonts w:eastAsia="Lato" w:asciiTheme="minorHAnsi" w:hAnsiTheme="minorHAnsi"/>
              </w:rPr>
              <w:t xml:space="preserve"> about the strategies, successes, and challenges EHS programs use and experience when recruiting and providing professional </w:t>
            </w:r>
            <w:r w:rsidRPr="00553367" w:rsidR="00651E0D">
              <w:rPr>
                <w:rFonts w:eastAsia="Lato" w:asciiTheme="minorHAnsi" w:hAnsiTheme="minorHAnsi"/>
              </w:rPr>
              <w:t>development and training EHS home visitors.</w:t>
            </w:r>
          </w:p>
          <w:p w:rsidR="005E7991" w:rsidRPr="00553367" w:rsidP="004C59E9" w14:paraId="426BFF4C" w14:textId="77777777">
            <w:pPr>
              <w:rPr>
                <w:rFonts w:eastAsia="Lato" w:asciiTheme="minorHAnsi" w:hAnsiTheme="minorHAnsi"/>
                <w:b/>
                <w:bCs/>
              </w:rPr>
            </w:pPr>
            <w:r w:rsidRPr="00553367">
              <w:rPr>
                <w:rFonts w:eastAsia="Lato" w:asciiTheme="minorHAnsi" w:hAnsiTheme="minorHAnsi"/>
                <w:b/>
                <w:bCs/>
              </w:rPr>
              <w:t>Purpose:</w:t>
            </w:r>
            <w:r w:rsidRPr="00553367" w:rsidR="00651E0D">
              <w:rPr>
                <w:rFonts w:eastAsia="Lato" w:asciiTheme="minorHAnsi" w:hAnsiTheme="minorHAnsi"/>
                <w:b/>
                <w:bCs/>
              </w:rPr>
              <w:t xml:space="preserve"> </w:t>
            </w:r>
          </w:p>
          <w:p w:rsidR="00651E0D" w:rsidRPr="00553367" w:rsidP="004C59E9" w14:paraId="37B6A209" w14:textId="10DB5FFC">
            <w:pPr>
              <w:rPr>
                <w:rFonts w:eastAsia="Lato" w:asciiTheme="minorHAnsi" w:hAnsiTheme="minorHAnsi"/>
              </w:rPr>
            </w:pPr>
            <w:r w:rsidRPr="00553367">
              <w:rPr>
                <w:rFonts w:eastAsia="Lato" w:asciiTheme="minorHAnsi" w:hAnsiTheme="minorHAnsi"/>
              </w:rPr>
              <w:t>To gather nationally representative information on how EHS programs recruit and hire qualified and competent EHS home visitors and how they support EHS home visitors training and professional development.</w:t>
            </w:r>
          </w:p>
        </w:tc>
        <w:tc>
          <w:tcPr>
            <w:tcW w:w="1277" w:type="dxa"/>
          </w:tcPr>
          <w:p w:rsidR="005E7991" w:rsidRPr="00553367" w:rsidP="004C59E9" w14:paraId="74730C22" w14:textId="77777777">
            <w:pPr>
              <w:rPr>
                <w:rFonts w:eastAsia="Lato" w:asciiTheme="minorHAnsi" w:hAnsiTheme="minorHAnsi"/>
                <w:b/>
                <w:bCs/>
              </w:rPr>
            </w:pPr>
            <w:r w:rsidRPr="00553367">
              <w:rPr>
                <w:rFonts w:eastAsia="Lato" w:asciiTheme="minorHAnsi" w:hAnsiTheme="minorHAnsi"/>
                <w:b/>
                <w:bCs/>
              </w:rPr>
              <w:t xml:space="preserve">Mode: </w:t>
            </w:r>
          </w:p>
          <w:p w:rsidR="005E7991" w:rsidRPr="00553367" w:rsidP="004C59E9" w14:paraId="7CA55E86" w14:textId="77777777">
            <w:pPr>
              <w:rPr>
                <w:rFonts w:eastAsia="Lato" w:asciiTheme="minorHAnsi" w:hAnsiTheme="minorHAnsi"/>
              </w:rPr>
            </w:pPr>
            <w:r w:rsidRPr="00553367">
              <w:rPr>
                <w:rFonts w:eastAsia="Lato" w:asciiTheme="minorHAnsi" w:hAnsiTheme="minorHAnsi"/>
              </w:rPr>
              <w:t>Online</w:t>
            </w:r>
          </w:p>
          <w:p w:rsidR="005E7991" w:rsidRPr="00553367" w:rsidP="004C59E9" w14:paraId="6F28235A" w14:textId="77777777">
            <w:pPr>
              <w:rPr>
                <w:rFonts w:eastAsia="Lato" w:asciiTheme="minorHAnsi" w:hAnsiTheme="minorHAnsi"/>
              </w:rPr>
            </w:pPr>
            <w:r w:rsidRPr="00553367">
              <w:rPr>
                <w:rFonts w:eastAsia="Lato" w:asciiTheme="minorHAnsi" w:hAnsiTheme="minorHAnsi"/>
                <w:b/>
                <w:bCs/>
              </w:rPr>
              <w:t>Duration</w:t>
            </w:r>
            <w:r w:rsidRPr="00553367">
              <w:rPr>
                <w:rFonts w:eastAsia="Lato" w:asciiTheme="minorHAnsi" w:hAnsiTheme="minorHAnsi"/>
              </w:rPr>
              <w:t>:</w:t>
            </w:r>
          </w:p>
          <w:p w:rsidR="00E659A1" w:rsidRPr="00553367" w:rsidP="004C59E9" w14:paraId="71E12A74" w14:textId="0A09C60D">
            <w:pPr>
              <w:rPr>
                <w:rFonts w:eastAsia="Lato" w:asciiTheme="minorHAnsi" w:hAnsiTheme="minorHAnsi"/>
              </w:rPr>
            </w:pPr>
            <w:r w:rsidRPr="00553367">
              <w:rPr>
                <w:rFonts w:eastAsia="Lato" w:asciiTheme="minorHAnsi" w:hAnsiTheme="minorHAnsi"/>
              </w:rPr>
              <w:t>3</w:t>
            </w:r>
            <w:r w:rsidRPr="00553367" w:rsidR="006E5564">
              <w:rPr>
                <w:rFonts w:eastAsia="Lato" w:asciiTheme="minorHAnsi" w:hAnsiTheme="minorHAnsi"/>
              </w:rPr>
              <w:t>0</w:t>
            </w:r>
            <w:r w:rsidRPr="00553367">
              <w:rPr>
                <w:rFonts w:eastAsia="Lato" w:asciiTheme="minorHAnsi" w:hAnsiTheme="minorHAnsi"/>
              </w:rPr>
              <w:t xml:space="preserve"> minutes</w:t>
            </w:r>
          </w:p>
        </w:tc>
      </w:tr>
      <w:tr w14:paraId="668E7B5F" w14:textId="77777777" w:rsidTr="00651E0D">
        <w:tblPrEx>
          <w:tblW w:w="9372" w:type="dxa"/>
          <w:tblInd w:w="0" w:type="dxa"/>
          <w:tblLayout w:type="fixed"/>
          <w:tblLook w:val="04A0"/>
        </w:tblPrEx>
        <w:tc>
          <w:tcPr>
            <w:tcW w:w="1435" w:type="dxa"/>
          </w:tcPr>
          <w:p w:rsidR="005E7991" w:rsidRPr="00553367" w:rsidP="004C59E9" w14:paraId="72EBDC2E" w14:textId="554813FD">
            <w:pPr>
              <w:rPr>
                <w:rFonts w:eastAsia="Lato" w:asciiTheme="minorHAnsi" w:hAnsiTheme="minorHAnsi"/>
              </w:rPr>
            </w:pPr>
            <w:r w:rsidRPr="00553367">
              <w:rPr>
                <w:rFonts w:eastAsia="Lato" w:asciiTheme="minorHAnsi" w:hAnsiTheme="minorHAnsi"/>
              </w:rPr>
              <w:t xml:space="preserve">Instrument 3 </w:t>
            </w:r>
            <w:r w:rsidRPr="00553367" w:rsidR="00596991">
              <w:rPr>
                <w:rFonts w:eastAsia="Lato" w:asciiTheme="minorHAnsi" w:hAnsiTheme="minorHAnsi"/>
              </w:rPr>
              <w:t>Center-Based and Home-Based</w:t>
            </w:r>
          </w:p>
        </w:tc>
        <w:tc>
          <w:tcPr>
            <w:tcW w:w="6660" w:type="dxa"/>
          </w:tcPr>
          <w:p w:rsidR="005E7991" w:rsidRPr="00553367" w:rsidP="004C59E9" w14:paraId="5D6ABF4E" w14:textId="77777777">
            <w:pPr>
              <w:rPr>
                <w:rFonts w:eastAsia="Lato" w:asciiTheme="minorHAnsi" w:hAnsiTheme="minorHAnsi"/>
                <w:b/>
                <w:bCs/>
              </w:rPr>
            </w:pPr>
            <w:r w:rsidRPr="00553367">
              <w:rPr>
                <w:rFonts w:eastAsia="Lato" w:asciiTheme="minorHAnsi" w:hAnsiTheme="minorHAnsi"/>
                <w:b/>
                <w:bCs/>
              </w:rPr>
              <w:t xml:space="preserve">Respondents: </w:t>
            </w:r>
          </w:p>
          <w:p w:rsidR="005E7991" w:rsidRPr="00553367" w:rsidP="004C59E9" w14:paraId="6339F112" w14:textId="576BE2DE">
            <w:pPr>
              <w:rPr>
                <w:rFonts w:eastAsia="Lato" w:asciiTheme="minorHAnsi" w:hAnsiTheme="minorHAnsi"/>
              </w:rPr>
            </w:pPr>
            <w:r w:rsidRPr="00553367">
              <w:rPr>
                <w:rFonts w:eastAsia="Lato" w:asciiTheme="minorHAnsi" w:hAnsiTheme="minorHAnsi"/>
              </w:rPr>
              <w:t xml:space="preserve">EHS program </w:t>
            </w:r>
            <w:r w:rsidRPr="00553367" w:rsidR="00671163">
              <w:rPr>
                <w:rFonts w:eastAsia="Lato" w:asciiTheme="minorHAnsi" w:hAnsiTheme="minorHAnsi"/>
              </w:rPr>
              <w:t>administrator</w:t>
            </w:r>
            <w:r w:rsidRPr="00553367" w:rsidR="001659B4">
              <w:rPr>
                <w:rFonts w:eastAsia="Lato" w:asciiTheme="minorHAnsi" w:hAnsiTheme="minorHAnsi"/>
              </w:rPr>
              <w:t xml:space="preserve"> </w:t>
            </w:r>
            <w:r w:rsidRPr="00553367">
              <w:rPr>
                <w:rFonts w:eastAsia="Lato" w:asciiTheme="minorHAnsi" w:hAnsiTheme="minorHAnsi"/>
              </w:rPr>
              <w:t xml:space="preserve">from EHS </w:t>
            </w:r>
            <w:r w:rsidRPr="00553367" w:rsidR="00B54C4B">
              <w:rPr>
                <w:rFonts w:eastAsia="Lato" w:asciiTheme="minorHAnsi" w:hAnsiTheme="minorHAnsi"/>
              </w:rPr>
              <w:t>grant recipients</w:t>
            </w:r>
            <w:r w:rsidRPr="00553367" w:rsidR="00596991">
              <w:rPr>
                <w:rFonts w:eastAsia="Lato" w:asciiTheme="minorHAnsi" w:hAnsiTheme="minorHAnsi"/>
              </w:rPr>
              <w:t xml:space="preserve"> that employ both teachers and home visitors</w:t>
            </w:r>
          </w:p>
          <w:p w:rsidR="005E7991" w:rsidRPr="00553367" w:rsidP="004C59E9" w14:paraId="40E2224B" w14:textId="77777777">
            <w:pPr>
              <w:rPr>
                <w:rFonts w:eastAsia="Lato" w:asciiTheme="minorHAnsi" w:hAnsiTheme="minorHAnsi"/>
                <w:b/>
                <w:bCs/>
              </w:rPr>
            </w:pPr>
            <w:r w:rsidRPr="00553367">
              <w:rPr>
                <w:rFonts w:eastAsia="Lato" w:asciiTheme="minorHAnsi" w:hAnsiTheme="minorHAnsi"/>
                <w:b/>
                <w:bCs/>
              </w:rPr>
              <w:t xml:space="preserve">Content: </w:t>
            </w:r>
          </w:p>
          <w:p w:rsidR="005E7991" w:rsidRPr="00553367" w:rsidP="001659B4" w14:paraId="311912CE" w14:textId="27CC66C1">
            <w:pPr>
              <w:rPr>
                <w:rFonts w:eastAsia="Lato" w:asciiTheme="minorHAnsi" w:hAnsiTheme="minorHAnsi"/>
              </w:rPr>
            </w:pPr>
            <w:r w:rsidRPr="00553367">
              <w:rPr>
                <w:rFonts w:eastAsia="Lato" w:asciiTheme="minorHAnsi" w:hAnsiTheme="minorHAnsi"/>
              </w:rPr>
              <w:t>Closed-ended questions</w:t>
            </w:r>
            <w:r w:rsidRPr="00553367" w:rsidR="00651E0D">
              <w:rPr>
                <w:rFonts w:eastAsia="Lato" w:asciiTheme="minorHAnsi" w:hAnsiTheme="minorHAnsi"/>
              </w:rPr>
              <w:t xml:space="preserve"> about the strategies, successes, and challenges EHS programs use and experience when recruiting and providing professional development and training EHS teachers </w:t>
            </w:r>
            <w:r w:rsidRPr="00553367" w:rsidR="00651E0D">
              <w:rPr>
                <w:rFonts w:eastAsia="Lato" w:asciiTheme="minorHAnsi" w:hAnsiTheme="minorHAnsi"/>
                <w:i/>
                <w:iCs/>
              </w:rPr>
              <w:t xml:space="preserve">or </w:t>
            </w:r>
            <w:r w:rsidRPr="00553367" w:rsidR="00651E0D">
              <w:rPr>
                <w:rFonts w:eastAsia="Lato" w:asciiTheme="minorHAnsi" w:hAnsiTheme="minorHAnsi"/>
              </w:rPr>
              <w:t>home visitors.</w:t>
            </w:r>
          </w:p>
          <w:p w:rsidR="00A82814" w:rsidRPr="00553367" w:rsidP="001659B4" w14:paraId="30361F11" w14:textId="77777777">
            <w:pPr>
              <w:rPr>
                <w:rFonts w:eastAsia="Lato" w:asciiTheme="minorHAnsi" w:hAnsiTheme="minorHAnsi"/>
                <w:b/>
                <w:bCs/>
              </w:rPr>
            </w:pPr>
            <w:r w:rsidRPr="00553367">
              <w:rPr>
                <w:rFonts w:eastAsia="Lato" w:asciiTheme="minorHAnsi" w:hAnsiTheme="minorHAnsi"/>
                <w:b/>
                <w:bCs/>
              </w:rPr>
              <w:t>Purpose:</w:t>
            </w:r>
          </w:p>
          <w:p w:rsidR="00651E0D" w:rsidRPr="00553367" w:rsidP="001659B4" w14:paraId="3DD7CAA0" w14:textId="0C39793D">
            <w:pPr>
              <w:rPr>
                <w:rFonts w:eastAsia="Lato" w:asciiTheme="minorHAnsi" w:hAnsiTheme="minorHAnsi"/>
                <w:b/>
                <w:bCs/>
              </w:rPr>
            </w:pPr>
            <w:r w:rsidRPr="00553367">
              <w:rPr>
                <w:rFonts w:eastAsia="Lato" w:asciiTheme="minorHAnsi" w:hAnsiTheme="minorHAnsi"/>
              </w:rPr>
              <w:t xml:space="preserve">To gather nationally representative information on how EHS programs recruit and hire qualified and competent EHS teachers </w:t>
            </w:r>
            <w:r w:rsidRPr="00553367">
              <w:rPr>
                <w:rFonts w:eastAsia="Lato" w:asciiTheme="minorHAnsi" w:hAnsiTheme="minorHAnsi"/>
                <w:i/>
                <w:iCs/>
              </w:rPr>
              <w:t xml:space="preserve">or </w:t>
            </w:r>
            <w:r w:rsidRPr="00553367">
              <w:rPr>
                <w:rFonts w:eastAsia="Lato" w:asciiTheme="minorHAnsi" w:hAnsiTheme="minorHAnsi"/>
              </w:rPr>
              <w:t xml:space="preserve">home visitors and how they support EHS teachers </w:t>
            </w:r>
            <w:r w:rsidRPr="00553367">
              <w:rPr>
                <w:rFonts w:eastAsia="Lato" w:asciiTheme="minorHAnsi" w:hAnsiTheme="minorHAnsi"/>
                <w:i/>
                <w:iCs/>
              </w:rPr>
              <w:t xml:space="preserve">or </w:t>
            </w:r>
            <w:r w:rsidRPr="00553367">
              <w:rPr>
                <w:rFonts w:eastAsia="Lato" w:asciiTheme="minorHAnsi" w:hAnsiTheme="minorHAnsi"/>
              </w:rPr>
              <w:t>home visitors training and professional development.</w:t>
            </w:r>
          </w:p>
        </w:tc>
        <w:tc>
          <w:tcPr>
            <w:tcW w:w="1277" w:type="dxa"/>
          </w:tcPr>
          <w:p w:rsidR="005E7991" w:rsidRPr="00553367" w:rsidP="004C59E9" w14:paraId="1A852ACD" w14:textId="77777777">
            <w:pPr>
              <w:rPr>
                <w:rFonts w:eastAsia="Lato" w:asciiTheme="minorHAnsi" w:hAnsiTheme="minorHAnsi"/>
                <w:b/>
                <w:bCs/>
              </w:rPr>
            </w:pPr>
            <w:r w:rsidRPr="00553367">
              <w:rPr>
                <w:rFonts w:eastAsia="Lato" w:asciiTheme="minorHAnsi" w:hAnsiTheme="minorHAnsi"/>
                <w:b/>
                <w:bCs/>
              </w:rPr>
              <w:t xml:space="preserve">Mode: </w:t>
            </w:r>
          </w:p>
          <w:p w:rsidR="005E7991" w:rsidRPr="00553367" w:rsidP="004C59E9" w14:paraId="01C7C9AD" w14:textId="77777777">
            <w:pPr>
              <w:rPr>
                <w:rFonts w:eastAsia="Lato" w:asciiTheme="minorHAnsi" w:hAnsiTheme="minorHAnsi"/>
              </w:rPr>
            </w:pPr>
            <w:r w:rsidRPr="00553367">
              <w:rPr>
                <w:rFonts w:eastAsia="Lato" w:asciiTheme="minorHAnsi" w:hAnsiTheme="minorHAnsi"/>
              </w:rPr>
              <w:t>Online</w:t>
            </w:r>
          </w:p>
          <w:p w:rsidR="005E7991" w:rsidRPr="00553367" w:rsidP="004C59E9" w14:paraId="6890A519" w14:textId="77777777">
            <w:pPr>
              <w:rPr>
                <w:rFonts w:eastAsia="Lato" w:asciiTheme="minorHAnsi" w:hAnsiTheme="minorHAnsi"/>
                <w:b/>
                <w:bCs/>
              </w:rPr>
            </w:pPr>
            <w:r w:rsidRPr="00553367">
              <w:rPr>
                <w:rFonts w:eastAsia="Lato" w:asciiTheme="minorHAnsi" w:hAnsiTheme="minorHAnsi"/>
                <w:b/>
                <w:bCs/>
              </w:rPr>
              <w:t>Duration:</w:t>
            </w:r>
          </w:p>
          <w:p w:rsidR="00E659A1" w:rsidRPr="00553367" w:rsidP="004C59E9" w14:paraId="101A9338" w14:textId="1A8DC32A">
            <w:pPr>
              <w:rPr>
                <w:rFonts w:eastAsia="Lato" w:asciiTheme="minorHAnsi" w:hAnsiTheme="minorHAnsi"/>
                <w:b/>
                <w:bCs/>
              </w:rPr>
            </w:pPr>
            <w:r w:rsidRPr="00553367">
              <w:rPr>
                <w:rFonts w:eastAsia="Lato" w:asciiTheme="minorHAnsi" w:hAnsiTheme="minorHAnsi"/>
              </w:rPr>
              <w:t xml:space="preserve">30 </w:t>
            </w:r>
            <w:r w:rsidRPr="00553367" w:rsidR="005E7991">
              <w:rPr>
                <w:rFonts w:eastAsia="Lato" w:asciiTheme="minorHAnsi" w:hAnsiTheme="minorHAnsi"/>
              </w:rPr>
              <w:t>minutes</w:t>
            </w:r>
          </w:p>
        </w:tc>
      </w:tr>
    </w:tbl>
    <w:p w:rsidR="001659B4" w:rsidP="004C59E9" w14:paraId="3B98A318" w14:textId="77777777">
      <w:pPr>
        <w:pStyle w:val="Heading2"/>
      </w:pPr>
    </w:p>
    <w:p w:rsidR="001D1C73" w:rsidRPr="009139B3" w:rsidP="004C59E9" w14:paraId="213059F9" w14:textId="06EC8AE2">
      <w:pPr>
        <w:pStyle w:val="Heading2"/>
      </w:pPr>
      <w:r w:rsidRPr="009139B3">
        <w:t>Other Data Sources and Uses of Information</w:t>
      </w:r>
    </w:p>
    <w:p w:rsidR="00816292" w:rsidP="004C59E9" w14:paraId="0FE9E740" w14:textId="3BDC3F12">
      <w:pPr>
        <w:rPr>
          <w:rFonts w:eastAsia="Calibri"/>
        </w:rPr>
      </w:pPr>
      <w:r w:rsidRPr="170FA712">
        <w:rPr>
          <w:rFonts w:eastAsia="Calibri"/>
        </w:rPr>
        <w:t>The research team intends to use the program contact information contained in the most recent and available Head Start Program Information Report (PIR) as the sampling frame (</w:t>
      </w:r>
      <w:bookmarkStart w:id="3" w:name="_Hlk155265294"/>
      <w:r w:rsidR="00A82814">
        <w:rPr>
          <w:rFonts w:eastAsia="Calibri"/>
        </w:rPr>
        <w:t>OMB #: 0970-0427</w:t>
      </w:r>
      <w:bookmarkEnd w:id="3"/>
      <w:r w:rsidRPr="170FA712">
        <w:rPr>
          <w:rFonts w:eastAsia="Calibri"/>
        </w:rPr>
        <w:t xml:space="preserve">). </w:t>
      </w:r>
      <w:r w:rsidR="001659B4">
        <w:rPr>
          <w:rFonts w:eastAsia="Calibri"/>
        </w:rPr>
        <w:t>Supporting Statement</w:t>
      </w:r>
      <w:r w:rsidRPr="170FA712">
        <w:rPr>
          <w:rFonts w:eastAsia="Calibri"/>
        </w:rPr>
        <w:t xml:space="preserve"> B2 and B6 explain in detail how the team intends to use the PIR data in sampling, developing survey weights, and performing analyses.</w:t>
      </w:r>
      <w:r>
        <w:rPr>
          <w:rFonts w:eastAsia="Calibri"/>
        </w:rPr>
        <w:t xml:space="preserve"> </w:t>
      </w:r>
      <w:r w:rsidRPr="00BA1AEA">
        <w:rPr>
          <w:rFonts w:eastAsia="Calibri"/>
        </w:rPr>
        <w:t>There is no burden to study participants associated with using PIR data for this information collection.</w:t>
      </w:r>
    </w:p>
    <w:p w:rsidR="00721DFD" w:rsidP="004C59E9" w14:paraId="17771A50" w14:textId="77777777">
      <w:pPr>
        <w:rPr>
          <w:rFonts w:eastAsia="Calibri"/>
        </w:rPr>
      </w:pPr>
    </w:p>
    <w:p w:rsidR="001D1C73" w:rsidRPr="009139B3" w:rsidP="004C59E9" w14:paraId="5174F453" w14:textId="77777777">
      <w:pPr>
        <w:pStyle w:val="Heading1"/>
      </w:pPr>
      <w:r w:rsidRPr="009139B3">
        <w:t>A3.</w:t>
      </w:r>
      <w:r w:rsidRPr="009139B3">
        <w:tab/>
        <w:t>Use of Information Technology to Reduce Burden</w:t>
      </w:r>
    </w:p>
    <w:p w:rsidR="00816292" w:rsidP="004C59E9" w14:paraId="49B6FBF1" w14:textId="5E8973C1">
      <w:r w:rsidRPr="00CE4BAB">
        <w:t xml:space="preserve">The research team plans to conduct data collection via </w:t>
      </w:r>
      <w:r>
        <w:t xml:space="preserve">web-based </w:t>
      </w:r>
      <w:r w:rsidRPr="00CE4BAB">
        <w:t xml:space="preserve">surveys. The </w:t>
      </w:r>
      <w:r>
        <w:t xml:space="preserve">web-based </w:t>
      </w:r>
      <w:r w:rsidRPr="00CE4BAB">
        <w:t>survey format allows respondents to complete the survey at their own pace and at any time.</w:t>
      </w:r>
      <w:r>
        <w:t xml:space="preserve"> The research team plans to reduce respondent burden by </w:t>
      </w:r>
      <w:r w:rsidR="001659B4">
        <w:t>leveraging the</w:t>
      </w:r>
      <w:r>
        <w:t xml:space="preserve"> online survey platform’s tool that skips over questions that are not relevant to respondents based on prior responses. </w:t>
      </w:r>
    </w:p>
    <w:p w:rsidR="00721DFD" w:rsidRPr="00CE4BAB" w:rsidP="004C59E9" w14:paraId="7250BBDF" w14:textId="77777777"/>
    <w:p w:rsidR="001D1C73" w:rsidP="004C59E9" w14:paraId="3B7ABC79" w14:textId="7F5D878B">
      <w:pPr>
        <w:pStyle w:val="Heading1"/>
      </w:pPr>
      <w:r w:rsidRPr="009139B3">
        <w:t>A4.</w:t>
      </w:r>
      <w:r w:rsidRPr="009139B3">
        <w:tab/>
        <w:t>Use of Existing Data: Efforts to reduce duplication, minimize burden, and increase utility and government efficiency</w:t>
      </w:r>
    </w:p>
    <w:p w:rsidR="00721DFD" w:rsidP="00954701" w14:paraId="77C26569" w14:textId="7A03C41C">
      <w:pPr>
        <w:rPr>
          <w:rFonts w:eastAsia="Calibri"/>
        </w:rPr>
      </w:pPr>
      <w:r w:rsidRPr="118710F7">
        <w:rPr>
          <w:rFonts w:eastAsia="Calibri"/>
        </w:rPr>
        <w:t xml:space="preserve">The data captured by the survey </w:t>
      </w:r>
      <w:r w:rsidR="001659B4">
        <w:rPr>
          <w:rFonts w:eastAsia="Calibri"/>
        </w:rPr>
        <w:t>do not</w:t>
      </w:r>
      <w:r w:rsidRPr="118710F7">
        <w:rPr>
          <w:rFonts w:eastAsia="Calibri"/>
        </w:rPr>
        <w:t xml:space="preserve"> duplicate </w:t>
      </w:r>
      <w:r w:rsidR="001659B4">
        <w:rPr>
          <w:rFonts w:eastAsia="Calibri"/>
        </w:rPr>
        <w:t>other</w:t>
      </w:r>
      <w:r w:rsidRPr="118710F7" w:rsidR="001659B4">
        <w:rPr>
          <w:rFonts w:eastAsia="Calibri"/>
        </w:rPr>
        <w:t xml:space="preserve"> </w:t>
      </w:r>
      <w:r w:rsidR="00592674">
        <w:rPr>
          <w:rFonts w:eastAsia="Calibri"/>
        </w:rPr>
        <w:t xml:space="preserve">recent </w:t>
      </w:r>
      <w:r w:rsidRPr="118710F7">
        <w:rPr>
          <w:rFonts w:eastAsia="Calibri"/>
        </w:rPr>
        <w:t xml:space="preserve">data collection efforts with this population. The research team modified some questions used in prior surveys and built new questions, statements, or response options based on information collected in </w:t>
      </w:r>
      <w:r w:rsidRPr="00A82814" w:rsidR="00A82814">
        <w:rPr>
          <w:rFonts w:eastAsia="Calibri"/>
        </w:rPr>
        <w:t xml:space="preserve">the </w:t>
      </w:r>
      <w:r w:rsidRPr="00651E0D" w:rsidR="00A82814">
        <w:rPr>
          <w:color w:val="000000"/>
          <w:shd w:val="clear" w:color="auto" w:fill="FFFFFF"/>
        </w:rPr>
        <w:t>Study on the Conversion of Enrollment Slots from Head Start to Early Head Start (HS2EHS Study) (</w:t>
      </w:r>
      <w:r w:rsidRPr="00A82814">
        <w:rPr>
          <w:rFonts w:eastAsia="Calibri"/>
        </w:rPr>
        <w:t>OMB</w:t>
      </w:r>
      <w:r w:rsidRPr="00A82814" w:rsidR="00A82814">
        <w:rPr>
          <w:rFonts w:eastAsia="Calibri"/>
        </w:rPr>
        <w:t xml:space="preserve"> #; 0970-0595</w:t>
      </w:r>
      <w:r w:rsidRPr="118710F7">
        <w:rPr>
          <w:rFonts w:eastAsia="Calibri"/>
        </w:rPr>
        <w:t xml:space="preserve">. </w:t>
      </w:r>
      <w:r>
        <w:rPr>
          <w:rFonts w:eastAsia="Calibri"/>
        </w:rPr>
        <w:t>The</w:t>
      </w:r>
      <w:r w:rsidRPr="118710F7">
        <w:rPr>
          <w:rFonts w:eastAsia="Calibri"/>
        </w:rPr>
        <w:t xml:space="preserve"> research team </w:t>
      </w:r>
      <w:r w:rsidR="00592674">
        <w:rPr>
          <w:rFonts w:eastAsia="Calibri"/>
        </w:rPr>
        <w:t>adapted</w:t>
      </w:r>
      <w:r>
        <w:rPr>
          <w:rFonts w:eastAsia="Calibri"/>
        </w:rPr>
        <w:t xml:space="preserve"> </w:t>
      </w:r>
      <w:r w:rsidRPr="118710F7">
        <w:rPr>
          <w:rFonts w:eastAsia="Calibri"/>
        </w:rPr>
        <w:t xml:space="preserve">questions </w:t>
      </w:r>
      <w:r>
        <w:rPr>
          <w:rFonts w:eastAsia="Calibri"/>
        </w:rPr>
        <w:t xml:space="preserve">used in prior surveys so that they </w:t>
      </w:r>
      <w:r w:rsidRPr="118710F7">
        <w:rPr>
          <w:rFonts w:eastAsia="Calibri"/>
        </w:rPr>
        <w:t>align</w:t>
      </w:r>
      <w:r>
        <w:rPr>
          <w:rFonts w:eastAsia="Calibri"/>
        </w:rPr>
        <w:t>ed</w:t>
      </w:r>
      <w:r w:rsidRPr="118710F7">
        <w:rPr>
          <w:rFonts w:eastAsia="Calibri"/>
        </w:rPr>
        <w:t xml:space="preserve"> with the </w:t>
      </w:r>
      <w:r>
        <w:rPr>
          <w:rFonts w:eastAsia="Calibri"/>
        </w:rPr>
        <w:t xml:space="preserve">research questions in the proposed study by revising question stems, </w:t>
      </w:r>
      <w:r>
        <w:rPr>
          <w:rFonts w:eastAsia="Calibri"/>
        </w:rPr>
        <w:t>adding</w:t>
      </w:r>
      <w:r>
        <w:rPr>
          <w:rFonts w:eastAsia="Calibri"/>
        </w:rPr>
        <w:t xml:space="preserve"> and removing response options or statements, and revising response options. </w:t>
      </w:r>
      <w:r w:rsidRPr="118710F7">
        <w:rPr>
          <w:rFonts w:eastAsia="Calibri"/>
        </w:rPr>
        <w:t xml:space="preserve">The research team designed the instrument to gather unique and needed </w:t>
      </w:r>
      <w:r w:rsidR="00592674">
        <w:rPr>
          <w:rFonts w:eastAsia="Calibri"/>
        </w:rPr>
        <w:t xml:space="preserve">in-depth </w:t>
      </w:r>
      <w:r w:rsidRPr="118710F7">
        <w:rPr>
          <w:rFonts w:eastAsia="Calibri"/>
        </w:rPr>
        <w:t xml:space="preserve">data about how </w:t>
      </w:r>
      <w:r w:rsidR="006E5564">
        <w:rPr>
          <w:rFonts w:eastAsia="Calibri"/>
        </w:rPr>
        <w:t>EHS</w:t>
      </w:r>
      <w:r w:rsidRPr="118710F7">
        <w:rPr>
          <w:rFonts w:eastAsia="Calibri"/>
        </w:rPr>
        <w:t xml:space="preserve"> </w:t>
      </w:r>
      <w:r w:rsidRPr="00B54C4B" w:rsidR="00B54C4B">
        <w:rPr>
          <w:rFonts w:eastAsia="Calibri"/>
        </w:rPr>
        <w:t xml:space="preserve">grant recipients </w:t>
      </w:r>
      <w:r w:rsidR="006E5564">
        <w:rPr>
          <w:rFonts w:eastAsia="Calibri"/>
        </w:rPr>
        <w:t>recruit and hire</w:t>
      </w:r>
      <w:r w:rsidRPr="118710F7">
        <w:rPr>
          <w:rFonts w:eastAsia="Calibri"/>
        </w:rPr>
        <w:t xml:space="preserve"> new </w:t>
      </w:r>
      <w:r w:rsidR="006E5564">
        <w:rPr>
          <w:rFonts w:eastAsia="Calibri"/>
        </w:rPr>
        <w:t>teachers and home visitors</w:t>
      </w:r>
      <w:r w:rsidRPr="118710F7">
        <w:rPr>
          <w:rFonts w:eastAsia="Calibri"/>
        </w:rPr>
        <w:t xml:space="preserve"> and support existing </w:t>
      </w:r>
      <w:r w:rsidR="006E5564">
        <w:rPr>
          <w:rFonts w:eastAsia="Calibri"/>
        </w:rPr>
        <w:t>teachers and home visitors</w:t>
      </w:r>
      <w:r w:rsidRPr="118710F7">
        <w:rPr>
          <w:rFonts w:eastAsia="Calibri"/>
        </w:rPr>
        <w:t xml:space="preserve"> in building qualifications and competencies</w:t>
      </w:r>
      <w:r w:rsidR="006E5564">
        <w:rPr>
          <w:rFonts w:eastAsia="Calibri"/>
        </w:rPr>
        <w:t xml:space="preserve"> through training and professional development</w:t>
      </w:r>
      <w:r w:rsidRPr="118710F7">
        <w:rPr>
          <w:rFonts w:eastAsia="Calibri"/>
        </w:rPr>
        <w:t xml:space="preserve">. To reduce the time burden on respondents, the project team has taken every effort to reduce the length and complexity of the survey instrument. The research team </w:t>
      </w:r>
      <w:r w:rsidR="00592674">
        <w:rPr>
          <w:rFonts w:eastAsia="Calibri"/>
        </w:rPr>
        <w:t xml:space="preserve">has </w:t>
      </w:r>
      <w:r w:rsidRPr="118710F7">
        <w:rPr>
          <w:rFonts w:eastAsia="Calibri"/>
        </w:rPr>
        <w:t>included a small number of items that overlap with the PIR, which the team plans to use to validate the survey data</w:t>
      </w:r>
      <w:r w:rsidR="00592674">
        <w:rPr>
          <w:rFonts w:eastAsia="Calibri"/>
        </w:rPr>
        <w:t xml:space="preserve"> and develop sampling weights</w:t>
      </w:r>
      <w:r w:rsidRPr="118710F7">
        <w:rPr>
          <w:rFonts w:eastAsia="Calibri"/>
        </w:rPr>
        <w:t xml:space="preserve">. The research team determined the </w:t>
      </w:r>
      <w:r w:rsidR="00592674">
        <w:rPr>
          <w:rFonts w:eastAsia="Calibri"/>
        </w:rPr>
        <w:t xml:space="preserve">benefits to including these items outweighed </w:t>
      </w:r>
      <w:r w:rsidRPr="118710F7">
        <w:rPr>
          <w:rFonts w:eastAsia="Calibri"/>
        </w:rPr>
        <w:t xml:space="preserve">the minimal </w:t>
      </w:r>
      <w:r w:rsidR="00592674">
        <w:rPr>
          <w:rFonts w:eastAsia="Calibri"/>
        </w:rPr>
        <w:t xml:space="preserve">additional </w:t>
      </w:r>
      <w:r w:rsidRPr="118710F7">
        <w:rPr>
          <w:rFonts w:eastAsia="Calibri"/>
        </w:rPr>
        <w:t>respondent burden.</w:t>
      </w:r>
    </w:p>
    <w:p w:rsidR="00F00E1B" w:rsidP="00954701" w14:paraId="7D876EC3" w14:textId="4FB13423">
      <w:pPr>
        <w:rPr>
          <w:rFonts w:eastAsia="Calibri"/>
        </w:rPr>
      </w:pPr>
    </w:p>
    <w:p w:rsidR="00F00E1B" w:rsidP="00954701" w14:paraId="5C2A01F3" w14:textId="77777777">
      <w:pPr>
        <w:rPr>
          <w:rFonts w:eastAsia="Calibri"/>
        </w:rPr>
      </w:pPr>
    </w:p>
    <w:p w:rsidR="001D1C73" w:rsidRPr="009139B3" w:rsidP="004C59E9" w14:paraId="4BED94FB" w14:textId="77777777">
      <w:pPr>
        <w:pStyle w:val="Heading1"/>
      </w:pPr>
      <w:r w:rsidRPr="009139B3">
        <w:t>A5.</w:t>
      </w:r>
      <w:r w:rsidRPr="009139B3">
        <w:tab/>
        <w:t xml:space="preserve">Impact on Small Businesses </w:t>
      </w:r>
    </w:p>
    <w:p w:rsidR="001D1C73" w:rsidP="00954701" w14:paraId="45C45C0C" w14:textId="478C9113">
      <w:r>
        <w:t xml:space="preserve">Some of the EHS </w:t>
      </w:r>
      <w:r w:rsidRPr="00B54C4B" w:rsidR="00B54C4B">
        <w:t xml:space="preserve">grant recipients </w:t>
      </w:r>
      <w:r>
        <w:t>included in the study will be small organizations, including community-based organizations and other nonprofits. We will minimize burden for respondents by restricting the length of surveys as much as possible and providing instruments in a web-based format, which will allow respondents to complete the surveys on their own time with breaks in between, if needed.</w:t>
      </w:r>
    </w:p>
    <w:p w:rsidR="00721DFD" w:rsidRPr="00816292" w:rsidP="00954701" w14:paraId="25930AF2" w14:textId="77777777"/>
    <w:p w:rsidR="001D1C73" w:rsidRPr="009139B3" w:rsidP="004C59E9" w14:paraId="190C1007" w14:textId="77777777">
      <w:pPr>
        <w:pStyle w:val="Heading1"/>
      </w:pPr>
      <w:r w:rsidRPr="009139B3">
        <w:t>A6.</w:t>
      </w:r>
      <w:r w:rsidRPr="009139B3">
        <w:tab/>
        <w:t xml:space="preserve">Consequences of Less Frequent Collection  </w:t>
      </w:r>
    </w:p>
    <w:p w:rsidR="00816292" w:rsidP="004C59E9" w14:paraId="354B5B84" w14:textId="326830B7">
      <w:r>
        <w:t>This is a one-time data collection.</w:t>
      </w:r>
    </w:p>
    <w:p w:rsidR="00721DFD" w:rsidRPr="009139B3" w:rsidP="004C59E9" w14:paraId="6221BA37" w14:textId="77777777"/>
    <w:p w:rsidR="001D1C73" w:rsidP="004C59E9" w14:paraId="562949B5" w14:textId="34CEA471">
      <w:pPr>
        <w:pStyle w:val="Heading1"/>
      </w:pPr>
      <w:r w:rsidRPr="009139B3">
        <w:t>A7.</w:t>
      </w:r>
      <w:r w:rsidRPr="009139B3">
        <w:tab/>
        <w:t>Now subsumed under 2(b) above and 10 (below)</w:t>
      </w:r>
    </w:p>
    <w:p w:rsidR="00721DFD" w:rsidRPr="00721DFD" w:rsidP="009573DE" w14:paraId="768740CA" w14:textId="77777777"/>
    <w:p w:rsidR="001D1C73" w:rsidRPr="009139B3" w:rsidP="004C59E9" w14:paraId="68912205" w14:textId="77777777">
      <w:pPr>
        <w:pStyle w:val="Heading1"/>
      </w:pPr>
      <w:r w:rsidRPr="009139B3">
        <w:t>A8.</w:t>
      </w:r>
      <w:r w:rsidRPr="009139B3">
        <w:tab/>
        <w:t>Consultation</w:t>
      </w:r>
    </w:p>
    <w:p w:rsidR="001D1C73" w:rsidRPr="009139B3" w:rsidP="004C59E9" w14:paraId="22D30DBC" w14:textId="77777777">
      <w:pPr>
        <w:pStyle w:val="Heading2"/>
      </w:pPr>
      <w:r w:rsidRPr="009139B3">
        <w:t>Federal Register Notice and Comments</w:t>
      </w:r>
    </w:p>
    <w:p w:rsidR="001D1C73" w:rsidRPr="009139B3" w:rsidP="004C59E9" w14:paraId="15C2AFB4" w14:textId="2CEF04C0">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w:t>
      </w:r>
      <w:r w:rsidRPr="00592674">
        <w:t xml:space="preserve">collection activity.  This notice was published on </w:t>
      </w:r>
      <w:r w:rsidRPr="00C53719" w:rsidR="00592674">
        <w:t>November 30</w:t>
      </w:r>
      <w:r w:rsidR="006D17A5">
        <w:t>, 2023</w:t>
      </w:r>
      <w:r w:rsidRPr="00C53719">
        <w:t>, Volume #</w:t>
      </w:r>
      <w:r w:rsidRPr="00C53719" w:rsidR="00592674">
        <w:t>88</w:t>
      </w:r>
      <w:r w:rsidRPr="00C53719">
        <w:t>, Number #</w:t>
      </w:r>
      <w:r w:rsidRPr="00C53719" w:rsidR="00592674">
        <w:t>229</w:t>
      </w:r>
      <w:r w:rsidRPr="00C53719">
        <w:t>, page #</w:t>
      </w:r>
      <w:r w:rsidRPr="00592674" w:rsidR="00592674">
        <w:t xml:space="preserve"> 83544-83545</w:t>
      </w:r>
      <w:r w:rsidRPr="00592674">
        <w:t>,</w:t>
      </w:r>
      <w:r w:rsidRPr="009139B3">
        <w:t xml:space="preserve"> and provided a sixty-day period for public comment.  During the notice and comment period, </w:t>
      </w:r>
      <w:r w:rsidR="00897CA0">
        <w:t>no comments were received</w:t>
      </w:r>
      <w:r w:rsidRPr="009139B3">
        <w:t xml:space="preserve">. </w:t>
      </w:r>
    </w:p>
    <w:p w:rsidR="001D1C73" w:rsidRPr="009139B3" w:rsidP="004C59E9" w14:paraId="68DB4E07" w14:textId="77777777"/>
    <w:p w:rsidR="001D1C73" w:rsidRPr="009139B3" w:rsidP="004C59E9" w14:paraId="404D40E1" w14:textId="77777777">
      <w:pPr>
        <w:pStyle w:val="Heading2"/>
        <w:rPr>
          <w:b/>
        </w:rPr>
      </w:pPr>
      <w:r w:rsidRPr="009139B3">
        <w:t>Consultation with Experts Outside of the Study</w:t>
      </w:r>
    </w:p>
    <w:p w:rsidR="00816292" w:rsidP="004C59E9" w14:paraId="14A3957C" w14:textId="24549C25">
      <w:r>
        <w:t xml:space="preserve">The project team </w:t>
      </w:r>
      <w:r w:rsidR="00592674">
        <w:t>consulted</w:t>
      </w:r>
      <w:r>
        <w:t xml:space="preserve"> experts in the general design and focus of the study</w:t>
      </w:r>
      <w:r w:rsidR="00592674">
        <w:t xml:space="preserve"> as well as in the development of the instruments</w:t>
      </w:r>
      <w:r>
        <w:t xml:space="preserve">. </w:t>
      </w:r>
      <w:r w:rsidRPr="4E4347F2">
        <w:rPr>
          <w:rFonts w:ascii="Calibri" w:eastAsia="Calibri" w:hAnsi="Calibri" w:cs="Calibri"/>
        </w:rPr>
        <w:t xml:space="preserve">The research team engaged </w:t>
      </w:r>
      <w:r>
        <w:rPr>
          <w:rFonts w:ascii="Calibri" w:eastAsia="Calibri" w:hAnsi="Calibri" w:cs="Calibri"/>
        </w:rPr>
        <w:t>the</w:t>
      </w:r>
      <w:r w:rsidRPr="4E4347F2">
        <w:rPr>
          <w:rFonts w:ascii="Calibri" w:eastAsia="Calibri" w:hAnsi="Calibri" w:cs="Calibri"/>
        </w:rPr>
        <w:t xml:space="preserve"> experts </w:t>
      </w:r>
      <w:r>
        <w:rPr>
          <w:rFonts w:ascii="Calibri" w:eastAsia="Calibri" w:hAnsi="Calibri" w:cs="Calibri"/>
        </w:rPr>
        <w:t>listed in Table A</w:t>
      </w:r>
      <w:r w:rsidR="00592674">
        <w:rPr>
          <w:rFonts w:ascii="Calibri" w:eastAsia="Calibri" w:hAnsi="Calibri" w:cs="Calibri"/>
        </w:rPr>
        <w:t xml:space="preserve"> along with</w:t>
      </w:r>
      <w:r w:rsidR="0098786E">
        <w:rPr>
          <w:rFonts w:ascii="Calibri" w:eastAsia="Calibri" w:hAnsi="Calibri" w:cs="Calibri"/>
        </w:rPr>
        <w:t xml:space="preserve"> </w:t>
      </w:r>
      <w:r w:rsidR="0084361C">
        <w:t>Office of Head Start</w:t>
      </w:r>
      <w:r w:rsidR="00592674">
        <w:rPr>
          <w:rFonts w:ascii="Calibri" w:eastAsia="Calibri" w:hAnsi="Calibri" w:cs="Calibri"/>
        </w:rPr>
        <w:t xml:space="preserve"> staff</w:t>
      </w:r>
      <w:r>
        <w:rPr>
          <w:rFonts w:ascii="Calibri" w:eastAsia="Calibri" w:hAnsi="Calibri" w:cs="Calibri"/>
        </w:rPr>
        <w:t xml:space="preserve">. These individuals provided guidance on effective </w:t>
      </w:r>
      <w:r w:rsidRPr="009139B3">
        <w:t>data collection strategies</w:t>
      </w:r>
      <w:r>
        <w:t>, i</w:t>
      </w:r>
      <w:r w:rsidRPr="009139B3">
        <w:t>mprovements to the survey t</w:t>
      </w:r>
      <w:r>
        <w:t>o</w:t>
      </w:r>
      <w:r w:rsidRPr="009139B3">
        <w:t xml:space="preserve"> facilitate broader use of the data</w:t>
      </w:r>
      <w:r>
        <w:t>, and c</w:t>
      </w:r>
      <w:r w:rsidRPr="009139B3">
        <w:t xml:space="preserve">larity of </w:t>
      </w:r>
      <w:r>
        <w:t>survey language</w:t>
      </w:r>
      <w:r w:rsidRPr="009139B3">
        <w:t xml:space="preserve"> and ways to minimize burden.</w:t>
      </w:r>
    </w:p>
    <w:p w:rsidR="00954701" w:rsidP="004C59E9" w14:paraId="76813311" w14:textId="77777777"/>
    <w:p w:rsidR="00816292" w:rsidP="004C59E9" w14:paraId="62AA6F84" w14:textId="77777777">
      <w:r>
        <w:t xml:space="preserve">Table </w:t>
      </w:r>
      <w:r w:rsidRPr="00B00603">
        <w:t>A.</w:t>
      </w:r>
      <w:r>
        <w:t xml:space="preserve"> Experts and Stakeholders the Research Team Engaged</w:t>
      </w:r>
    </w:p>
    <w:tbl>
      <w:tblPr>
        <w:tblW w:w="94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835"/>
        <w:gridCol w:w="6632"/>
      </w:tblGrid>
      <w:tr w14:paraId="2F3D0B71" w14:textId="77777777" w:rsidTr="00DA5D19">
        <w:tblPrEx>
          <w:tblW w:w="94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300"/>
        </w:trPr>
        <w:tc>
          <w:tcPr>
            <w:tcW w:w="2835" w:type="dxa"/>
            <w:shd w:val="clear" w:color="auto" w:fill="BFBFBF" w:themeFill="background1" w:themeFillShade="BF"/>
            <w:tcMar>
              <w:top w:w="0" w:type="dxa"/>
              <w:left w:w="108" w:type="dxa"/>
              <w:bottom w:w="0" w:type="dxa"/>
              <w:right w:w="108" w:type="dxa"/>
            </w:tcMar>
          </w:tcPr>
          <w:p w:rsidR="00816292" w:rsidRPr="00553367" w:rsidP="004C59E9" w14:paraId="3F850101" w14:textId="77777777">
            <w:pPr>
              <w:rPr>
                <w:b/>
                <w:bCs/>
                <w:sz w:val="20"/>
                <w:szCs w:val="20"/>
              </w:rPr>
            </w:pPr>
            <w:r w:rsidRPr="00553367">
              <w:rPr>
                <w:b/>
                <w:bCs/>
                <w:sz w:val="20"/>
                <w:szCs w:val="20"/>
              </w:rPr>
              <w:t>Name</w:t>
            </w:r>
          </w:p>
        </w:tc>
        <w:tc>
          <w:tcPr>
            <w:tcW w:w="6632" w:type="dxa"/>
            <w:shd w:val="clear" w:color="auto" w:fill="BFBFBF" w:themeFill="background1" w:themeFillShade="BF"/>
            <w:tcMar>
              <w:top w:w="0" w:type="dxa"/>
              <w:left w:w="108" w:type="dxa"/>
              <w:bottom w:w="0" w:type="dxa"/>
              <w:right w:w="108" w:type="dxa"/>
            </w:tcMar>
          </w:tcPr>
          <w:p w:rsidR="00816292" w:rsidRPr="00553367" w:rsidP="004C59E9" w14:paraId="6C846C56" w14:textId="77777777">
            <w:pPr>
              <w:rPr>
                <w:b/>
                <w:bCs/>
                <w:sz w:val="20"/>
                <w:szCs w:val="20"/>
              </w:rPr>
            </w:pPr>
            <w:r w:rsidRPr="00553367">
              <w:rPr>
                <w:b/>
                <w:bCs/>
                <w:sz w:val="20"/>
                <w:szCs w:val="20"/>
              </w:rPr>
              <w:t>Affiliation</w:t>
            </w:r>
          </w:p>
        </w:tc>
      </w:tr>
      <w:tr w14:paraId="554E42B0" w14:textId="77777777" w:rsidTr="00DA5D19">
        <w:tblPrEx>
          <w:tblW w:w="9467" w:type="dxa"/>
          <w:tblLook w:val="04A0"/>
        </w:tblPrEx>
        <w:trPr>
          <w:trHeight w:val="300"/>
        </w:trPr>
        <w:tc>
          <w:tcPr>
            <w:tcW w:w="2835" w:type="dxa"/>
            <w:tcMar>
              <w:top w:w="0" w:type="dxa"/>
              <w:left w:w="108" w:type="dxa"/>
              <w:bottom w:w="0" w:type="dxa"/>
              <w:right w:w="108" w:type="dxa"/>
            </w:tcMar>
            <w:vAlign w:val="center"/>
          </w:tcPr>
          <w:p w:rsidR="00816292" w:rsidRPr="00553367" w:rsidP="004C59E9" w14:paraId="53ECAC9D" w14:textId="77777777">
            <w:pPr>
              <w:rPr>
                <w:sz w:val="20"/>
                <w:szCs w:val="20"/>
              </w:rPr>
            </w:pPr>
            <w:r w:rsidRPr="00553367">
              <w:rPr>
                <w:sz w:val="20"/>
                <w:szCs w:val="20"/>
              </w:rPr>
              <w:t xml:space="preserve">Diane </w:t>
            </w:r>
            <w:r w:rsidRPr="00553367">
              <w:rPr>
                <w:sz w:val="20"/>
                <w:szCs w:val="20"/>
              </w:rPr>
              <w:t>Horm</w:t>
            </w:r>
          </w:p>
        </w:tc>
        <w:tc>
          <w:tcPr>
            <w:tcW w:w="6632" w:type="dxa"/>
            <w:tcMar>
              <w:top w:w="0" w:type="dxa"/>
              <w:left w:w="108" w:type="dxa"/>
              <w:bottom w:w="0" w:type="dxa"/>
              <w:right w:w="108" w:type="dxa"/>
            </w:tcMar>
            <w:vAlign w:val="center"/>
          </w:tcPr>
          <w:p w:rsidR="00816292" w:rsidRPr="00553367" w:rsidP="004C59E9" w14:paraId="39A6F693" w14:textId="77777777">
            <w:pPr>
              <w:rPr>
                <w:rFonts w:eastAsia="Calibri"/>
                <w:sz w:val="20"/>
                <w:szCs w:val="20"/>
              </w:rPr>
            </w:pPr>
            <w:r w:rsidRPr="00553367">
              <w:rPr>
                <w:rFonts w:eastAsia="Calibri"/>
                <w:sz w:val="20"/>
                <w:szCs w:val="20"/>
              </w:rPr>
              <w:t>Early Childhood Education Institute (ECEI)</w:t>
            </w:r>
          </w:p>
        </w:tc>
      </w:tr>
      <w:tr w14:paraId="41ED5123" w14:textId="77777777" w:rsidTr="00DA5D19">
        <w:tblPrEx>
          <w:tblW w:w="9467" w:type="dxa"/>
          <w:tblLook w:val="04A0"/>
        </w:tblPrEx>
        <w:trPr>
          <w:trHeight w:val="300"/>
        </w:trPr>
        <w:tc>
          <w:tcPr>
            <w:tcW w:w="2835" w:type="dxa"/>
            <w:tcMar>
              <w:top w:w="0" w:type="dxa"/>
              <w:left w:w="108" w:type="dxa"/>
              <w:bottom w:w="0" w:type="dxa"/>
              <w:right w:w="108" w:type="dxa"/>
            </w:tcMar>
            <w:vAlign w:val="center"/>
          </w:tcPr>
          <w:p w:rsidR="00816292" w:rsidRPr="00553367" w:rsidP="004C59E9" w14:paraId="3661393F" w14:textId="77777777">
            <w:pPr>
              <w:rPr>
                <w:sz w:val="20"/>
                <w:szCs w:val="20"/>
              </w:rPr>
            </w:pPr>
            <w:r w:rsidRPr="00553367">
              <w:rPr>
                <w:sz w:val="20"/>
                <w:szCs w:val="20"/>
              </w:rPr>
              <w:t>Stacy Ehrlich Lowe</w:t>
            </w:r>
          </w:p>
        </w:tc>
        <w:tc>
          <w:tcPr>
            <w:tcW w:w="6632" w:type="dxa"/>
            <w:tcMar>
              <w:top w:w="0" w:type="dxa"/>
              <w:left w:w="108" w:type="dxa"/>
              <w:bottom w:w="0" w:type="dxa"/>
              <w:right w:w="108" w:type="dxa"/>
            </w:tcMar>
            <w:vAlign w:val="center"/>
          </w:tcPr>
          <w:p w:rsidR="00816292" w:rsidRPr="00553367" w:rsidP="004C59E9" w14:paraId="4ADE0186" w14:textId="77777777">
            <w:pPr>
              <w:rPr>
                <w:sz w:val="20"/>
                <w:szCs w:val="20"/>
              </w:rPr>
            </w:pPr>
            <w:r w:rsidRPr="00553367">
              <w:rPr>
                <w:sz w:val="20"/>
                <w:szCs w:val="20"/>
              </w:rPr>
              <w:t>NORC</w:t>
            </w:r>
          </w:p>
        </w:tc>
      </w:tr>
      <w:tr w14:paraId="74CA1C67" w14:textId="77777777" w:rsidTr="00DA5D19">
        <w:tblPrEx>
          <w:tblW w:w="9467" w:type="dxa"/>
          <w:tblLook w:val="04A0"/>
        </w:tblPrEx>
        <w:trPr>
          <w:trHeight w:val="300"/>
        </w:trPr>
        <w:tc>
          <w:tcPr>
            <w:tcW w:w="2835" w:type="dxa"/>
            <w:tcMar>
              <w:top w:w="0" w:type="dxa"/>
              <w:left w:w="108" w:type="dxa"/>
              <w:bottom w:w="0" w:type="dxa"/>
              <w:right w:w="108" w:type="dxa"/>
            </w:tcMar>
            <w:vAlign w:val="center"/>
          </w:tcPr>
          <w:p w:rsidR="00816292" w:rsidRPr="00553367" w:rsidP="004C59E9" w14:paraId="484E954A" w14:textId="77777777">
            <w:pPr>
              <w:rPr>
                <w:sz w:val="20"/>
                <w:szCs w:val="20"/>
              </w:rPr>
            </w:pPr>
            <w:r w:rsidRPr="00553367">
              <w:rPr>
                <w:sz w:val="20"/>
                <w:szCs w:val="20"/>
              </w:rPr>
              <w:t xml:space="preserve">Brie </w:t>
            </w:r>
            <w:r w:rsidRPr="00553367">
              <w:rPr>
                <w:sz w:val="20"/>
                <w:szCs w:val="20"/>
              </w:rPr>
              <w:t>Broughman</w:t>
            </w:r>
          </w:p>
        </w:tc>
        <w:tc>
          <w:tcPr>
            <w:tcW w:w="6632" w:type="dxa"/>
            <w:tcMar>
              <w:top w:w="0" w:type="dxa"/>
              <w:left w:w="108" w:type="dxa"/>
              <w:bottom w:w="0" w:type="dxa"/>
              <w:right w:w="108" w:type="dxa"/>
            </w:tcMar>
            <w:vAlign w:val="center"/>
          </w:tcPr>
          <w:p w:rsidR="00816292" w:rsidRPr="00553367" w:rsidP="004C59E9" w14:paraId="09C20F1A" w14:textId="77777777">
            <w:pPr>
              <w:rPr>
                <w:sz w:val="20"/>
                <w:szCs w:val="20"/>
              </w:rPr>
            </w:pPr>
            <w:r w:rsidRPr="00553367">
              <w:rPr>
                <w:sz w:val="20"/>
                <w:szCs w:val="20"/>
              </w:rPr>
              <w:t>Pennsylvania Head Start Association</w:t>
            </w:r>
          </w:p>
        </w:tc>
      </w:tr>
      <w:tr w14:paraId="3141A51A" w14:textId="77777777" w:rsidTr="00DA5D19">
        <w:tblPrEx>
          <w:tblW w:w="9467" w:type="dxa"/>
          <w:tblLook w:val="04A0"/>
        </w:tblPrEx>
        <w:trPr>
          <w:trHeight w:val="300"/>
        </w:trPr>
        <w:tc>
          <w:tcPr>
            <w:tcW w:w="2835" w:type="dxa"/>
            <w:tcMar>
              <w:top w:w="0" w:type="dxa"/>
              <w:left w:w="108" w:type="dxa"/>
              <w:bottom w:w="0" w:type="dxa"/>
              <w:right w:w="108" w:type="dxa"/>
            </w:tcMar>
            <w:vAlign w:val="center"/>
          </w:tcPr>
          <w:p w:rsidR="00220944" w:rsidRPr="00553367" w:rsidP="004C59E9" w14:paraId="2B65E2C6" w14:textId="42ECEBF7">
            <w:pPr>
              <w:rPr>
                <w:sz w:val="20"/>
                <w:szCs w:val="20"/>
              </w:rPr>
            </w:pPr>
            <w:r w:rsidRPr="00553367">
              <w:rPr>
                <w:sz w:val="20"/>
                <w:szCs w:val="20"/>
              </w:rPr>
              <w:t>Beth Cox</w:t>
            </w:r>
          </w:p>
        </w:tc>
        <w:tc>
          <w:tcPr>
            <w:tcW w:w="6632" w:type="dxa"/>
            <w:tcMar>
              <w:top w:w="0" w:type="dxa"/>
              <w:left w:w="108" w:type="dxa"/>
              <w:bottom w:w="0" w:type="dxa"/>
              <w:right w:w="108" w:type="dxa"/>
            </w:tcMar>
            <w:vAlign w:val="center"/>
          </w:tcPr>
          <w:p w:rsidR="00220944" w:rsidRPr="00553367" w:rsidP="004C59E9" w14:paraId="7EB99979" w14:textId="5F76A150">
            <w:pPr>
              <w:rPr>
                <w:sz w:val="20"/>
                <w:szCs w:val="20"/>
              </w:rPr>
            </w:pPr>
            <w:r w:rsidRPr="00553367">
              <w:rPr>
                <w:sz w:val="20"/>
                <w:szCs w:val="20"/>
              </w:rPr>
              <w:t>Head Start Region VII</w:t>
            </w:r>
          </w:p>
        </w:tc>
      </w:tr>
      <w:tr w14:paraId="26FDBCFF" w14:textId="77777777" w:rsidTr="00DA5D19">
        <w:tblPrEx>
          <w:tblW w:w="9467" w:type="dxa"/>
          <w:tblLook w:val="04A0"/>
        </w:tblPrEx>
        <w:trPr>
          <w:trHeight w:val="300"/>
        </w:trPr>
        <w:tc>
          <w:tcPr>
            <w:tcW w:w="2835" w:type="dxa"/>
            <w:tcMar>
              <w:top w:w="0" w:type="dxa"/>
              <w:left w:w="108" w:type="dxa"/>
              <w:bottom w:w="0" w:type="dxa"/>
              <w:right w:w="108" w:type="dxa"/>
            </w:tcMar>
            <w:vAlign w:val="center"/>
          </w:tcPr>
          <w:p w:rsidR="00592674" w:rsidRPr="00553367" w:rsidP="004C59E9" w14:paraId="50254D28" w14:textId="074381DF">
            <w:pPr>
              <w:rPr>
                <w:sz w:val="20"/>
                <w:szCs w:val="20"/>
              </w:rPr>
            </w:pPr>
            <w:r w:rsidRPr="00553367">
              <w:rPr>
                <w:color w:val="000000"/>
                <w:sz w:val="20"/>
                <w:szCs w:val="20"/>
              </w:rPr>
              <w:t>Maryann Cornish</w:t>
            </w:r>
          </w:p>
        </w:tc>
        <w:tc>
          <w:tcPr>
            <w:tcW w:w="6632" w:type="dxa"/>
            <w:tcMar>
              <w:top w:w="0" w:type="dxa"/>
              <w:left w:w="108" w:type="dxa"/>
              <w:bottom w:w="0" w:type="dxa"/>
              <w:right w:w="108" w:type="dxa"/>
            </w:tcMar>
            <w:vAlign w:val="center"/>
          </w:tcPr>
          <w:p w:rsidR="00592674" w:rsidRPr="00553367" w:rsidP="004C59E9" w14:paraId="420DD052" w14:textId="7E188680">
            <w:pPr>
              <w:rPr>
                <w:sz w:val="20"/>
                <w:szCs w:val="20"/>
              </w:rPr>
            </w:pPr>
            <w:r w:rsidRPr="00553367">
              <w:rPr>
                <w:sz w:val="20"/>
                <w:szCs w:val="20"/>
              </w:rPr>
              <w:t>Higher Horizons Head Start &amp; Early Head Start</w:t>
            </w:r>
          </w:p>
        </w:tc>
      </w:tr>
      <w:tr w14:paraId="0B10B025" w14:textId="77777777" w:rsidTr="00DA5D19">
        <w:tblPrEx>
          <w:tblW w:w="9467" w:type="dxa"/>
          <w:tblLook w:val="04A0"/>
        </w:tblPrEx>
        <w:trPr>
          <w:trHeight w:val="300"/>
        </w:trPr>
        <w:tc>
          <w:tcPr>
            <w:tcW w:w="2835" w:type="dxa"/>
            <w:tcMar>
              <w:top w:w="0" w:type="dxa"/>
              <w:left w:w="108" w:type="dxa"/>
              <w:bottom w:w="0" w:type="dxa"/>
              <w:right w:w="108" w:type="dxa"/>
            </w:tcMar>
            <w:vAlign w:val="center"/>
          </w:tcPr>
          <w:p w:rsidR="00592674" w:rsidRPr="00553367" w:rsidP="004C59E9" w14:paraId="378F79C3" w14:textId="69CC0E19">
            <w:pPr>
              <w:rPr>
                <w:color w:val="000000"/>
                <w:sz w:val="20"/>
                <w:szCs w:val="20"/>
              </w:rPr>
            </w:pPr>
            <w:r w:rsidRPr="00553367">
              <w:rPr>
                <w:color w:val="000000"/>
                <w:sz w:val="20"/>
                <w:szCs w:val="20"/>
              </w:rPr>
              <w:t>Teresa Collins</w:t>
            </w:r>
          </w:p>
        </w:tc>
        <w:tc>
          <w:tcPr>
            <w:tcW w:w="6632" w:type="dxa"/>
            <w:tcMar>
              <w:top w:w="0" w:type="dxa"/>
              <w:left w:w="108" w:type="dxa"/>
              <w:bottom w:w="0" w:type="dxa"/>
              <w:right w:w="108" w:type="dxa"/>
            </w:tcMar>
            <w:vAlign w:val="center"/>
          </w:tcPr>
          <w:p w:rsidR="00592674" w:rsidRPr="00553367" w:rsidP="004C59E9" w14:paraId="163F0788" w14:textId="5C4E1848">
            <w:pPr>
              <w:rPr>
                <w:sz w:val="20"/>
                <w:szCs w:val="20"/>
              </w:rPr>
            </w:pPr>
            <w:r w:rsidRPr="00553367">
              <w:rPr>
                <w:sz w:val="20"/>
                <w:szCs w:val="20"/>
              </w:rPr>
              <w:t>District 1199c Training &amp; Upgrading Fund</w:t>
            </w:r>
          </w:p>
        </w:tc>
      </w:tr>
    </w:tbl>
    <w:p w:rsidR="00721DFD" w:rsidRPr="009139B3" w:rsidP="004C59E9" w14:paraId="0D031FA5" w14:textId="77777777"/>
    <w:p w:rsidR="001D1C73" w:rsidRPr="004F7721" w:rsidP="004C59E9" w14:paraId="2DA362B8" w14:textId="77777777">
      <w:pPr>
        <w:pStyle w:val="Heading1"/>
      </w:pPr>
      <w:r w:rsidRPr="004F7721">
        <w:t>A9.</w:t>
      </w:r>
      <w:r w:rsidRPr="004F7721">
        <w:tab/>
        <w:t>Tokens of Appreciation</w:t>
      </w:r>
    </w:p>
    <w:p w:rsidR="004F7721" w:rsidP="004C59E9" w14:paraId="28CB27B9" w14:textId="0881F344">
      <w:r>
        <w:t>No token of appreciation will be provided.</w:t>
      </w:r>
    </w:p>
    <w:p w:rsidR="00721DFD" w:rsidP="004C59E9" w14:paraId="7C5E3212" w14:textId="1D72A02A"/>
    <w:p w:rsidR="001D1C73" w:rsidRPr="009139B3" w:rsidP="004C59E9" w14:paraId="63D44C93" w14:textId="77777777">
      <w:pPr>
        <w:pStyle w:val="Heading1"/>
      </w:pPr>
      <w:r w:rsidRPr="009139B3">
        <w:t>A10.</w:t>
      </w:r>
      <w:r w:rsidRPr="009139B3">
        <w:tab/>
        <w:t>Privacy:  Procedures to protect privacy of information, while maximizing data sharing</w:t>
      </w:r>
    </w:p>
    <w:p w:rsidR="001D1C73" w:rsidRPr="004F7721" w:rsidP="004C59E9" w14:paraId="628A8123" w14:textId="77777777">
      <w:pPr>
        <w:pStyle w:val="Heading2"/>
      </w:pPr>
      <w:r w:rsidRPr="004F7721">
        <w:t>Personally Identifiable Information</w:t>
      </w:r>
    </w:p>
    <w:p w:rsidR="00472E70" w:rsidP="004C59E9" w14:paraId="109755EF" w14:textId="6C82945F">
      <w:pPr>
        <w:rPr>
          <w:rFonts w:eastAsia="Lato"/>
        </w:rPr>
      </w:pPr>
      <w:r w:rsidRPr="153DB1B4">
        <w:rPr>
          <w:rFonts w:eastAsia="Lato"/>
        </w:rPr>
        <w:t xml:space="preserve">As previously discussed, the team </w:t>
      </w:r>
      <w:r>
        <w:rPr>
          <w:rFonts w:eastAsia="Lato"/>
        </w:rPr>
        <w:t>plans to</w:t>
      </w:r>
      <w:r w:rsidRPr="153DB1B4">
        <w:rPr>
          <w:rFonts w:eastAsia="Lato"/>
        </w:rPr>
        <w:t xml:space="preserve"> </w:t>
      </w:r>
      <w:r w:rsidR="00592674">
        <w:rPr>
          <w:rFonts w:eastAsia="Lato"/>
        </w:rPr>
        <w:t>identify</w:t>
      </w:r>
      <w:r w:rsidRPr="153DB1B4">
        <w:rPr>
          <w:rFonts w:eastAsia="Lato"/>
        </w:rPr>
        <w:t xml:space="preserve"> </w:t>
      </w:r>
      <w:r w:rsidR="00B54C4B">
        <w:rPr>
          <w:rFonts w:eastAsia="Lato"/>
        </w:rPr>
        <w:t xml:space="preserve">EHS </w:t>
      </w:r>
      <w:r w:rsidRPr="00B54C4B" w:rsidR="00B54C4B">
        <w:rPr>
          <w:rFonts w:eastAsia="Lato"/>
        </w:rPr>
        <w:t>grant recipients</w:t>
      </w:r>
      <w:r w:rsidR="00671163">
        <w:rPr>
          <w:rFonts w:eastAsia="Lato"/>
        </w:rPr>
        <w:t xml:space="preserve">, associated </w:t>
      </w:r>
      <w:r w:rsidR="00592674">
        <w:rPr>
          <w:rFonts w:eastAsia="Lato"/>
        </w:rPr>
        <w:t xml:space="preserve">program </w:t>
      </w:r>
      <w:r w:rsidR="00671163">
        <w:rPr>
          <w:rFonts w:eastAsia="Lato"/>
        </w:rPr>
        <w:t>administrators</w:t>
      </w:r>
      <w:r w:rsidRPr="153DB1B4">
        <w:rPr>
          <w:rFonts w:eastAsia="Lato"/>
        </w:rPr>
        <w:t>, and</w:t>
      </w:r>
      <w:r w:rsidR="00592674">
        <w:rPr>
          <w:rFonts w:eastAsia="Lato"/>
        </w:rPr>
        <w:t xml:space="preserve"> </w:t>
      </w:r>
      <w:r w:rsidR="00671163">
        <w:rPr>
          <w:rFonts w:eastAsia="Lato"/>
        </w:rPr>
        <w:t>administrators’</w:t>
      </w:r>
      <w:r w:rsidRPr="153DB1B4">
        <w:rPr>
          <w:rFonts w:eastAsia="Lato"/>
        </w:rPr>
        <w:t xml:space="preserve"> contact information, from publicly available PIR data. </w:t>
      </w:r>
      <w:r w:rsidR="00592674">
        <w:rPr>
          <w:rFonts w:eastAsia="Lato"/>
        </w:rPr>
        <w:t>T</w:t>
      </w:r>
      <w:r w:rsidRPr="153DB1B4">
        <w:rPr>
          <w:rFonts w:eastAsia="Lato"/>
        </w:rPr>
        <w:t xml:space="preserve">he </w:t>
      </w:r>
      <w:r w:rsidR="00592674">
        <w:rPr>
          <w:rFonts w:eastAsia="Lato"/>
        </w:rPr>
        <w:t>instruments</w:t>
      </w:r>
      <w:r w:rsidRPr="153DB1B4">
        <w:rPr>
          <w:rFonts w:eastAsia="Lato"/>
        </w:rPr>
        <w:t xml:space="preserve"> </w:t>
      </w:r>
      <w:r w:rsidR="00671163">
        <w:rPr>
          <w:rFonts w:eastAsia="Lato"/>
        </w:rPr>
        <w:t xml:space="preserve">primarily </w:t>
      </w:r>
      <w:r w:rsidRPr="153DB1B4">
        <w:rPr>
          <w:rFonts w:eastAsia="Lato"/>
        </w:rPr>
        <w:t xml:space="preserve">ask respondents to report on program-level practices, challenges, and successes. The </w:t>
      </w:r>
      <w:r w:rsidR="00592674">
        <w:rPr>
          <w:rFonts w:eastAsia="Lato"/>
        </w:rPr>
        <w:t>instruments</w:t>
      </w:r>
      <w:r>
        <w:rPr>
          <w:rFonts w:eastAsia="Lato"/>
        </w:rPr>
        <w:t xml:space="preserve"> collect</w:t>
      </w:r>
      <w:r w:rsidRPr="153DB1B4">
        <w:rPr>
          <w:rFonts w:eastAsia="Lato"/>
        </w:rPr>
        <w:t xml:space="preserve"> a very small amount of </w:t>
      </w:r>
      <w:r>
        <w:rPr>
          <w:rFonts w:eastAsia="Lato"/>
        </w:rPr>
        <w:t xml:space="preserve">non-sensitive </w:t>
      </w:r>
      <w:r w:rsidRPr="153DB1B4">
        <w:rPr>
          <w:rFonts w:eastAsia="Lato"/>
        </w:rPr>
        <w:t>Personally Identifiable Information (PII) in the survey</w:t>
      </w:r>
      <w:r w:rsidR="00592674">
        <w:rPr>
          <w:rFonts w:eastAsia="Lato"/>
        </w:rPr>
        <w:t xml:space="preserve"> including respondents’ </w:t>
      </w:r>
      <w:r w:rsidRPr="153DB1B4">
        <w:rPr>
          <w:rFonts w:eastAsia="Lato"/>
        </w:rPr>
        <w:t>professional role and years of experience. Respondents</w:t>
      </w:r>
      <w:r w:rsidR="00592674">
        <w:rPr>
          <w:rFonts w:eastAsia="Lato"/>
        </w:rPr>
        <w:t>’</w:t>
      </w:r>
      <w:r w:rsidRPr="153DB1B4">
        <w:rPr>
          <w:rFonts w:eastAsia="Lato"/>
        </w:rPr>
        <w:t xml:space="preserve"> answer</w:t>
      </w:r>
      <w:r>
        <w:rPr>
          <w:rFonts w:eastAsia="Lato"/>
        </w:rPr>
        <w:t>s</w:t>
      </w:r>
      <w:r w:rsidRPr="153DB1B4">
        <w:rPr>
          <w:rFonts w:eastAsia="Lato"/>
        </w:rPr>
        <w:t xml:space="preserve"> to these questions will not be linked to </w:t>
      </w:r>
      <w:r w:rsidR="00671163">
        <w:rPr>
          <w:rFonts w:eastAsia="Lato"/>
        </w:rPr>
        <w:t>respondents’</w:t>
      </w:r>
      <w:r w:rsidRPr="153DB1B4">
        <w:rPr>
          <w:rFonts w:eastAsia="Lato"/>
        </w:rPr>
        <w:t xml:space="preserve"> name</w:t>
      </w:r>
      <w:r w:rsidR="00671163">
        <w:rPr>
          <w:rFonts w:eastAsia="Lato"/>
        </w:rPr>
        <w:t>s</w:t>
      </w:r>
      <w:r w:rsidRPr="153DB1B4">
        <w:rPr>
          <w:rFonts w:eastAsia="Lato"/>
        </w:rPr>
        <w:t xml:space="preserve"> or contact information collected </w:t>
      </w:r>
      <w:r w:rsidR="00671163">
        <w:rPr>
          <w:rFonts w:eastAsia="Lato"/>
        </w:rPr>
        <w:t>from</w:t>
      </w:r>
      <w:r w:rsidRPr="153DB1B4" w:rsidR="00671163">
        <w:rPr>
          <w:rFonts w:eastAsia="Lato"/>
        </w:rPr>
        <w:t xml:space="preserve"> </w:t>
      </w:r>
      <w:r w:rsidRPr="153DB1B4">
        <w:rPr>
          <w:rFonts w:eastAsia="Lato"/>
        </w:rPr>
        <w:t>the PIR.</w:t>
      </w:r>
      <w:r>
        <w:rPr>
          <w:rFonts w:eastAsia="Lato"/>
        </w:rPr>
        <w:t xml:space="preserve"> </w:t>
      </w:r>
      <w:r w:rsidRPr="00C6549B">
        <w:t>Information will not be maintained in a paper or electronic system from which data are actually or directly retrieved by an individuals’ personal identifier.</w:t>
      </w:r>
    </w:p>
    <w:p w:rsidR="00954701" w:rsidRPr="00835C65" w:rsidP="004C59E9" w14:paraId="04CE4C47" w14:textId="77777777">
      <w:pPr>
        <w:rPr>
          <w:rFonts w:eastAsia="Lato"/>
        </w:rPr>
      </w:pPr>
    </w:p>
    <w:p w:rsidR="001D1C73" w:rsidRPr="009139B3" w:rsidP="004C59E9" w14:paraId="4254686E" w14:textId="77777777">
      <w:pPr>
        <w:pStyle w:val="Heading2"/>
      </w:pPr>
      <w:r w:rsidRPr="009139B3">
        <w:t>Assurances of Privacy</w:t>
      </w:r>
    </w:p>
    <w:p w:rsidR="001D1C73" w:rsidP="004C59E9" w14:paraId="3B371F60" w14:textId="4FC3145A">
      <w:r w:rsidRPr="009139B3">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rsidR="005E7991" w:rsidP="004C59E9" w14:paraId="09F0901F" w14:textId="0116BC3F"/>
    <w:p w:rsidR="005E7991" w:rsidP="004C59E9" w14:paraId="6D53B848" w14:textId="2D667B9D">
      <w:pPr>
        <w:rPr>
          <w:rFonts w:eastAsia="Lato"/>
        </w:rPr>
      </w:pPr>
      <w:r w:rsidRPr="153DB1B4">
        <w:rPr>
          <w:rFonts w:eastAsia="Lato"/>
        </w:rPr>
        <w:t xml:space="preserve">Steps will be taken by the research team to maintain respondent privacy and individual team members will follow human subjects’ ethics protocols by keeping all information obtained as part of the data collection and analysis activities within the research team. </w:t>
      </w:r>
    </w:p>
    <w:p w:rsidR="00954701" w:rsidRPr="00835C65" w:rsidP="004C59E9" w14:paraId="4FA10575" w14:textId="77777777">
      <w:pPr>
        <w:rPr>
          <w:rFonts w:eastAsia="Lato"/>
        </w:rPr>
      </w:pPr>
    </w:p>
    <w:p w:rsidR="001D1C73" w:rsidRPr="009139B3" w:rsidP="004C59E9" w14:paraId="013EB7D6" w14:textId="77777777">
      <w:pPr>
        <w:pStyle w:val="Heading2"/>
      </w:pPr>
      <w:r w:rsidRPr="009139B3">
        <w:t>Data Security and Monitoring</w:t>
      </w:r>
    </w:p>
    <w:p w:rsidR="004C59E9" w:rsidP="004C59E9" w14:paraId="73973D2D" w14:textId="6DEC6B46">
      <w:pPr>
        <w:rPr>
          <w:rFonts w:eastAsia="Lato"/>
        </w:rPr>
      </w:pPr>
      <w:r w:rsidRPr="4264D673">
        <w:rPr>
          <w:rFonts w:eastAsia="Lato"/>
        </w:rPr>
        <w:t xml:space="preserve">The research team will secure and maintain all data associated with the survey. The research team </w:t>
      </w:r>
      <w:r>
        <w:rPr>
          <w:rFonts w:eastAsia="Lato"/>
        </w:rPr>
        <w:t>plans to</w:t>
      </w:r>
      <w:r w:rsidRPr="4264D673">
        <w:rPr>
          <w:rFonts w:eastAsia="Lato"/>
        </w:rPr>
        <w:t xml:space="preserve"> use Qualtrics to field the survey. Qualtrics is a web-based data collection tool, which houses data on a secure server, utilizing an existing and continuously tested web-based infrastructure. The infrastructure features the use of HTTPS (secure socket, encrypted) data communication; authentication (login and password); firewalls; and multiple layers of servers, all implemented on a mixture of platforms and systems to minimize vulnerability to security breaches. Hosting on an HTTPS site ensures that data are transmitted using 128-bit encryption, so that transmissions intercepted by unauthorized users cannot be read as plain text. </w:t>
      </w:r>
    </w:p>
    <w:p w:rsidR="004C59E9" w:rsidP="004C59E9" w14:paraId="21DC40FC" w14:textId="77777777">
      <w:pPr>
        <w:rPr>
          <w:rFonts w:eastAsia="Lato"/>
        </w:rPr>
      </w:pPr>
    </w:p>
    <w:p w:rsidR="001D1C73" w:rsidRPr="009139B3" w:rsidP="004C59E9" w14:paraId="5E1F4C48" w14:textId="24472534">
      <w:r w:rsidRPr="004C59E9">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PII. The Contractor shall ensure that </w:t>
      </w:r>
      <w:r w:rsidRPr="004C59E9">
        <w:t>all of</w:t>
      </w:r>
      <w:r w:rsidRPr="004C59E9">
        <w:t xml:space="preserve"> its employees</w:t>
      </w:r>
      <w:r w:rsidRPr="009139B3">
        <w:t xml:space="preserve">, subcontractors (at all tiers), and employees of each subcontractor, who perform work under this contract/subcontract, are trained on data privacy issues and comply with the above requirements.  </w:t>
      </w:r>
    </w:p>
    <w:p w:rsidR="001D1C73" w:rsidRPr="009139B3" w:rsidP="004C59E9" w14:paraId="71BE4131" w14:textId="77777777"/>
    <w:p w:rsidR="001D1C73" w:rsidP="004C59E9" w14:paraId="2AD7F4B4" w14:textId="7FDF7E7A">
      <w:r w:rsidRPr="009139B3">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004C59E9" w:rsidP="004C59E9" w14:paraId="3C0408D4" w14:textId="61AACEB3"/>
    <w:p w:rsidR="004C59E9" w:rsidRPr="00B95B6E" w:rsidP="004C59E9" w14:paraId="66B81063" w14:textId="77777777">
      <w:pPr>
        <w:pStyle w:val="Heading2"/>
      </w:pPr>
      <w:bookmarkStart w:id="4" w:name="_Toc145333813"/>
      <w:r w:rsidRPr="00B95B6E">
        <w:t>Data Storage</w:t>
      </w:r>
      <w:r>
        <w:t xml:space="preserve"> and Access</w:t>
      </w:r>
      <w:bookmarkEnd w:id="4"/>
    </w:p>
    <w:p w:rsidR="004C59E9" w:rsidP="004C59E9" w14:paraId="3E59850D" w14:textId="3F4F8B34">
      <w:pPr>
        <w:rPr>
          <w:rFonts w:eastAsia="Lato"/>
        </w:rPr>
      </w:pPr>
      <w:r>
        <w:rPr>
          <w:rFonts w:eastAsia="Lato"/>
        </w:rPr>
        <w:t>The research team plans to download s</w:t>
      </w:r>
      <w:r w:rsidRPr="003A303A">
        <w:rPr>
          <w:rFonts w:eastAsia="Lato"/>
        </w:rPr>
        <w:t xml:space="preserve">urvey data to the Urban Institute’s confidential Y: drive securely through the Qualtrics </w:t>
      </w:r>
      <w:r w:rsidRPr="003A303A">
        <w:rPr>
          <w:rFonts w:eastAsia="Lato"/>
        </w:rPr>
        <w:t>website, and</w:t>
      </w:r>
      <w:r>
        <w:rPr>
          <w:rFonts w:eastAsia="Lato"/>
        </w:rPr>
        <w:t xml:space="preserve"> plans to conduct </w:t>
      </w:r>
      <w:r w:rsidRPr="003A303A">
        <w:rPr>
          <w:rFonts w:eastAsia="Lato"/>
        </w:rPr>
        <w:t xml:space="preserve">all analyses in a project-specific directory. </w:t>
      </w:r>
      <w:r>
        <w:rPr>
          <w:rFonts w:eastAsia="Lato"/>
        </w:rPr>
        <w:t>The research team</w:t>
      </w:r>
      <w:r w:rsidRPr="003A303A">
        <w:rPr>
          <w:rFonts w:eastAsia="Lato"/>
        </w:rPr>
        <w:t xml:space="preserve"> </w:t>
      </w:r>
      <w:r>
        <w:rPr>
          <w:rFonts w:eastAsia="Lato"/>
        </w:rPr>
        <w:t>plans to</w:t>
      </w:r>
      <w:r w:rsidRPr="003A303A">
        <w:rPr>
          <w:rFonts w:eastAsia="Lato"/>
        </w:rPr>
        <w:t xml:space="preserve"> make sure all responses are stripped of PII (e.g., Qualtrics automatically collects respondents’ IP addresses) as a first step before proceeding with the analysis. Once data are downloaded and secured to the Y drive, we will delete data from the Qualtrics server</w:t>
      </w:r>
      <w:r>
        <w:rPr>
          <w:rFonts w:eastAsia="Lato"/>
        </w:rPr>
        <w:t>.</w:t>
      </w:r>
    </w:p>
    <w:p w:rsidR="004C59E9" w:rsidP="004C59E9" w14:paraId="699C1DE2" w14:textId="77777777">
      <w:pPr>
        <w:rPr>
          <w:rFonts w:eastAsia="Lato"/>
        </w:rPr>
      </w:pPr>
    </w:p>
    <w:p w:rsidR="004C59E9" w:rsidP="004C59E9" w14:paraId="0B520A75" w14:textId="6BE52EF2">
      <w:pPr>
        <w:rPr>
          <w:rFonts w:eastAsia="Lato"/>
        </w:rPr>
      </w:pPr>
      <w:r>
        <w:rPr>
          <w:rFonts w:eastAsia="Lato"/>
        </w:rPr>
        <w:t>The contact list that comes from the PIR including,</w:t>
      </w:r>
      <w:r w:rsidRPr="37256694">
        <w:rPr>
          <w:rFonts w:eastAsia="Lato"/>
        </w:rPr>
        <w:t xml:space="preserve"> grant recipient names, program administrator names, program administrators’ roles, and their contact information</w:t>
      </w:r>
      <w:r>
        <w:rPr>
          <w:rFonts w:eastAsia="Lato"/>
        </w:rPr>
        <w:t>, will be stored on Box.</w:t>
      </w:r>
      <w:r w:rsidR="009237A0">
        <w:rPr>
          <w:rFonts w:eastAsia="Lato"/>
        </w:rPr>
        <w:t xml:space="preserve"> In some cases, </w:t>
      </w:r>
      <w:r w:rsidR="00671163">
        <w:rPr>
          <w:rFonts w:eastAsia="Lato"/>
        </w:rPr>
        <w:t xml:space="preserve">the </w:t>
      </w:r>
      <w:r w:rsidR="009237A0">
        <w:rPr>
          <w:rFonts w:eastAsia="Lato"/>
        </w:rPr>
        <w:t xml:space="preserve">program administrator may provide contact information for another staff person </w:t>
      </w:r>
      <w:r w:rsidR="0049571A">
        <w:rPr>
          <w:rFonts w:eastAsia="Lato"/>
        </w:rPr>
        <w:t>who may be the survey respondent. The research team will keep this list of contact information on the Y drive.</w:t>
      </w:r>
    </w:p>
    <w:p w:rsidR="004C59E9" w:rsidP="004C59E9" w14:paraId="030C1897" w14:textId="77777777">
      <w:pPr>
        <w:rPr>
          <w:rFonts w:eastAsia="Lato"/>
        </w:rPr>
      </w:pPr>
    </w:p>
    <w:p w:rsidR="004C59E9" w:rsidP="004C59E9" w14:paraId="6567EFF6" w14:textId="16846512">
      <w:pPr>
        <w:rPr>
          <w:rFonts w:eastAsia="Lato"/>
        </w:rPr>
      </w:pPr>
      <w:r>
        <w:rPr>
          <w:rFonts w:eastAsia="Lato"/>
        </w:rPr>
        <w:t>P</w:t>
      </w:r>
      <w:r w:rsidRPr="37256694">
        <w:rPr>
          <w:rFonts w:eastAsia="Lato"/>
        </w:rPr>
        <w:t xml:space="preserve">aper printouts of </w:t>
      </w:r>
      <w:r>
        <w:rPr>
          <w:rFonts w:eastAsia="Lato"/>
        </w:rPr>
        <w:t>the</w:t>
      </w:r>
      <w:r w:rsidRPr="37256694">
        <w:rPr>
          <w:rFonts w:eastAsia="Lato"/>
        </w:rPr>
        <w:t xml:space="preserve"> data will be minimized. In remote work settings, any printouts of </w:t>
      </w:r>
      <w:r>
        <w:rPr>
          <w:rFonts w:eastAsia="Lato"/>
        </w:rPr>
        <w:t>the</w:t>
      </w:r>
      <w:r w:rsidRPr="37256694">
        <w:rPr>
          <w:rFonts w:eastAsia="Lato"/>
        </w:rPr>
        <w:t xml:space="preserve"> data will be stored securely in locked storage in a researcher’s home office of work setting, out of the way of others who could potentially access them.</w:t>
      </w:r>
    </w:p>
    <w:p w:rsidR="00721DFD" w:rsidRPr="00B95B6E" w:rsidP="004C59E9" w14:paraId="70261524" w14:textId="77777777">
      <w:pPr>
        <w:rPr>
          <w:rFonts w:eastAsia="Lato"/>
        </w:rPr>
      </w:pPr>
    </w:p>
    <w:p w:rsidR="001D1C73" w:rsidRPr="009139B3" w:rsidP="004C59E9" w14:paraId="40B5F5B3" w14:textId="77777777">
      <w:pPr>
        <w:pStyle w:val="Heading1"/>
      </w:pPr>
      <w:r w:rsidRPr="009139B3">
        <w:t>A11.</w:t>
      </w:r>
      <w:r w:rsidRPr="009139B3">
        <w:tab/>
        <w:t>Sensitive Information</w:t>
      </w:r>
      <w:r w:rsidRPr="009139B3">
        <w:rPr>
          <w:rStyle w:val="FootnoteReference"/>
        </w:rPr>
        <w:t xml:space="preserve"> </w:t>
      </w:r>
      <w:r>
        <w:rPr>
          <w:rStyle w:val="FootnoteReference"/>
        </w:rPr>
        <w:footnoteReference w:id="3"/>
      </w:r>
    </w:p>
    <w:p w:rsidR="005E7991" w:rsidP="004C59E9" w14:paraId="23BA1C47" w14:textId="096829A2">
      <w:pPr>
        <w:rPr>
          <w:rFonts w:eastAsia="Lato"/>
        </w:rPr>
      </w:pPr>
      <w:r w:rsidRPr="4264D673">
        <w:rPr>
          <w:rFonts w:eastAsia="Lato"/>
        </w:rPr>
        <w:t>The research team has not proposed to collect sensitive information.</w:t>
      </w:r>
    </w:p>
    <w:p w:rsidR="00721DFD" w:rsidRPr="00835C65" w:rsidP="004C59E9" w14:paraId="7C11E073" w14:textId="77777777">
      <w:pPr>
        <w:rPr>
          <w:rFonts w:eastAsia="Lato"/>
        </w:rPr>
      </w:pPr>
    </w:p>
    <w:p w:rsidR="001D1C73" w:rsidRPr="009139B3" w:rsidP="004C59E9" w14:paraId="62ADEB38" w14:textId="77777777">
      <w:pPr>
        <w:pStyle w:val="Heading1"/>
      </w:pPr>
      <w:r w:rsidRPr="009139B3">
        <w:t>A12.</w:t>
      </w:r>
      <w:r w:rsidRPr="009139B3">
        <w:tab/>
        <w:t>Burden</w:t>
      </w:r>
    </w:p>
    <w:p w:rsidR="001D1C73" w:rsidP="004C59E9" w14:paraId="4525B6CF" w14:textId="1C4BEC6E">
      <w:pPr>
        <w:pStyle w:val="Heading2"/>
      </w:pPr>
      <w:r w:rsidRPr="009139B3">
        <w:t>Explanation of Burden Estimates</w:t>
      </w:r>
    </w:p>
    <w:p w:rsidR="00E659A1" w:rsidP="004C59E9" w14:paraId="56BE2AFE" w14:textId="6B26CB93">
      <w:r>
        <w:t>It is estimated that it will take respondents 30 minutes to complete the survey.</w:t>
      </w:r>
      <w:r w:rsidR="000E1D59">
        <w:t xml:space="preserve"> </w:t>
      </w:r>
      <w:r>
        <w:t xml:space="preserve">The estimates include time for respondents to review instructions, search data sources, complete and review the responses, and transmit or disclose information. </w:t>
      </w:r>
      <w:r w:rsidR="000E1D59">
        <w:t xml:space="preserve">It is also estimated that it will take respondents a maximum of 5 minutes to respond to potential follow-up requests to complete </w:t>
      </w:r>
      <w:r w:rsidR="007522D8">
        <w:t xml:space="preserve">or clarify answers to </w:t>
      </w:r>
      <w:r w:rsidR="000E1D59">
        <w:t>specific survey questions</w:t>
      </w:r>
      <w:r w:rsidR="007522D8">
        <w:t>, such as those</w:t>
      </w:r>
      <w:r w:rsidR="000E1D59">
        <w:t xml:space="preserve"> they may have missed</w:t>
      </w:r>
      <w:r w:rsidR="00E57399">
        <w:t xml:space="preserve"> or </w:t>
      </w:r>
      <w:r w:rsidRPr="00E57399" w:rsidR="00E57399">
        <w:t>do not make sense given the respondent’s other survey answers</w:t>
      </w:r>
      <w:r w:rsidR="000E1D59">
        <w:t xml:space="preserve">. </w:t>
      </w:r>
      <w:r>
        <w:t xml:space="preserve">The research team aims to collect data from 600 respondents from EHS programs offering center-based and/or home-based options (see B2 for more information). </w:t>
      </w:r>
    </w:p>
    <w:p w:rsidR="004F7721" w:rsidP="004C59E9" w14:paraId="49BEA5F4" w14:textId="77777777"/>
    <w:p w:rsidR="004F7721" w:rsidP="004C59E9" w14:paraId="31F1563C" w14:textId="4FC3AF75">
      <w:r>
        <w:t xml:space="preserve">There are </w:t>
      </w:r>
      <w:r>
        <w:t xml:space="preserve">three </w:t>
      </w:r>
      <w:r>
        <w:t xml:space="preserve">possible </w:t>
      </w:r>
      <w:r>
        <w:t>instruments</w:t>
      </w:r>
      <w:r>
        <w:t xml:space="preserve"> depending on the program option(s) offered by each grant recipient</w:t>
      </w:r>
      <w:r>
        <w:t xml:space="preserve">. The research team plans to assign respondents to the appropriate instrument </w:t>
      </w:r>
      <w:r w:rsidR="0049571A">
        <w:t>(see Table 1)</w:t>
      </w:r>
      <w:r>
        <w:t xml:space="preserve">. </w:t>
      </w:r>
    </w:p>
    <w:p w:rsidR="00BB086E" w:rsidRPr="009139B3" w:rsidP="004C59E9" w14:paraId="2369FD8F" w14:textId="77777777"/>
    <w:p w:rsidR="001D1C73" w:rsidRPr="009139B3" w:rsidP="004C59E9" w14:paraId="36874344" w14:textId="77777777">
      <w:pPr>
        <w:pStyle w:val="Heading2"/>
      </w:pPr>
      <w:r w:rsidRPr="009139B3">
        <w:t>Estimated Annualized Cost to Respondents</w:t>
      </w:r>
    </w:p>
    <w:p w:rsidR="004F7721" w:rsidP="00954701" w14:paraId="2ABF5DD6" w14:textId="0ABC977A">
      <w:r>
        <w:t>The research team expects the total annualized cost</w:t>
      </w:r>
      <w:r w:rsidR="00671163">
        <w:t xml:space="preserve"> </w:t>
      </w:r>
      <w:r w:rsidR="00596991">
        <w:t xml:space="preserve">to be $8,310.00. </w:t>
      </w:r>
      <w:r>
        <w:t xml:space="preserve">The research team based our cost estimate on the </w:t>
      </w:r>
      <w:hyperlink r:id="rId9">
        <w:r w:rsidRPr="176181AE">
          <w:rPr>
            <w:rStyle w:val="Hyperlink"/>
          </w:rPr>
          <w:t>Bureau of Labor Statistics Occupational Employment and Wage Statistics occupation: Education and Childcare Administrators, Preschool and Daycare</w:t>
        </w:r>
      </w:hyperlink>
      <w:r>
        <w:t xml:space="preserve"> (Standard Occupational Code: 11-9031) </w:t>
      </w:r>
      <w:r>
        <w:t xml:space="preserve">2022 hourly mean wage ($27.70). Total annualized cost was calculated as the product of annual burden hours and average hourly wage. </w:t>
      </w:r>
    </w:p>
    <w:p w:rsidR="004F7721" w:rsidP="004C59E9" w14:paraId="0A7FA779" w14:textId="77777777">
      <w:pPr>
        <w:pStyle w:val="ListParagraph"/>
      </w:pPr>
    </w:p>
    <w:p w:rsidR="004F7721" w:rsidRPr="009139B3" w:rsidP="00954701" w14:paraId="5E48806E" w14:textId="712C2C7F">
      <w:r>
        <w:t xml:space="preserve">The team based the time estimate on the assumption that it will take respondents 1 minute to complete 3 survey questions, on average. </w:t>
      </w:r>
      <w:r w:rsidR="001956DD">
        <w:t xml:space="preserve">In our </w:t>
      </w:r>
      <w:r w:rsidR="00596991">
        <w:t>pre-</w:t>
      </w:r>
      <w:r w:rsidR="001956DD">
        <w:t>testing, t</w:t>
      </w:r>
      <w:r>
        <w:t xml:space="preserve">he </w:t>
      </w:r>
      <w:r w:rsidR="00596991">
        <w:t>instruments</w:t>
      </w:r>
      <w:r w:rsidR="001956DD">
        <w:t xml:space="preserve"> took</w:t>
      </w:r>
      <w:r>
        <w:t xml:space="preserve"> respondents </w:t>
      </w:r>
      <w:r w:rsidR="001956DD">
        <w:t>3</w:t>
      </w:r>
      <w:r>
        <w:t>0 minutes, on average, to complete</w:t>
      </w:r>
      <w:r w:rsidR="001956DD">
        <w:t xml:space="preserve"> and Qualtrics estimates it will take respondents 20 minutes to complete the survey</w:t>
      </w:r>
      <w:r>
        <w:t xml:space="preserve">. </w:t>
      </w:r>
      <w:r w:rsidR="000E1D59">
        <w:t xml:space="preserve">The team also </w:t>
      </w:r>
      <w:r w:rsidR="002317AA">
        <w:t xml:space="preserve">assumed </w:t>
      </w:r>
      <w:r w:rsidR="000E1D59">
        <w:t xml:space="preserve">that </w:t>
      </w:r>
      <w:r w:rsidR="005865F6">
        <w:t xml:space="preserve">they would need to </w:t>
      </w:r>
      <w:r w:rsidR="000E1D59">
        <w:t xml:space="preserve">follow-up </w:t>
      </w:r>
      <w:r w:rsidR="005865F6">
        <w:t>with</w:t>
      </w:r>
      <w:r w:rsidR="000E1D59">
        <w:t xml:space="preserve"> approximately 30% of </w:t>
      </w:r>
      <w:r w:rsidR="005865F6">
        <w:t xml:space="preserve">respondents to ask them to complete </w:t>
      </w:r>
      <w:r w:rsidR="007522D8">
        <w:t xml:space="preserve">or clarify answers to specific survey </w:t>
      </w:r>
      <w:r w:rsidR="005865F6">
        <w:t>questions</w:t>
      </w:r>
      <w:r w:rsidR="002317AA">
        <w:t>.</w:t>
      </w:r>
      <w:r w:rsidR="005865F6">
        <w:t xml:space="preserve"> The team estimated it would take respondents no more than 5 minutes to complete these questions.  </w:t>
      </w:r>
    </w:p>
    <w:p w:rsidR="004F7721" w:rsidRPr="009139B3" w:rsidP="004C59E9" w14:paraId="616B75C4" w14:textId="77777777"/>
    <w:tbl>
      <w:tblPr>
        <w:tblW w:w="9242" w:type="dxa"/>
        <w:tblLook w:val="04A0"/>
      </w:tblPr>
      <w:tblGrid>
        <w:gridCol w:w="1818"/>
        <w:gridCol w:w="1345"/>
        <w:gridCol w:w="1421"/>
        <w:gridCol w:w="1169"/>
        <w:gridCol w:w="1295"/>
        <w:gridCol w:w="978"/>
        <w:gridCol w:w="1216"/>
      </w:tblGrid>
      <w:tr w14:paraId="06504082" w14:textId="77777777" w:rsidTr="00BD0A8A">
        <w:tblPrEx>
          <w:tblW w:w="9242" w:type="dxa"/>
          <w:tblLook w:val="04A0"/>
        </w:tblPrEx>
        <w:trPr>
          <w:trHeight w:val="1438"/>
        </w:trPr>
        <w:tc>
          <w:tcPr>
            <w:tcW w:w="181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4F7721" w:rsidRPr="00897CA0" w:rsidP="004C59E9" w14:paraId="7291D251" w14:textId="77777777">
            <w:pPr>
              <w:rPr>
                <w:b/>
                <w:bCs/>
                <w:color w:val="000000"/>
                <w:sz w:val="20"/>
                <w:szCs w:val="20"/>
              </w:rPr>
            </w:pPr>
            <w:r w:rsidRPr="00897CA0">
              <w:rPr>
                <w:b/>
                <w:bCs/>
                <w:sz w:val="20"/>
                <w:szCs w:val="20"/>
              </w:rPr>
              <w:t xml:space="preserve">Instrument </w:t>
            </w:r>
          </w:p>
        </w:tc>
        <w:tc>
          <w:tcPr>
            <w:tcW w:w="1345"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4F7721" w:rsidRPr="00897CA0" w:rsidP="004C59E9" w14:paraId="5F3E5FC4" w14:textId="77777777">
            <w:pPr>
              <w:rPr>
                <w:b/>
                <w:bCs/>
                <w:color w:val="000000"/>
                <w:sz w:val="20"/>
                <w:szCs w:val="20"/>
              </w:rPr>
            </w:pPr>
            <w:r w:rsidRPr="00897CA0">
              <w:rPr>
                <w:b/>
                <w:bCs/>
                <w:sz w:val="20"/>
                <w:szCs w:val="20"/>
              </w:rPr>
              <w:t>No. of Respondents (total over request period)</w:t>
            </w:r>
          </w:p>
        </w:tc>
        <w:tc>
          <w:tcPr>
            <w:tcW w:w="1421"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4F7721" w:rsidRPr="00897CA0" w:rsidP="004C59E9" w14:paraId="76ECC33B" w14:textId="77777777">
            <w:pPr>
              <w:rPr>
                <w:b/>
                <w:bCs/>
                <w:color w:val="000000"/>
                <w:sz w:val="20"/>
                <w:szCs w:val="20"/>
              </w:rPr>
            </w:pPr>
            <w:r w:rsidRPr="00897CA0">
              <w:rPr>
                <w:b/>
                <w:bCs/>
                <w:sz w:val="20"/>
                <w:szCs w:val="20"/>
              </w:rPr>
              <w:t>No. of Responses per Respondent (total over request period)</w:t>
            </w:r>
          </w:p>
        </w:tc>
        <w:tc>
          <w:tcPr>
            <w:tcW w:w="1169"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4F7721" w:rsidRPr="00897CA0" w:rsidP="004C59E9" w14:paraId="740AB740" w14:textId="77777777">
            <w:pPr>
              <w:rPr>
                <w:b/>
                <w:bCs/>
                <w:color w:val="000000"/>
                <w:sz w:val="20"/>
                <w:szCs w:val="20"/>
              </w:rPr>
            </w:pPr>
            <w:r w:rsidRPr="00897CA0">
              <w:rPr>
                <w:b/>
                <w:bCs/>
                <w:sz w:val="20"/>
                <w:szCs w:val="20"/>
              </w:rPr>
              <w:t>Avg. Burden per Response (in hours)</w:t>
            </w:r>
          </w:p>
        </w:tc>
        <w:tc>
          <w:tcPr>
            <w:tcW w:w="1295"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4F7721" w:rsidRPr="00897CA0" w:rsidP="004C59E9" w14:paraId="5A25062A" w14:textId="10B68C2F">
            <w:pPr>
              <w:rPr>
                <w:b/>
                <w:bCs/>
                <w:color w:val="000000"/>
                <w:sz w:val="20"/>
                <w:szCs w:val="20"/>
              </w:rPr>
            </w:pPr>
            <w:r w:rsidRPr="00897CA0">
              <w:rPr>
                <w:b/>
                <w:bCs/>
                <w:sz w:val="20"/>
                <w:szCs w:val="20"/>
              </w:rPr>
              <w:t>Total/annual Burden (in hours)</w:t>
            </w:r>
          </w:p>
        </w:tc>
        <w:tc>
          <w:tcPr>
            <w:tcW w:w="978"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4F7721" w:rsidRPr="00897CA0" w:rsidP="004C59E9" w14:paraId="596A5318" w14:textId="77777777">
            <w:pPr>
              <w:rPr>
                <w:b/>
                <w:bCs/>
                <w:color w:val="000000"/>
                <w:sz w:val="20"/>
                <w:szCs w:val="20"/>
              </w:rPr>
            </w:pPr>
            <w:r w:rsidRPr="00897CA0">
              <w:rPr>
                <w:b/>
                <w:bCs/>
                <w:sz w:val="20"/>
                <w:szCs w:val="20"/>
              </w:rPr>
              <w:t>Average Hourly Wage Rate</w:t>
            </w:r>
          </w:p>
        </w:tc>
        <w:tc>
          <w:tcPr>
            <w:tcW w:w="1216"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4F7721" w:rsidRPr="00897CA0" w:rsidP="004C59E9" w14:paraId="5F02B7C1" w14:textId="77777777">
            <w:pPr>
              <w:rPr>
                <w:b/>
                <w:bCs/>
                <w:color w:val="000000"/>
                <w:sz w:val="20"/>
                <w:szCs w:val="20"/>
              </w:rPr>
            </w:pPr>
            <w:r w:rsidRPr="00897CA0">
              <w:rPr>
                <w:b/>
                <w:bCs/>
                <w:sz w:val="20"/>
                <w:szCs w:val="20"/>
              </w:rPr>
              <w:t>Total Annual Respondent Cost</w:t>
            </w:r>
          </w:p>
        </w:tc>
      </w:tr>
      <w:tr w14:paraId="2BF81B18" w14:textId="77777777" w:rsidTr="00BD0A8A">
        <w:tblPrEx>
          <w:tblW w:w="9242" w:type="dxa"/>
          <w:tblLook w:val="04A0"/>
        </w:tblPrEx>
        <w:trPr>
          <w:trHeight w:val="853"/>
        </w:trPr>
        <w:tc>
          <w:tcPr>
            <w:tcW w:w="1818" w:type="dxa"/>
            <w:tcBorders>
              <w:top w:val="nil"/>
              <w:left w:val="single" w:sz="8" w:space="0" w:color="auto"/>
              <w:bottom w:val="single" w:sz="8" w:space="0" w:color="auto"/>
              <w:right w:val="single" w:sz="8" w:space="0" w:color="auto"/>
            </w:tcBorders>
            <w:shd w:val="clear" w:color="auto" w:fill="auto"/>
            <w:vAlign w:val="center"/>
            <w:hideMark/>
          </w:tcPr>
          <w:p w:rsidR="004F7721" w:rsidRPr="00897CA0" w:rsidP="004C59E9" w14:paraId="4FC76316" w14:textId="369E62B7">
            <w:pPr>
              <w:rPr>
                <w:color w:val="000000"/>
                <w:sz w:val="20"/>
                <w:szCs w:val="20"/>
              </w:rPr>
            </w:pPr>
            <w:r w:rsidRPr="00897CA0">
              <w:rPr>
                <w:sz w:val="20"/>
                <w:szCs w:val="20"/>
              </w:rPr>
              <w:t>Instrument 1</w:t>
            </w:r>
            <w:r w:rsidR="00897CA0">
              <w:rPr>
                <w:sz w:val="20"/>
                <w:szCs w:val="20"/>
              </w:rPr>
              <w:t>:</w:t>
            </w:r>
            <w:r w:rsidRPr="00897CA0">
              <w:rPr>
                <w:sz w:val="20"/>
                <w:szCs w:val="20"/>
              </w:rPr>
              <w:t xml:space="preserve"> Center-</w:t>
            </w:r>
            <w:r w:rsidRPr="00897CA0" w:rsidR="0098786E">
              <w:rPr>
                <w:sz w:val="20"/>
                <w:szCs w:val="20"/>
              </w:rPr>
              <w:t>Based O</w:t>
            </w:r>
            <w:r w:rsidRPr="00897CA0">
              <w:rPr>
                <w:sz w:val="20"/>
                <w:szCs w:val="20"/>
              </w:rPr>
              <w:t xml:space="preserve">nly </w:t>
            </w:r>
          </w:p>
        </w:tc>
        <w:tc>
          <w:tcPr>
            <w:tcW w:w="1345" w:type="dxa"/>
            <w:tcBorders>
              <w:top w:val="nil"/>
              <w:left w:val="nil"/>
              <w:bottom w:val="single" w:sz="8" w:space="0" w:color="auto"/>
              <w:right w:val="single" w:sz="8" w:space="0" w:color="auto"/>
            </w:tcBorders>
            <w:shd w:val="clear" w:color="auto" w:fill="auto"/>
            <w:vAlign w:val="center"/>
            <w:hideMark/>
          </w:tcPr>
          <w:p w:rsidR="004F7721" w:rsidRPr="00897CA0" w:rsidP="004C59E9" w14:paraId="2F31351C" w14:textId="77777777">
            <w:pPr>
              <w:rPr>
                <w:color w:val="000000"/>
                <w:sz w:val="20"/>
                <w:szCs w:val="20"/>
              </w:rPr>
            </w:pPr>
            <w:r w:rsidRPr="00897CA0">
              <w:rPr>
                <w:sz w:val="20"/>
                <w:szCs w:val="20"/>
              </w:rPr>
              <w:t>232</w:t>
            </w:r>
          </w:p>
        </w:tc>
        <w:tc>
          <w:tcPr>
            <w:tcW w:w="1421" w:type="dxa"/>
            <w:tcBorders>
              <w:top w:val="nil"/>
              <w:left w:val="nil"/>
              <w:bottom w:val="single" w:sz="8" w:space="0" w:color="auto"/>
              <w:right w:val="single" w:sz="8" w:space="0" w:color="auto"/>
            </w:tcBorders>
            <w:shd w:val="clear" w:color="auto" w:fill="auto"/>
            <w:vAlign w:val="center"/>
            <w:hideMark/>
          </w:tcPr>
          <w:p w:rsidR="004F7721" w:rsidRPr="00897CA0" w:rsidP="004C59E9" w14:paraId="0DCF3F27" w14:textId="77777777">
            <w:pPr>
              <w:rPr>
                <w:color w:val="000000"/>
                <w:sz w:val="20"/>
                <w:szCs w:val="20"/>
              </w:rPr>
            </w:pPr>
            <w:r w:rsidRPr="00897CA0">
              <w:rPr>
                <w:sz w:val="20"/>
                <w:szCs w:val="20"/>
              </w:rPr>
              <w:t>1</w:t>
            </w:r>
          </w:p>
        </w:tc>
        <w:tc>
          <w:tcPr>
            <w:tcW w:w="1169" w:type="dxa"/>
            <w:tcBorders>
              <w:top w:val="nil"/>
              <w:left w:val="nil"/>
              <w:bottom w:val="single" w:sz="8" w:space="0" w:color="auto"/>
              <w:right w:val="single" w:sz="8" w:space="0" w:color="auto"/>
            </w:tcBorders>
            <w:shd w:val="clear" w:color="auto" w:fill="auto"/>
            <w:vAlign w:val="center"/>
            <w:hideMark/>
          </w:tcPr>
          <w:p w:rsidR="004F7721" w:rsidRPr="00897CA0" w:rsidP="004C59E9" w14:paraId="62B675AF" w14:textId="7A5B9D80">
            <w:pPr>
              <w:rPr>
                <w:color w:val="000000"/>
                <w:sz w:val="20"/>
                <w:szCs w:val="20"/>
              </w:rPr>
            </w:pPr>
            <w:r w:rsidRPr="00897CA0">
              <w:rPr>
                <w:sz w:val="20"/>
                <w:szCs w:val="20"/>
              </w:rPr>
              <w:t>0.</w:t>
            </w:r>
            <w:r w:rsidRPr="00897CA0" w:rsidR="00E45D83">
              <w:rPr>
                <w:sz w:val="20"/>
                <w:szCs w:val="20"/>
              </w:rPr>
              <w:t>50</w:t>
            </w:r>
          </w:p>
        </w:tc>
        <w:tc>
          <w:tcPr>
            <w:tcW w:w="1295" w:type="dxa"/>
            <w:tcBorders>
              <w:top w:val="nil"/>
              <w:left w:val="nil"/>
              <w:bottom w:val="single" w:sz="8" w:space="0" w:color="auto"/>
              <w:right w:val="single" w:sz="8" w:space="0" w:color="auto"/>
            </w:tcBorders>
            <w:shd w:val="clear" w:color="auto" w:fill="auto"/>
            <w:vAlign w:val="center"/>
            <w:hideMark/>
          </w:tcPr>
          <w:p w:rsidR="004F7721" w:rsidRPr="00897CA0" w:rsidP="004C59E9" w14:paraId="0CCDB576" w14:textId="5CC255A8">
            <w:pPr>
              <w:rPr>
                <w:color w:val="000000"/>
                <w:sz w:val="20"/>
                <w:szCs w:val="20"/>
              </w:rPr>
            </w:pPr>
            <w:r w:rsidRPr="00897CA0">
              <w:rPr>
                <w:sz w:val="20"/>
                <w:szCs w:val="20"/>
              </w:rPr>
              <w:t>116</w:t>
            </w:r>
          </w:p>
        </w:tc>
        <w:tc>
          <w:tcPr>
            <w:tcW w:w="978" w:type="dxa"/>
            <w:tcBorders>
              <w:top w:val="nil"/>
              <w:left w:val="nil"/>
              <w:bottom w:val="single" w:sz="8" w:space="0" w:color="auto"/>
              <w:right w:val="single" w:sz="8" w:space="0" w:color="auto"/>
            </w:tcBorders>
            <w:shd w:val="clear" w:color="auto" w:fill="auto"/>
            <w:vAlign w:val="center"/>
            <w:hideMark/>
          </w:tcPr>
          <w:p w:rsidR="004F7721" w:rsidRPr="00897CA0" w:rsidP="004C59E9" w14:paraId="4AB71F26" w14:textId="77777777">
            <w:pPr>
              <w:rPr>
                <w:color w:val="000000"/>
                <w:sz w:val="20"/>
                <w:szCs w:val="20"/>
              </w:rPr>
            </w:pPr>
            <w:r w:rsidRPr="00897CA0">
              <w:rPr>
                <w:sz w:val="20"/>
                <w:szCs w:val="20"/>
              </w:rPr>
              <w:t xml:space="preserve">$27.70 </w:t>
            </w:r>
          </w:p>
        </w:tc>
        <w:tc>
          <w:tcPr>
            <w:tcW w:w="1216" w:type="dxa"/>
            <w:tcBorders>
              <w:top w:val="nil"/>
              <w:left w:val="nil"/>
              <w:bottom w:val="single" w:sz="8" w:space="0" w:color="auto"/>
              <w:right w:val="single" w:sz="8" w:space="0" w:color="auto"/>
            </w:tcBorders>
            <w:shd w:val="clear" w:color="auto" w:fill="auto"/>
            <w:vAlign w:val="center"/>
            <w:hideMark/>
          </w:tcPr>
          <w:p w:rsidR="004F7721" w:rsidRPr="00897CA0" w:rsidP="004C59E9" w14:paraId="6E32BFE1" w14:textId="11AF66BB">
            <w:pPr>
              <w:rPr>
                <w:color w:val="000000"/>
                <w:sz w:val="20"/>
                <w:szCs w:val="20"/>
              </w:rPr>
            </w:pPr>
            <w:r w:rsidRPr="00897CA0">
              <w:rPr>
                <w:sz w:val="20"/>
                <w:szCs w:val="20"/>
              </w:rPr>
              <w:t>$</w:t>
            </w:r>
            <w:r w:rsidRPr="00897CA0" w:rsidR="00E45D83">
              <w:rPr>
                <w:sz w:val="20"/>
                <w:szCs w:val="20"/>
              </w:rPr>
              <w:t>3,213.20</w:t>
            </w:r>
          </w:p>
        </w:tc>
      </w:tr>
      <w:tr w14:paraId="7AFA26E9" w14:textId="77777777" w:rsidTr="00BD0A8A">
        <w:tblPrEx>
          <w:tblW w:w="9242" w:type="dxa"/>
          <w:tblLook w:val="04A0"/>
        </w:tblPrEx>
        <w:trPr>
          <w:trHeight w:val="700"/>
        </w:trPr>
        <w:tc>
          <w:tcPr>
            <w:tcW w:w="1818" w:type="dxa"/>
            <w:tcBorders>
              <w:top w:val="nil"/>
              <w:left w:val="single" w:sz="8" w:space="0" w:color="auto"/>
              <w:bottom w:val="single" w:sz="8" w:space="0" w:color="auto"/>
              <w:right w:val="single" w:sz="8" w:space="0" w:color="auto"/>
            </w:tcBorders>
            <w:shd w:val="clear" w:color="auto" w:fill="auto"/>
            <w:vAlign w:val="center"/>
            <w:hideMark/>
          </w:tcPr>
          <w:p w:rsidR="004F7721" w:rsidRPr="00897CA0" w:rsidP="004C59E9" w14:paraId="68342109" w14:textId="753DD7A0">
            <w:pPr>
              <w:rPr>
                <w:color w:val="000000"/>
                <w:sz w:val="20"/>
                <w:szCs w:val="20"/>
              </w:rPr>
            </w:pPr>
            <w:r w:rsidRPr="00897CA0">
              <w:rPr>
                <w:sz w:val="20"/>
                <w:szCs w:val="20"/>
              </w:rPr>
              <w:t>Instrument 2</w:t>
            </w:r>
            <w:r w:rsidR="00897CA0">
              <w:rPr>
                <w:sz w:val="20"/>
                <w:szCs w:val="20"/>
              </w:rPr>
              <w:t>:</w:t>
            </w:r>
            <w:r w:rsidRPr="00897CA0">
              <w:rPr>
                <w:sz w:val="20"/>
                <w:szCs w:val="20"/>
              </w:rPr>
              <w:t xml:space="preserve"> Home-</w:t>
            </w:r>
            <w:r w:rsidRPr="00897CA0" w:rsidR="0098786E">
              <w:rPr>
                <w:sz w:val="20"/>
                <w:szCs w:val="20"/>
              </w:rPr>
              <w:t>B</w:t>
            </w:r>
            <w:r w:rsidRPr="00897CA0">
              <w:rPr>
                <w:sz w:val="20"/>
                <w:szCs w:val="20"/>
              </w:rPr>
              <w:t xml:space="preserve">ased </w:t>
            </w:r>
            <w:r w:rsidRPr="00897CA0" w:rsidR="0098786E">
              <w:rPr>
                <w:sz w:val="20"/>
                <w:szCs w:val="20"/>
              </w:rPr>
              <w:t>O</w:t>
            </w:r>
            <w:r w:rsidRPr="00897CA0">
              <w:rPr>
                <w:sz w:val="20"/>
                <w:szCs w:val="20"/>
              </w:rPr>
              <w:t xml:space="preserve">nly </w:t>
            </w:r>
          </w:p>
        </w:tc>
        <w:tc>
          <w:tcPr>
            <w:tcW w:w="1345" w:type="dxa"/>
            <w:tcBorders>
              <w:top w:val="nil"/>
              <w:left w:val="nil"/>
              <w:bottom w:val="single" w:sz="8" w:space="0" w:color="auto"/>
              <w:right w:val="single" w:sz="8" w:space="0" w:color="auto"/>
            </w:tcBorders>
            <w:shd w:val="clear" w:color="auto" w:fill="auto"/>
            <w:vAlign w:val="center"/>
            <w:hideMark/>
          </w:tcPr>
          <w:p w:rsidR="004F7721" w:rsidRPr="00897CA0" w:rsidP="004C59E9" w14:paraId="32E454C0" w14:textId="77777777">
            <w:pPr>
              <w:rPr>
                <w:color w:val="000000"/>
                <w:sz w:val="20"/>
                <w:szCs w:val="20"/>
              </w:rPr>
            </w:pPr>
            <w:r w:rsidRPr="00897CA0">
              <w:rPr>
                <w:sz w:val="20"/>
                <w:szCs w:val="20"/>
              </w:rPr>
              <w:t>56</w:t>
            </w:r>
          </w:p>
        </w:tc>
        <w:tc>
          <w:tcPr>
            <w:tcW w:w="1421" w:type="dxa"/>
            <w:tcBorders>
              <w:top w:val="nil"/>
              <w:left w:val="nil"/>
              <w:bottom w:val="single" w:sz="8" w:space="0" w:color="auto"/>
              <w:right w:val="single" w:sz="8" w:space="0" w:color="auto"/>
            </w:tcBorders>
            <w:shd w:val="clear" w:color="auto" w:fill="auto"/>
            <w:vAlign w:val="center"/>
            <w:hideMark/>
          </w:tcPr>
          <w:p w:rsidR="004F7721" w:rsidRPr="00897CA0" w:rsidP="004C59E9" w14:paraId="7C94149A" w14:textId="77777777">
            <w:pPr>
              <w:rPr>
                <w:color w:val="000000"/>
                <w:sz w:val="20"/>
                <w:szCs w:val="20"/>
              </w:rPr>
            </w:pPr>
            <w:r w:rsidRPr="00897CA0">
              <w:rPr>
                <w:sz w:val="20"/>
                <w:szCs w:val="20"/>
              </w:rPr>
              <w:t>1</w:t>
            </w:r>
          </w:p>
        </w:tc>
        <w:tc>
          <w:tcPr>
            <w:tcW w:w="1169" w:type="dxa"/>
            <w:tcBorders>
              <w:top w:val="nil"/>
              <w:left w:val="nil"/>
              <w:bottom w:val="single" w:sz="8" w:space="0" w:color="auto"/>
              <w:right w:val="single" w:sz="8" w:space="0" w:color="auto"/>
            </w:tcBorders>
            <w:shd w:val="clear" w:color="auto" w:fill="auto"/>
            <w:vAlign w:val="center"/>
            <w:hideMark/>
          </w:tcPr>
          <w:p w:rsidR="004F7721" w:rsidRPr="00897CA0" w:rsidP="004C59E9" w14:paraId="57E74364" w14:textId="1104D0A1">
            <w:pPr>
              <w:rPr>
                <w:color w:val="000000"/>
                <w:sz w:val="20"/>
                <w:szCs w:val="20"/>
              </w:rPr>
            </w:pPr>
            <w:r w:rsidRPr="00897CA0">
              <w:rPr>
                <w:sz w:val="20"/>
                <w:szCs w:val="20"/>
              </w:rPr>
              <w:t>0.</w:t>
            </w:r>
            <w:r w:rsidRPr="00897CA0" w:rsidR="00E45D83">
              <w:rPr>
                <w:sz w:val="20"/>
                <w:szCs w:val="20"/>
              </w:rPr>
              <w:t>50</w:t>
            </w:r>
          </w:p>
        </w:tc>
        <w:tc>
          <w:tcPr>
            <w:tcW w:w="1295" w:type="dxa"/>
            <w:tcBorders>
              <w:top w:val="nil"/>
              <w:left w:val="nil"/>
              <w:bottom w:val="single" w:sz="8" w:space="0" w:color="auto"/>
              <w:right w:val="single" w:sz="8" w:space="0" w:color="auto"/>
            </w:tcBorders>
            <w:shd w:val="clear" w:color="auto" w:fill="auto"/>
            <w:vAlign w:val="center"/>
            <w:hideMark/>
          </w:tcPr>
          <w:p w:rsidR="004F7721" w:rsidRPr="00897CA0" w:rsidP="004C59E9" w14:paraId="5E113F73" w14:textId="4553EBDE">
            <w:pPr>
              <w:rPr>
                <w:color w:val="000000"/>
                <w:sz w:val="20"/>
                <w:szCs w:val="20"/>
              </w:rPr>
            </w:pPr>
            <w:r w:rsidRPr="00897CA0">
              <w:rPr>
                <w:sz w:val="20"/>
                <w:szCs w:val="20"/>
              </w:rPr>
              <w:t>28</w:t>
            </w:r>
          </w:p>
        </w:tc>
        <w:tc>
          <w:tcPr>
            <w:tcW w:w="978" w:type="dxa"/>
            <w:tcBorders>
              <w:top w:val="nil"/>
              <w:left w:val="nil"/>
              <w:bottom w:val="single" w:sz="8" w:space="0" w:color="auto"/>
              <w:right w:val="single" w:sz="8" w:space="0" w:color="auto"/>
            </w:tcBorders>
            <w:shd w:val="clear" w:color="auto" w:fill="auto"/>
            <w:vAlign w:val="center"/>
            <w:hideMark/>
          </w:tcPr>
          <w:p w:rsidR="004F7721" w:rsidRPr="00897CA0" w:rsidP="004C59E9" w14:paraId="56BBFCBD" w14:textId="77777777">
            <w:pPr>
              <w:rPr>
                <w:color w:val="000000"/>
                <w:sz w:val="20"/>
                <w:szCs w:val="20"/>
              </w:rPr>
            </w:pPr>
            <w:r w:rsidRPr="00897CA0">
              <w:rPr>
                <w:sz w:val="20"/>
                <w:szCs w:val="20"/>
              </w:rPr>
              <w:t xml:space="preserve">$27.70 </w:t>
            </w:r>
          </w:p>
        </w:tc>
        <w:tc>
          <w:tcPr>
            <w:tcW w:w="1216" w:type="dxa"/>
            <w:tcBorders>
              <w:top w:val="nil"/>
              <w:left w:val="nil"/>
              <w:bottom w:val="single" w:sz="8" w:space="0" w:color="auto"/>
              <w:right w:val="single" w:sz="8" w:space="0" w:color="auto"/>
            </w:tcBorders>
            <w:shd w:val="clear" w:color="auto" w:fill="auto"/>
            <w:vAlign w:val="center"/>
            <w:hideMark/>
          </w:tcPr>
          <w:p w:rsidR="004F7721" w:rsidRPr="00897CA0" w:rsidP="004C59E9" w14:paraId="04DBAFF6" w14:textId="09F983DF">
            <w:pPr>
              <w:rPr>
                <w:color w:val="000000"/>
                <w:sz w:val="20"/>
                <w:szCs w:val="20"/>
              </w:rPr>
            </w:pPr>
            <w:r w:rsidRPr="00897CA0">
              <w:rPr>
                <w:sz w:val="20"/>
                <w:szCs w:val="20"/>
              </w:rPr>
              <w:t>$</w:t>
            </w:r>
            <w:r w:rsidRPr="00897CA0" w:rsidR="00E45D83">
              <w:rPr>
                <w:sz w:val="20"/>
                <w:szCs w:val="20"/>
              </w:rPr>
              <w:t>775.60</w:t>
            </w:r>
          </w:p>
        </w:tc>
      </w:tr>
      <w:tr w14:paraId="53A71D22" w14:textId="77777777" w:rsidTr="00BD0A8A">
        <w:tblPrEx>
          <w:tblW w:w="9242" w:type="dxa"/>
          <w:tblLook w:val="04A0"/>
        </w:tblPrEx>
        <w:trPr>
          <w:trHeight w:val="898"/>
        </w:trPr>
        <w:tc>
          <w:tcPr>
            <w:tcW w:w="1818" w:type="dxa"/>
            <w:tcBorders>
              <w:top w:val="nil"/>
              <w:left w:val="single" w:sz="8" w:space="0" w:color="auto"/>
              <w:bottom w:val="single" w:sz="8" w:space="0" w:color="auto"/>
              <w:right w:val="single" w:sz="8" w:space="0" w:color="auto"/>
            </w:tcBorders>
            <w:shd w:val="clear" w:color="auto" w:fill="auto"/>
            <w:vAlign w:val="center"/>
            <w:hideMark/>
          </w:tcPr>
          <w:p w:rsidR="004F7721" w:rsidRPr="00897CA0" w:rsidP="004C59E9" w14:paraId="69B3C1D6" w14:textId="60860A76">
            <w:pPr>
              <w:rPr>
                <w:color w:val="000000"/>
                <w:sz w:val="20"/>
                <w:szCs w:val="20"/>
              </w:rPr>
            </w:pPr>
            <w:r w:rsidRPr="00897CA0">
              <w:rPr>
                <w:sz w:val="20"/>
                <w:szCs w:val="20"/>
              </w:rPr>
              <w:t>Instrument 3</w:t>
            </w:r>
            <w:r w:rsidR="00897CA0">
              <w:rPr>
                <w:sz w:val="20"/>
                <w:szCs w:val="20"/>
              </w:rPr>
              <w:t>:</w:t>
            </w:r>
            <w:r w:rsidRPr="00897CA0">
              <w:rPr>
                <w:sz w:val="20"/>
                <w:szCs w:val="20"/>
              </w:rPr>
              <w:t xml:space="preserve"> </w:t>
            </w:r>
            <w:r w:rsidRPr="00897CA0" w:rsidR="0098786E">
              <w:rPr>
                <w:sz w:val="20"/>
                <w:szCs w:val="20"/>
              </w:rPr>
              <w:t>Center-Based and Home-Based</w:t>
            </w:r>
          </w:p>
        </w:tc>
        <w:tc>
          <w:tcPr>
            <w:tcW w:w="1345" w:type="dxa"/>
            <w:tcBorders>
              <w:top w:val="nil"/>
              <w:left w:val="nil"/>
              <w:bottom w:val="single" w:sz="8" w:space="0" w:color="auto"/>
              <w:right w:val="single" w:sz="8" w:space="0" w:color="auto"/>
            </w:tcBorders>
            <w:shd w:val="clear" w:color="auto" w:fill="auto"/>
            <w:vAlign w:val="center"/>
            <w:hideMark/>
          </w:tcPr>
          <w:p w:rsidR="004F7721" w:rsidRPr="00897CA0" w:rsidP="004C59E9" w14:paraId="30201F10" w14:textId="77777777">
            <w:pPr>
              <w:rPr>
                <w:color w:val="000000"/>
                <w:sz w:val="20"/>
                <w:szCs w:val="20"/>
              </w:rPr>
            </w:pPr>
            <w:r w:rsidRPr="00897CA0">
              <w:rPr>
                <w:sz w:val="20"/>
                <w:szCs w:val="20"/>
              </w:rPr>
              <w:t>312</w:t>
            </w:r>
          </w:p>
        </w:tc>
        <w:tc>
          <w:tcPr>
            <w:tcW w:w="1421" w:type="dxa"/>
            <w:tcBorders>
              <w:top w:val="nil"/>
              <w:left w:val="nil"/>
              <w:bottom w:val="single" w:sz="8" w:space="0" w:color="auto"/>
              <w:right w:val="single" w:sz="8" w:space="0" w:color="auto"/>
            </w:tcBorders>
            <w:shd w:val="clear" w:color="auto" w:fill="auto"/>
            <w:vAlign w:val="center"/>
            <w:hideMark/>
          </w:tcPr>
          <w:p w:rsidR="004F7721" w:rsidRPr="00897CA0" w:rsidP="004C59E9" w14:paraId="5B546700" w14:textId="77777777">
            <w:pPr>
              <w:rPr>
                <w:color w:val="000000"/>
                <w:sz w:val="20"/>
                <w:szCs w:val="20"/>
              </w:rPr>
            </w:pPr>
            <w:r w:rsidRPr="00897CA0">
              <w:rPr>
                <w:sz w:val="20"/>
                <w:szCs w:val="20"/>
              </w:rPr>
              <w:t>1</w:t>
            </w:r>
          </w:p>
        </w:tc>
        <w:tc>
          <w:tcPr>
            <w:tcW w:w="1169" w:type="dxa"/>
            <w:tcBorders>
              <w:top w:val="nil"/>
              <w:left w:val="nil"/>
              <w:bottom w:val="single" w:sz="8" w:space="0" w:color="auto"/>
              <w:right w:val="single" w:sz="8" w:space="0" w:color="auto"/>
            </w:tcBorders>
            <w:shd w:val="clear" w:color="auto" w:fill="auto"/>
            <w:vAlign w:val="center"/>
            <w:hideMark/>
          </w:tcPr>
          <w:p w:rsidR="004F7721" w:rsidRPr="00897CA0" w:rsidP="004C59E9" w14:paraId="5000620F" w14:textId="2AD9BCB4">
            <w:pPr>
              <w:rPr>
                <w:color w:val="000000"/>
                <w:sz w:val="20"/>
                <w:szCs w:val="20"/>
              </w:rPr>
            </w:pPr>
            <w:r w:rsidRPr="00897CA0">
              <w:rPr>
                <w:sz w:val="20"/>
                <w:szCs w:val="20"/>
              </w:rPr>
              <w:t>0.</w:t>
            </w:r>
            <w:r w:rsidRPr="00897CA0" w:rsidR="00596991">
              <w:rPr>
                <w:sz w:val="20"/>
                <w:szCs w:val="20"/>
              </w:rPr>
              <w:t>50</w:t>
            </w:r>
          </w:p>
        </w:tc>
        <w:tc>
          <w:tcPr>
            <w:tcW w:w="1295" w:type="dxa"/>
            <w:tcBorders>
              <w:top w:val="nil"/>
              <w:left w:val="nil"/>
              <w:bottom w:val="single" w:sz="8" w:space="0" w:color="auto"/>
              <w:right w:val="single" w:sz="8" w:space="0" w:color="auto"/>
            </w:tcBorders>
            <w:shd w:val="clear" w:color="auto" w:fill="auto"/>
            <w:vAlign w:val="center"/>
            <w:hideMark/>
          </w:tcPr>
          <w:p w:rsidR="004F7721" w:rsidRPr="00897CA0" w:rsidP="004C59E9" w14:paraId="39BECB57" w14:textId="7443255F">
            <w:pPr>
              <w:rPr>
                <w:color w:val="000000"/>
                <w:sz w:val="20"/>
                <w:szCs w:val="20"/>
              </w:rPr>
            </w:pPr>
            <w:r w:rsidRPr="00897CA0">
              <w:rPr>
                <w:sz w:val="20"/>
                <w:szCs w:val="20"/>
              </w:rPr>
              <w:t>156</w:t>
            </w:r>
          </w:p>
        </w:tc>
        <w:tc>
          <w:tcPr>
            <w:tcW w:w="978" w:type="dxa"/>
            <w:tcBorders>
              <w:top w:val="nil"/>
              <w:left w:val="nil"/>
              <w:bottom w:val="single" w:sz="8" w:space="0" w:color="auto"/>
              <w:right w:val="single" w:sz="8" w:space="0" w:color="auto"/>
            </w:tcBorders>
            <w:shd w:val="clear" w:color="auto" w:fill="auto"/>
            <w:vAlign w:val="center"/>
            <w:hideMark/>
          </w:tcPr>
          <w:p w:rsidR="004F7721" w:rsidRPr="00897CA0" w:rsidP="004C59E9" w14:paraId="678BA60A" w14:textId="77777777">
            <w:pPr>
              <w:rPr>
                <w:color w:val="000000"/>
                <w:sz w:val="20"/>
                <w:szCs w:val="20"/>
              </w:rPr>
            </w:pPr>
            <w:r w:rsidRPr="00897CA0">
              <w:rPr>
                <w:sz w:val="20"/>
                <w:szCs w:val="20"/>
              </w:rPr>
              <w:t xml:space="preserve">$27.70 </w:t>
            </w:r>
          </w:p>
        </w:tc>
        <w:tc>
          <w:tcPr>
            <w:tcW w:w="1216" w:type="dxa"/>
            <w:tcBorders>
              <w:top w:val="nil"/>
              <w:left w:val="nil"/>
              <w:bottom w:val="single" w:sz="8" w:space="0" w:color="auto"/>
              <w:right w:val="single" w:sz="8" w:space="0" w:color="auto"/>
            </w:tcBorders>
            <w:shd w:val="clear" w:color="auto" w:fill="auto"/>
            <w:vAlign w:val="center"/>
            <w:hideMark/>
          </w:tcPr>
          <w:p w:rsidR="004F7721" w:rsidRPr="00897CA0" w:rsidP="004C59E9" w14:paraId="736DBAE0" w14:textId="06028143">
            <w:pPr>
              <w:rPr>
                <w:color w:val="000000"/>
                <w:sz w:val="20"/>
                <w:szCs w:val="20"/>
              </w:rPr>
            </w:pPr>
            <w:r w:rsidRPr="00897CA0">
              <w:rPr>
                <w:sz w:val="20"/>
                <w:szCs w:val="20"/>
              </w:rPr>
              <w:t>$</w:t>
            </w:r>
            <w:r w:rsidRPr="00897CA0" w:rsidR="00596991">
              <w:rPr>
                <w:sz w:val="20"/>
                <w:szCs w:val="20"/>
              </w:rPr>
              <w:t>4,321.20</w:t>
            </w:r>
            <w:r w:rsidRPr="00897CA0">
              <w:rPr>
                <w:sz w:val="20"/>
                <w:szCs w:val="20"/>
              </w:rPr>
              <w:t xml:space="preserve"> </w:t>
            </w:r>
          </w:p>
        </w:tc>
      </w:tr>
      <w:tr w14:paraId="2D049C8E" w14:textId="77777777" w:rsidTr="00BD0A8A">
        <w:tblPrEx>
          <w:tblW w:w="9242" w:type="dxa"/>
          <w:tblLook w:val="04A0"/>
        </w:tblPrEx>
        <w:trPr>
          <w:trHeight w:val="898"/>
        </w:trPr>
        <w:tc>
          <w:tcPr>
            <w:tcW w:w="1818" w:type="dxa"/>
            <w:tcBorders>
              <w:top w:val="nil"/>
              <w:left w:val="single" w:sz="8" w:space="0" w:color="auto"/>
              <w:bottom w:val="single" w:sz="8" w:space="0" w:color="auto"/>
              <w:right w:val="single" w:sz="8" w:space="0" w:color="auto"/>
            </w:tcBorders>
            <w:shd w:val="clear" w:color="auto" w:fill="auto"/>
            <w:vAlign w:val="center"/>
          </w:tcPr>
          <w:p w:rsidR="00E659A1" w:rsidRPr="00897CA0" w:rsidP="004C59E9" w14:paraId="15D4C280" w14:textId="0542E8D7">
            <w:pPr>
              <w:rPr>
                <w:sz w:val="20"/>
                <w:szCs w:val="20"/>
              </w:rPr>
            </w:pPr>
            <w:r>
              <w:rPr>
                <w:sz w:val="20"/>
                <w:szCs w:val="20"/>
              </w:rPr>
              <w:t xml:space="preserve">Follow-up </w:t>
            </w:r>
            <w:r w:rsidR="005865F6">
              <w:rPr>
                <w:sz w:val="20"/>
                <w:szCs w:val="20"/>
              </w:rPr>
              <w:t>questions</w:t>
            </w:r>
          </w:p>
        </w:tc>
        <w:tc>
          <w:tcPr>
            <w:tcW w:w="1345" w:type="dxa"/>
            <w:tcBorders>
              <w:top w:val="nil"/>
              <w:left w:val="nil"/>
              <w:bottom w:val="single" w:sz="8" w:space="0" w:color="auto"/>
              <w:right w:val="single" w:sz="8" w:space="0" w:color="auto"/>
            </w:tcBorders>
            <w:shd w:val="clear" w:color="auto" w:fill="auto"/>
            <w:vAlign w:val="center"/>
          </w:tcPr>
          <w:p w:rsidR="00E659A1" w:rsidRPr="00897CA0" w:rsidP="004C59E9" w14:paraId="1E365888" w14:textId="73049941">
            <w:pPr>
              <w:rPr>
                <w:sz w:val="20"/>
                <w:szCs w:val="20"/>
              </w:rPr>
            </w:pPr>
            <w:r>
              <w:rPr>
                <w:sz w:val="20"/>
                <w:szCs w:val="20"/>
              </w:rPr>
              <w:t>180</w:t>
            </w:r>
          </w:p>
        </w:tc>
        <w:tc>
          <w:tcPr>
            <w:tcW w:w="1421" w:type="dxa"/>
            <w:tcBorders>
              <w:top w:val="nil"/>
              <w:left w:val="nil"/>
              <w:bottom w:val="single" w:sz="8" w:space="0" w:color="auto"/>
              <w:right w:val="single" w:sz="8" w:space="0" w:color="auto"/>
            </w:tcBorders>
            <w:shd w:val="clear" w:color="auto" w:fill="auto"/>
            <w:vAlign w:val="center"/>
          </w:tcPr>
          <w:p w:rsidR="00E659A1" w:rsidRPr="00897CA0" w:rsidP="004C59E9" w14:paraId="25EF1D71" w14:textId="77F4AFE7">
            <w:pPr>
              <w:rPr>
                <w:sz w:val="20"/>
                <w:szCs w:val="20"/>
              </w:rPr>
            </w:pPr>
            <w:r>
              <w:rPr>
                <w:sz w:val="20"/>
                <w:szCs w:val="20"/>
              </w:rPr>
              <w:t>1</w:t>
            </w:r>
          </w:p>
        </w:tc>
        <w:tc>
          <w:tcPr>
            <w:tcW w:w="1169" w:type="dxa"/>
            <w:tcBorders>
              <w:top w:val="nil"/>
              <w:left w:val="nil"/>
              <w:bottom w:val="single" w:sz="8" w:space="0" w:color="auto"/>
              <w:right w:val="single" w:sz="8" w:space="0" w:color="auto"/>
            </w:tcBorders>
            <w:shd w:val="clear" w:color="auto" w:fill="auto"/>
            <w:vAlign w:val="center"/>
          </w:tcPr>
          <w:p w:rsidR="00E659A1" w:rsidRPr="00897CA0" w:rsidP="004C59E9" w14:paraId="61494F31" w14:textId="7D32CE51">
            <w:pPr>
              <w:rPr>
                <w:sz w:val="20"/>
                <w:szCs w:val="20"/>
              </w:rPr>
            </w:pPr>
            <w:r>
              <w:rPr>
                <w:sz w:val="20"/>
                <w:szCs w:val="20"/>
              </w:rPr>
              <w:t>0.0</w:t>
            </w:r>
            <w:r w:rsidR="005865F6">
              <w:rPr>
                <w:sz w:val="20"/>
                <w:szCs w:val="20"/>
              </w:rPr>
              <w:t>8</w:t>
            </w:r>
          </w:p>
        </w:tc>
        <w:tc>
          <w:tcPr>
            <w:tcW w:w="1295" w:type="dxa"/>
            <w:tcBorders>
              <w:top w:val="nil"/>
              <w:left w:val="nil"/>
              <w:bottom w:val="single" w:sz="8" w:space="0" w:color="auto"/>
              <w:right w:val="single" w:sz="8" w:space="0" w:color="auto"/>
            </w:tcBorders>
            <w:shd w:val="clear" w:color="auto" w:fill="auto"/>
            <w:vAlign w:val="center"/>
          </w:tcPr>
          <w:p w:rsidR="00E659A1" w:rsidRPr="00897CA0" w:rsidP="004C59E9" w14:paraId="546FEE28" w14:textId="234CEC61">
            <w:pPr>
              <w:rPr>
                <w:sz w:val="20"/>
                <w:szCs w:val="20"/>
              </w:rPr>
            </w:pPr>
            <w:r>
              <w:rPr>
                <w:sz w:val="20"/>
                <w:szCs w:val="20"/>
              </w:rPr>
              <w:t>15</w:t>
            </w:r>
          </w:p>
        </w:tc>
        <w:tc>
          <w:tcPr>
            <w:tcW w:w="978" w:type="dxa"/>
            <w:tcBorders>
              <w:top w:val="nil"/>
              <w:left w:val="nil"/>
              <w:bottom w:val="single" w:sz="8" w:space="0" w:color="auto"/>
              <w:right w:val="single" w:sz="8" w:space="0" w:color="auto"/>
            </w:tcBorders>
            <w:shd w:val="clear" w:color="auto" w:fill="auto"/>
            <w:vAlign w:val="center"/>
          </w:tcPr>
          <w:p w:rsidR="00E659A1" w:rsidRPr="00897CA0" w:rsidP="004C59E9" w14:paraId="651048D3" w14:textId="57A9AD0A">
            <w:pPr>
              <w:rPr>
                <w:sz w:val="20"/>
                <w:szCs w:val="20"/>
              </w:rPr>
            </w:pPr>
            <w:r w:rsidRPr="00897CA0">
              <w:rPr>
                <w:sz w:val="20"/>
                <w:szCs w:val="20"/>
              </w:rPr>
              <w:t>$27.70</w:t>
            </w:r>
          </w:p>
        </w:tc>
        <w:tc>
          <w:tcPr>
            <w:tcW w:w="1216" w:type="dxa"/>
            <w:tcBorders>
              <w:top w:val="nil"/>
              <w:left w:val="nil"/>
              <w:bottom w:val="single" w:sz="8" w:space="0" w:color="auto"/>
              <w:right w:val="single" w:sz="8" w:space="0" w:color="auto"/>
            </w:tcBorders>
            <w:shd w:val="clear" w:color="auto" w:fill="auto"/>
            <w:vAlign w:val="center"/>
          </w:tcPr>
          <w:p w:rsidR="00E659A1" w:rsidRPr="00897CA0" w:rsidP="004C59E9" w14:paraId="3CC6ADC1" w14:textId="1AB9FBF5">
            <w:pPr>
              <w:rPr>
                <w:sz w:val="20"/>
                <w:szCs w:val="20"/>
              </w:rPr>
            </w:pPr>
            <w:r>
              <w:rPr>
                <w:sz w:val="20"/>
                <w:szCs w:val="20"/>
              </w:rPr>
              <w:t>$4</w:t>
            </w:r>
            <w:r w:rsidR="005865F6">
              <w:rPr>
                <w:sz w:val="20"/>
                <w:szCs w:val="20"/>
              </w:rPr>
              <w:t>15</w:t>
            </w:r>
            <w:r>
              <w:rPr>
                <w:sz w:val="20"/>
                <w:szCs w:val="20"/>
              </w:rPr>
              <w:t>.</w:t>
            </w:r>
            <w:r w:rsidR="005865F6">
              <w:rPr>
                <w:sz w:val="20"/>
                <w:szCs w:val="20"/>
              </w:rPr>
              <w:t>50</w:t>
            </w:r>
          </w:p>
        </w:tc>
      </w:tr>
      <w:tr w14:paraId="767B7EE2" w14:textId="77777777" w:rsidTr="00BD0A8A">
        <w:tblPrEx>
          <w:tblW w:w="9242" w:type="dxa"/>
          <w:tblLook w:val="04A0"/>
        </w:tblPrEx>
        <w:trPr>
          <w:trHeight w:val="502"/>
        </w:trPr>
        <w:tc>
          <w:tcPr>
            <w:tcW w:w="5753" w:type="dxa"/>
            <w:gridSpan w:val="4"/>
            <w:tcBorders>
              <w:top w:val="nil"/>
              <w:left w:val="single" w:sz="8" w:space="0" w:color="auto"/>
              <w:bottom w:val="single" w:sz="8" w:space="0" w:color="auto"/>
              <w:right w:val="single" w:sz="8" w:space="0" w:color="auto"/>
            </w:tcBorders>
            <w:shd w:val="clear" w:color="auto" w:fill="auto"/>
            <w:vAlign w:val="center"/>
            <w:hideMark/>
          </w:tcPr>
          <w:p w:rsidR="006D17A5" w:rsidRPr="00553367" w:rsidP="00897CA0" w14:paraId="10DCDD00" w14:textId="21E4C5E6">
            <w:pPr>
              <w:jc w:val="right"/>
              <w:rPr>
                <w:b/>
                <w:bCs/>
                <w:color w:val="000000"/>
                <w:sz w:val="20"/>
                <w:szCs w:val="20"/>
              </w:rPr>
            </w:pPr>
            <w:r w:rsidRPr="00553367">
              <w:rPr>
                <w:b/>
                <w:bCs/>
                <w:sz w:val="20"/>
                <w:szCs w:val="20"/>
              </w:rPr>
              <w:t>Total Burden and Costs:</w:t>
            </w:r>
          </w:p>
        </w:tc>
        <w:tc>
          <w:tcPr>
            <w:tcW w:w="1295" w:type="dxa"/>
            <w:tcBorders>
              <w:top w:val="nil"/>
              <w:left w:val="nil"/>
              <w:bottom w:val="single" w:sz="8" w:space="0" w:color="auto"/>
              <w:right w:val="single" w:sz="8" w:space="0" w:color="auto"/>
            </w:tcBorders>
            <w:shd w:val="clear" w:color="auto" w:fill="auto"/>
            <w:vAlign w:val="center"/>
            <w:hideMark/>
          </w:tcPr>
          <w:p w:rsidR="006D17A5" w:rsidRPr="00897CA0" w:rsidP="004C59E9" w14:paraId="0416F270" w14:textId="7F47A14B">
            <w:pPr>
              <w:rPr>
                <w:color w:val="000000"/>
                <w:sz w:val="20"/>
                <w:szCs w:val="20"/>
              </w:rPr>
            </w:pPr>
            <w:r w:rsidRPr="00897CA0">
              <w:rPr>
                <w:sz w:val="20"/>
                <w:szCs w:val="20"/>
              </w:rPr>
              <w:t>3</w:t>
            </w:r>
            <w:r w:rsidR="00F00E1B">
              <w:rPr>
                <w:sz w:val="20"/>
                <w:szCs w:val="20"/>
              </w:rPr>
              <w:t>15</w:t>
            </w:r>
          </w:p>
        </w:tc>
        <w:tc>
          <w:tcPr>
            <w:tcW w:w="978" w:type="dxa"/>
            <w:tcBorders>
              <w:top w:val="nil"/>
              <w:left w:val="nil"/>
              <w:bottom w:val="single" w:sz="8" w:space="0" w:color="auto"/>
              <w:right w:val="single" w:sz="8" w:space="0" w:color="auto"/>
            </w:tcBorders>
            <w:shd w:val="clear" w:color="auto" w:fill="auto"/>
            <w:vAlign w:val="center"/>
            <w:hideMark/>
          </w:tcPr>
          <w:p w:rsidR="006D17A5" w:rsidRPr="00897CA0" w:rsidP="004C59E9" w14:paraId="7F5F7751" w14:textId="77777777">
            <w:pPr>
              <w:rPr>
                <w:color w:val="000000"/>
                <w:sz w:val="20"/>
                <w:szCs w:val="20"/>
              </w:rPr>
            </w:pPr>
            <w:r w:rsidRPr="00897CA0">
              <w:rPr>
                <w:sz w:val="20"/>
                <w:szCs w:val="20"/>
              </w:rPr>
              <w:t>N/A</w:t>
            </w:r>
          </w:p>
        </w:tc>
        <w:tc>
          <w:tcPr>
            <w:tcW w:w="1216" w:type="dxa"/>
            <w:tcBorders>
              <w:top w:val="nil"/>
              <w:left w:val="nil"/>
              <w:bottom w:val="single" w:sz="8" w:space="0" w:color="auto"/>
              <w:right w:val="single" w:sz="8" w:space="0" w:color="auto"/>
            </w:tcBorders>
            <w:shd w:val="clear" w:color="auto" w:fill="auto"/>
            <w:vAlign w:val="center"/>
            <w:hideMark/>
          </w:tcPr>
          <w:p w:rsidR="006D17A5" w:rsidRPr="00897CA0" w:rsidP="004C59E9" w14:paraId="0C716D51" w14:textId="13F1C55C">
            <w:pPr>
              <w:rPr>
                <w:color w:val="000000"/>
                <w:sz w:val="20"/>
                <w:szCs w:val="20"/>
              </w:rPr>
            </w:pPr>
            <w:r w:rsidRPr="00897CA0">
              <w:rPr>
                <w:sz w:val="20"/>
                <w:szCs w:val="20"/>
              </w:rPr>
              <w:t>$8,</w:t>
            </w:r>
            <w:r w:rsidR="005865F6">
              <w:rPr>
                <w:sz w:val="20"/>
                <w:szCs w:val="20"/>
              </w:rPr>
              <w:t>725</w:t>
            </w:r>
            <w:r w:rsidRPr="00897CA0">
              <w:rPr>
                <w:sz w:val="20"/>
                <w:szCs w:val="20"/>
              </w:rPr>
              <w:t>.</w:t>
            </w:r>
            <w:r w:rsidR="005865F6">
              <w:rPr>
                <w:sz w:val="20"/>
                <w:szCs w:val="20"/>
              </w:rPr>
              <w:t>5</w:t>
            </w:r>
            <w:r w:rsidRPr="00897CA0">
              <w:rPr>
                <w:sz w:val="20"/>
                <w:szCs w:val="20"/>
              </w:rPr>
              <w:t>0</w:t>
            </w:r>
          </w:p>
        </w:tc>
      </w:tr>
    </w:tbl>
    <w:p w:rsidR="004F7721" w:rsidP="004C59E9" w14:paraId="25B8AE88" w14:textId="7323FFE0"/>
    <w:p w:rsidR="001D1C73" w:rsidRPr="009139B3" w:rsidP="004C59E9" w14:paraId="730F9427" w14:textId="77777777">
      <w:pPr>
        <w:pStyle w:val="Heading1"/>
      </w:pPr>
      <w:r w:rsidRPr="009139B3">
        <w:t>A13.</w:t>
      </w:r>
      <w:r w:rsidRPr="009139B3">
        <w:tab/>
        <w:t>Costs</w:t>
      </w:r>
    </w:p>
    <w:p w:rsidR="00816292" w:rsidP="004C59E9" w14:paraId="2E044E1B" w14:textId="234383BB">
      <w:r>
        <w:t>There are no additional costs to respondents.</w:t>
      </w:r>
    </w:p>
    <w:p w:rsidR="00721DFD" w:rsidRPr="009139B3" w:rsidP="004C59E9" w14:paraId="70216E3A" w14:textId="77777777"/>
    <w:p w:rsidR="001D1C73" w:rsidRPr="009139B3" w:rsidP="004C59E9" w14:paraId="5A6D806F" w14:textId="77777777">
      <w:pPr>
        <w:pStyle w:val="Heading1"/>
      </w:pPr>
      <w:r w:rsidRPr="009139B3">
        <w:t>A14.</w:t>
      </w:r>
      <w:r w:rsidRPr="009139B3">
        <w:tab/>
        <w:t xml:space="preserve">Estimated Annualized Costs to the Federal Government </w:t>
      </w:r>
    </w:p>
    <w:p w:rsidR="00816292" w:rsidRPr="00C250D1" w:rsidP="0034242F" w14:paraId="049C1A9B" w14:textId="11924987">
      <w:pPr>
        <w:spacing w:after="120"/>
      </w:pPr>
      <w:r w:rsidRPr="00C250D1">
        <w:t>The total cost to the Federal government for the data collection activities under this request will be about $</w:t>
      </w:r>
      <w:r>
        <w:t>545,000</w:t>
      </w:r>
      <w:r w:rsidRPr="00C250D1">
        <w:t>. These estimates of costs come from Urban Institute's budgeted estimates and include labor rates and direct costs.</w:t>
      </w:r>
    </w:p>
    <w:tbl>
      <w:tblPr>
        <w:tblW w:w="0" w:type="auto"/>
        <w:tblCellMar>
          <w:left w:w="0" w:type="dxa"/>
          <w:right w:w="0" w:type="dxa"/>
        </w:tblCellMar>
        <w:tblLook w:val="04A0"/>
      </w:tblPr>
      <w:tblGrid>
        <w:gridCol w:w="7100"/>
        <w:gridCol w:w="1710"/>
      </w:tblGrid>
      <w:tr w14:paraId="0FDB60A6" w14:textId="77777777" w:rsidTr="00DA5D19">
        <w:tblPrEx>
          <w:tblW w:w="0" w:type="auto"/>
          <w:tblCellMar>
            <w:left w:w="0" w:type="dxa"/>
            <w:right w:w="0" w:type="dxa"/>
          </w:tblCellMar>
          <w:tblLook w:val="04A0"/>
        </w:tblPrEx>
        <w:tc>
          <w:tcPr>
            <w:tcW w:w="710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816292" w:rsidRPr="00897CA0" w:rsidP="00897CA0" w14:paraId="101174BB" w14:textId="327B6D71">
            <w:pPr>
              <w:jc w:val="center"/>
              <w:rPr>
                <w:b/>
                <w:bCs/>
                <w:sz w:val="20"/>
                <w:szCs w:val="20"/>
              </w:rPr>
            </w:pPr>
            <w:r w:rsidRPr="00897CA0">
              <w:rPr>
                <w:b/>
                <w:bCs/>
                <w:sz w:val="20"/>
                <w:szCs w:val="20"/>
              </w:rPr>
              <w:t>Activity</w:t>
            </w:r>
          </w:p>
        </w:tc>
        <w:tc>
          <w:tcPr>
            <w:tcW w:w="1710" w:type="dxa"/>
            <w:tcBorders>
              <w:top w:val="single" w:sz="8" w:space="0" w:color="auto"/>
              <w:left w:val="nil"/>
              <w:bottom w:val="single" w:sz="8" w:space="0" w:color="auto"/>
              <w:right w:val="single" w:sz="8" w:space="0" w:color="auto"/>
            </w:tcBorders>
            <w:shd w:val="clear" w:color="auto" w:fill="BFBFBF" w:themeFill="background1" w:themeFillShade="BF"/>
            <w:hideMark/>
          </w:tcPr>
          <w:p w:rsidR="00816292" w:rsidRPr="00897CA0" w:rsidP="00897CA0" w14:paraId="08B7D7B8" w14:textId="77777777">
            <w:pPr>
              <w:jc w:val="center"/>
              <w:rPr>
                <w:b/>
                <w:bCs/>
                <w:sz w:val="20"/>
                <w:szCs w:val="20"/>
              </w:rPr>
            </w:pPr>
            <w:r w:rsidRPr="00897CA0">
              <w:rPr>
                <w:b/>
                <w:bCs/>
                <w:sz w:val="20"/>
                <w:szCs w:val="20"/>
              </w:rPr>
              <w:t>Estimated Cost</w:t>
            </w:r>
          </w:p>
        </w:tc>
      </w:tr>
      <w:tr w14:paraId="7A656060" w14:textId="77777777" w:rsidTr="00DA5D19">
        <w:tblPrEx>
          <w:tblW w:w="0" w:type="auto"/>
          <w:tblCellMar>
            <w:left w:w="0" w:type="dxa"/>
            <w:right w:w="0" w:type="dxa"/>
          </w:tblCellMar>
          <w:tblLook w:val="04A0"/>
        </w:tblPrEx>
        <w:trPr>
          <w:trHeight w:val="300"/>
        </w:trPr>
        <w:tc>
          <w:tcPr>
            <w:tcW w:w="710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816292" w:rsidRPr="00897CA0" w:rsidP="004C59E9" w14:paraId="6E17799F" w14:textId="77777777">
            <w:pPr>
              <w:rPr>
                <w:sz w:val="20"/>
                <w:szCs w:val="20"/>
              </w:rPr>
            </w:pPr>
            <w:r w:rsidRPr="00897CA0">
              <w:rPr>
                <w:sz w:val="20"/>
                <w:szCs w:val="20"/>
              </w:rPr>
              <w:t>Conduct study (including costs to collect data, conduct analyses, and/or expert consultation)</w:t>
            </w:r>
          </w:p>
        </w:tc>
        <w:tc>
          <w:tcPr>
            <w:tcW w:w="1710" w:type="dxa"/>
            <w:tcBorders>
              <w:top w:val="nil"/>
              <w:left w:val="nil"/>
              <w:bottom w:val="single" w:sz="4" w:space="0" w:color="auto"/>
              <w:right w:val="single" w:sz="8" w:space="0" w:color="auto"/>
            </w:tcBorders>
            <w:vAlign w:val="center"/>
          </w:tcPr>
          <w:p w:rsidR="00816292" w:rsidRPr="00897CA0" w:rsidP="004C59E9" w14:paraId="15A1C73E" w14:textId="77777777">
            <w:pPr>
              <w:rPr>
                <w:sz w:val="20"/>
                <w:szCs w:val="20"/>
              </w:rPr>
            </w:pPr>
            <w:r w:rsidRPr="00897CA0">
              <w:rPr>
                <w:sz w:val="20"/>
                <w:szCs w:val="20"/>
              </w:rPr>
              <w:t>$415,000</w:t>
            </w:r>
          </w:p>
        </w:tc>
      </w:tr>
      <w:tr w14:paraId="0B37279C" w14:textId="1F429E29" w:rsidTr="00DA5D19">
        <w:tblPrEx>
          <w:tblW w:w="0" w:type="auto"/>
          <w:tblCellMar>
            <w:left w:w="0" w:type="dxa"/>
            <w:right w:w="0" w:type="dxa"/>
          </w:tblCellMar>
          <w:tblLook w:val="04A0"/>
        </w:tblPrEx>
        <w:trPr>
          <w:trHeight w:val="300"/>
        </w:trPr>
        <w:tc>
          <w:tcPr>
            <w:tcW w:w="710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816292" w:rsidRPr="00897CA0" w:rsidP="004C59E9" w14:paraId="1E2F2E53" w14:textId="3CF2A6F3">
            <w:pPr>
              <w:rPr>
                <w:sz w:val="20"/>
                <w:szCs w:val="20"/>
              </w:rPr>
            </w:pPr>
            <w:r w:rsidRPr="00897CA0">
              <w:rPr>
                <w:sz w:val="20"/>
                <w:szCs w:val="20"/>
              </w:rPr>
              <w:t>D</w:t>
            </w:r>
            <w:r w:rsidRPr="00897CA0">
              <w:rPr>
                <w:sz w:val="20"/>
                <w:szCs w:val="20"/>
              </w:rPr>
              <w:t>issemination</w:t>
            </w:r>
          </w:p>
        </w:tc>
        <w:tc>
          <w:tcPr>
            <w:tcW w:w="1710" w:type="dxa"/>
            <w:tcBorders>
              <w:top w:val="nil"/>
              <w:left w:val="nil"/>
              <w:bottom w:val="single" w:sz="4" w:space="0" w:color="auto"/>
              <w:right w:val="single" w:sz="8" w:space="0" w:color="auto"/>
            </w:tcBorders>
            <w:vAlign w:val="center"/>
          </w:tcPr>
          <w:p w:rsidR="00816292" w:rsidRPr="00897CA0" w:rsidP="004C59E9" w14:paraId="1310EBEA" w14:textId="4DADCA9C">
            <w:pPr>
              <w:rPr>
                <w:sz w:val="20"/>
                <w:szCs w:val="20"/>
              </w:rPr>
            </w:pPr>
            <w:r w:rsidRPr="00897CA0">
              <w:rPr>
                <w:sz w:val="20"/>
                <w:szCs w:val="20"/>
              </w:rPr>
              <w:t>$130,000</w:t>
            </w:r>
          </w:p>
        </w:tc>
      </w:tr>
      <w:tr w14:paraId="6693082C" w14:textId="77777777" w:rsidTr="00DA5D19">
        <w:tblPrEx>
          <w:tblW w:w="0" w:type="auto"/>
          <w:tblCellMar>
            <w:left w:w="0" w:type="dxa"/>
            <w:right w:w="0" w:type="dxa"/>
          </w:tblCellMar>
          <w:tblLook w:val="04A0"/>
        </w:tblPrEx>
        <w:tc>
          <w:tcPr>
            <w:tcW w:w="7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16292" w:rsidRPr="00897CA0" w:rsidP="00897CA0" w14:paraId="5DF7369B" w14:textId="77777777">
            <w:pPr>
              <w:jc w:val="right"/>
              <w:rPr>
                <w:sz w:val="20"/>
                <w:szCs w:val="20"/>
              </w:rPr>
            </w:pPr>
            <w:r w:rsidRPr="00897CA0">
              <w:rPr>
                <w:sz w:val="20"/>
                <w:szCs w:val="20"/>
              </w:rPr>
              <w:t>Total costs over the request period</w:t>
            </w:r>
          </w:p>
        </w:tc>
        <w:tc>
          <w:tcPr>
            <w:tcW w:w="1710" w:type="dxa"/>
            <w:tcBorders>
              <w:top w:val="single" w:sz="4" w:space="0" w:color="auto"/>
              <w:left w:val="single" w:sz="4" w:space="0" w:color="auto"/>
              <w:bottom w:val="single" w:sz="4" w:space="0" w:color="auto"/>
              <w:right w:val="single" w:sz="4" w:space="0" w:color="auto"/>
            </w:tcBorders>
            <w:vAlign w:val="center"/>
            <w:hideMark/>
          </w:tcPr>
          <w:p w:rsidR="00816292" w:rsidRPr="00897CA0" w:rsidP="004C59E9" w14:paraId="6FF6B538" w14:textId="0E54FB64">
            <w:pPr>
              <w:rPr>
                <w:sz w:val="20"/>
                <w:szCs w:val="20"/>
              </w:rPr>
            </w:pPr>
            <w:r w:rsidRPr="00897CA0">
              <w:rPr>
                <w:sz w:val="20"/>
                <w:szCs w:val="20"/>
              </w:rPr>
              <w:t>$545,000</w:t>
            </w:r>
          </w:p>
        </w:tc>
      </w:tr>
    </w:tbl>
    <w:p w:rsidR="001D1C73" w:rsidP="004C59E9" w14:paraId="65C70CA1" w14:textId="52999BF2">
      <w:pPr>
        <w:rPr>
          <w:rFonts w:eastAsia="Calibri"/>
        </w:rPr>
      </w:pPr>
    </w:p>
    <w:p w:rsidR="00F00E1B" w:rsidP="004C59E9" w14:paraId="6A00767E" w14:textId="2ECEA8F9">
      <w:pPr>
        <w:rPr>
          <w:rFonts w:eastAsia="Calibri"/>
        </w:rPr>
      </w:pPr>
    </w:p>
    <w:p w:rsidR="00F00E1B" w:rsidP="004C59E9" w14:paraId="49353332" w14:textId="18F9DDBB">
      <w:pPr>
        <w:rPr>
          <w:rFonts w:eastAsia="Calibri"/>
        </w:rPr>
      </w:pPr>
    </w:p>
    <w:p w:rsidR="00F00E1B" w:rsidP="004C59E9" w14:paraId="44BC1D3C" w14:textId="77777777">
      <w:pPr>
        <w:rPr>
          <w:rFonts w:eastAsia="Calibri"/>
        </w:rPr>
      </w:pPr>
    </w:p>
    <w:p w:rsidR="001D1C73" w:rsidRPr="009139B3" w:rsidP="004C59E9" w14:paraId="60855735" w14:textId="77777777">
      <w:pPr>
        <w:pStyle w:val="Heading1"/>
      </w:pPr>
      <w:r w:rsidRPr="009139B3">
        <w:t>A15.</w:t>
      </w:r>
      <w:r w:rsidRPr="009139B3">
        <w:tab/>
        <w:t xml:space="preserve">Reasons for changes in burden </w:t>
      </w:r>
    </w:p>
    <w:p w:rsidR="005E7991" w:rsidP="00CD3507" w14:paraId="4F4E069B" w14:textId="3D2D1FBB">
      <w:r>
        <w:t xml:space="preserve">The team </w:t>
      </w:r>
      <w:r w:rsidR="00CD3507">
        <w:t>add</w:t>
      </w:r>
      <w:r>
        <w:t>ed</w:t>
      </w:r>
      <w:r w:rsidR="00CD3507">
        <w:t xml:space="preserve"> </w:t>
      </w:r>
      <w:r>
        <w:t>5</w:t>
      </w:r>
      <w:r w:rsidR="00CD3507">
        <w:t xml:space="preserve"> minutes </w:t>
      </w:r>
      <w:r>
        <w:t xml:space="preserve">to the </w:t>
      </w:r>
      <w:r w:rsidR="00CD3507">
        <w:t xml:space="preserve">burden to account for </w:t>
      </w:r>
      <w:r w:rsidR="00703321">
        <w:t xml:space="preserve">the time that </w:t>
      </w:r>
      <w:r w:rsidR="00CD3507">
        <w:t xml:space="preserve">a subset of respondents may need to </w:t>
      </w:r>
      <w:r>
        <w:t>a</w:t>
      </w:r>
      <w:r w:rsidR="00756BBA">
        <w:t xml:space="preserve">nswer </w:t>
      </w:r>
      <w:r w:rsidR="007522D8">
        <w:t xml:space="preserve">or clarify existing answers to survey </w:t>
      </w:r>
      <w:r>
        <w:t>questions</w:t>
      </w:r>
      <w:r w:rsidR="007522D8">
        <w:t>.</w:t>
      </w:r>
      <w:r>
        <w:t xml:space="preserve"> </w:t>
      </w:r>
    </w:p>
    <w:p w:rsidR="00721DFD" w:rsidRPr="009139B3" w:rsidP="004C59E9" w14:paraId="69CF05E7" w14:textId="77777777"/>
    <w:p w:rsidR="001D1C73" w:rsidRPr="009139B3" w:rsidP="004C59E9" w14:paraId="69096039" w14:textId="77777777">
      <w:pPr>
        <w:pStyle w:val="Heading1"/>
      </w:pPr>
      <w:r w:rsidRPr="009139B3">
        <w:t>A16.</w:t>
      </w:r>
      <w:r w:rsidRPr="009139B3">
        <w:tab/>
        <w:t>Timeline</w:t>
      </w:r>
    </w:p>
    <w:p w:rsidR="005E7991" w:rsidP="004C59E9" w14:paraId="7CE4DC3E" w14:textId="5ECFE03F">
      <w:pPr>
        <w:rPr>
          <w:rFonts w:eastAsia="Calibri"/>
        </w:rPr>
      </w:pPr>
      <w:r w:rsidRPr="1F550BB2">
        <w:rPr>
          <w:rFonts w:eastAsia="Calibri"/>
        </w:rPr>
        <w:t xml:space="preserve">Table B includes the planned data collection schedule. The research team </w:t>
      </w:r>
      <w:r>
        <w:rPr>
          <w:rFonts w:eastAsia="Calibri"/>
        </w:rPr>
        <w:t>plans to</w:t>
      </w:r>
      <w:r w:rsidRPr="1F550BB2">
        <w:rPr>
          <w:rFonts w:eastAsia="Calibri"/>
        </w:rPr>
        <w:t xml:space="preserve"> public</w:t>
      </w:r>
      <w:r w:rsidR="006D6459">
        <w:rPr>
          <w:rFonts w:eastAsia="Calibri"/>
        </w:rPr>
        <w:t>ly</w:t>
      </w:r>
      <w:r w:rsidRPr="1F550BB2">
        <w:rPr>
          <w:rFonts w:eastAsia="Calibri"/>
        </w:rPr>
        <w:t xml:space="preserve"> </w:t>
      </w:r>
      <w:r w:rsidRPr="1F550BB2" w:rsidR="00596991">
        <w:rPr>
          <w:rFonts w:eastAsia="Calibri"/>
        </w:rPr>
        <w:t>dissemina</w:t>
      </w:r>
      <w:r w:rsidR="00596991">
        <w:rPr>
          <w:rFonts w:eastAsia="Calibri"/>
        </w:rPr>
        <w:t>te detailed information about the study methodology</w:t>
      </w:r>
      <w:r w:rsidRPr="1F550BB2" w:rsidR="00596991">
        <w:rPr>
          <w:rFonts w:eastAsia="Calibri"/>
        </w:rPr>
        <w:t xml:space="preserve"> </w:t>
      </w:r>
      <w:r w:rsidRPr="1F550BB2">
        <w:rPr>
          <w:rFonts w:eastAsia="Calibri"/>
        </w:rPr>
        <w:t xml:space="preserve">following the completion of data collection. See Supporting Statement B, section </w:t>
      </w:r>
      <w:r w:rsidRPr="007D0F0C">
        <w:rPr>
          <w:rFonts w:eastAsia="Calibri"/>
        </w:rPr>
        <w:t>B</w:t>
      </w:r>
      <w:r w:rsidRPr="005F5587">
        <w:rPr>
          <w:rFonts w:eastAsia="Calibri"/>
        </w:rPr>
        <w:t>7</w:t>
      </w:r>
      <w:r w:rsidRPr="1F550BB2">
        <w:rPr>
          <w:rFonts w:eastAsia="Calibri"/>
        </w:rPr>
        <w:t xml:space="preserve"> for additional information about plans for dissemination.</w:t>
      </w:r>
    </w:p>
    <w:p w:rsidR="00051AA7" w:rsidP="004C59E9" w14:paraId="5C033A88" w14:textId="77777777">
      <w:pPr>
        <w:rPr>
          <w:rFonts w:eastAsia="Calibri"/>
        </w:rPr>
      </w:pPr>
    </w:p>
    <w:p w:rsidR="005E7991" w:rsidRPr="009139B3" w:rsidP="004C59E9" w14:paraId="6712488B" w14:textId="570333E6">
      <w:r w:rsidRPr="303AC0F1">
        <w:rPr>
          <w:rFonts w:eastAsia="Calibri"/>
        </w:rPr>
        <w:t xml:space="preserve">Table B. </w:t>
      </w:r>
      <w:r w:rsidR="00596991">
        <w:rPr>
          <w:rFonts w:eastAsia="Calibri"/>
        </w:rPr>
        <w:t xml:space="preserve">Estimated </w:t>
      </w:r>
      <w:r w:rsidRPr="303AC0F1">
        <w:rPr>
          <w:rFonts w:eastAsia="Calibri"/>
        </w:rPr>
        <w:t>Data Collection Schedule</w:t>
      </w:r>
    </w:p>
    <w:tbl>
      <w:tblPr>
        <w:tblStyle w:val="TableGrid"/>
        <w:tblW w:w="0" w:type="auto"/>
        <w:tblInd w:w="0" w:type="dxa"/>
        <w:tblLayout w:type="fixed"/>
        <w:tblLook w:val="04A0"/>
      </w:tblPr>
      <w:tblGrid>
        <w:gridCol w:w="2760"/>
        <w:gridCol w:w="3195"/>
        <w:gridCol w:w="3225"/>
      </w:tblGrid>
      <w:tr w14:paraId="5F2B1A7C" w14:textId="77777777" w:rsidTr="00897CA0">
        <w:tblPrEx>
          <w:tblW w:w="0" w:type="auto"/>
          <w:tblInd w:w="0" w:type="dxa"/>
          <w:tblLayout w:type="fixed"/>
          <w:tblLook w:val="04A0"/>
        </w:tblPrEx>
        <w:trPr>
          <w:trHeight w:val="300"/>
        </w:trPr>
        <w:tc>
          <w:tcPr>
            <w:tcW w:w="276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005E7991" w:rsidRPr="00897CA0" w:rsidP="00897CA0" w14:paraId="4375DBF4" w14:textId="77777777">
            <w:pPr>
              <w:jc w:val="center"/>
              <w:rPr>
                <w:rFonts w:asciiTheme="minorHAnsi" w:hAnsiTheme="minorHAnsi"/>
                <w:b/>
                <w:bCs/>
              </w:rPr>
            </w:pPr>
            <w:r w:rsidRPr="00897CA0">
              <w:rPr>
                <w:rFonts w:eastAsia="Calibri" w:asciiTheme="minorHAnsi" w:hAnsiTheme="minorHAnsi"/>
                <w:b/>
                <w:bCs/>
              </w:rPr>
              <w:t>Activity</w:t>
            </w:r>
          </w:p>
        </w:tc>
        <w:tc>
          <w:tcPr>
            <w:tcW w:w="319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005E7991" w:rsidRPr="00897CA0" w:rsidP="00897CA0" w14:paraId="1B840938" w14:textId="77777777">
            <w:pPr>
              <w:jc w:val="center"/>
              <w:rPr>
                <w:rFonts w:asciiTheme="minorHAnsi" w:hAnsiTheme="minorHAnsi"/>
                <w:b/>
                <w:bCs/>
              </w:rPr>
            </w:pPr>
            <w:r w:rsidRPr="00897CA0">
              <w:rPr>
                <w:rFonts w:eastAsia="Calibri" w:asciiTheme="minorHAnsi" w:hAnsiTheme="minorHAnsi"/>
                <w:b/>
                <w:bCs/>
              </w:rPr>
              <w:t>Description</w:t>
            </w:r>
          </w:p>
        </w:tc>
        <w:tc>
          <w:tcPr>
            <w:tcW w:w="322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005E7991" w:rsidRPr="00897CA0" w:rsidP="00897CA0" w14:paraId="33625A33" w14:textId="1C0BDA3A">
            <w:pPr>
              <w:jc w:val="center"/>
              <w:rPr>
                <w:rFonts w:eastAsia="Calibri" w:asciiTheme="minorHAnsi" w:hAnsiTheme="minorHAnsi"/>
                <w:b/>
                <w:bCs/>
              </w:rPr>
            </w:pPr>
            <w:r w:rsidRPr="00897CA0">
              <w:rPr>
                <w:rFonts w:eastAsia="Calibri" w:asciiTheme="minorHAnsi" w:hAnsiTheme="minorHAnsi"/>
                <w:b/>
                <w:bCs/>
              </w:rPr>
              <w:t xml:space="preserve">Estimated </w:t>
            </w:r>
            <w:r w:rsidRPr="00897CA0">
              <w:rPr>
                <w:rFonts w:eastAsia="Calibri" w:asciiTheme="minorHAnsi" w:hAnsiTheme="minorHAnsi"/>
                <w:b/>
                <w:bCs/>
              </w:rPr>
              <w:t>Timeframe (after OMB approval)</w:t>
            </w:r>
          </w:p>
        </w:tc>
      </w:tr>
      <w:tr w14:paraId="2E56F5B2" w14:textId="77777777" w:rsidTr="00DA5D19">
        <w:tblPrEx>
          <w:tblW w:w="0" w:type="auto"/>
          <w:tblInd w:w="0" w:type="dxa"/>
          <w:tblLayout w:type="fixed"/>
          <w:tblLook w:val="04A0"/>
        </w:tblPrEx>
        <w:trPr>
          <w:trHeight w:val="300"/>
        </w:trPr>
        <w:tc>
          <w:tcPr>
            <w:tcW w:w="2760" w:type="dxa"/>
            <w:tcBorders>
              <w:top w:val="single" w:sz="8" w:space="0" w:color="auto"/>
              <w:left w:val="single" w:sz="8" w:space="0" w:color="auto"/>
              <w:bottom w:val="single" w:sz="8" w:space="0" w:color="auto"/>
              <w:right w:val="single" w:sz="8" w:space="0" w:color="auto"/>
            </w:tcBorders>
            <w:tcMar>
              <w:left w:w="108" w:type="dxa"/>
              <w:right w:w="108" w:type="dxa"/>
            </w:tcMar>
          </w:tcPr>
          <w:p w:rsidR="005E7991" w:rsidRPr="00954701" w:rsidP="00954701" w14:paraId="13A3FD96" w14:textId="77777777">
            <w:pPr>
              <w:rPr>
                <w:rFonts w:asciiTheme="minorHAnsi" w:hAnsiTheme="minorHAnsi"/>
              </w:rPr>
            </w:pPr>
            <w:r w:rsidRPr="00954701">
              <w:rPr>
                <w:rFonts w:eastAsia="Calibri" w:asciiTheme="minorHAnsi" w:hAnsiTheme="minorHAnsi"/>
              </w:rPr>
              <w:t>Survey data collection</w:t>
            </w:r>
          </w:p>
        </w:tc>
        <w:tc>
          <w:tcPr>
            <w:tcW w:w="3195" w:type="dxa"/>
            <w:tcBorders>
              <w:top w:val="single" w:sz="8" w:space="0" w:color="auto"/>
              <w:left w:val="single" w:sz="8" w:space="0" w:color="auto"/>
              <w:bottom w:val="single" w:sz="8" w:space="0" w:color="auto"/>
              <w:right w:val="single" w:sz="8" w:space="0" w:color="auto"/>
            </w:tcBorders>
            <w:tcMar>
              <w:left w:w="108" w:type="dxa"/>
              <w:right w:w="108" w:type="dxa"/>
            </w:tcMar>
          </w:tcPr>
          <w:p w:rsidR="005E7991" w:rsidRPr="00954701" w:rsidP="00954701" w14:paraId="1544249C" w14:textId="102BB794">
            <w:pPr>
              <w:rPr>
                <w:rFonts w:asciiTheme="minorHAnsi" w:hAnsiTheme="minorHAnsi"/>
              </w:rPr>
            </w:pPr>
            <w:r w:rsidRPr="00954701">
              <w:rPr>
                <w:rFonts w:eastAsia="Calibri" w:asciiTheme="minorHAnsi" w:hAnsiTheme="minorHAnsi"/>
              </w:rPr>
              <w:t xml:space="preserve">Outreach to EHS program administrators and survey </w:t>
            </w:r>
            <w:r w:rsidR="00A94D21">
              <w:rPr>
                <w:rFonts w:eastAsia="Calibri" w:asciiTheme="minorHAnsi" w:hAnsiTheme="minorHAnsi"/>
              </w:rPr>
              <w:t>administration</w:t>
            </w:r>
          </w:p>
        </w:tc>
        <w:tc>
          <w:tcPr>
            <w:tcW w:w="3225" w:type="dxa"/>
            <w:tcBorders>
              <w:top w:val="single" w:sz="8" w:space="0" w:color="auto"/>
              <w:left w:val="single" w:sz="8" w:space="0" w:color="auto"/>
              <w:bottom w:val="single" w:sz="8" w:space="0" w:color="auto"/>
              <w:right w:val="single" w:sz="8" w:space="0" w:color="auto"/>
            </w:tcBorders>
            <w:tcMar>
              <w:left w:w="108" w:type="dxa"/>
              <w:right w:w="108" w:type="dxa"/>
            </w:tcMar>
          </w:tcPr>
          <w:p w:rsidR="005E7991" w:rsidRPr="00954701" w:rsidP="00954701" w14:paraId="723D223A" w14:textId="77777777">
            <w:pPr>
              <w:rPr>
                <w:rFonts w:eastAsia="Calibri" w:asciiTheme="minorHAnsi" w:hAnsiTheme="minorHAnsi"/>
                <w:highlight w:val="yellow"/>
              </w:rPr>
            </w:pPr>
            <w:r w:rsidRPr="00954701">
              <w:rPr>
                <w:rFonts w:eastAsia="Calibri" w:asciiTheme="minorHAnsi" w:hAnsiTheme="minorHAnsi"/>
              </w:rPr>
              <w:t>Months 1-8</w:t>
            </w:r>
          </w:p>
        </w:tc>
      </w:tr>
      <w:tr w14:paraId="2507B2C8" w14:textId="77777777" w:rsidTr="00DA5D19">
        <w:tblPrEx>
          <w:tblW w:w="0" w:type="auto"/>
          <w:tblInd w:w="0" w:type="dxa"/>
          <w:tblLayout w:type="fixed"/>
          <w:tblLook w:val="04A0"/>
        </w:tblPrEx>
        <w:trPr>
          <w:trHeight w:val="300"/>
        </w:trPr>
        <w:tc>
          <w:tcPr>
            <w:tcW w:w="2760" w:type="dxa"/>
            <w:tcBorders>
              <w:top w:val="single" w:sz="8" w:space="0" w:color="auto"/>
              <w:left w:val="single" w:sz="8" w:space="0" w:color="auto"/>
              <w:bottom w:val="single" w:sz="8" w:space="0" w:color="auto"/>
              <w:right w:val="single" w:sz="8" w:space="0" w:color="auto"/>
            </w:tcBorders>
            <w:tcMar>
              <w:left w:w="108" w:type="dxa"/>
              <w:right w:w="108" w:type="dxa"/>
            </w:tcMar>
          </w:tcPr>
          <w:p w:rsidR="005E7991" w:rsidRPr="00954701" w:rsidP="00954701" w14:paraId="591C736C" w14:textId="73E6C4D3">
            <w:pPr>
              <w:rPr>
                <w:rFonts w:asciiTheme="minorHAnsi" w:hAnsiTheme="minorHAnsi"/>
              </w:rPr>
            </w:pPr>
            <w:r w:rsidRPr="00954701">
              <w:rPr>
                <w:rFonts w:eastAsia="Calibri" w:asciiTheme="minorHAnsi" w:hAnsiTheme="minorHAnsi"/>
              </w:rPr>
              <w:t>Analysis</w:t>
            </w:r>
            <w:r w:rsidR="006D5425">
              <w:rPr>
                <w:rFonts w:eastAsia="Calibri" w:asciiTheme="minorHAnsi" w:hAnsiTheme="minorHAnsi"/>
              </w:rPr>
              <w:t xml:space="preserve"> and dissemination</w:t>
            </w:r>
          </w:p>
        </w:tc>
        <w:tc>
          <w:tcPr>
            <w:tcW w:w="3195" w:type="dxa"/>
            <w:tcBorders>
              <w:top w:val="single" w:sz="8" w:space="0" w:color="auto"/>
              <w:left w:val="single" w:sz="8" w:space="0" w:color="auto"/>
              <w:bottom w:val="single" w:sz="8" w:space="0" w:color="auto"/>
              <w:right w:val="single" w:sz="8" w:space="0" w:color="auto"/>
            </w:tcBorders>
            <w:tcMar>
              <w:left w:w="108" w:type="dxa"/>
              <w:right w:w="108" w:type="dxa"/>
            </w:tcMar>
          </w:tcPr>
          <w:p w:rsidR="005E7991" w:rsidRPr="00954701" w:rsidP="00954701" w14:paraId="3384D432" w14:textId="4EF3699F">
            <w:pPr>
              <w:rPr>
                <w:rFonts w:asciiTheme="minorHAnsi" w:hAnsiTheme="minorHAnsi"/>
              </w:rPr>
            </w:pPr>
            <w:r w:rsidRPr="00954701">
              <w:rPr>
                <w:rFonts w:eastAsia="Calibri" w:asciiTheme="minorHAnsi" w:hAnsiTheme="minorHAnsi"/>
              </w:rPr>
              <w:t xml:space="preserve">Analyze survey data </w:t>
            </w:r>
            <w:r w:rsidR="006D5425">
              <w:rPr>
                <w:rFonts w:eastAsia="Calibri" w:asciiTheme="minorHAnsi" w:hAnsiTheme="minorHAnsi"/>
              </w:rPr>
              <w:t xml:space="preserve">and disseminate findings </w:t>
            </w:r>
          </w:p>
        </w:tc>
        <w:tc>
          <w:tcPr>
            <w:tcW w:w="3225" w:type="dxa"/>
            <w:tcBorders>
              <w:top w:val="single" w:sz="8" w:space="0" w:color="auto"/>
              <w:left w:val="single" w:sz="8" w:space="0" w:color="auto"/>
              <w:bottom w:val="single" w:sz="8" w:space="0" w:color="auto"/>
              <w:right w:val="single" w:sz="8" w:space="0" w:color="auto"/>
            </w:tcBorders>
            <w:tcMar>
              <w:left w:w="108" w:type="dxa"/>
              <w:right w:w="108" w:type="dxa"/>
            </w:tcMar>
          </w:tcPr>
          <w:p w:rsidR="005E7991" w:rsidRPr="00954701" w:rsidP="00954701" w14:paraId="09CD5377" w14:textId="08AAFAA6">
            <w:pPr>
              <w:rPr>
                <w:rFonts w:eastAsia="Calibri" w:asciiTheme="minorHAnsi" w:hAnsiTheme="minorHAnsi"/>
                <w:highlight w:val="yellow"/>
              </w:rPr>
            </w:pPr>
            <w:r w:rsidRPr="00954701">
              <w:rPr>
                <w:rFonts w:eastAsia="Calibri" w:asciiTheme="minorHAnsi" w:hAnsiTheme="minorHAnsi"/>
              </w:rPr>
              <w:t>Months 9-12</w:t>
            </w:r>
          </w:p>
        </w:tc>
      </w:tr>
    </w:tbl>
    <w:p w:rsidR="00721DFD" w:rsidP="004C59E9" w14:paraId="63F2F623" w14:textId="77777777">
      <w:pPr>
        <w:pStyle w:val="Heading1"/>
      </w:pPr>
    </w:p>
    <w:p w:rsidR="001D1C73" w:rsidRPr="009139B3" w:rsidP="004C59E9" w14:paraId="48C4ACC5" w14:textId="0F12EBF6">
      <w:pPr>
        <w:pStyle w:val="Heading1"/>
      </w:pPr>
      <w:r w:rsidRPr="009139B3">
        <w:t>A17.</w:t>
      </w:r>
      <w:r w:rsidRPr="009139B3">
        <w:tab/>
        <w:t>Exceptions</w:t>
      </w:r>
    </w:p>
    <w:p w:rsidR="001D1C73" w:rsidP="004C59E9" w14:paraId="3C24CF91" w14:textId="098616C2">
      <w:r w:rsidRPr="009139B3">
        <w:t>No exceptions are necessary for this information collection.</w:t>
      </w:r>
    </w:p>
    <w:p w:rsidR="00721DFD" w:rsidRPr="009139B3" w:rsidP="004C59E9" w14:paraId="7823C4C6" w14:textId="77777777"/>
    <w:p w:rsidR="001D1C73" w:rsidP="004C59E9" w14:paraId="7BED44AA" w14:textId="27CDA089">
      <w:pPr>
        <w:pStyle w:val="Heading1"/>
      </w:pPr>
      <w:r w:rsidRPr="009139B3">
        <w:t>Attachments</w:t>
      </w:r>
    </w:p>
    <w:p w:rsidR="008A6212" w:rsidP="00553367" w14:paraId="6B9C0ADD" w14:textId="448E9E5F">
      <w:pPr>
        <w:ind w:left="1260" w:hanging="1260"/>
      </w:pPr>
      <w:bookmarkStart w:id="5" w:name="_Hlk155266196"/>
      <w:r>
        <w:t xml:space="preserve">Instrument 1: </w:t>
      </w:r>
      <w:r w:rsidRPr="008A6212">
        <w:t>Survey of Staff Recruitment, Training, and Professional Development in Early Head Start</w:t>
      </w:r>
      <w:r>
        <w:t xml:space="preserve"> - Center-Based Only </w:t>
      </w:r>
    </w:p>
    <w:p w:rsidR="008A6212" w:rsidP="00553367" w14:paraId="5C59ABA8" w14:textId="04391511">
      <w:pPr>
        <w:ind w:left="1260" w:hanging="1260"/>
      </w:pPr>
      <w:r>
        <w:t xml:space="preserve">Instrument 2: </w:t>
      </w:r>
      <w:r w:rsidRPr="008A6212">
        <w:t>Survey of Staff Recruitment, Training, and Professional Development in Early Head Start</w:t>
      </w:r>
      <w:r>
        <w:t xml:space="preserve"> - Home-Based Only </w:t>
      </w:r>
    </w:p>
    <w:p w:rsidR="008A6212" w:rsidRPr="005E7991" w:rsidP="00553367" w14:paraId="771B311B" w14:textId="1DCC85F5">
      <w:pPr>
        <w:ind w:left="1260" w:hanging="1260"/>
      </w:pPr>
      <w:r>
        <w:t xml:space="preserve">Instrument 3: </w:t>
      </w:r>
      <w:r w:rsidRPr="008A6212">
        <w:t>Survey of Staff Recruitment, Training, and Professional Development in Early Head Start</w:t>
      </w:r>
      <w:r>
        <w:t xml:space="preserve"> - Center-Based and Home-Based</w:t>
      </w:r>
    </w:p>
    <w:bookmarkEnd w:id="5"/>
    <w:p w:rsidR="00553367" w:rsidP="00553367" w14:paraId="086A8C54" w14:textId="77777777">
      <w:pPr>
        <w:ind w:left="1260" w:hanging="1260"/>
      </w:pPr>
    </w:p>
    <w:p w:rsidR="005E7991" w:rsidRPr="006B53F1" w:rsidP="00553367" w14:paraId="5E821424" w14:textId="169C620F">
      <w:pPr>
        <w:ind w:left="1260" w:hanging="1260"/>
      </w:pPr>
      <w:r>
        <w:t>Attachment A: Grant Recipient Outreach Email Scripts</w:t>
      </w:r>
    </w:p>
    <w:p w:rsidR="005E7991" w:rsidP="00553367" w14:paraId="3F4BA443" w14:textId="4B77A9B7">
      <w:pPr>
        <w:ind w:left="1260" w:hanging="1260"/>
      </w:pPr>
      <w:bookmarkStart w:id="6" w:name="_Hlk153191253"/>
      <w:r>
        <w:t>Attachment B: Grant Recipient Outreach Call Script</w:t>
      </w:r>
    </w:p>
    <w:p w:rsidR="00120376" w:rsidRPr="006B53F1" w:rsidP="00553367" w14:paraId="48B6B4D6" w14:textId="44FEDE6C">
      <w:pPr>
        <w:ind w:left="1260" w:hanging="1260"/>
      </w:pPr>
      <w:r>
        <w:t xml:space="preserve">Attachment C: </w:t>
      </w:r>
      <w:r w:rsidR="0016538B">
        <w:t>Survey Pre-Notice</w:t>
      </w:r>
    </w:p>
    <w:bookmarkEnd w:id="6"/>
    <w:p w:rsidR="005E7991" w:rsidP="00553367" w14:paraId="53E9697E" w14:textId="373FC1E5">
      <w:pPr>
        <w:ind w:left="1260" w:hanging="1260"/>
      </w:pPr>
      <w:r>
        <w:t xml:space="preserve">Attachment </w:t>
      </w:r>
      <w:r w:rsidR="00120376">
        <w:t>D</w:t>
      </w:r>
      <w:r>
        <w:t>: Instrument Preamble (Informed Consent)</w:t>
      </w:r>
    </w:p>
    <w:p w:rsidR="005865F6" w:rsidP="00553367" w14:paraId="1C544358" w14:textId="178B697C">
      <w:pPr>
        <w:ind w:left="1260" w:hanging="1260"/>
      </w:pPr>
      <w:r>
        <w:t>Attachment E: Grant Recipient Follow-Up Email and Phone Scripts</w:t>
      </w:r>
    </w:p>
    <w:p w:rsidR="00083227" w:rsidRPr="006B53F1" w:rsidP="00F00E1B" w14:paraId="1E574BF6" w14:textId="77777777"/>
    <w:sectPr w:rsidSect="00F41100">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DA5D19" w:rsidP="004C59E9" w14:paraId="03A5A331" w14:textId="2D5E058E">
        <w:pPr>
          <w:pStyle w:val="Footer"/>
        </w:pPr>
        <w:r>
          <w:fldChar w:fldCharType="begin"/>
        </w:r>
        <w:r>
          <w:instrText xml:space="preserve"> PAGE   \* MERGEFORMAT </w:instrText>
        </w:r>
        <w:r>
          <w:fldChar w:fldCharType="separate"/>
        </w:r>
        <w:r>
          <w:rPr>
            <w:noProof/>
          </w:rPr>
          <w:t>5</w:t>
        </w:r>
        <w:r>
          <w:rPr>
            <w:noProof/>
          </w:rPr>
          <w:fldChar w:fldCharType="end"/>
        </w:r>
      </w:p>
    </w:sdtContent>
  </w:sdt>
  <w:p w:rsidR="00DA5D19" w:rsidP="004C59E9"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53391" w:rsidP="004C59E9" w14:paraId="7C82931A" w14:textId="77777777">
      <w:r>
        <w:separator/>
      </w:r>
    </w:p>
  </w:footnote>
  <w:footnote w:type="continuationSeparator" w:id="1">
    <w:p w:rsidR="00B53391" w:rsidP="004C59E9" w14:paraId="4847CE92" w14:textId="77777777">
      <w:r>
        <w:continuationSeparator/>
      </w:r>
    </w:p>
  </w:footnote>
  <w:footnote w:id="2">
    <w:p w:rsidR="0084361C" w14:paraId="0EAF81D7" w14:textId="1B93BFE0">
      <w:pPr>
        <w:pStyle w:val="FootnoteText"/>
      </w:pPr>
      <w:r>
        <w:rPr>
          <w:rStyle w:val="FootnoteReference"/>
        </w:rPr>
        <w:footnoteRef/>
      </w:r>
      <w:r>
        <w:t xml:space="preserve"> OMB #: 0970-0148</w:t>
      </w:r>
    </w:p>
  </w:footnote>
  <w:footnote w:id="3">
    <w:p w:rsidR="00DA5D19" w:rsidRPr="00D82755" w:rsidP="004C59E9" w14:paraId="440255E6" w14:textId="77777777">
      <w:pPr>
        <w:pStyle w:val="FootnoteText"/>
      </w:pPr>
      <w:r w:rsidRPr="00D82755">
        <w:rPr>
          <w:rStyle w:val="FootnoteReference"/>
        </w:rPr>
        <w:footnoteRef/>
      </w:r>
      <w:r w:rsidRPr="00D82755">
        <w:t xml:space="preserve"> </w:t>
      </w:r>
      <w:r w:rsidRPr="00D30B6F">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5D19" w:rsidRPr="000D7D44" w:rsidP="00897CA0" w14:paraId="7A786F04" w14:textId="4A2B06A8">
    <w:pPr>
      <w:jc w:val="center"/>
    </w:pPr>
    <w:r>
      <w:t xml:space="preserve">Alternative </w:t>
    </w:r>
    <w:r w:rsidRPr="000D7D44">
      <w:t>Supporting Statement for Information Collections Designed for</w:t>
    </w:r>
  </w:p>
  <w:p w:rsidR="00DA5D19" w:rsidRPr="001D1C73" w:rsidP="00897CA0" w14:paraId="2076BD01" w14:textId="7B718FDE">
    <w:pPr>
      <w:pStyle w:val="Header"/>
      <w:jc w:val="center"/>
    </w:pPr>
    <w:r w:rsidRPr="000D7D44">
      <w:t xml:space="preserve">Research, </w:t>
    </w:r>
    <w:r>
      <w:t xml:space="preserve">Public Health </w:t>
    </w:r>
    <w:r w:rsidRPr="000D7D44">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4B11D3"/>
    <w:multiLevelType w:val="hybridMultilevel"/>
    <w:tmpl w:val="6B3C34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1">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9">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51832311">
    <w:abstractNumId w:val="6"/>
  </w:num>
  <w:num w:numId="2" w16cid:durableId="253560655">
    <w:abstractNumId w:val="27"/>
  </w:num>
  <w:num w:numId="3" w16cid:durableId="390468068">
    <w:abstractNumId w:val="5"/>
  </w:num>
  <w:num w:numId="4" w16cid:durableId="1829397409">
    <w:abstractNumId w:val="31"/>
  </w:num>
  <w:num w:numId="5" w16cid:durableId="1540434921">
    <w:abstractNumId w:val="20"/>
  </w:num>
  <w:num w:numId="6" w16cid:durableId="1911501339">
    <w:abstractNumId w:val="40"/>
  </w:num>
  <w:num w:numId="7" w16cid:durableId="26293487">
    <w:abstractNumId w:val="4"/>
  </w:num>
  <w:num w:numId="8" w16cid:durableId="949163381">
    <w:abstractNumId w:val="12"/>
  </w:num>
  <w:num w:numId="9" w16cid:durableId="226766995">
    <w:abstractNumId w:val="19"/>
  </w:num>
  <w:num w:numId="10" w16cid:durableId="990983711">
    <w:abstractNumId w:val="38"/>
  </w:num>
  <w:num w:numId="11" w16cid:durableId="2081243466">
    <w:abstractNumId w:val="41"/>
  </w:num>
  <w:num w:numId="12" w16cid:durableId="662660353">
    <w:abstractNumId w:val="35"/>
  </w:num>
  <w:num w:numId="13" w16cid:durableId="187766474">
    <w:abstractNumId w:val="30"/>
  </w:num>
  <w:num w:numId="14" w16cid:durableId="1652565584">
    <w:abstractNumId w:val="37"/>
  </w:num>
  <w:num w:numId="15" w16cid:durableId="996959164">
    <w:abstractNumId w:val="22"/>
  </w:num>
  <w:num w:numId="16" w16cid:durableId="85003029">
    <w:abstractNumId w:val="29"/>
  </w:num>
  <w:num w:numId="17" w16cid:durableId="1576428757">
    <w:abstractNumId w:val="18"/>
  </w:num>
  <w:num w:numId="18" w16cid:durableId="1267080595">
    <w:abstractNumId w:val="10"/>
  </w:num>
  <w:num w:numId="19" w16cid:durableId="336620667">
    <w:abstractNumId w:val="8"/>
  </w:num>
  <w:num w:numId="20" w16cid:durableId="365301104">
    <w:abstractNumId w:val="28"/>
  </w:num>
  <w:num w:numId="21" w16cid:durableId="147138386">
    <w:abstractNumId w:val="0"/>
  </w:num>
  <w:num w:numId="22" w16cid:durableId="1006248471">
    <w:abstractNumId w:val="1"/>
  </w:num>
  <w:num w:numId="23" w16cid:durableId="1379665827">
    <w:abstractNumId w:val="23"/>
  </w:num>
  <w:num w:numId="24" w16cid:durableId="330527739">
    <w:abstractNumId w:val="2"/>
  </w:num>
  <w:num w:numId="25" w16cid:durableId="846674526">
    <w:abstractNumId w:val="14"/>
  </w:num>
  <w:num w:numId="26" w16cid:durableId="979111920">
    <w:abstractNumId w:val="36"/>
  </w:num>
  <w:num w:numId="27" w16cid:durableId="1728721599">
    <w:abstractNumId w:val="16"/>
  </w:num>
  <w:num w:numId="28" w16cid:durableId="348876817">
    <w:abstractNumId w:val="15"/>
  </w:num>
  <w:num w:numId="29" w16cid:durableId="1780176727">
    <w:abstractNumId w:val="3"/>
  </w:num>
  <w:num w:numId="30" w16cid:durableId="566577761">
    <w:abstractNumId w:val="24"/>
  </w:num>
  <w:num w:numId="31" w16cid:durableId="1518042350">
    <w:abstractNumId w:val="32"/>
  </w:num>
  <w:num w:numId="32" w16cid:durableId="1257598048">
    <w:abstractNumId w:val="13"/>
  </w:num>
  <w:num w:numId="33" w16cid:durableId="2088071787">
    <w:abstractNumId w:val="21"/>
  </w:num>
  <w:num w:numId="34" w16cid:durableId="1221788600">
    <w:abstractNumId w:val="17"/>
  </w:num>
  <w:num w:numId="35" w16cid:durableId="194387185">
    <w:abstractNumId w:val="33"/>
  </w:num>
  <w:num w:numId="36" w16cid:durableId="778062144">
    <w:abstractNumId w:val="25"/>
  </w:num>
  <w:num w:numId="37" w16cid:durableId="749615540">
    <w:abstractNumId w:val="7"/>
  </w:num>
  <w:num w:numId="38" w16cid:durableId="1899053436">
    <w:abstractNumId w:val="39"/>
  </w:num>
  <w:num w:numId="39" w16cid:durableId="70857605">
    <w:abstractNumId w:val="34"/>
  </w:num>
  <w:num w:numId="40" w16cid:durableId="191118417">
    <w:abstractNumId w:val="11"/>
  </w:num>
  <w:num w:numId="41" w16cid:durableId="777142163">
    <w:abstractNumId w:val="26"/>
  </w:num>
  <w:num w:numId="42" w16cid:durableId="154687047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1255D"/>
    <w:rsid w:val="00012FC4"/>
    <w:rsid w:val="00027E79"/>
    <w:rsid w:val="0004063C"/>
    <w:rsid w:val="0004247F"/>
    <w:rsid w:val="00051AA7"/>
    <w:rsid w:val="00062AFB"/>
    <w:rsid w:val="000655DD"/>
    <w:rsid w:val="00065EF1"/>
    <w:rsid w:val="00071F79"/>
    <w:rsid w:val="0007251B"/>
    <w:rsid w:val="000733A5"/>
    <w:rsid w:val="00075C4B"/>
    <w:rsid w:val="00082C5B"/>
    <w:rsid w:val="00083227"/>
    <w:rsid w:val="00086CBE"/>
    <w:rsid w:val="00090812"/>
    <w:rsid w:val="000921F0"/>
    <w:rsid w:val="000A012A"/>
    <w:rsid w:val="000C6948"/>
    <w:rsid w:val="000D4E9A"/>
    <w:rsid w:val="000D7D44"/>
    <w:rsid w:val="000E1D59"/>
    <w:rsid w:val="000F1E4A"/>
    <w:rsid w:val="00100D34"/>
    <w:rsid w:val="00103EFD"/>
    <w:rsid w:val="00107D87"/>
    <w:rsid w:val="00114374"/>
    <w:rsid w:val="00120376"/>
    <w:rsid w:val="001253F4"/>
    <w:rsid w:val="00157482"/>
    <w:rsid w:val="0016538B"/>
    <w:rsid w:val="001659B4"/>
    <w:rsid w:val="001707D8"/>
    <w:rsid w:val="001708DF"/>
    <w:rsid w:val="001956DD"/>
    <w:rsid w:val="001A006E"/>
    <w:rsid w:val="001A59B6"/>
    <w:rsid w:val="001B0A76"/>
    <w:rsid w:val="001D1C73"/>
    <w:rsid w:val="001D7139"/>
    <w:rsid w:val="001F57F5"/>
    <w:rsid w:val="001F7ACA"/>
    <w:rsid w:val="0020401C"/>
    <w:rsid w:val="002058E0"/>
    <w:rsid w:val="0020629A"/>
    <w:rsid w:val="00206E11"/>
    <w:rsid w:val="00206FE3"/>
    <w:rsid w:val="00207554"/>
    <w:rsid w:val="00211261"/>
    <w:rsid w:val="00220944"/>
    <w:rsid w:val="002317AA"/>
    <w:rsid w:val="00232854"/>
    <w:rsid w:val="002517BB"/>
    <w:rsid w:val="00256E24"/>
    <w:rsid w:val="00265491"/>
    <w:rsid w:val="00272C15"/>
    <w:rsid w:val="00276CE2"/>
    <w:rsid w:val="00287AF1"/>
    <w:rsid w:val="00293B30"/>
    <w:rsid w:val="002A41C6"/>
    <w:rsid w:val="002B785B"/>
    <w:rsid w:val="002C241D"/>
    <w:rsid w:val="002E6CCF"/>
    <w:rsid w:val="002F01A0"/>
    <w:rsid w:val="002F33D0"/>
    <w:rsid w:val="00300722"/>
    <w:rsid w:val="0030316D"/>
    <w:rsid w:val="00315461"/>
    <w:rsid w:val="0034242F"/>
    <w:rsid w:val="0034792E"/>
    <w:rsid w:val="0035364A"/>
    <w:rsid w:val="003627A8"/>
    <w:rsid w:val="00363C65"/>
    <w:rsid w:val="00373D2F"/>
    <w:rsid w:val="003941AE"/>
    <w:rsid w:val="003A303A"/>
    <w:rsid w:val="003A7774"/>
    <w:rsid w:val="003B7109"/>
    <w:rsid w:val="003C7358"/>
    <w:rsid w:val="003E61F6"/>
    <w:rsid w:val="003F71A6"/>
    <w:rsid w:val="00407537"/>
    <w:rsid w:val="004165BD"/>
    <w:rsid w:val="00421508"/>
    <w:rsid w:val="0042220D"/>
    <w:rsid w:val="0043377A"/>
    <w:rsid w:val="00433CFE"/>
    <w:rsid w:val="004379B6"/>
    <w:rsid w:val="0044428E"/>
    <w:rsid w:val="00446465"/>
    <w:rsid w:val="00452207"/>
    <w:rsid w:val="00460D54"/>
    <w:rsid w:val="00461D3E"/>
    <w:rsid w:val="004706CC"/>
    <w:rsid w:val="00472E70"/>
    <w:rsid w:val="00482021"/>
    <w:rsid w:val="0049571A"/>
    <w:rsid w:val="004B0B34"/>
    <w:rsid w:val="004B75AC"/>
    <w:rsid w:val="004C3644"/>
    <w:rsid w:val="004C59E9"/>
    <w:rsid w:val="004D12DD"/>
    <w:rsid w:val="004E292B"/>
    <w:rsid w:val="004E5778"/>
    <w:rsid w:val="004E7ED8"/>
    <w:rsid w:val="004F2036"/>
    <w:rsid w:val="004F289E"/>
    <w:rsid w:val="004F7721"/>
    <w:rsid w:val="0050376D"/>
    <w:rsid w:val="005121E5"/>
    <w:rsid w:val="00512C25"/>
    <w:rsid w:val="005302CB"/>
    <w:rsid w:val="00541317"/>
    <w:rsid w:val="00553367"/>
    <w:rsid w:val="0055434C"/>
    <w:rsid w:val="00565AC3"/>
    <w:rsid w:val="00580BC5"/>
    <w:rsid w:val="005865F6"/>
    <w:rsid w:val="00591283"/>
    <w:rsid w:val="00592674"/>
    <w:rsid w:val="00596991"/>
    <w:rsid w:val="005A61CE"/>
    <w:rsid w:val="005A7E5A"/>
    <w:rsid w:val="005B1285"/>
    <w:rsid w:val="005B1410"/>
    <w:rsid w:val="005B1870"/>
    <w:rsid w:val="005D46F5"/>
    <w:rsid w:val="005D479A"/>
    <w:rsid w:val="005D4A40"/>
    <w:rsid w:val="005E493B"/>
    <w:rsid w:val="005E7991"/>
    <w:rsid w:val="005F2951"/>
    <w:rsid w:val="005F5587"/>
    <w:rsid w:val="006129CE"/>
    <w:rsid w:val="00624DDC"/>
    <w:rsid w:val="00624F5A"/>
    <w:rsid w:val="006253B6"/>
    <w:rsid w:val="006257ED"/>
    <w:rsid w:val="0062686E"/>
    <w:rsid w:val="00630B30"/>
    <w:rsid w:val="006519E9"/>
    <w:rsid w:val="00651E0D"/>
    <w:rsid w:val="00651FF6"/>
    <w:rsid w:val="00664575"/>
    <w:rsid w:val="00671163"/>
    <w:rsid w:val="0068303E"/>
    <w:rsid w:val="0068383E"/>
    <w:rsid w:val="00697501"/>
    <w:rsid w:val="006A18B9"/>
    <w:rsid w:val="006A34DC"/>
    <w:rsid w:val="006A4D02"/>
    <w:rsid w:val="006B1BF9"/>
    <w:rsid w:val="006B31DA"/>
    <w:rsid w:val="006B53F1"/>
    <w:rsid w:val="006B6037"/>
    <w:rsid w:val="006B6E19"/>
    <w:rsid w:val="006C0E56"/>
    <w:rsid w:val="006C5AA0"/>
    <w:rsid w:val="006D17A5"/>
    <w:rsid w:val="006D5425"/>
    <w:rsid w:val="006D6459"/>
    <w:rsid w:val="006E4F82"/>
    <w:rsid w:val="006E5564"/>
    <w:rsid w:val="00703321"/>
    <w:rsid w:val="00717BDC"/>
    <w:rsid w:val="00721DFD"/>
    <w:rsid w:val="00723A28"/>
    <w:rsid w:val="00736B62"/>
    <w:rsid w:val="007522D8"/>
    <w:rsid w:val="00756BBA"/>
    <w:rsid w:val="00764C85"/>
    <w:rsid w:val="00774212"/>
    <w:rsid w:val="00793E3E"/>
    <w:rsid w:val="007A29C5"/>
    <w:rsid w:val="007C7B4B"/>
    <w:rsid w:val="007D0F0C"/>
    <w:rsid w:val="007D1EF8"/>
    <w:rsid w:val="00816292"/>
    <w:rsid w:val="00823428"/>
    <w:rsid w:val="008343B0"/>
    <w:rsid w:val="00835C65"/>
    <w:rsid w:val="008369BA"/>
    <w:rsid w:val="00840D32"/>
    <w:rsid w:val="0084361C"/>
    <w:rsid w:val="00843933"/>
    <w:rsid w:val="00864C1F"/>
    <w:rsid w:val="00870FA1"/>
    <w:rsid w:val="00875220"/>
    <w:rsid w:val="00891CD9"/>
    <w:rsid w:val="00893841"/>
    <w:rsid w:val="00897CA0"/>
    <w:rsid w:val="008A25E9"/>
    <w:rsid w:val="008A6212"/>
    <w:rsid w:val="008B6CAF"/>
    <w:rsid w:val="008E0239"/>
    <w:rsid w:val="008E4718"/>
    <w:rsid w:val="008F2446"/>
    <w:rsid w:val="008F5709"/>
    <w:rsid w:val="00901040"/>
    <w:rsid w:val="00911C8B"/>
    <w:rsid w:val="009139B3"/>
    <w:rsid w:val="00921BEE"/>
    <w:rsid w:val="009237A0"/>
    <w:rsid w:val="00923F25"/>
    <w:rsid w:val="00954701"/>
    <w:rsid w:val="009573DE"/>
    <w:rsid w:val="00963503"/>
    <w:rsid w:val="00965DBD"/>
    <w:rsid w:val="00971944"/>
    <w:rsid w:val="009815C6"/>
    <w:rsid w:val="0098786E"/>
    <w:rsid w:val="00996201"/>
    <w:rsid w:val="009A39E1"/>
    <w:rsid w:val="009A3AD8"/>
    <w:rsid w:val="009A6EE8"/>
    <w:rsid w:val="009B0F58"/>
    <w:rsid w:val="009C3380"/>
    <w:rsid w:val="009C457D"/>
    <w:rsid w:val="009E7E38"/>
    <w:rsid w:val="009F265B"/>
    <w:rsid w:val="009F482C"/>
    <w:rsid w:val="009F68DB"/>
    <w:rsid w:val="00A02D5E"/>
    <w:rsid w:val="00A03E3F"/>
    <w:rsid w:val="00A1108E"/>
    <w:rsid w:val="00A27CD0"/>
    <w:rsid w:val="00A34A65"/>
    <w:rsid w:val="00A362B6"/>
    <w:rsid w:val="00A50648"/>
    <w:rsid w:val="00A57AD7"/>
    <w:rsid w:val="00A67DFF"/>
    <w:rsid w:val="00A71475"/>
    <w:rsid w:val="00A714DC"/>
    <w:rsid w:val="00A7179C"/>
    <w:rsid w:val="00A761CB"/>
    <w:rsid w:val="00A827CF"/>
    <w:rsid w:val="00A82814"/>
    <w:rsid w:val="00A85701"/>
    <w:rsid w:val="00A928D5"/>
    <w:rsid w:val="00A93035"/>
    <w:rsid w:val="00A94D21"/>
    <w:rsid w:val="00AC4AEF"/>
    <w:rsid w:val="00AD3261"/>
    <w:rsid w:val="00AD4355"/>
    <w:rsid w:val="00AE3F5F"/>
    <w:rsid w:val="00B005D1"/>
    <w:rsid w:val="00B00603"/>
    <w:rsid w:val="00B07EF9"/>
    <w:rsid w:val="00B11111"/>
    <w:rsid w:val="00B13DC4"/>
    <w:rsid w:val="00B17B7C"/>
    <w:rsid w:val="00B201CB"/>
    <w:rsid w:val="00B23277"/>
    <w:rsid w:val="00B245AD"/>
    <w:rsid w:val="00B4182B"/>
    <w:rsid w:val="00B53391"/>
    <w:rsid w:val="00B54C4B"/>
    <w:rsid w:val="00B55E54"/>
    <w:rsid w:val="00B56589"/>
    <w:rsid w:val="00B64D05"/>
    <w:rsid w:val="00B66FFF"/>
    <w:rsid w:val="00B70460"/>
    <w:rsid w:val="00B7278D"/>
    <w:rsid w:val="00B741D3"/>
    <w:rsid w:val="00B854BF"/>
    <w:rsid w:val="00B9441B"/>
    <w:rsid w:val="00B95B6E"/>
    <w:rsid w:val="00BA1AEA"/>
    <w:rsid w:val="00BA5034"/>
    <w:rsid w:val="00BB086E"/>
    <w:rsid w:val="00BB37AA"/>
    <w:rsid w:val="00BB4BF8"/>
    <w:rsid w:val="00BD0A8A"/>
    <w:rsid w:val="00BD702B"/>
    <w:rsid w:val="00BD7B78"/>
    <w:rsid w:val="00BE18A6"/>
    <w:rsid w:val="00BE773B"/>
    <w:rsid w:val="00C05352"/>
    <w:rsid w:val="00C250D1"/>
    <w:rsid w:val="00C32404"/>
    <w:rsid w:val="00C53719"/>
    <w:rsid w:val="00C5702B"/>
    <w:rsid w:val="00C62A96"/>
    <w:rsid w:val="00C6549B"/>
    <w:rsid w:val="00C720CA"/>
    <w:rsid w:val="00C73360"/>
    <w:rsid w:val="00C84991"/>
    <w:rsid w:val="00C86CB2"/>
    <w:rsid w:val="00C91C71"/>
    <w:rsid w:val="00C95126"/>
    <w:rsid w:val="00C97928"/>
    <w:rsid w:val="00CA72A5"/>
    <w:rsid w:val="00CB63A1"/>
    <w:rsid w:val="00CC07BF"/>
    <w:rsid w:val="00CC4651"/>
    <w:rsid w:val="00CD3507"/>
    <w:rsid w:val="00CE018E"/>
    <w:rsid w:val="00CE4BAB"/>
    <w:rsid w:val="00CE7A4A"/>
    <w:rsid w:val="00D1343F"/>
    <w:rsid w:val="00D13AA8"/>
    <w:rsid w:val="00D22B13"/>
    <w:rsid w:val="00D239B5"/>
    <w:rsid w:val="00D25C87"/>
    <w:rsid w:val="00D30B6F"/>
    <w:rsid w:val="00D32B72"/>
    <w:rsid w:val="00D35FC5"/>
    <w:rsid w:val="00D4033C"/>
    <w:rsid w:val="00D45504"/>
    <w:rsid w:val="00D5270B"/>
    <w:rsid w:val="00D5346A"/>
    <w:rsid w:val="00D55767"/>
    <w:rsid w:val="00D71BA0"/>
    <w:rsid w:val="00D749DF"/>
    <w:rsid w:val="00D82755"/>
    <w:rsid w:val="00D82E67"/>
    <w:rsid w:val="00D831AC"/>
    <w:rsid w:val="00D878B9"/>
    <w:rsid w:val="00D97926"/>
    <w:rsid w:val="00DA3557"/>
    <w:rsid w:val="00DA4701"/>
    <w:rsid w:val="00DA5BE4"/>
    <w:rsid w:val="00DA5D19"/>
    <w:rsid w:val="00DC65F2"/>
    <w:rsid w:val="00DC7876"/>
    <w:rsid w:val="00DC7DD5"/>
    <w:rsid w:val="00DE2508"/>
    <w:rsid w:val="00DE3ED7"/>
    <w:rsid w:val="00DE7A5C"/>
    <w:rsid w:val="00DF0B5D"/>
    <w:rsid w:val="00DF1291"/>
    <w:rsid w:val="00DF1615"/>
    <w:rsid w:val="00E1392C"/>
    <w:rsid w:val="00E22AC6"/>
    <w:rsid w:val="00E24830"/>
    <w:rsid w:val="00E318A6"/>
    <w:rsid w:val="00E41C62"/>
    <w:rsid w:val="00E41EE9"/>
    <w:rsid w:val="00E45D83"/>
    <w:rsid w:val="00E461D4"/>
    <w:rsid w:val="00E57399"/>
    <w:rsid w:val="00E62285"/>
    <w:rsid w:val="00E62819"/>
    <w:rsid w:val="00E659A1"/>
    <w:rsid w:val="00E71E25"/>
    <w:rsid w:val="00E733C2"/>
    <w:rsid w:val="00E8066A"/>
    <w:rsid w:val="00E87BB8"/>
    <w:rsid w:val="00E9045F"/>
    <w:rsid w:val="00EA0D4F"/>
    <w:rsid w:val="00EA2EF5"/>
    <w:rsid w:val="00EA405B"/>
    <w:rsid w:val="00EB4C26"/>
    <w:rsid w:val="00EB6134"/>
    <w:rsid w:val="00EC1A6C"/>
    <w:rsid w:val="00ED565B"/>
    <w:rsid w:val="00ED7509"/>
    <w:rsid w:val="00EE0B00"/>
    <w:rsid w:val="00EE38AF"/>
    <w:rsid w:val="00EF254B"/>
    <w:rsid w:val="00EF4FF2"/>
    <w:rsid w:val="00EF5D28"/>
    <w:rsid w:val="00F00E1B"/>
    <w:rsid w:val="00F071DE"/>
    <w:rsid w:val="00F155B2"/>
    <w:rsid w:val="00F41100"/>
    <w:rsid w:val="00F42246"/>
    <w:rsid w:val="00F60CDB"/>
    <w:rsid w:val="00F74630"/>
    <w:rsid w:val="00F85A5F"/>
    <w:rsid w:val="00F9122A"/>
    <w:rsid w:val="00F93855"/>
    <w:rsid w:val="00FA6D2C"/>
    <w:rsid w:val="00FB2338"/>
    <w:rsid w:val="00FB5BF6"/>
    <w:rsid w:val="00FC779A"/>
    <w:rsid w:val="00FF5C51"/>
    <w:rsid w:val="0DB16D7B"/>
    <w:rsid w:val="118710F7"/>
    <w:rsid w:val="11EC9E92"/>
    <w:rsid w:val="153DB1B4"/>
    <w:rsid w:val="170FA712"/>
    <w:rsid w:val="176181AE"/>
    <w:rsid w:val="1C38AF72"/>
    <w:rsid w:val="1F550BB2"/>
    <w:rsid w:val="303AC0F1"/>
    <w:rsid w:val="37256694"/>
    <w:rsid w:val="4264D673"/>
    <w:rsid w:val="493C5975"/>
    <w:rsid w:val="4E4347F2"/>
    <w:rsid w:val="5BE2C7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7546A8ED-3792-496A-A28A-53CA78AF4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9E9"/>
    <w:pPr>
      <w:spacing w:after="0" w:line="240" w:lineRule="auto"/>
    </w:pPr>
    <w:rPr>
      <w:rFonts w:eastAsia="Times New Roman" w:cstheme="minorHAnsi"/>
    </w:rPr>
  </w:style>
  <w:style w:type="paragraph" w:styleId="Heading1">
    <w:name w:val="heading 1"/>
    <w:basedOn w:val="Normal"/>
    <w:next w:val="Normal"/>
    <w:link w:val="Heading1Char"/>
    <w:uiPriority w:val="9"/>
    <w:qFormat/>
    <w:rsid w:val="004F7721"/>
    <w:pPr>
      <w:spacing w:after="120"/>
      <w:outlineLvl w:val="0"/>
    </w:pPr>
    <w:rPr>
      <w:b/>
    </w:rPr>
  </w:style>
  <w:style w:type="paragraph" w:styleId="Heading2">
    <w:name w:val="heading 2"/>
    <w:basedOn w:val="Normal"/>
    <w:next w:val="Normal"/>
    <w:link w:val="Heading2Char"/>
    <w:uiPriority w:val="9"/>
    <w:unhideWhenUsed/>
    <w:qFormat/>
    <w:rsid w:val="004F7721"/>
    <w:pPr>
      <w:spacing w:after="60"/>
      <w:outlineLvl w:val="1"/>
    </w:pPr>
    <w:rPr>
      <w:i/>
    </w:rPr>
  </w:style>
  <w:style w:type="paragraph" w:styleId="Heading3">
    <w:name w:val="heading 3"/>
    <w:basedOn w:val="Normal"/>
    <w:next w:val="Normal"/>
    <w:link w:val="Heading3Char"/>
    <w:uiPriority w:val="9"/>
    <w:semiHidden/>
    <w:unhideWhenUsed/>
    <w:qFormat/>
    <w:rsid w:val="004C59E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1D1C73"/>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pPr>
    <w:rPr>
      <w:rFonts w:ascii="Times New Roman" w:hAnsi="Times New Roman" w:cs="Times New Roman"/>
      <w:sz w:val="24"/>
      <w:szCs w:val="24"/>
    </w:rPr>
  </w:style>
  <w:style w:type="paragraph" w:styleId="FootnoteText">
    <w:name w:val="footnote text"/>
    <w:basedOn w:val="Normal"/>
    <w:link w:val="FootnoteTextChar"/>
    <w:uiPriority w:val="99"/>
    <w:unhideWhenUsed/>
    <w:rsid w:val="00B55E54"/>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line="420" w:lineRule="exact"/>
    </w:pPr>
    <w:rPr>
      <w:rFonts w:ascii="Franklin Gothic Medium"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hAnsi="Franklin Gothic Medium" w:cs="Times New Roman"/>
      <w:b/>
      <w:color w:val="003C79"/>
      <w:sz w:val="24"/>
      <w:szCs w:val="20"/>
    </w:rPr>
  </w:style>
  <w:style w:type="character" w:customStyle="1" w:styleId="Heading1Char">
    <w:name w:val="Heading 1 Char"/>
    <w:basedOn w:val="DefaultParagraphFont"/>
    <w:link w:val="Heading1"/>
    <w:uiPriority w:val="9"/>
    <w:rsid w:val="004F7721"/>
    <w:rPr>
      <w:b/>
    </w:rPr>
  </w:style>
  <w:style w:type="character" w:customStyle="1" w:styleId="Heading2Char">
    <w:name w:val="Heading 2 Char"/>
    <w:basedOn w:val="DefaultParagraphFont"/>
    <w:link w:val="Heading2"/>
    <w:uiPriority w:val="9"/>
    <w:rsid w:val="004F7721"/>
    <w:rPr>
      <w:i/>
    </w:rPr>
  </w:style>
  <w:style w:type="paragraph" w:styleId="Title">
    <w:name w:val="Title"/>
    <w:basedOn w:val="Normal"/>
    <w:next w:val="Normal"/>
    <w:link w:val="TitleChar"/>
    <w:uiPriority w:val="10"/>
    <w:qFormat/>
    <w:rsid w:val="00816292"/>
    <w:pPr>
      <w:jc w:val="center"/>
    </w:pPr>
    <w:rPr>
      <w:b/>
      <w:sz w:val="32"/>
      <w:szCs w:val="32"/>
    </w:rPr>
  </w:style>
  <w:style w:type="character" w:customStyle="1" w:styleId="TitleChar">
    <w:name w:val="Title Char"/>
    <w:basedOn w:val="DefaultParagraphFont"/>
    <w:link w:val="Title"/>
    <w:uiPriority w:val="10"/>
    <w:rsid w:val="00816292"/>
    <w:rPr>
      <w:b/>
      <w:sz w:val="32"/>
      <w:szCs w:val="32"/>
    </w:rPr>
  </w:style>
  <w:style w:type="character" w:customStyle="1" w:styleId="NormalSSChar">
    <w:name w:val="NormalSS Char"/>
    <w:link w:val="NormalSS"/>
    <w:locked/>
    <w:rsid w:val="00816292"/>
    <w:rPr>
      <w:rFonts w:ascii="Times New Roman" w:eastAsia="Times New Roman" w:hAnsi="Times New Roman" w:cs="Times New Roman"/>
      <w:sz w:val="24"/>
      <w:szCs w:val="20"/>
    </w:rPr>
  </w:style>
  <w:style w:type="paragraph" w:customStyle="1" w:styleId="NormalSS">
    <w:name w:val="NormalSS"/>
    <w:basedOn w:val="Normal"/>
    <w:link w:val="NormalSSChar"/>
    <w:qFormat/>
    <w:rsid w:val="00816292"/>
    <w:pPr>
      <w:spacing w:after="240"/>
      <w:ind w:firstLine="432"/>
    </w:pPr>
    <w:rPr>
      <w:rFonts w:ascii="Times New Roman" w:hAnsi="Times New Roman" w:cs="Times New Roman"/>
      <w:sz w:val="24"/>
      <w:szCs w:val="20"/>
    </w:rPr>
  </w:style>
  <w:style w:type="character" w:customStyle="1" w:styleId="Heading3Char">
    <w:name w:val="Heading 3 Char"/>
    <w:basedOn w:val="DefaultParagraphFont"/>
    <w:link w:val="Heading3"/>
    <w:uiPriority w:val="9"/>
    <w:semiHidden/>
    <w:rsid w:val="004C59E9"/>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semiHidden/>
    <w:unhideWhenUsed/>
    <w:rsid w:val="002F01A0"/>
    <w:pPr>
      <w:spacing w:after="120"/>
    </w:pPr>
  </w:style>
  <w:style w:type="character" w:customStyle="1" w:styleId="BodyTextChar">
    <w:name w:val="Body Text Char"/>
    <w:basedOn w:val="DefaultParagraphFont"/>
    <w:link w:val="BodyText"/>
    <w:uiPriority w:val="99"/>
    <w:semiHidden/>
    <w:rsid w:val="002F01A0"/>
    <w:rPr>
      <w:rFonts w:eastAsia="Times New Roman" w:cstheme="minorHAnsi"/>
    </w:rPr>
  </w:style>
  <w:style w:type="paragraph" w:styleId="BodyTextFirstIndent">
    <w:name w:val="Body Text First Indent"/>
    <w:basedOn w:val="BodyText"/>
    <w:link w:val="BodyTextFirstIndentChar"/>
    <w:qFormat/>
    <w:rsid w:val="002F01A0"/>
    <w:pPr>
      <w:spacing w:after="180" w:line="240" w:lineRule="exact"/>
      <w:ind w:firstLine="360"/>
    </w:pPr>
    <w:rPr>
      <w:rFonts w:ascii="Lato" w:eastAsia="Calibri" w:hAnsi="Lato" w:cs="Times New Roman"/>
      <w:bCs/>
      <w:sz w:val="20"/>
      <w:szCs w:val="20"/>
    </w:rPr>
  </w:style>
  <w:style w:type="character" w:customStyle="1" w:styleId="BodyTextFirstIndentChar">
    <w:name w:val="Body Text First Indent Char"/>
    <w:basedOn w:val="BodyTextChar"/>
    <w:link w:val="BodyTextFirstIndent"/>
    <w:rsid w:val="002F01A0"/>
    <w:rPr>
      <w:rFonts w:ascii="Lato" w:eastAsia="Calibri" w:hAnsi="Lato" w:cs="Times New Roman"/>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11903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Props1.xml><?xml version="1.0" encoding="utf-8"?>
<ds:datastoreItem xmlns:ds="http://schemas.openxmlformats.org/officeDocument/2006/customXml" ds:itemID="{EC44A588-C1FA-479B-B98C-F879619CC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94C3B638-7CCA-485B-BF7D-8188F364DA37}">
  <ds:schemaRefs>
    <ds:schemaRef ds:uri="http://schemas.openxmlformats.org/officeDocument/2006/bibliography"/>
  </ds:schemaRefs>
</ds:datastoreItem>
</file>

<file path=customXml/itemProps4.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f9e9dff2-c88e-4ce8-9990-6e354ce9cf6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3513</Words>
  <Characters>20028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Berger, Rebecca</dc:creator>
  <cp:lastModifiedBy>ACF PRA</cp:lastModifiedBy>
  <cp:revision>5</cp:revision>
  <dcterms:created xsi:type="dcterms:W3CDTF">2024-05-28T13:52:00Z</dcterms:created>
  <dcterms:modified xsi:type="dcterms:W3CDTF">2024-05-28T14:45:00Z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