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70CFD577" w14:textId="77777777">
      <w:pPr>
        <w:spacing w:after="0"/>
        <w:rPr>
          <w:rFonts w:cstheme="minorHAnsi"/>
          <w:b/>
        </w:rPr>
      </w:pPr>
    </w:p>
    <w:p w:rsidR="00A42C71" w:rsidRPr="001A59B6" w:rsidP="00A42C71" w14:paraId="703D208D" w14:textId="77777777">
      <w:pPr>
        <w:spacing w:after="0"/>
        <w:jc w:val="center"/>
        <w:rPr>
          <w:rFonts w:cstheme="minorHAnsi"/>
          <w:b/>
          <w:sz w:val="40"/>
          <w:highlight w:val="yellow"/>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552AE2" w:rsidRPr="009139B3" w:rsidP="00552AE2" w14:paraId="0BD983D5" w14:textId="43643A53">
      <w:pPr>
        <w:pStyle w:val="ReportCover-Title"/>
        <w:jc w:val="center"/>
        <w:rPr>
          <w:rFonts w:ascii="Arial" w:hAnsi="Arial" w:cs="Arial"/>
          <w:color w:val="auto"/>
        </w:rPr>
      </w:pPr>
      <w:r w:rsidRPr="00376FDD">
        <w:rPr>
          <w:rFonts w:ascii="Arial" w:eastAsia="Arial Unicode MS" w:hAnsi="Arial" w:cs="Arial"/>
          <w:noProof/>
          <w:color w:val="auto"/>
        </w:rPr>
        <w:t>Home-Based Child Care Toolkit for Nurturing School-Age Children Study</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63C3C159">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w:t>
      </w:r>
      <w:r w:rsidR="00D36A24">
        <w:rPr>
          <w:rFonts w:asciiTheme="minorHAnsi" w:hAnsiTheme="minorHAnsi" w:cstheme="minorHAnsi"/>
          <w:color w:val="auto"/>
          <w:sz w:val="32"/>
          <w:szCs w:val="32"/>
        </w:rPr>
        <w:t>–</w:t>
      </w:r>
      <w:r w:rsidRPr="001A59B6">
        <w:rPr>
          <w:rFonts w:asciiTheme="minorHAnsi" w:hAnsiTheme="minorHAnsi" w:cstheme="minorHAnsi"/>
          <w:color w:val="auto"/>
          <w:sz w:val="32"/>
          <w:szCs w:val="32"/>
        </w:rPr>
        <w:t xml:space="preserve"> </w:t>
      </w:r>
      <w:r w:rsidR="00D36A24">
        <w:rPr>
          <w:rFonts w:asciiTheme="minorHAnsi" w:hAnsiTheme="minorHAnsi" w:cstheme="minorHAnsi"/>
          <w:color w:val="auto"/>
          <w:sz w:val="32"/>
          <w:szCs w:val="32"/>
        </w:rPr>
        <w:t>New Collection</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F34810" w:rsidRPr="009139B3" w:rsidP="00F34810" w14:paraId="4B7DD084" w14:textId="77777777">
      <w:pPr>
        <w:spacing w:after="0" w:line="240" w:lineRule="auto"/>
        <w:jc w:val="center"/>
        <w:rPr>
          <w:rFonts w:ascii="Arial" w:hAnsi="Arial" w:cs="Arial"/>
        </w:rPr>
      </w:pPr>
      <w:r>
        <w:rPr>
          <w:rFonts w:ascii="Arial" w:hAnsi="Arial" w:cs="Arial"/>
          <w:b/>
        </w:rPr>
        <w:t>January 2024</w:t>
      </w: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3A5BBBCE"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00A42C71" w14:paraId="16C3B2D5" w14:textId="538F7E93">
      <w:pPr>
        <w:spacing w:after="0" w:line="240" w:lineRule="auto"/>
        <w:jc w:val="center"/>
        <w:rPr>
          <w:rFonts w:cstheme="minorHAnsi"/>
        </w:rPr>
      </w:pPr>
      <w:r w:rsidRPr="001A59B6">
        <w:rPr>
          <w:rFonts w:cstheme="minorHAnsi"/>
        </w:rPr>
        <w:t>Project Officers:</w:t>
      </w:r>
      <w:r w:rsidR="00B66DFF">
        <w:rPr>
          <w:rFonts w:cstheme="minorHAnsi"/>
        </w:rPr>
        <w:t xml:space="preserve"> </w:t>
      </w:r>
      <w:r w:rsidRPr="00B66DFF" w:rsidR="00B66DFF">
        <w:rPr>
          <w:rFonts w:cstheme="minorHAnsi"/>
        </w:rPr>
        <w:t>Ann Rivera and Bonnie Mackintosh</w:t>
      </w:r>
    </w:p>
    <w:p w:rsidR="00A42C71" w:rsidRPr="001A59B6" w:rsidP="00A42C71" w14:paraId="6CB062A1"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5A12BF1C">
      <w:pPr>
        <w:spacing w:after="60" w:line="240" w:lineRule="auto"/>
        <w:rPr>
          <w:rFonts w:cstheme="minorHAnsi"/>
          <w:i/>
        </w:rPr>
      </w:pPr>
      <w:r w:rsidRPr="001A59B6">
        <w:rPr>
          <w:rFonts w:cstheme="minorHAnsi"/>
          <w:i/>
        </w:rPr>
        <w:t>Study Objectives</w:t>
      </w:r>
    </w:p>
    <w:p w:rsidR="00A42C71" w:rsidRPr="001A59B6" w:rsidP="00A42C71" w14:paraId="5329D960" w14:textId="56D8D6A0">
      <w:pPr>
        <w:spacing w:after="0" w:line="240" w:lineRule="auto"/>
      </w:pPr>
      <w:r w:rsidRPr="3880212B">
        <w:t xml:space="preserve">This validation study </w:t>
      </w:r>
      <w:r w:rsidRPr="3880212B" w:rsidR="005B3547">
        <w:t xml:space="preserve">will </w:t>
      </w:r>
      <w:r w:rsidRPr="3880212B" w:rsidR="00EF094B">
        <w:t xml:space="preserve">build </w:t>
      </w:r>
      <w:r w:rsidRPr="3880212B" w:rsidR="00AF3DD0">
        <w:t xml:space="preserve">psychometric </w:t>
      </w:r>
      <w:r w:rsidRPr="3880212B" w:rsidR="00EF094B">
        <w:t>evidence about</w:t>
      </w:r>
      <w:r w:rsidRPr="3880212B">
        <w:t xml:space="preserve"> the Home-Based Child Care Toolkit for Nurturing School-Age Children (HBCC-NSAC Toolkit)</w:t>
      </w:r>
      <w:r w:rsidRPr="3880212B" w:rsidR="00DB3AEA">
        <w:t xml:space="preserve"> provider questionnaire</w:t>
      </w:r>
      <w:r w:rsidRPr="3880212B">
        <w:t xml:space="preserve">. As noted in Supporting Statement Part A Section A1, the </w:t>
      </w:r>
      <w:r w:rsidRPr="3880212B" w:rsidR="00C00AE5">
        <w:t>study</w:t>
      </w:r>
      <w:r w:rsidRPr="3880212B">
        <w:t xml:space="preserve"> is part of the Home-Based Child Care Supply and Quality (HBCCSQ) project. The objective</w:t>
      </w:r>
      <w:r w:rsidRPr="3880212B" w:rsidR="00854FEF">
        <w:t>s</w:t>
      </w:r>
      <w:r w:rsidRPr="3880212B">
        <w:t xml:space="preserve"> of the </w:t>
      </w:r>
      <w:r w:rsidRPr="3880212B" w:rsidR="00C00AE5">
        <w:t>validation</w:t>
      </w:r>
      <w:r w:rsidRPr="3880212B">
        <w:t xml:space="preserve"> study </w:t>
      </w:r>
      <w:r w:rsidRPr="3880212B" w:rsidR="00854FEF">
        <w:t xml:space="preserve">are </w:t>
      </w:r>
      <w:r w:rsidRPr="3880212B">
        <w:t>to</w:t>
      </w:r>
      <w:r w:rsidRPr="3880212B" w:rsidR="00854FEF">
        <w:t xml:space="preserve"> 1)</w:t>
      </w:r>
      <w:r w:rsidRPr="3880212B">
        <w:t xml:space="preserve"> administer the HBCC-NSAC Toolkit </w:t>
      </w:r>
      <w:r w:rsidRPr="3880212B" w:rsidR="008F6753">
        <w:t xml:space="preserve">provider questionnaire </w:t>
      </w:r>
      <w:r w:rsidRPr="3880212B">
        <w:t xml:space="preserve">to </w:t>
      </w:r>
      <w:r w:rsidRPr="3880212B" w:rsidR="00023239">
        <w:t xml:space="preserve">providers caring for </w:t>
      </w:r>
      <w:r w:rsidRPr="3880212B" w:rsidR="483E1AF1">
        <w:t xml:space="preserve">school-age </w:t>
      </w:r>
      <w:r w:rsidRPr="3880212B" w:rsidR="00023239">
        <w:t xml:space="preserve">children </w:t>
      </w:r>
      <w:r w:rsidR="00AB1134">
        <w:t>(</w:t>
      </w:r>
      <w:r w:rsidR="00AB1134">
        <w:rPr>
          <w:rStyle w:val="normaltextrun"/>
          <w:rFonts w:ascii="Calibri" w:hAnsi="Calibri" w:cs="Calibri"/>
          <w:color w:val="000000"/>
          <w:shd w:val="clear" w:color="auto" w:fill="FFFFFF"/>
        </w:rPr>
        <w:t xml:space="preserve">age 5 and in kindergarten, or ages 6 through 12) </w:t>
      </w:r>
      <w:r w:rsidRPr="3880212B" w:rsidR="00023239">
        <w:t xml:space="preserve">in a residential setting (i.e., home-based child care </w:t>
      </w:r>
      <w:r w:rsidRPr="3880212B" w:rsidR="00532A12">
        <w:t>[</w:t>
      </w:r>
      <w:r w:rsidRPr="3880212B" w:rsidR="00023239">
        <w:t>HBCC</w:t>
      </w:r>
      <w:r w:rsidRPr="3880212B" w:rsidR="00532A12">
        <w:t>]</w:t>
      </w:r>
      <w:r w:rsidRPr="3880212B" w:rsidR="00023239">
        <w:t>)</w:t>
      </w:r>
      <w:r w:rsidRPr="3880212B" w:rsidR="002A68BC">
        <w:t>,</w:t>
      </w:r>
      <w:r w:rsidRPr="3880212B" w:rsidR="00162E09">
        <w:t xml:space="preserve"> </w:t>
      </w:r>
      <w:r w:rsidRPr="3880212B" w:rsidR="003B5061">
        <w:t xml:space="preserve">survey </w:t>
      </w:r>
      <w:r w:rsidRPr="3880212B">
        <w:t>the families they care for</w:t>
      </w:r>
      <w:r w:rsidRPr="3880212B" w:rsidR="001B4D7A">
        <w:t xml:space="preserve">, </w:t>
      </w:r>
      <w:r w:rsidRPr="3880212B" w:rsidR="002A68BC">
        <w:t>and observe a subset of the providers</w:t>
      </w:r>
      <w:r w:rsidRPr="3880212B" w:rsidR="0022063C">
        <w:t>,</w:t>
      </w:r>
      <w:r w:rsidRPr="3880212B" w:rsidR="001B4D7A">
        <w:t xml:space="preserve"> </w:t>
      </w:r>
      <w:r w:rsidRPr="3880212B">
        <w:t xml:space="preserve">and </w:t>
      </w:r>
      <w:r w:rsidRPr="3880212B" w:rsidR="00CD42E2">
        <w:t xml:space="preserve">2) </w:t>
      </w:r>
      <w:r w:rsidRPr="3880212B">
        <w:t xml:space="preserve">elicit enough responses </w:t>
      </w:r>
      <w:r w:rsidRPr="3880212B" w:rsidR="00256C71">
        <w:t xml:space="preserve">across instruments </w:t>
      </w:r>
      <w:r w:rsidRPr="3880212B">
        <w:t xml:space="preserve">to examine the psychometric properties of the </w:t>
      </w:r>
      <w:r w:rsidRPr="3880212B" w:rsidR="006A168A">
        <w:t xml:space="preserve">dimensions </w:t>
      </w:r>
      <w:r w:rsidRPr="3880212B">
        <w:t xml:space="preserve">in the HBCC-NSAC Toolkit </w:t>
      </w:r>
      <w:r w:rsidRPr="3880212B" w:rsidR="00256C71">
        <w:t>provider questionnaire</w:t>
      </w:r>
      <w:r w:rsidRPr="003144C4" w:rsidR="003144C4">
        <w:t xml:space="preserve"> </w:t>
      </w:r>
      <w:r w:rsidRPr="565E1B62" w:rsidR="003144C4">
        <w:t>including convergent and discriminant validity evidence</w:t>
      </w:r>
      <w:r w:rsidRPr="3880212B">
        <w:t xml:space="preserve">. </w:t>
      </w:r>
      <w:r w:rsidRPr="3880212B" w:rsidR="00747BB8">
        <w:t>By doing so, t</w:t>
      </w:r>
      <w:r w:rsidRPr="3880212B">
        <w:t xml:space="preserve">he study team aims to </w:t>
      </w:r>
      <w:r w:rsidRPr="3880212B" w:rsidR="00E413A3">
        <w:t>1) assess the reliability of the HBCC-NSAC Toolkit</w:t>
      </w:r>
      <w:r w:rsidRPr="3880212B" w:rsidR="008A4E3D">
        <w:t xml:space="preserve"> provider questionnaire</w:t>
      </w:r>
      <w:r w:rsidRPr="3880212B" w:rsidR="00E413A3">
        <w:t>, 2) assess the evidence for its construct and concurrent/convergent validity, and 3) examine invariance across subgroups (that is, look for the absence of any differential item functioning [DIF]).</w:t>
      </w:r>
      <w:r w:rsidRPr="3880212B" w:rsidR="00953002">
        <w:t xml:space="preserve"> </w:t>
      </w:r>
      <w:r w:rsidRPr="00762D1A" w:rsidR="00953002">
        <w:rPr>
          <w:rFonts w:ascii="Calibri" w:hAnsi="Calibri" w:cs="Calibri"/>
          <w:shd w:val="clear" w:color="auto" w:fill="FFFFFF"/>
        </w:rPr>
        <w:t xml:space="preserve">The current approval builds upon the pilot study (completed under ACF’s generic clearance 0970 – 0355; approved March 2023), which provided findings used to revise the </w:t>
      </w:r>
      <w:r w:rsidRPr="00574DD3" w:rsidR="00953002">
        <w:t xml:space="preserve">HBCC-NSAC Toolkit </w:t>
      </w:r>
      <w:r w:rsidRPr="00574DD3" w:rsidR="00CE1F9A">
        <w:t xml:space="preserve">provider </w:t>
      </w:r>
      <w:r w:rsidRPr="00574DD3" w:rsidR="002D7BA5">
        <w:t>questionnaire</w:t>
      </w:r>
      <w:r w:rsidRPr="00574DD3" w:rsidR="00953002">
        <w:t xml:space="preserve"> and </w:t>
      </w:r>
      <w:r w:rsidRPr="00762D1A" w:rsidR="00953002">
        <w:rPr>
          <w:rFonts w:ascii="Calibri" w:hAnsi="Calibri" w:cs="Calibri"/>
          <w:shd w:val="clear" w:color="auto" w:fill="FFFFFF"/>
        </w:rPr>
        <w:t>improve procedures for the validation study.</w:t>
      </w:r>
    </w:p>
    <w:p w:rsidR="00A42C71" w:rsidRPr="001A59B6" w:rsidP="00A42C71" w14:paraId="078509A0" w14:textId="77777777">
      <w:pPr>
        <w:spacing w:after="0" w:line="240" w:lineRule="auto"/>
        <w:rPr>
          <w:rFonts w:cstheme="minorHAnsi"/>
        </w:rPr>
      </w:pPr>
    </w:p>
    <w:p w:rsidR="00A42C71" w:rsidRPr="001A59B6" w:rsidP="00A42C71" w14:paraId="15CEF91F" w14:textId="77777777">
      <w:pPr>
        <w:spacing w:after="60" w:line="240" w:lineRule="auto"/>
        <w:rPr>
          <w:rFonts w:cstheme="minorHAnsi"/>
        </w:rPr>
      </w:pPr>
      <w:r w:rsidRPr="001A59B6">
        <w:rPr>
          <w:rFonts w:cstheme="minorHAnsi"/>
          <w:i/>
        </w:rPr>
        <w:t xml:space="preserve">Generalizability of Results </w:t>
      </w:r>
    </w:p>
    <w:p w:rsidR="00A42C71" w:rsidRPr="001A59B6" w:rsidP="00A42C71" w14:paraId="3B40B647" w14:textId="7DA4169A">
      <w:pPr>
        <w:autoSpaceDE w:val="0"/>
        <w:autoSpaceDN w:val="0"/>
        <w:adjustRightInd w:val="0"/>
        <w:spacing w:after="0" w:line="240" w:lineRule="atLeast"/>
        <w:rPr>
          <w:rFonts w:eastAsia="Times New Roman"/>
          <w:color w:val="000000"/>
        </w:rPr>
      </w:pPr>
      <w:r>
        <w:t>HBCC</w:t>
      </w:r>
      <w:r w:rsidRPr="0052557E">
        <w:t xml:space="preserve">, or child care and early education (CCEE) offered in a provider’s or child’s home, is the most common form of nonparental child care </w:t>
      </w:r>
      <w:r>
        <w:t>and</w:t>
      </w:r>
      <w:r w:rsidR="00857D5A">
        <w:t xml:space="preserve"> is</w:t>
      </w:r>
      <w:r>
        <w:t xml:space="preserve"> </w:t>
      </w:r>
      <w:r w:rsidRPr="00B20A1D">
        <w:t>used by millions of families in the United States</w:t>
      </w:r>
      <w:r w:rsidRPr="0052557E">
        <w:t>.</w:t>
      </w:r>
      <w:r>
        <w:t xml:space="preserve"> </w:t>
      </w:r>
      <w:r w:rsidRPr="3880212B" w:rsidR="00173222">
        <w:rPr>
          <w:rFonts w:eastAsia="Times New Roman"/>
          <w:color w:val="000000"/>
        </w:rPr>
        <w:t xml:space="preserve">This validation study is intended to present </w:t>
      </w:r>
      <w:r w:rsidRPr="3880212B" w:rsidR="006E3E37">
        <w:rPr>
          <w:rFonts w:eastAsia="Times New Roman"/>
          <w:color w:val="000000"/>
        </w:rPr>
        <w:t>reliability and validity information for the</w:t>
      </w:r>
      <w:r w:rsidRPr="3880212B" w:rsidR="00173222">
        <w:rPr>
          <w:rFonts w:eastAsia="Times New Roman"/>
          <w:color w:val="000000"/>
        </w:rPr>
        <w:t xml:space="preserve"> </w:t>
      </w:r>
      <w:r w:rsidRPr="3880212B" w:rsidR="00256BFC">
        <w:rPr>
          <w:rFonts w:eastAsia="Times New Roman"/>
          <w:color w:val="000000"/>
        </w:rPr>
        <w:t xml:space="preserve">English version of the </w:t>
      </w:r>
      <w:r w:rsidRPr="3880212B" w:rsidR="00173222">
        <w:rPr>
          <w:rFonts w:eastAsia="Times New Roman"/>
          <w:color w:val="000000"/>
        </w:rPr>
        <w:t xml:space="preserve">HBCC-NSAC Toolkit </w:t>
      </w:r>
      <w:r w:rsidRPr="3880212B" w:rsidR="004064C9">
        <w:rPr>
          <w:rFonts w:eastAsia="Times New Roman"/>
          <w:color w:val="000000"/>
        </w:rPr>
        <w:t xml:space="preserve">provider </w:t>
      </w:r>
      <w:r w:rsidRPr="3880212B" w:rsidR="00256BFC">
        <w:rPr>
          <w:rFonts w:eastAsia="Times New Roman"/>
          <w:color w:val="000000"/>
        </w:rPr>
        <w:t>questionnaire</w:t>
      </w:r>
      <w:r w:rsidRPr="3880212B" w:rsidR="00173222">
        <w:rPr>
          <w:rFonts w:eastAsia="Times New Roman"/>
          <w:color w:val="000000"/>
        </w:rPr>
        <w:t xml:space="preserve"> when used by home-based providers who care for school-age children, not to promote statistical generalization to other sites or service populations. Findings will not be representative of the experiences of </w:t>
      </w:r>
      <w:r w:rsidRPr="3880212B" w:rsidR="00BB705B">
        <w:rPr>
          <w:rFonts w:eastAsia="Times New Roman"/>
          <w:color w:val="000000"/>
        </w:rPr>
        <w:t>home-based</w:t>
      </w:r>
      <w:r w:rsidRPr="3880212B" w:rsidR="00173222">
        <w:rPr>
          <w:rFonts w:eastAsia="Times New Roman"/>
          <w:color w:val="000000"/>
        </w:rPr>
        <w:t xml:space="preserve"> providers and families, and any written products resulting from the study will acknowledge this limitation.</w:t>
      </w:r>
      <w:r w:rsidRPr="006E1D03" w:rsidR="006E1D03">
        <w:rPr>
          <w:rFonts w:ascii="Calibri" w:hAnsi="Calibri" w:cs="Calibri"/>
          <w:color w:val="000000"/>
          <w:shd w:val="clear" w:color="auto" w:fill="FFFFFF"/>
        </w:rPr>
        <w:t xml:space="preserve"> </w:t>
      </w:r>
      <w:r w:rsidR="006E1D03">
        <w:rPr>
          <w:rStyle w:val="normaltextrun"/>
          <w:rFonts w:ascii="Calibri" w:hAnsi="Calibri" w:cs="Calibri"/>
          <w:color w:val="000000"/>
          <w:shd w:val="clear" w:color="auto" w:fill="FFFFFF"/>
        </w:rPr>
        <w:t>Nonetheless, these data will provide information about a population of great policy interest that is not well-represented in existing research.</w:t>
      </w:r>
      <w:r>
        <w:rPr>
          <w:rStyle w:val="FootnoteReference"/>
          <w:rFonts w:ascii="Calibri" w:hAnsi="Calibri" w:cs="Calibri"/>
          <w:color w:val="000000"/>
          <w:shd w:val="clear" w:color="auto" w:fill="FFFFFF"/>
        </w:rPr>
        <w:footnoteReference w:id="3"/>
      </w:r>
      <w:r w:rsidRPr="00FC432F" w:rsidR="00FC432F">
        <w:t xml:space="preserve"> </w:t>
      </w:r>
    </w:p>
    <w:p w:rsidR="00F239BB" w:rsidP="00A42C71" w14:paraId="14F5553E" w14:textId="77777777">
      <w:pPr>
        <w:autoSpaceDE w:val="0"/>
        <w:autoSpaceDN w:val="0"/>
        <w:adjustRightInd w:val="0"/>
        <w:spacing w:after="60" w:line="240" w:lineRule="atLeast"/>
        <w:rPr>
          <w:rFonts w:eastAsia="Times New Roman" w:cstheme="minorHAnsi"/>
          <w:i/>
          <w:color w:val="000000"/>
        </w:rPr>
      </w:pPr>
    </w:p>
    <w:p w:rsidR="00A42C71" w:rsidP="00A42C71" w14:paraId="02CD8588" w14:textId="7AE742A9">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 xml:space="preserve">Appropriateness of Study Design and Methods for Planned Uses </w:t>
      </w:r>
    </w:p>
    <w:p w:rsidR="0068280B" w:rsidP="006233B8" w14:paraId="555B0360" w14:textId="0468BE5D">
      <w:pPr>
        <w:pStyle w:val="ParagraphContinued"/>
        <w:spacing w:before="0" w:after="0"/>
        <w:rPr>
          <w:rFonts w:eastAsia="Times New Roman"/>
        </w:rPr>
      </w:pPr>
      <w:r w:rsidRPr="002201E8">
        <w:rPr>
          <w:rFonts w:eastAsia="Times New Roman"/>
        </w:rPr>
        <w:t xml:space="preserve">The validation study is designed to collect information efficiently from a diverse group of </w:t>
      </w:r>
      <w:r w:rsidR="00A50C1A">
        <w:rPr>
          <w:rFonts w:eastAsia="Times New Roman"/>
        </w:rPr>
        <w:t xml:space="preserve">home-based </w:t>
      </w:r>
      <w:r w:rsidRPr="002201E8">
        <w:rPr>
          <w:rFonts w:eastAsia="Times New Roman"/>
        </w:rPr>
        <w:t xml:space="preserve">providers </w:t>
      </w:r>
      <w:r w:rsidRPr="3880212B">
        <w:t xml:space="preserve">to examine the psychometric properties of the </w:t>
      </w:r>
      <w:r w:rsidRPr="3880212B" w:rsidR="0087166C">
        <w:t xml:space="preserve">domains and dimensions </w:t>
      </w:r>
      <w:r w:rsidRPr="3880212B">
        <w:t xml:space="preserve">in the HBCC-NSAC Toolkit </w:t>
      </w:r>
      <w:r w:rsidRPr="3880212B" w:rsidR="00C213D3">
        <w:t>provider questionnaire</w:t>
      </w:r>
      <w:r w:rsidRPr="002201E8">
        <w:rPr>
          <w:rFonts w:eastAsia="Times New Roman"/>
        </w:rPr>
        <w:t xml:space="preserve">. To adequately </w:t>
      </w:r>
      <w:r w:rsidRPr="3880212B">
        <w:t xml:space="preserve">examine </w:t>
      </w:r>
      <w:r w:rsidRPr="3880212B" w:rsidR="002201E8">
        <w:t xml:space="preserve">invariance across subgroups </w:t>
      </w:r>
      <w:bookmarkStart w:id="0" w:name="_Hlk110341671"/>
      <w:r w:rsidR="007D1454">
        <w:rPr>
          <w:rFonts w:eastAsia="Times New Roman"/>
        </w:rPr>
        <w:t>the validation study</w:t>
      </w:r>
      <w:r w:rsidRPr="002201E8">
        <w:rPr>
          <w:rFonts w:eastAsia="Times New Roman"/>
        </w:rPr>
        <w:t xml:space="preserve"> </w:t>
      </w:r>
      <w:bookmarkEnd w:id="0"/>
      <w:r w:rsidRPr="002201E8">
        <w:rPr>
          <w:rFonts w:eastAsia="Times New Roman"/>
        </w:rPr>
        <w:t>requires that providers have a range of characteristics that may be associated with their responses, including</w:t>
      </w:r>
      <w:r w:rsidR="008962DD">
        <w:rPr>
          <w:rFonts w:eastAsia="Times New Roman"/>
        </w:rPr>
        <w:t>: 1)</w:t>
      </w:r>
      <w:r w:rsidRPr="002201E8">
        <w:rPr>
          <w:rFonts w:eastAsia="Times New Roman"/>
        </w:rPr>
        <w:t xml:space="preserve"> </w:t>
      </w:r>
      <w:r w:rsidRPr="3880212B" w:rsidR="189CEE2E">
        <w:rPr>
          <w:rFonts w:eastAsia="Times New Roman"/>
        </w:rPr>
        <w:t>providers who are</w:t>
      </w:r>
      <w:r w:rsidRPr="3880212B" w:rsidR="605E9F60">
        <w:rPr>
          <w:rFonts w:eastAsia="Times New Roman"/>
        </w:rPr>
        <w:t xml:space="preserve"> </w:t>
      </w:r>
      <w:r w:rsidRPr="00817AB1" w:rsidR="008962DD">
        <w:t>licensed, regulated family child care (FCC) providers</w:t>
      </w:r>
      <w:r w:rsidR="008962DD">
        <w:t xml:space="preserve"> </w:t>
      </w:r>
      <w:r w:rsidRPr="3880212B" w:rsidR="3FE9C039">
        <w:rPr>
          <w:rFonts w:eastAsia="Times New Roman"/>
        </w:rPr>
        <w:t>or</w:t>
      </w:r>
      <w:r>
        <w:t xml:space="preserve"> </w:t>
      </w:r>
      <w:r w:rsidRPr="00817AB1" w:rsidR="008962DD">
        <w:t>family, friend, and neighbor (FFN) providers who are legally exempt from state licensing or other state regulations for child care</w:t>
      </w:r>
      <w:r w:rsidR="006147EE">
        <w:rPr>
          <w:rFonts w:eastAsia="Times New Roman"/>
        </w:rPr>
        <w:t xml:space="preserve">, </w:t>
      </w:r>
      <w:r w:rsidR="008962DD">
        <w:rPr>
          <w:rFonts w:eastAsia="Times New Roman"/>
        </w:rPr>
        <w:t xml:space="preserve">2) </w:t>
      </w:r>
      <w:r w:rsidRPr="3880212B" w:rsidR="21B9BA2F">
        <w:rPr>
          <w:rFonts w:eastAsia="Times New Roman"/>
        </w:rPr>
        <w:t xml:space="preserve">providers residing in a mix of </w:t>
      </w:r>
      <w:r w:rsidR="006147EE">
        <w:rPr>
          <w:rFonts w:eastAsia="Times New Roman"/>
        </w:rPr>
        <w:t>urban and rural</w:t>
      </w:r>
      <w:r w:rsidRPr="3880212B" w:rsidR="3AE3FE4A">
        <w:rPr>
          <w:rFonts w:eastAsia="Times New Roman"/>
        </w:rPr>
        <w:t xml:space="preserve"> locations</w:t>
      </w:r>
      <w:r w:rsidR="006147EE">
        <w:rPr>
          <w:rFonts w:eastAsia="Times New Roman"/>
        </w:rPr>
        <w:t>,</w:t>
      </w:r>
      <w:r w:rsidRPr="002201E8" w:rsidR="001B2CC2">
        <w:rPr>
          <w:rFonts w:eastAsia="Times New Roman"/>
        </w:rPr>
        <w:t xml:space="preserve"> and</w:t>
      </w:r>
      <w:r w:rsidRPr="002201E8">
        <w:rPr>
          <w:rFonts w:eastAsia="Times New Roman"/>
        </w:rPr>
        <w:t xml:space="preserve"> </w:t>
      </w:r>
      <w:r w:rsidR="008962DD">
        <w:rPr>
          <w:rFonts w:eastAsia="Times New Roman"/>
        </w:rPr>
        <w:t xml:space="preserve">3) </w:t>
      </w:r>
      <w:r w:rsidRPr="3880212B" w:rsidR="5047F0C2">
        <w:rPr>
          <w:rFonts w:eastAsia="Times New Roman"/>
        </w:rPr>
        <w:t xml:space="preserve">providers with diverse </w:t>
      </w:r>
      <w:r w:rsidRPr="002201E8">
        <w:rPr>
          <w:rFonts w:eastAsia="Times New Roman"/>
        </w:rPr>
        <w:t xml:space="preserve">race and ethnicity.  Working with staff from community organizations that have access to a wide range of providers allows for efficient recruitment </w:t>
      </w:r>
      <w:r w:rsidRPr="002201E8" w:rsidR="00E86774">
        <w:rPr>
          <w:rFonts w:eastAsia="Times New Roman"/>
        </w:rPr>
        <w:t>of providers with different characteristics</w:t>
      </w:r>
      <w:r w:rsidRPr="002201E8">
        <w:rPr>
          <w:rFonts w:eastAsia="Times New Roman"/>
        </w:rPr>
        <w:t xml:space="preserve">. Participants will be selected to vary by the </w:t>
      </w:r>
      <w:r w:rsidRPr="002201E8" w:rsidR="006D51F8">
        <w:rPr>
          <w:rFonts w:eastAsia="Times New Roman"/>
        </w:rPr>
        <w:t>characteristics</w:t>
      </w:r>
      <w:r w:rsidRPr="002201E8">
        <w:rPr>
          <w:rFonts w:eastAsia="Times New Roman"/>
        </w:rPr>
        <w:t xml:space="preserve"> </w:t>
      </w:r>
      <w:r w:rsidRPr="002201E8" w:rsidR="001B2CC2">
        <w:rPr>
          <w:rFonts w:eastAsia="Times New Roman"/>
        </w:rPr>
        <w:t>discussed in Section B2</w:t>
      </w:r>
      <w:r w:rsidRPr="002201E8">
        <w:rPr>
          <w:rFonts w:eastAsia="Times New Roman"/>
        </w:rPr>
        <w:t xml:space="preserve"> </w:t>
      </w:r>
      <w:r w:rsidRPr="002201E8" w:rsidR="001B2CC2">
        <w:rPr>
          <w:rFonts w:eastAsia="Times New Roman"/>
        </w:rPr>
        <w:t>an</w:t>
      </w:r>
      <w:r w:rsidRPr="002201E8">
        <w:rPr>
          <w:rFonts w:eastAsia="Times New Roman"/>
        </w:rPr>
        <w:t xml:space="preserve">d the study team will closely monitor </w:t>
      </w:r>
      <w:r w:rsidR="007F5E2E">
        <w:rPr>
          <w:rFonts w:eastAsia="Times New Roman"/>
        </w:rPr>
        <w:t xml:space="preserve">whether </w:t>
      </w:r>
      <w:r w:rsidRPr="002201E8">
        <w:rPr>
          <w:rFonts w:eastAsia="Times New Roman"/>
        </w:rPr>
        <w:t xml:space="preserve">the respondent pool </w:t>
      </w:r>
      <w:r w:rsidR="007F5E2E">
        <w:rPr>
          <w:rFonts w:eastAsia="Times New Roman"/>
        </w:rPr>
        <w:t xml:space="preserve">includes </w:t>
      </w:r>
      <w:r w:rsidRPr="002201E8">
        <w:rPr>
          <w:rFonts w:eastAsia="Times New Roman"/>
        </w:rPr>
        <w:t>an adequate number of respondents across the characteristics</w:t>
      </w:r>
      <w:r w:rsidRPr="3880212B" w:rsidR="1F038492">
        <w:rPr>
          <w:rFonts w:eastAsia="Times New Roman"/>
        </w:rPr>
        <w:t xml:space="preserve"> to support subgroup analysis</w:t>
      </w:r>
      <w:r w:rsidRPr="002201E8">
        <w:rPr>
          <w:rFonts w:eastAsia="Times New Roman"/>
        </w:rPr>
        <w:t>. The details of the methodological approach are described in Section B2.</w:t>
      </w:r>
      <w:r w:rsidR="009118C8">
        <w:rPr>
          <w:rFonts w:eastAsia="Times New Roman"/>
        </w:rPr>
        <w:t xml:space="preserve"> </w:t>
      </w:r>
    </w:p>
    <w:p w:rsidR="006233B8" w:rsidRPr="00BD15D4" w:rsidP="00BD15D4" w14:paraId="415B9DA6" w14:textId="77777777">
      <w:pPr>
        <w:pStyle w:val="Paragraph"/>
        <w:spacing w:after="0"/>
      </w:pPr>
    </w:p>
    <w:p w:rsidR="00867389" w:rsidP="006233B8" w14:paraId="7504E287" w14:textId="06D9FBD6">
      <w:pPr>
        <w:pStyle w:val="Paragraph"/>
        <w:spacing w:after="0"/>
      </w:pPr>
      <w:r w:rsidRPr="008F770F">
        <w:t xml:space="preserve">The data collected are not intended to be representative, and findings may not necessarily apply to all </w:t>
      </w:r>
      <w:r>
        <w:t xml:space="preserve">home-based </w:t>
      </w:r>
      <w:r w:rsidRPr="008F770F">
        <w:t>providers</w:t>
      </w:r>
      <w:r>
        <w:t xml:space="preserve"> or families</w:t>
      </w:r>
      <w:r w:rsidRPr="008F770F">
        <w:t xml:space="preserve">. </w:t>
      </w:r>
      <w:r>
        <w:t xml:space="preserve">The reliability and validity information </w:t>
      </w:r>
      <w:r w:rsidR="008F2A33">
        <w:t xml:space="preserve">from this study will be limited to English-speaking </w:t>
      </w:r>
      <w:r w:rsidR="0087166C">
        <w:t xml:space="preserve">home-based </w:t>
      </w:r>
      <w:r w:rsidR="008F2A33">
        <w:t xml:space="preserve">providers and families from </w:t>
      </w:r>
      <w:r w:rsidR="008619C9">
        <w:t xml:space="preserve">the range of characteristics obtained for the study. </w:t>
      </w:r>
      <w:r w:rsidR="008964B5">
        <w:rPr>
          <w:rStyle w:val="normaltextrun"/>
          <w:rFonts w:ascii="Calibri" w:hAnsi="Calibri" w:cs="Calibri"/>
          <w:color w:val="000000"/>
          <w:shd w:val="clear" w:color="auto" w:fill="FFFFFF"/>
        </w:rPr>
        <w:t xml:space="preserve">All publicly available products associated with this study </w:t>
      </w:r>
      <w:r w:rsidR="00C02534">
        <w:rPr>
          <w:rStyle w:val="normaltextrun"/>
          <w:rFonts w:ascii="Calibri" w:hAnsi="Calibri" w:cs="Calibri"/>
          <w:color w:val="000000"/>
          <w:shd w:val="clear" w:color="auto" w:fill="FFFFFF"/>
        </w:rPr>
        <w:t xml:space="preserve">(the HBCC-NSAC Toolkit provider questionnaire, </w:t>
      </w:r>
      <w:r w:rsidR="00840DE7">
        <w:rPr>
          <w:rStyle w:val="normaltextrun"/>
          <w:rFonts w:ascii="Calibri" w:hAnsi="Calibri" w:cs="Calibri"/>
          <w:color w:val="000000"/>
          <w:shd w:val="clear" w:color="auto" w:fill="FFFFFF"/>
        </w:rPr>
        <w:t xml:space="preserve">study findings report, and archived data) </w:t>
      </w:r>
      <w:r w:rsidR="008964B5">
        <w:rPr>
          <w:rStyle w:val="normaltextrun"/>
          <w:rFonts w:ascii="Calibri" w:hAnsi="Calibri" w:cs="Calibri"/>
          <w:color w:val="000000"/>
          <w:shd w:val="clear" w:color="auto" w:fill="FFFFFF"/>
        </w:rPr>
        <w:t>will clearly describe key limitations.</w:t>
      </w:r>
      <w:r w:rsidRPr="00AF5A7E" w:rsidR="00AF5A7E">
        <w:t xml:space="preserve"> </w:t>
      </w:r>
      <w:r w:rsidRPr="008F770F" w:rsidR="00AF5A7E">
        <w:t>This study does not include an impact evaluation and will not be used to assess participants’ outcomes.</w:t>
      </w:r>
    </w:p>
    <w:p w:rsidR="006233B8" w:rsidRPr="00867389" w:rsidP="00BD15D4" w14:paraId="7B04E467" w14:textId="77777777">
      <w:pPr>
        <w:pStyle w:val="Paragraph"/>
        <w:spacing w:after="0"/>
      </w:pPr>
    </w:p>
    <w:p w:rsidR="00A42C71" w:rsidRPr="001A59B6" w:rsidP="00A42C71" w14:paraId="21886270" w14:textId="7777777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A42C71" w14:paraId="083526BA" w14:textId="77777777">
      <w:pPr>
        <w:pStyle w:val="ListParagraph"/>
        <w:spacing w:after="0" w:line="240" w:lineRule="auto"/>
        <w:ind w:left="0"/>
        <w:rPr>
          <w:rFonts w:cstheme="minorHAnsi"/>
        </w:rPr>
      </w:pP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08E13658">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1A59B6" w:rsidP="00A42C71" w14:paraId="4C77B3BD" w14:textId="60B4A154">
      <w:pPr>
        <w:autoSpaceDE w:val="0"/>
        <w:autoSpaceDN w:val="0"/>
        <w:adjustRightInd w:val="0"/>
        <w:spacing w:after="60" w:line="240" w:lineRule="atLeast"/>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AE312B" w:rsidP="00F34810" w14:paraId="094A78D6" w14:textId="32C2DFE7">
      <w:pPr>
        <w:pStyle w:val="Paragraph"/>
        <w:spacing w:after="0"/>
      </w:pPr>
      <w:r>
        <w:rPr>
          <w:rFonts w:eastAsia="Times New Roman"/>
        </w:rPr>
        <w:t>The study team will collect information from</w:t>
      </w:r>
      <w:r w:rsidR="0086298E">
        <w:rPr>
          <w:rFonts w:eastAsia="Times New Roman"/>
        </w:rPr>
        <w:t xml:space="preserve"> </w:t>
      </w:r>
      <w:r w:rsidR="001467B4">
        <w:rPr>
          <w:rFonts w:eastAsia="Times New Roman"/>
        </w:rPr>
        <w:t xml:space="preserve">150 </w:t>
      </w:r>
      <w:r>
        <w:rPr>
          <w:rFonts w:eastAsia="Times New Roman"/>
        </w:rPr>
        <w:t xml:space="preserve">home-based providers </w:t>
      </w:r>
      <w:bookmarkStart w:id="1" w:name="_Hlk111475598"/>
      <w:r w:rsidRPr="00104ADF" w:rsidR="00104ADF">
        <w:rPr>
          <w:rFonts w:eastAsia="Times New Roman"/>
        </w:rPr>
        <w:t xml:space="preserve">who </w:t>
      </w:r>
      <w:r w:rsidR="009A2F8B">
        <w:rPr>
          <w:rFonts w:eastAsia="Times New Roman"/>
        </w:rPr>
        <w:t xml:space="preserve">at the time of collection </w:t>
      </w:r>
      <w:r w:rsidRPr="00104ADF" w:rsidR="00104ADF">
        <w:rPr>
          <w:rFonts w:eastAsia="Times New Roman"/>
        </w:rPr>
        <w:t>regularly care for at least one school-age child (age 5 and in kindergarten, or ages 6 through 12), meaning they care for the school-age child(ren)</w:t>
      </w:r>
      <w:r w:rsidR="00104ADF">
        <w:rPr>
          <w:rFonts w:eastAsia="Times New Roman"/>
        </w:rPr>
        <w:t xml:space="preserve"> </w:t>
      </w:r>
      <w:r w:rsidRPr="00104ADF" w:rsidR="00104ADF">
        <w:rPr>
          <w:rFonts w:eastAsia="Times New Roman"/>
        </w:rPr>
        <w:t>in a home at least 10 hours per week</w:t>
      </w:r>
      <w:r w:rsidR="00104ADF">
        <w:rPr>
          <w:rFonts w:eastAsia="Times New Roman"/>
        </w:rPr>
        <w:t xml:space="preserve"> and at least 8 weeks in the past year</w:t>
      </w:r>
      <w:r>
        <w:rPr>
          <w:rFonts w:eastAsia="Times New Roman"/>
        </w:rPr>
        <w:t xml:space="preserve">. The study team will also collect information from </w:t>
      </w:r>
      <w:r w:rsidR="001467B4">
        <w:rPr>
          <w:rFonts w:eastAsia="Times New Roman"/>
        </w:rPr>
        <w:t xml:space="preserve">150 </w:t>
      </w:r>
      <w:r>
        <w:rPr>
          <w:rFonts w:eastAsia="Times New Roman"/>
        </w:rPr>
        <w:t xml:space="preserve">family members with at least one school-age child in HBCC and who are most responsible for the care of the child when they are </w:t>
      </w:r>
      <w:bookmarkEnd w:id="1"/>
      <w:r w:rsidR="00484387">
        <w:rPr>
          <w:rFonts w:eastAsia="Times New Roman"/>
        </w:rPr>
        <w:t>not in the provider’s care</w:t>
      </w:r>
      <w:r>
        <w:rPr>
          <w:rFonts w:eastAsia="Times New Roman"/>
        </w:rPr>
        <w:t xml:space="preserve">. </w:t>
      </w:r>
      <w:r w:rsidR="0062340F">
        <w:rPr>
          <w:rFonts w:eastAsia="Times New Roman"/>
        </w:rPr>
        <w:t>All participants must be at least 18 years old</w:t>
      </w:r>
      <w:r w:rsidR="00F34E52">
        <w:rPr>
          <w:rFonts w:eastAsia="Times New Roman"/>
        </w:rPr>
        <w:t xml:space="preserve"> and be able to read and answer questions in English</w:t>
      </w:r>
      <w:r w:rsidR="00AB4F51">
        <w:rPr>
          <w:rFonts w:eastAsia="Times New Roman"/>
        </w:rPr>
        <w:t>; all providers must also be able to distribute the family survey to at least one eligible family</w:t>
      </w:r>
      <w:r w:rsidR="0062340F">
        <w:rPr>
          <w:rFonts w:eastAsia="Times New Roman"/>
        </w:rPr>
        <w:t xml:space="preserve">. </w:t>
      </w:r>
      <w:r>
        <w:t>The proposed approach balances cost and burden with ensuring enough information to meet the study’s analytic needs.</w:t>
      </w:r>
    </w:p>
    <w:p w:rsidR="006233B8" w:rsidP="00F34810" w14:paraId="79146F11" w14:textId="77777777">
      <w:pPr>
        <w:pStyle w:val="Paragraph"/>
        <w:spacing w:after="0"/>
      </w:pPr>
    </w:p>
    <w:p w:rsidR="002D78F7" w:rsidP="00F34810" w14:paraId="1479B947" w14:textId="58C4BC53">
      <w:pPr>
        <w:spacing w:after="0"/>
      </w:pPr>
      <w:r>
        <w:t xml:space="preserve">The study team will </w:t>
      </w:r>
      <w:r w:rsidR="007A11E3">
        <w:t xml:space="preserve">use a non-probability, </w:t>
      </w:r>
      <w:r>
        <w:t>purposive</w:t>
      </w:r>
      <w:r w:rsidR="007A11E3">
        <w:t xml:space="preserve"> approach to</w:t>
      </w:r>
      <w:r>
        <w:t xml:space="preserve"> </w:t>
      </w:r>
      <w:r w:rsidR="007A11E3">
        <w:t>select</w:t>
      </w:r>
      <w:r>
        <w:t xml:space="preserve"> providers </w:t>
      </w:r>
      <w:r w:rsidR="007A11E3">
        <w:t>to participate in the validation study</w:t>
      </w:r>
      <w:r w:rsidR="00125C40">
        <w:t xml:space="preserve"> </w:t>
      </w:r>
      <w:r w:rsidRPr="00125C40" w:rsidR="00125C40">
        <w:rPr>
          <w:rFonts w:eastAsia="Times New Roman"/>
        </w:rPr>
        <w:t xml:space="preserve">in at least 10 </w:t>
      </w:r>
      <w:r w:rsidR="00AB4F51">
        <w:rPr>
          <w:rFonts w:eastAsia="Times New Roman"/>
        </w:rPr>
        <w:t>states</w:t>
      </w:r>
      <w:r w:rsidR="00A1360B">
        <w:rPr>
          <w:rFonts w:eastAsia="Times New Roman"/>
        </w:rPr>
        <w:t xml:space="preserve"> </w:t>
      </w:r>
      <w:r w:rsidR="007F2FDC">
        <w:rPr>
          <w:rFonts w:eastAsia="Times New Roman"/>
        </w:rPr>
        <w:t>(states vary on HBCC licensing rules)</w:t>
      </w:r>
      <w:r>
        <w:t xml:space="preserve">. Because participants will be purposively selected, they will not be representative of the population of home-based providers. </w:t>
      </w:r>
      <w:r w:rsidRPr="00484BA8" w:rsidR="007A2AB4">
        <w:t>Table B.1</w:t>
      </w:r>
      <w:r w:rsidR="007A2AB4">
        <w:t xml:space="preserve"> describes </w:t>
      </w:r>
      <w:r w:rsidR="00CB6A27">
        <w:t xml:space="preserve">minimum </w:t>
      </w:r>
      <w:r w:rsidR="007A2AB4">
        <w:t>provider sample sizes</w:t>
      </w:r>
      <w:r w:rsidR="0036232B">
        <w:t xml:space="preserve"> by provider characteristic</w:t>
      </w:r>
      <w:r w:rsidR="005D241D">
        <w:t xml:space="preserve"> </w:t>
      </w:r>
      <w:r w:rsidR="003B7EB4">
        <w:t>needed to conduct the analyses described in section B7</w:t>
      </w:r>
      <w:r w:rsidR="0036232B">
        <w:t xml:space="preserve">. </w:t>
      </w:r>
    </w:p>
    <w:p w:rsidR="00F239BB" w:rsidP="00F34810" w14:paraId="36F07FB9" w14:textId="77777777">
      <w:pPr>
        <w:keepNext/>
        <w:keepLines/>
        <w:spacing w:after="0" w:line="264" w:lineRule="auto"/>
        <w:rPr>
          <w:rFonts w:ascii="Arial" w:eastAsia="Times New Roman" w:hAnsi="Arial" w:cs="Arial"/>
          <w:b/>
          <w:color w:val="000000"/>
          <w:sz w:val="20"/>
          <w:szCs w:val="20"/>
        </w:rPr>
      </w:pPr>
      <w:bookmarkStart w:id="2" w:name="_Hlk133834625"/>
    </w:p>
    <w:p w:rsidR="00C0036A" w:rsidRPr="00312A3E" w:rsidP="00C0036A" w14:paraId="26316EDA" w14:textId="22D3EB24">
      <w:pPr>
        <w:keepNext/>
        <w:keepLines/>
        <w:spacing w:before="40" w:after="40" w:line="264" w:lineRule="auto"/>
        <w:rPr>
          <w:rFonts w:ascii="Arial" w:eastAsia="Times New Roman" w:hAnsi="Arial" w:cs="Arial"/>
          <w:b/>
          <w:color w:val="000000"/>
          <w:sz w:val="20"/>
          <w:szCs w:val="20"/>
        </w:rPr>
      </w:pPr>
      <w:r w:rsidRPr="00312A3E">
        <w:rPr>
          <w:rFonts w:ascii="Arial" w:eastAsia="Times New Roman" w:hAnsi="Arial" w:cs="Arial"/>
          <w:b/>
          <w:color w:val="000000"/>
          <w:sz w:val="20"/>
          <w:szCs w:val="20"/>
        </w:rPr>
        <w:t xml:space="preserve">Table B.1. </w:t>
      </w:r>
      <w:bookmarkEnd w:id="2"/>
      <w:r w:rsidRPr="00312A3E" w:rsidR="00E61707">
        <w:rPr>
          <w:rFonts w:ascii="Arial" w:eastAsia="Times New Roman" w:hAnsi="Arial" w:cs="Arial"/>
          <w:b/>
          <w:color w:val="000000"/>
          <w:sz w:val="20"/>
          <w:szCs w:val="20"/>
        </w:rPr>
        <w:t>Minimum provid</w:t>
      </w:r>
      <w:r w:rsidRPr="00312A3E" w:rsidR="00334C70">
        <w:rPr>
          <w:rFonts w:ascii="Arial" w:eastAsia="Times New Roman" w:hAnsi="Arial" w:cs="Arial"/>
          <w:b/>
          <w:color w:val="000000"/>
          <w:sz w:val="20"/>
          <w:szCs w:val="20"/>
        </w:rPr>
        <w:t xml:space="preserve">er </w:t>
      </w:r>
      <w:r w:rsidRPr="00312A3E">
        <w:rPr>
          <w:rFonts w:ascii="Arial" w:eastAsia="Times New Roman" w:hAnsi="Arial" w:cs="Arial"/>
          <w:b/>
          <w:color w:val="000000"/>
          <w:sz w:val="20"/>
          <w:szCs w:val="20"/>
        </w:rPr>
        <w:t xml:space="preserve">sample sizes </w:t>
      </w:r>
      <w:r w:rsidRPr="00312A3E" w:rsidR="00334C70">
        <w:rPr>
          <w:rFonts w:ascii="Arial" w:eastAsia="Times New Roman" w:hAnsi="Arial" w:cs="Arial"/>
          <w:b/>
          <w:color w:val="000000"/>
          <w:sz w:val="20"/>
          <w:szCs w:val="20"/>
        </w:rPr>
        <w:t xml:space="preserve">by provider </w:t>
      </w:r>
      <w:r w:rsidRPr="00312A3E" w:rsidR="00BB3B88">
        <w:rPr>
          <w:rFonts w:ascii="Arial" w:eastAsia="Times New Roman" w:hAnsi="Arial" w:cs="Arial"/>
          <w:b/>
          <w:color w:val="000000"/>
          <w:sz w:val="20"/>
          <w:szCs w:val="20"/>
        </w:rPr>
        <w:t>characteristic</w:t>
      </w:r>
      <w:r w:rsidRPr="00312A3E">
        <w:rPr>
          <w:rFonts w:ascii="Arial" w:eastAsia="Times New Roman" w:hAnsi="Arial" w:cs="Arial"/>
          <w:b/>
          <w:color w:val="000000"/>
          <w:sz w:val="20"/>
          <w:szCs w:val="20"/>
        </w:rPr>
        <w:t xml:space="preserve"> </w:t>
      </w:r>
    </w:p>
    <w:tbl>
      <w:tblPr>
        <w:tblW w:w="76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5"/>
        <w:gridCol w:w="4073"/>
      </w:tblGrid>
      <w:tr w14:paraId="0B84A6B5" w14:textId="77777777" w:rsidTr="00484BA8">
        <w:tblPrEx>
          <w:tblW w:w="765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3585" w:type="dxa"/>
            <w:shd w:val="clear" w:color="auto" w:fill="046B5C"/>
            <w:vAlign w:val="center"/>
          </w:tcPr>
          <w:p w:rsidR="00C0036A" w:rsidRPr="00312A3E" w:rsidP="00513604" w14:paraId="5176739E" w14:textId="77777777">
            <w:pPr>
              <w:spacing w:after="0" w:line="240" w:lineRule="auto"/>
              <w:rPr>
                <w:rFonts w:ascii="Arial" w:eastAsia="Times New Roman" w:hAnsi="Arial" w:cs="Arial"/>
                <w:b/>
                <w:bCs/>
                <w:color w:val="FFFFFF"/>
                <w:sz w:val="18"/>
                <w:szCs w:val="18"/>
              </w:rPr>
            </w:pPr>
            <w:r w:rsidRPr="00312A3E">
              <w:rPr>
                <w:rFonts w:ascii="Arial" w:eastAsia="Times New Roman" w:hAnsi="Arial" w:cs="Arial"/>
                <w:b/>
                <w:bCs/>
                <w:color w:val="FFFFFF"/>
                <w:sz w:val="18"/>
                <w:szCs w:val="18"/>
              </w:rPr>
              <w:t>Provider characteristics</w:t>
            </w:r>
          </w:p>
        </w:tc>
        <w:tc>
          <w:tcPr>
            <w:tcW w:w="4073" w:type="dxa"/>
            <w:shd w:val="clear" w:color="auto" w:fill="046B5C"/>
            <w:vAlign w:val="center"/>
          </w:tcPr>
          <w:p w:rsidR="00C0036A" w:rsidRPr="00312A3E" w:rsidP="00C0036A" w14:paraId="483E46BF" w14:textId="63B62E09">
            <w:pPr>
              <w:spacing w:after="0" w:line="240" w:lineRule="auto"/>
              <w:jc w:val="center"/>
              <w:rPr>
                <w:rFonts w:ascii="Arial" w:eastAsia="Times New Roman" w:hAnsi="Arial" w:cs="Arial"/>
                <w:b/>
                <w:bCs/>
                <w:color w:val="FFFFFF"/>
                <w:sz w:val="18"/>
                <w:szCs w:val="18"/>
              </w:rPr>
            </w:pPr>
            <w:r>
              <w:rPr>
                <w:rFonts w:ascii="Arial" w:eastAsia="Times New Roman" w:hAnsi="Arial" w:cs="Arial"/>
                <w:b/>
                <w:bCs/>
                <w:color w:val="FFFFFF"/>
                <w:sz w:val="18"/>
                <w:szCs w:val="18"/>
              </w:rPr>
              <w:t>Minimum provider sample size</w:t>
            </w:r>
          </w:p>
        </w:tc>
      </w:tr>
      <w:tr w14:paraId="07130CA2" w14:textId="77777777" w:rsidTr="3880212B">
        <w:tblPrEx>
          <w:tblW w:w="7658" w:type="dxa"/>
          <w:tblInd w:w="10" w:type="dxa"/>
          <w:tblLook w:val="04A0"/>
        </w:tblPrEx>
        <w:trPr>
          <w:trHeight w:val="20"/>
        </w:trPr>
        <w:tc>
          <w:tcPr>
            <w:tcW w:w="3585" w:type="dxa"/>
            <w:shd w:val="clear" w:color="auto" w:fill="0B2949"/>
            <w:vAlign w:val="center"/>
            <w:hideMark/>
          </w:tcPr>
          <w:p w:rsidR="00C0036A" w:rsidRPr="00312A3E" w:rsidP="00C0036A" w14:paraId="7AFC1683" w14:textId="77777777">
            <w:pPr>
              <w:spacing w:after="0" w:line="240" w:lineRule="auto"/>
              <w:rPr>
                <w:rFonts w:ascii="Arial" w:eastAsia="Times New Roman" w:hAnsi="Arial" w:cs="Arial"/>
                <w:b/>
                <w:bCs/>
                <w:color w:val="FFFFFF"/>
                <w:sz w:val="18"/>
                <w:szCs w:val="18"/>
              </w:rPr>
            </w:pPr>
            <w:r w:rsidRPr="00312A3E">
              <w:rPr>
                <w:rFonts w:ascii="Arial" w:eastAsia="Times New Roman" w:hAnsi="Arial" w:cs="Arial"/>
                <w:b/>
                <w:bCs/>
                <w:color w:val="FFFFFF"/>
                <w:sz w:val="18"/>
                <w:szCs w:val="18"/>
              </w:rPr>
              <w:t>Type of HBCC</w:t>
            </w:r>
          </w:p>
        </w:tc>
        <w:tc>
          <w:tcPr>
            <w:tcW w:w="4073" w:type="dxa"/>
            <w:shd w:val="clear" w:color="auto" w:fill="0B2949"/>
            <w:vAlign w:val="center"/>
          </w:tcPr>
          <w:p w:rsidR="00C0036A" w:rsidRPr="00312A3E" w:rsidP="00C0036A" w14:paraId="33F8989A" w14:textId="77777777">
            <w:pPr>
              <w:spacing w:after="0" w:line="240" w:lineRule="auto"/>
              <w:jc w:val="center"/>
              <w:rPr>
                <w:rFonts w:ascii="Arial" w:eastAsia="Times New Roman" w:hAnsi="Arial" w:cs="Arial"/>
                <w:b/>
                <w:bCs/>
                <w:color w:val="FFFFFF"/>
                <w:sz w:val="18"/>
                <w:szCs w:val="18"/>
              </w:rPr>
            </w:pPr>
          </w:p>
        </w:tc>
      </w:tr>
      <w:tr w14:paraId="2A04D2A6" w14:textId="77777777" w:rsidTr="3880212B">
        <w:tblPrEx>
          <w:tblW w:w="7658" w:type="dxa"/>
          <w:tblInd w:w="10" w:type="dxa"/>
          <w:tblLook w:val="04A0"/>
        </w:tblPrEx>
        <w:trPr>
          <w:trHeight w:val="20"/>
        </w:trPr>
        <w:tc>
          <w:tcPr>
            <w:tcW w:w="3585" w:type="dxa"/>
            <w:shd w:val="clear" w:color="auto" w:fill="FFFFFF" w:themeFill="background1"/>
            <w:vAlign w:val="center"/>
            <w:hideMark/>
          </w:tcPr>
          <w:p w:rsidR="00C0036A" w:rsidRPr="00312A3E" w:rsidP="00C0036A" w14:paraId="00D848FF" w14:textId="18A34C2A">
            <w:pPr>
              <w:spacing w:after="0" w:line="240" w:lineRule="auto"/>
              <w:rPr>
                <w:rFonts w:ascii="Arial" w:eastAsia="Times New Roman" w:hAnsi="Arial" w:cs="Arial"/>
                <w:color w:val="000000"/>
                <w:sz w:val="18"/>
                <w:szCs w:val="18"/>
              </w:rPr>
            </w:pPr>
            <w:r w:rsidRPr="00312A3E">
              <w:rPr>
                <w:rFonts w:ascii="Arial" w:eastAsia="Times New Roman" w:hAnsi="Arial" w:cs="Arial"/>
                <w:color w:val="000000"/>
                <w:sz w:val="18"/>
                <w:szCs w:val="18"/>
              </w:rPr>
              <w:t>FCC</w:t>
            </w:r>
          </w:p>
        </w:tc>
        <w:tc>
          <w:tcPr>
            <w:tcW w:w="4073" w:type="dxa"/>
            <w:shd w:val="clear" w:color="auto" w:fill="FFFFFF" w:themeFill="background1"/>
            <w:vAlign w:val="center"/>
            <w:hideMark/>
          </w:tcPr>
          <w:p w:rsidR="00C0036A" w:rsidRPr="00312A3E" w:rsidP="00C0036A" w14:paraId="0474FD36" w14:textId="26C7049F">
            <w:pPr>
              <w:spacing w:after="0" w:line="240" w:lineRule="auto"/>
              <w:jc w:val="center"/>
              <w:rPr>
                <w:rFonts w:ascii="Arial" w:eastAsia="Times New Roman" w:hAnsi="Arial" w:cs="Arial"/>
                <w:color w:val="000000"/>
                <w:sz w:val="18"/>
                <w:szCs w:val="18"/>
                <w:vertAlign w:val="superscript"/>
              </w:rPr>
            </w:pPr>
            <w:r w:rsidRPr="00312A3E">
              <w:rPr>
                <w:rFonts w:ascii="Arial" w:eastAsia="Times New Roman" w:hAnsi="Arial" w:cs="Arial"/>
                <w:color w:val="000000"/>
                <w:sz w:val="18"/>
                <w:szCs w:val="18"/>
              </w:rPr>
              <w:t>80</w:t>
            </w:r>
          </w:p>
        </w:tc>
      </w:tr>
      <w:tr w14:paraId="683A6726" w14:textId="77777777" w:rsidTr="3880212B">
        <w:tblPrEx>
          <w:tblW w:w="7658" w:type="dxa"/>
          <w:tblInd w:w="10" w:type="dxa"/>
          <w:tblLook w:val="04A0"/>
        </w:tblPrEx>
        <w:trPr>
          <w:trHeight w:val="20"/>
        </w:trPr>
        <w:tc>
          <w:tcPr>
            <w:tcW w:w="3585" w:type="dxa"/>
            <w:shd w:val="clear" w:color="auto" w:fill="FFFFFF" w:themeFill="background1"/>
            <w:vAlign w:val="center"/>
            <w:hideMark/>
          </w:tcPr>
          <w:p w:rsidR="00C0036A" w:rsidRPr="00312A3E" w:rsidP="00C0036A" w14:paraId="1611E3C2" w14:textId="4BADA7C6">
            <w:pPr>
              <w:spacing w:after="0" w:line="240" w:lineRule="auto"/>
              <w:rPr>
                <w:rFonts w:ascii="Arial" w:eastAsia="Times New Roman" w:hAnsi="Arial" w:cs="Arial"/>
                <w:color w:val="000000"/>
                <w:sz w:val="18"/>
                <w:szCs w:val="18"/>
              </w:rPr>
            </w:pPr>
            <w:r w:rsidRPr="00312A3E">
              <w:rPr>
                <w:rFonts w:ascii="Arial" w:eastAsia="Times New Roman" w:hAnsi="Arial" w:cs="Arial"/>
                <w:color w:val="000000"/>
                <w:sz w:val="18"/>
                <w:szCs w:val="18"/>
              </w:rPr>
              <w:t>FFN</w:t>
            </w:r>
          </w:p>
        </w:tc>
        <w:tc>
          <w:tcPr>
            <w:tcW w:w="4073" w:type="dxa"/>
            <w:shd w:val="clear" w:color="auto" w:fill="FFFFFF" w:themeFill="background1"/>
            <w:vAlign w:val="center"/>
            <w:hideMark/>
          </w:tcPr>
          <w:p w:rsidR="00C0036A" w:rsidRPr="00312A3E" w:rsidP="00C0036A" w14:paraId="475B5108" w14:textId="6260741D">
            <w:pPr>
              <w:spacing w:after="0" w:line="240" w:lineRule="auto"/>
              <w:jc w:val="center"/>
              <w:rPr>
                <w:rFonts w:ascii="Arial" w:eastAsia="Times New Roman" w:hAnsi="Arial" w:cs="Arial"/>
                <w:color w:val="000000"/>
                <w:sz w:val="18"/>
                <w:szCs w:val="18"/>
              </w:rPr>
            </w:pPr>
            <w:r w:rsidRPr="00312A3E">
              <w:rPr>
                <w:rFonts w:ascii="Arial" w:eastAsia="Times New Roman" w:hAnsi="Arial" w:cs="Arial"/>
                <w:color w:val="000000"/>
                <w:sz w:val="18"/>
                <w:szCs w:val="18"/>
              </w:rPr>
              <w:t>3</w:t>
            </w:r>
            <w:r>
              <w:rPr>
                <w:rFonts w:ascii="Arial" w:eastAsia="Times New Roman" w:hAnsi="Arial" w:cs="Arial"/>
                <w:color w:val="000000"/>
                <w:sz w:val="18"/>
                <w:szCs w:val="18"/>
              </w:rPr>
              <w:t>5</w:t>
            </w:r>
          </w:p>
        </w:tc>
      </w:tr>
      <w:tr w14:paraId="39BF6578" w14:textId="77777777" w:rsidTr="3880212B">
        <w:tblPrEx>
          <w:tblW w:w="7658" w:type="dxa"/>
          <w:tblInd w:w="10" w:type="dxa"/>
          <w:tblLook w:val="04A0"/>
        </w:tblPrEx>
        <w:trPr>
          <w:trHeight w:val="20"/>
        </w:trPr>
        <w:tc>
          <w:tcPr>
            <w:tcW w:w="3585" w:type="dxa"/>
            <w:shd w:val="clear" w:color="auto" w:fill="0B2949"/>
            <w:vAlign w:val="center"/>
            <w:hideMark/>
          </w:tcPr>
          <w:p w:rsidR="00C0036A" w:rsidRPr="00312A3E" w:rsidP="00C0036A" w14:paraId="239402B6" w14:textId="77777777">
            <w:pPr>
              <w:spacing w:after="0" w:line="240" w:lineRule="auto"/>
              <w:rPr>
                <w:rFonts w:ascii="Arial" w:eastAsia="Times New Roman" w:hAnsi="Arial" w:cs="Arial"/>
                <w:b/>
                <w:bCs/>
                <w:color w:val="FFFFFF"/>
                <w:sz w:val="18"/>
                <w:szCs w:val="18"/>
              </w:rPr>
            </w:pPr>
            <w:r w:rsidRPr="00312A3E">
              <w:rPr>
                <w:rFonts w:ascii="Arial" w:eastAsia="Times New Roman" w:hAnsi="Arial" w:cs="Arial"/>
                <w:b/>
                <w:bCs/>
                <w:color w:val="FFFFFF"/>
                <w:sz w:val="18"/>
                <w:szCs w:val="18"/>
              </w:rPr>
              <w:t>Urbanicity</w:t>
            </w:r>
          </w:p>
        </w:tc>
        <w:tc>
          <w:tcPr>
            <w:tcW w:w="4073" w:type="dxa"/>
            <w:shd w:val="clear" w:color="auto" w:fill="0B2949"/>
            <w:vAlign w:val="center"/>
            <w:hideMark/>
          </w:tcPr>
          <w:p w:rsidR="00C0036A" w:rsidRPr="00312A3E" w:rsidP="00C0036A" w14:paraId="0038B4CC" w14:textId="77777777">
            <w:pPr>
              <w:spacing w:after="0" w:line="240" w:lineRule="auto"/>
              <w:jc w:val="center"/>
              <w:rPr>
                <w:rFonts w:ascii="Arial" w:eastAsia="Times New Roman" w:hAnsi="Arial" w:cs="Arial"/>
                <w:b/>
                <w:bCs/>
                <w:color w:val="FFFFFF"/>
                <w:sz w:val="18"/>
                <w:szCs w:val="18"/>
              </w:rPr>
            </w:pPr>
            <w:r w:rsidRPr="00312A3E">
              <w:rPr>
                <w:rFonts w:ascii="Arial" w:eastAsia="Times New Roman" w:hAnsi="Arial" w:cs="Arial"/>
                <w:b/>
                <w:bCs/>
                <w:color w:val="FFFFFF"/>
                <w:sz w:val="18"/>
                <w:szCs w:val="18"/>
              </w:rPr>
              <w:t> </w:t>
            </w:r>
          </w:p>
        </w:tc>
      </w:tr>
      <w:tr w14:paraId="5686C1EA" w14:textId="77777777" w:rsidTr="3880212B">
        <w:tblPrEx>
          <w:tblW w:w="7658" w:type="dxa"/>
          <w:tblInd w:w="10" w:type="dxa"/>
          <w:tblLook w:val="04A0"/>
        </w:tblPrEx>
        <w:trPr>
          <w:trHeight w:val="20"/>
        </w:trPr>
        <w:tc>
          <w:tcPr>
            <w:tcW w:w="3585" w:type="dxa"/>
            <w:shd w:val="clear" w:color="auto" w:fill="FFFFFF" w:themeFill="background1"/>
            <w:vAlign w:val="center"/>
            <w:hideMark/>
          </w:tcPr>
          <w:p w:rsidR="00C0036A" w:rsidRPr="00312A3E" w:rsidP="00C0036A" w14:paraId="7EA48F2D" w14:textId="77777777">
            <w:pPr>
              <w:spacing w:after="0" w:line="240" w:lineRule="auto"/>
              <w:rPr>
                <w:rFonts w:ascii="Arial" w:eastAsia="Times New Roman" w:hAnsi="Arial" w:cs="Arial"/>
                <w:color w:val="000000"/>
                <w:sz w:val="18"/>
                <w:szCs w:val="18"/>
              </w:rPr>
            </w:pPr>
            <w:r w:rsidRPr="00312A3E">
              <w:rPr>
                <w:rFonts w:ascii="Arial" w:eastAsia="Times New Roman" w:hAnsi="Arial" w:cs="Arial"/>
                <w:color w:val="000000"/>
                <w:sz w:val="18"/>
                <w:szCs w:val="18"/>
              </w:rPr>
              <w:t>Urban</w:t>
            </w:r>
          </w:p>
        </w:tc>
        <w:tc>
          <w:tcPr>
            <w:tcW w:w="4073" w:type="dxa"/>
            <w:shd w:val="clear" w:color="auto" w:fill="FFFFFF" w:themeFill="background1"/>
            <w:vAlign w:val="center"/>
            <w:hideMark/>
          </w:tcPr>
          <w:p w:rsidR="00C0036A" w:rsidRPr="00312A3E" w:rsidP="00C0036A" w14:paraId="0A15BAEB" w14:textId="29536E0E">
            <w:pPr>
              <w:spacing w:after="0" w:line="240" w:lineRule="auto"/>
              <w:jc w:val="center"/>
              <w:rPr>
                <w:rFonts w:ascii="Arial" w:eastAsia="Times New Roman" w:hAnsi="Arial" w:cs="Arial"/>
                <w:color w:val="000000"/>
                <w:sz w:val="18"/>
                <w:szCs w:val="18"/>
              </w:rPr>
            </w:pPr>
            <w:r w:rsidRPr="00312A3E">
              <w:rPr>
                <w:rFonts w:ascii="Arial" w:eastAsia="Times New Roman" w:hAnsi="Arial" w:cs="Arial"/>
                <w:color w:val="000000"/>
                <w:sz w:val="18"/>
                <w:szCs w:val="18"/>
              </w:rPr>
              <w:t>3</w:t>
            </w:r>
            <w:r>
              <w:rPr>
                <w:rFonts w:ascii="Arial" w:eastAsia="Times New Roman" w:hAnsi="Arial" w:cs="Arial"/>
                <w:color w:val="000000"/>
                <w:sz w:val="18"/>
                <w:szCs w:val="18"/>
              </w:rPr>
              <w:t>5</w:t>
            </w:r>
          </w:p>
        </w:tc>
      </w:tr>
      <w:tr w14:paraId="022F62BC" w14:textId="77777777" w:rsidTr="00A17E72">
        <w:tblPrEx>
          <w:tblW w:w="7658" w:type="dxa"/>
          <w:tblInd w:w="10" w:type="dxa"/>
          <w:tblLook w:val="04A0"/>
        </w:tblPrEx>
        <w:trPr>
          <w:trHeight w:val="300"/>
        </w:trPr>
        <w:tc>
          <w:tcPr>
            <w:tcW w:w="3585" w:type="dxa"/>
            <w:shd w:val="clear" w:color="auto" w:fill="FFFFFF" w:themeFill="background1"/>
            <w:vAlign w:val="center"/>
            <w:hideMark/>
          </w:tcPr>
          <w:p w:rsidR="00C0036A" w:rsidRPr="00312A3E" w:rsidP="00C0036A" w14:paraId="0ACA04DA" w14:textId="77777777">
            <w:pPr>
              <w:spacing w:after="0" w:line="240" w:lineRule="auto"/>
              <w:rPr>
                <w:rFonts w:ascii="Arial" w:eastAsia="Times New Roman" w:hAnsi="Arial" w:cs="Arial"/>
                <w:color w:val="000000"/>
                <w:sz w:val="18"/>
                <w:szCs w:val="18"/>
              </w:rPr>
            </w:pPr>
            <w:r w:rsidRPr="00312A3E">
              <w:rPr>
                <w:rFonts w:ascii="Arial" w:eastAsia="Times New Roman" w:hAnsi="Arial" w:cs="Arial"/>
                <w:color w:val="000000"/>
                <w:sz w:val="18"/>
                <w:szCs w:val="18"/>
              </w:rPr>
              <w:t>Rural</w:t>
            </w:r>
          </w:p>
        </w:tc>
        <w:tc>
          <w:tcPr>
            <w:tcW w:w="4073" w:type="dxa"/>
            <w:shd w:val="clear" w:color="auto" w:fill="FFFFFF" w:themeFill="background1"/>
            <w:vAlign w:val="center"/>
            <w:hideMark/>
          </w:tcPr>
          <w:p w:rsidR="00C0036A" w:rsidRPr="00312A3E" w:rsidP="00C0036A" w14:paraId="0328E6AE" w14:textId="25634602">
            <w:pPr>
              <w:spacing w:after="0" w:line="240" w:lineRule="auto"/>
              <w:jc w:val="center"/>
              <w:rPr>
                <w:rFonts w:ascii="Arial" w:eastAsia="Times New Roman" w:hAnsi="Arial" w:cs="Arial"/>
                <w:color w:val="000000"/>
                <w:sz w:val="18"/>
                <w:szCs w:val="18"/>
              </w:rPr>
            </w:pPr>
            <w:r w:rsidRPr="00312A3E">
              <w:rPr>
                <w:rFonts w:ascii="Arial" w:eastAsia="Times New Roman" w:hAnsi="Arial" w:cs="Arial"/>
                <w:color w:val="000000"/>
                <w:sz w:val="18"/>
                <w:szCs w:val="18"/>
              </w:rPr>
              <w:t>3</w:t>
            </w:r>
            <w:r>
              <w:rPr>
                <w:rFonts w:ascii="Arial" w:eastAsia="Times New Roman" w:hAnsi="Arial" w:cs="Arial"/>
                <w:color w:val="000000"/>
                <w:sz w:val="18"/>
                <w:szCs w:val="18"/>
              </w:rPr>
              <w:t>5</w:t>
            </w:r>
          </w:p>
        </w:tc>
      </w:tr>
      <w:tr w14:paraId="7FF26AD3" w14:textId="40A8AB91" w:rsidTr="3880212B">
        <w:tblPrEx>
          <w:tblW w:w="7658" w:type="dxa"/>
          <w:tblInd w:w="10" w:type="dxa"/>
          <w:tblLook w:val="04A0"/>
        </w:tblPrEx>
        <w:trPr>
          <w:trHeight w:val="20"/>
        </w:trPr>
        <w:tc>
          <w:tcPr>
            <w:tcW w:w="3585" w:type="dxa"/>
            <w:shd w:val="clear" w:color="auto" w:fill="0B2949"/>
            <w:vAlign w:val="center"/>
            <w:hideMark/>
          </w:tcPr>
          <w:p w:rsidR="005D05A2" w:rsidRPr="00312A3E" w:rsidP="005D05A2" w14:paraId="6EEB7619" w14:textId="5FC4341A">
            <w:pPr>
              <w:spacing w:after="0" w:line="240" w:lineRule="auto"/>
              <w:rPr>
                <w:rFonts w:ascii="Arial" w:eastAsia="Times New Roman" w:hAnsi="Arial" w:cs="Arial"/>
                <w:b/>
                <w:bCs/>
                <w:color w:val="FFFFFF"/>
                <w:sz w:val="18"/>
                <w:szCs w:val="18"/>
              </w:rPr>
            </w:pPr>
            <w:r w:rsidRPr="00312A3E">
              <w:rPr>
                <w:rFonts w:ascii="Arial" w:eastAsia="Times New Roman" w:hAnsi="Arial" w:cs="Arial"/>
                <w:b/>
                <w:bCs/>
                <w:color w:val="FFFFFF"/>
                <w:sz w:val="18"/>
                <w:szCs w:val="18"/>
              </w:rPr>
              <w:t>Race</w:t>
            </w:r>
            <w:r w:rsidR="00420CCF">
              <w:rPr>
                <w:rFonts w:ascii="Arial" w:eastAsia="Times New Roman" w:hAnsi="Arial" w:cs="Arial"/>
                <w:b/>
                <w:bCs/>
                <w:color w:val="FFFFFF"/>
                <w:sz w:val="18"/>
                <w:szCs w:val="18"/>
              </w:rPr>
              <w:t xml:space="preserve"> and </w:t>
            </w:r>
            <w:r w:rsidRPr="00312A3E">
              <w:rPr>
                <w:rFonts w:ascii="Arial" w:eastAsia="Times New Roman" w:hAnsi="Arial" w:cs="Arial"/>
                <w:b/>
                <w:bCs/>
                <w:color w:val="FFFFFF"/>
                <w:sz w:val="18"/>
                <w:szCs w:val="18"/>
              </w:rPr>
              <w:t>ethnicity</w:t>
            </w:r>
          </w:p>
        </w:tc>
        <w:tc>
          <w:tcPr>
            <w:tcW w:w="4073" w:type="dxa"/>
            <w:shd w:val="clear" w:color="auto" w:fill="0B2949"/>
            <w:vAlign w:val="center"/>
            <w:hideMark/>
          </w:tcPr>
          <w:p w:rsidR="005D05A2" w:rsidRPr="00312A3E" w:rsidP="005D05A2" w14:paraId="5A1E98F1" w14:textId="36E9C148">
            <w:pPr>
              <w:spacing w:after="0" w:line="240" w:lineRule="auto"/>
              <w:jc w:val="center"/>
              <w:rPr>
                <w:rFonts w:ascii="Arial" w:eastAsia="Times New Roman" w:hAnsi="Arial" w:cs="Arial"/>
                <w:b/>
                <w:bCs/>
                <w:color w:val="FFFFFF"/>
                <w:sz w:val="18"/>
                <w:szCs w:val="18"/>
              </w:rPr>
            </w:pPr>
            <w:r w:rsidRPr="00312A3E">
              <w:rPr>
                <w:rFonts w:ascii="Arial" w:eastAsia="Times New Roman" w:hAnsi="Arial" w:cs="Arial"/>
                <w:b/>
                <w:bCs/>
                <w:color w:val="FFFFFF"/>
                <w:sz w:val="18"/>
                <w:szCs w:val="18"/>
              </w:rPr>
              <w:t> </w:t>
            </w:r>
          </w:p>
        </w:tc>
      </w:tr>
      <w:tr w14:paraId="19BDD196" w14:textId="316AE594" w:rsidTr="3880212B">
        <w:tblPrEx>
          <w:tblW w:w="7658" w:type="dxa"/>
          <w:tblInd w:w="10" w:type="dxa"/>
          <w:tblLook w:val="04A0"/>
        </w:tblPrEx>
        <w:trPr>
          <w:trHeight w:val="20"/>
        </w:trPr>
        <w:tc>
          <w:tcPr>
            <w:tcW w:w="3585" w:type="dxa"/>
            <w:shd w:val="clear" w:color="auto" w:fill="FFFFFF" w:themeFill="background1"/>
            <w:vAlign w:val="center"/>
            <w:hideMark/>
          </w:tcPr>
          <w:p w:rsidR="005D05A2" w:rsidRPr="00312A3E" w:rsidP="005D05A2" w14:paraId="11F926B4" w14:textId="77670B5B">
            <w:pPr>
              <w:spacing w:after="0" w:line="240" w:lineRule="auto"/>
              <w:rPr>
                <w:rFonts w:ascii="Arial" w:eastAsia="Times New Roman" w:hAnsi="Arial" w:cs="Arial"/>
                <w:color w:val="000000"/>
                <w:sz w:val="18"/>
                <w:szCs w:val="18"/>
              </w:rPr>
            </w:pPr>
            <w:r w:rsidRPr="00312A3E">
              <w:rPr>
                <w:rFonts w:ascii="Arial" w:eastAsia="Times New Roman" w:hAnsi="Arial" w:cs="Arial"/>
                <w:color w:val="000000"/>
                <w:sz w:val="18"/>
                <w:szCs w:val="18"/>
              </w:rPr>
              <w:t>Black</w:t>
            </w:r>
          </w:p>
        </w:tc>
        <w:tc>
          <w:tcPr>
            <w:tcW w:w="4073" w:type="dxa"/>
            <w:shd w:val="clear" w:color="auto" w:fill="FFFFFF" w:themeFill="background1"/>
            <w:vAlign w:val="center"/>
            <w:hideMark/>
          </w:tcPr>
          <w:p w:rsidR="005D05A2" w:rsidRPr="00312A3E" w:rsidP="005D05A2" w14:paraId="1E4E7938" w14:textId="050FB8A5">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r>
              <w:rPr>
                <w:rFonts w:ascii="Arial" w:eastAsia="Times New Roman" w:hAnsi="Arial" w:cs="Arial"/>
                <w:sz w:val="18"/>
                <w:szCs w:val="18"/>
              </w:rPr>
              <w:t>5</w:t>
            </w:r>
          </w:p>
        </w:tc>
      </w:tr>
      <w:tr w14:paraId="0EDEE488" w14:textId="060F1381" w:rsidTr="3880212B">
        <w:tblPrEx>
          <w:tblW w:w="7658" w:type="dxa"/>
          <w:tblInd w:w="10" w:type="dxa"/>
          <w:tblLook w:val="04A0"/>
        </w:tblPrEx>
        <w:trPr>
          <w:trHeight w:val="20"/>
        </w:trPr>
        <w:tc>
          <w:tcPr>
            <w:tcW w:w="3585" w:type="dxa"/>
            <w:shd w:val="clear" w:color="auto" w:fill="FFFFFF" w:themeFill="background1"/>
            <w:vAlign w:val="center"/>
            <w:hideMark/>
          </w:tcPr>
          <w:p w:rsidR="005D05A2" w:rsidRPr="00312A3E" w:rsidP="005D05A2" w14:paraId="221E2D7A" w14:textId="3CF1E377">
            <w:pPr>
              <w:spacing w:after="0" w:line="240" w:lineRule="auto"/>
              <w:rPr>
                <w:rFonts w:ascii="Arial" w:eastAsia="Times New Roman" w:hAnsi="Arial" w:cs="Arial"/>
                <w:color w:val="000000"/>
                <w:sz w:val="18"/>
                <w:szCs w:val="18"/>
              </w:rPr>
            </w:pPr>
            <w:r w:rsidRPr="00312A3E">
              <w:rPr>
                <w:rFonts w:ascii="Arial" w:eastAsia="Times New Roman" w:hAnsi="Arial" w:cs="Arial"/>
                <w:color w:val="000000"/>
                <w:sz w:val="18"/>
                <w:szCs w:val="18"/>
              </w:rPr>
              <w:t>White</w:t>
            </w:r>
          </w:p>
        </w:tc>
        <w:tc>
          <w:tcPr>
            <w:tcW w:w="4073" w:type="dxa"/>
            <w:shd w:val="clear" w:color="auto" w:fill="FFFFFF" w:themeFill="background1"/>
            <w:vAlign w:val="center"/>
            <w:hideMark/>
          </w:tcPr>
          <w:p w:rsidR="005D05A2" w:rsidRPr="00312A3E" w:rsidP="005D05A2" w14:paraId="7AC36DD2" w14:textId="7D8F9C7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w:t>
            </w:r>
            <w:r w:rsidRPr="00312A3E">
              <w:rPr>
                <w:rFonts w:ascii="Arial" w:eastAsia="Times New Roman" w:hAnsi="Arial" w:cs="Arial"/>
                <w:color w:val="000000"/>
                <w:sz w:val="18"/>
                <w:szCs w:val="18"/>
              </w:rPr>
              <w:t>0</w:t>
            </w:r>
          </w:p>
        </w:tc>
      </w:tr>
      <w:tr w14:paraId="10DAC3C2" w14:textId="1F6B8C1C" w:rsidTr="3880212B">
        <w:tblPrEx>
          <w:tblW w:w="7658" w:type="dxa"/>
          <w:tblInd w:w="10" w:type="dxa"/>
          <w:tblLook w:val="04A0"/>
        </w:tblPrEx>
        <w:trPr>
          <w:trHeight w:val="20"/>
        </w:trPr>
        <w:tc>
          <w:tcPr>
            <w:tcW w:w="3585" w:type="dxa"/>
            <w:shd w:val="clear" w:color="auto" w:fill="FFFFFF" w:themeFill="background1"/>
            <w:vAlign w:val="center"/>
            <w:hideMark/>
          </w:tcPr>
          <w:p w:rsidR="005D05A2" w:rsidRPr="00312A3E" w:rsidP="005D05A2" w14:paraId="17F1E750" w14:textId="43F82EBD">
            <w:pPr>
              <w:spacing w:after="0" w:line="240" w:lineRule="auto"/>
              <w:rPr>
                <w:rFonts w:ascii="Arial" w:eastAsia="Times New Roman" w:hAnsi="Arial" w:cs="Arial"/>
                <w:color w:val="000000"/>
                <w:sz w:val="18"/>
                <w:szCs w:val="18"/>
              </w:rPr>
            </w:pPr>
            <w:r w:rsidRPr="00312A3E">
              <w:rPr>
                <w:rFonts w:ascii="Arial" w:eastAsia="Times New Roman" w:hAnsi="Arial" w:cs="Arial"/>
                <w:color w:val="000000"/>
                <w:sz w:val="18"/>
                <w:szCs w:val="18"/>
              </w:rPr>
              <w:t>Hispanic</w:t>
            </w:r>
          </w:p>
        </w:tc>
        <w:tc>
          <w:tcPr>
            <w:tcW w:w="4073" w:type="dxa"/>
            <w:shd w:val="clear" w:color="auto" w:fill="FFFFFF" w:themeFill="background1"/>
            <w:vAlign w:val="center"/>
            <w:hideMark/>
          </w:tcPr>
          <w:p w:rsidR="005D05A2" w:rsidRPr="00312A3E" w:rsidP="005D05A2" w14:paraId="36439A7D" w14:textId="22FF62A4">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w:t>
            </w:r>
            <w:r w:rsidRPr="00312A3E">
              <w:rPr>
                <w:rFonts w:ascii="Arial" w:eastAsia="Times New Roman" w:hAnsi="Arial" w:cs="Arial"/>
                <w:color w:val="000000"/>
                <w:sz w:val="18"/>
                <w:szCs w:val="18"/>
              </w:rPr>
              <w:t>0</w:t>
            </w:r>
          </w:p>
        </w:tc>
      </w:tr>
      <w:tr w14:paraId="725CD68F" w14:textId="34F9127B" w:rsidTr="3880212B">
        <w:tblPrEx>
          <w:tblW w:w="7658" w:type="dxa"/>
          <w:tblInd w:w="10" w:type="dxa"/>
          <w:tblLook w:val="04A0"/>
        </w:tblPrEx>
        <w:trPr>
          <w:trHeight w:val="20"/>
        </w:trPr>
        <w:tc>
          <w:tcPr>
            <w:tcW w:w="3585" w:type="dxa"/>
            <w:shd w:val="clear" w:color="auto" w:fill="FFFFFF" w:themeFill="background1"/>
            <w:vAlign w:val="center"/>
            <w:hideMark/>
          </w:tcPr>
          <w:p w:rsidR="005D05A2" w:rsidRPr="00312A3E" w:rsidP="005D05A2" w14:paraId="3394B275" w14:textId="7AAEB0F8">
            <w:pPr>
              <w:spacing w:after="0" w:line="240" w:lineRule="auto"/>
              <w:rPr>
                <w:rFonts w:ascii="Arial" w:eastAsia="Times New Roman" w:hAnsi="Arial" w:cs="Arial"/>
                <w:color w:val="000000"/>
                <w:sz w:val="18"/>
                <w:szCs w:val="18"/>
              </w:rPr>
            </w:pPr>
            <w:r w:rsidRPr="00312A3E">
              <w:rPr>
                <w:rFonts w:ascii="Arial" w:eastAsia="Times New Roman" w:hAnsi="Arial" w:cs="Arial"/>
                <w:color w:val="000000"/>
                <w:sz w:val="18"/>
                <w:szCs w:val="18"/>
              </w:rPr>
              <w:t>Other</w:t>
            </w:r>
          </w:p>
        </w:tc>
        <w:tc>
          <w:tcPr>
            <w:tcW w:w="4073" w:type="dxa"/>
            <w:shd w:val="clear" w:color="auto" w:fill="FFFFFF" w:themeFill="background1"/>
            <w:vAlign w:val="center"/>
            <w:hideMark/>
          </w:tcPr>
          <w:p w:rsidR="005D05A2" w:rsidRPr="00312A3E" w:rsidP="005D05A2" w14:paraId="6A8F0932" w14:textId="0A0D22B4">
            <w:pPr>
              <w:spacing w:after="0" w:line="240" w:lineRule="auto"/>
              <w:jc w:val="center"/>
              <w:rPr>
                <w:rFonts w:ascii="Arial" w:eastAsia="Times New Roman" w:hAnsi="Arial" w:cs="Arial"/>
                <w:color w:val="000000"/>
                <w:sz w:val="18"/>
                <w:szCs w:val="18"/>
              </w:rPr>
            </w:pPr>
            <w:r w:rsidRPr="00312A3E">
              <w:rPr>
                <w:rFonts w:ascii="Arial" w:eastAsia="Times New Roman" w:hAnsi="Arial" w:cs="Arial"/>
                <w:color w:val="000000"/>
                <w:sz w:val="18"/>
                <w:szCs w:val="18"/>
              </w:rPr>
              <w:t>~</w:t>
            </w:r>
          </w:p>
        </w:tc>
      </w:tr>
      <w:tr w14:paraId="02B2EA02" w14:textId="77777777" w:rsidTr="3880212B">
        <w:tblPrEx>
          <w:tblW w:w="7658" w:type="dxa"/>
          <w:tblInd w:w="10" w:type="dxa"/>
          <w:tblLook w:val="04A0"/>
        </w:tblPrEx>
        <w:trPr>
          <w:trHeight w:val="20"/>
        </w:trPr>
        <w:tc>
          <w:tcPr>
            <w:tcW w:w="3585" w:type="dxa"/>
            <w:shd w:val="clear" w:color="auto" w:fill="E0D4B5"/>
            <w:vAlign w:val="center"/>
            <w:hideMark/>
          </w:tcPr>
          <w:p w:rsidR="005D05A2" w:rsidRPr="00312A3E" w:rsidP="005D05A2" w14:paraId="6EA010CD" w14:textId="1FF12578">
            <w:pPr>
              <w:spacing w:after="0" w:line="240" w:lineRule="auto"/>
              <w:rPr>
                <w:rFonts w:ascii="Arial" w:eastAsia="Times New Roman" w:hAnsi="Arial" w:cs="Arial"/>
                <w:b/>
                <w:bCs/>
                <w:color w:val="000000"/>
                <w:sz w:val="18"/>
                <w:szCs w:val="18"/>
              </w:rPr>
            </w:pPr>
            <w:r w:rsidRPr="00312A3E">
              <w:rPr>
                <w:rFonts w:ascii="Arial" w:eastAsia="Times New Roman" w:hAnsi="Arial" w:cs="Arial"/>
                <w:b/>
                <w:bCs/>
                <w:color w:val="000000"/>
                <w:sz w:val="18"/>
                <w:szCs w:val="18"/>
              </w:rPr>
              <w:t>T</w:t>
            </w:r>
            <w:r w:rsidR="004810D7">
              <w:rPr>
                <w:rFonts w:ascii="Arial" w:eastAsia="Times New Roman" w:hAnsi="Arial" w:cs="Arial"/>
                <w:b/>
                <w:bCs/>
                <w:color w:val="000000"/>
                <w:sz w:val="18"/>
                <w:szCs w:val="18"/>
              </w:rPr>
              <w:t>a</w:t>
            </w:r>
            <w:r w:rsidR="004810D7">
              <w:rPr>
                <w:rFonts w:ascii="Arial" w:eastAsia="Times New Roman" w:hAnsi="Arial" w:cs="Arial"/>
                <w:b/>
                <w:bCs/>
                <w:sz w:val="18"/>
                <w:szCs w:val="18"/>
              </w:rPr>
              <w:t>rget t</w:t>
            </w:r>
            <w:r w:rsidRPr="00312A3E">
              <w:rPr>
                <w:rFonts w:ascii="Arial" w:eastAsia="Times New Roman" w:hAnsi="Arial" w:cs="Arial"/>
                <w:b/>
                <w:bCs/>
                <w:color w:val="000000"/>
                <w:sz w:val="18"/>
                <w:szCs w:val="18"/>
              </w:rPr>
              <w:t xml:space="preserve">otal providers </w:t>
            </w:r>
          </w:p>
        </w:tc>
        <w:tc>
          <w:tcPr>
            <w:tcW w:w="4073" w:type="dxa"/>
            <w:shd w:val="clear" w:color="auto" w:fill="E0D4B5"/>
            <w:vAlign w:val="center"/>
            <w:hideMark/>
          </w:tcPr>
          <w:p w:rsidR="005D05A2" w:rsidRPr="00312A3E" w:rsidP="005D05A2" w14:paraId="0DB17532" w14:textId="5FEA7905">
            <w:pPr>
              <w:spacing w:after="0" w:line="240" w:lineRule="auto"/>
              <w:jc w:val="center"/>
              <w:rPr>
                <w:rFonts w:ascii="Arial" w:eastAsia="Times New Roman" w:hAnsi="Arial" w:cs="Arial"/>
                <w:b/>
                <w:bCs/>
                <w:color w:val="000000"/>
                <w:sz w:val="18"/>
                <w:szCs w:val="18"/>
              </w:rPr>
            </w:pPr>
            <w:r w:rsidRPr="00312A3E">
              <w:rPr>
                <w:rFonts w:ascii="Arial" w:eastAsia="Times New Roman" w:hAnsi="Arial" w:cs="Arial"/>
                <w:b/>
                <w:bCs/>
                <w:color w:val="000000"/>
                <w:sz w:val="18"/>
                <w:szCs w:val="18"/>
              </w:rPr>
              <w:t>150</w:t>
            </w:r>
          </w:p>
        </w:tc>
      </w:tr>
    </w:tbl>
    <w:p w:rsidR="004C0D76" w:rsidRPr="00762D1A" w:rsidP="00762D1A" w14:paraId="26345BFA" w14:textId="6F3A0318">
      <w:pPr>
        <w:spacing w:after="0" w:line="264" w:lineRule="auto"/>
        <w:ind w:right="1710"/>
        <w:rPr>
          <w:rFonts w:ascii="Arial" w:eastAsia="Times New Roman" w:hAnsi="Arial" w:cs="Arial"/>
          <w:sz w:val="16"/>
          <w:szCs w:val="16"/>
        </w:rPr>
      </w:pPr>
      <w:r>
        <w:rPr>
          <w:rFonts w:ascii="Arial" w:eastAsia="Times New Roman" w:hAnsi="Arial" w:cs="Arial"/>
          <w:sz w:val="16"/>
          <w:szCs w:val="16"/>
        </w:rPr>
        <w:t xml:space="preserve">FCC = </w:t>
      </w:r>
      <w:r w:rsidRPr="004C0D76">
        <w:rPr>
          <w:rFonts w:ascii="Arial" w:eastAsia="Times New Roman" w:hAnsi="Arial" w:cs="Arial"/>
          <w:sz w:val="16"/>
          <w:szCs w:val="16"/>
        </w:rPr>
        <w:t>licensed, regulated family child care (FCC) providers</w:t>
      </w:r>
      <w:r>
        <w:rPr>
          <w:rFonts w:ascii="Arial" w:eastAsia="Times New Roman" w:hAnsi="Arial" w:cs="Arial"/>
          <w:sz w:val="16"/>
          <w:szCs w:val="16"/>
        </w:rPr>
        <w:t xml:space="preserve">; FFN = </w:t>
      </w:r>
      <w:r w:rsidRPr="004C0D76">
        <w:rPr>
          <w:rFonts w:ascii="Arial" w:eastAsia="Times New Roman" w:hAnsi="Arial" w:cs="Arial"/>
          <w:sz w:val="16"/>
          <w:szCs w:val="16"/>
        </w:rPr>
        <w:t xml:space="preserve">family, friend, and neighbor providers who are legally exempt from state licensing or other state regulations for child care </w:t>
      </w:r>
    </w:p>
    <w:p w:rsidR="00941F61" w:rsidRPr="00C0036A" w:rsidP="00762D1A" w14:paraId="22DBC9B8" w14:textId="7562DB62">
      <w:pPr>
        <w:spacing w:after="160" w:line="264" w:lineRule="auto"/>
        <w:ind w:right="1710"/>
        <w:rPr>
          <w:rFonts w:ascii="Arial" w:eastAsia="Times New Roman" w:hAnsi="Arial" w:cs="Arial"/>
          <w:sz w:val="16"/>
          <w:szCs w:val="16"/>
        </w:rPr>
      </w:pPr>
      <w:r>
        <w:rPr>
          <w:rFonts w:ascii="Arial" w:eastAsia="Times New Roman" w:hAnsi="Arial" w:cs="Arial"/>
          <w:sz w:val="16"/>
          <w:szCs w:val="16"/>
        </w:rPr>
        <w:t xml:space="preserve">Note: </w:t>
      </w:r>
      <w:r w:rsidRPr="001E4DEA" w:rsidR="00C0036A">
        <w:rPr>
          <w:rFonts w:ascii="Arial" w:eastAsia="Times New Roman" w:hAnsi="Arial" w:cs="Arial"/>
          <w:sz w:val="16"/>
          <w:szCs w:val="16"/>
        </w:rPr>
        <w:t>Beyond</w:t>
      </w:r>
      <w:r w:rsidRPr="00C0036A" w:rsidR="00C0036A">
        <w:rPr>
          <w:rFonts w:ascii="Arial" w:eastAsia="Times New Roman" w:hAnsi="Arial" w:cs="Arial"/>
          <w:sz w:val="16"/>
          <w:szCs w:val="16"/>
        </w:rPr>
        <w:t xml:space="preserve"> th</w:t>
      </w:r>
      <w:r w:rsidR="00937073">
        <w:rPr>
          <w:rFonts w:ascii="Arial" w:eastAsia="Times New Roman" w:hAnsi="Arial" w:cs="Arial"/>
          <w:sz w:val="16"/>
          <w:szCs w:val="16"/>
        </w:rPr>
        <w:t>ese</w:t>
      </w:r>
      <w:r w:rsidRPr="00C0036A" w:rsidR="00C0036A">
        <w:rPr>
          <w:rFonts w:ascii="Arial" w:eastAsia="Times New Roman" w:hAnsi="Arial" w:cs="Arial"/>
          <w:sz w:val="16"/>
          <w:szCs w:val="16"/>
        </w:rPr>
        <w:t xml:space="preserve"> minimums, the additional sample may be from any of the subgroups. </w:t>
      </w:r>
    </w:p>
    <w:p w:rsidR="0036232B" w:rsidP="00BD15D4" w14:paraId="582C748A" w14:textId="57309973">
      <w:pPr>
        <w:pStyle w:val="ListBullet"/>
        <w:numPr>
          <w:ilvl w:val="0"/>
          <w:numId w:val="0"/>
        </w:numPr>
        <w:spacing w:after="0"/>
      </w:pPr>
      <w:r>
        <w:t xml:space="preserve">The study team will recruit family respondents by asking participating providers to distribute the family survey to </w:t>
      </w:r>
      <w:r w:rsidR="002C665F">
        <w:t>all</w:t>
      </w:r>
      <w:r w:rsidR="003366CE">
        <w:t xml:space="preserve"> eligible </w:t>
      </w:r>
      <w:r w:rsidR="00A33F15">
        <w:t>famil</w:t>
      </w:r>
      <w:r w:rsidR="002C665F">
        <w:t>ies</w:t>
      </w:r>
      <w:r w:rsidR="003366CE">
        <w:t xml:space="preserve"> in their care.</w:t>
      </w:r>
      <w:r w:rsidR="00A33F15">
        <w:t xml:space="preserve"> The target </w:t>
      </w:r>
      <w:r w:rsidR="00F63726">
        <w:t xml:space="preserve">sample size of the family survey is 150 respondents. For analysis purposes, the minimum number of family surveys needed </w:t>
      </w:r>
      <w:r w:rsidR="77DA5A8D">
        <w:t xml:space="preserve">for analysis </w:t>
      </w:r>
      <w:r w:rsidR="00F63726">
        <w:t>is 100.</w:t>
      </w:r>
      <w:r w:rsidR="003366CE">
        <w:t xml:space="preserve"> </w:t>
      </w:r>
      <w:r w:rsidR="00971A2B">
        <w:t>There are no minimum target sample sizes by family characteristic</w:t>
      </w:r>
      <w:r w:rsidR="00D85628">
        <w:t>s</w:t>
      </w:r>
      <w:r w:rsidR="00971A2B">
        <w:t xml:space="preserve">. </w:t>
      </w:r>
      <w:r>
        <w:t xml:space="preserve">Family respondents will not be representative of the population of families </w:t>
      </w:r>
      <w:r w:rsidR="009033E3">
        <w:t xml:space="preserve">using </w:t>
      </w:r>
      <w:r>
        <w:t xml:space="preserve">home-based </w:t>
      </w:r>
      <w:r w:rsidR="009033E3">
        <w:t>child care</w:t>
      </w:r>
      <w:r>
        <w:t xml:space="preserve">. </w:t>
      </w:r>
      <w:r w:rsidR="00B76DD7">
        <w:t>However</w:t>
      </w:r>
      <w:r>
        <w:t xml:space="preserve">, </w:t>
      </w:r>
      <w:r w:rsidR="00D728CF">
        <w:t xml:space="preserve">by recruiting providers </w:t>
      </w:r>
      <w:r w:rsidR="009227BD">
        <w:t>with the varied characteristics</w:t>
      </w:r>
      <w:r w:rsidR="00D728CF">
        <w:t xml:space="preserve"> </w:t>
      </w:r>
      <w:r w:rsidR="009227BD">
        <w:t xml:space="preserve">noted </w:t>
      </w:r>
      <w:r w:rsidR="00D728CF">
        <w:t>above</w:t>
      </w:r>
      <w:r>
        <w:t xml:space="preserve">, </w:t>
      </w:r>
      <w:r w:rsidR="00D20ACD">
        <w:t xml:space="preserve">the </w:t>
      </w:r>
      <w:r w:rsidR="00C57B90">
        <w:t xml:space="preserve">study </w:t>
      </w:r>
      <w:r w:rsidR="00D20ACD">
        <w:t xml:space="preserve">team </w:t>
      </w:r>
      <w:r w:rsidR="00971A2B">
        <w:t>expect</w:t>
      </w:r>
      <w:r w:rsidR="00D20ACD">
        <w:t>s</w:t>
      </w:r>
      <w:r w:rsidR="00971A2B">
        <w:t xml:space="preserve"> to</w:t>
      </w:r>
      <w:r>
        <w:t xml:space="preserve"> obtain</w:t>
      </w:r>
      <w:r w:rsidR="00593D9F">
        <w:t xml:space="preserve"> some</w:t>
      </w:r>
      <w:r>
        <w:t xml:space="preserve"> variation in families’ demographic characteristics and relationship</w:t>
      </w:r>
      <w:r w:rsidR="00593D9F">
        <w:t xml:space="preserve"> to providers</w:t>
      </w:r>
      <w:r>
        <w:t>.</w:t>
      </w:r>
      <w:r w:rsidR="00593D9F">
        <w:t xml:space="preserve"> For example, </w:t>
      </w:r>
      <w:r w:rsidR="00A15681">
        <w:t>providers who live in urban or rural areas will likely care for families who also live in urban or rural areas, respectively.</w:t>
      </w:r>
      <w:r w:rsidR="009B148B">
        <w:t xml:space="preserve">  </w:t>
      </w:r>
      <w:r w:rsidR="009564CF">
        <w:t xml:space="preserve">Compared to </w:t>
      </w:r>
      <w:r w:rsidR="00074825">
        <w:t>FCC</w:t>
      </w:r>
      <w:r w:rsidR="009564CF">
        <w:t xml:space="preserve"> providers, </w:t>
      </w:r>
      <w:r w:rsidR="00074825">
        <w:t>FFN</w:t>
      </w:r>
      <w:r w:rsidR="009564CF">
        <w:t xml:space="preserve"> providers </w:t>
      </w:r>
      <w:r w:rsidR="00074825">
        <w:t>are more likely to care for relative children and likely to be the same race</w:t>
      </w:r>
      <w:r w:rsidR="00F001D7">
        <w:t xml:space="preserve"> or </w:t>
      </w:r>
      <w:r w:rsidR="00074825">
        <w:t>ethnicity as the families they care for.</w:t>
      </w:r>
      <w:r>
        <w:rPr>
          <w:rStyle w:val="FootnoteReference"/>
        </w:rPr>
        <w:footnoteReference w:id="4"/>
      </w:r>
      <w:r w:rsidR="00074825">
        <w:t xml:space="preserve"> </w:t>
      </w:r>
    </w:p>
    <w:p w:rsidR="00A42C71" w:rsidRPr="001A59B6" w:rsidP="00A42C71" w14:paraId="2DAEC0F7" w14:textId="77777777">
      <w:pPr>
        <w:autoSpaceDE w:val="0"/>
        <w:autoSpaceDN w:val="0"/>
        <w:adjustRightInd w:val="0"/>
        <w:spacing w:after="0" w:line="240" w:lineRule="atLeast"/>
        <w:contextualSpacing/>
        <w:rPr>
          <w:rFonts w:eastAsia="Times New Roman" w:cstheme="minorHAnsi"/>
          <w:color w:val="000000"/>
        </w:rPr>
      </w:pPr>
    </w:p>
    <w:p w:rsidR="00A42C71" w:rsidRPr="001A59B6" w:rsidP="00A42C71" w14:paraId="242D83A5" w14:textId="1851BCE0">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 xml:space="preserve">Recruitment </w:t>
      </w:r>
      <w:r w:rsidRPr="001A59B6">
        <w:rPr>
          <w:rFonts w:eastAsia="Times New Roman" w:cstheme="minorHAnsi"/>
          <w:i/>
          <w:color w:val="000000"/>
        </w:rPr>
        <w:t>and Site Selection</w:t>
      </w:r>
    </w:p>
    <w:p w:rsidR="00632EC4" w:rsidP="007D78CC" w14:paraId="1277423F" w14:textId="2AB5D390">
      <w:pPr>
        <w:spacing w:after="160" w:line="264" w:lineRule="auto"/>
        <w:rPr>
          <w:rFonts w:eastAsia="Times New Roman" w:cstheme="minorHAnsi"/>
        </w:rPr>
      </w:pPr>
      <w:r w:rsidRPr="00E35E8B">
        <w:rPr>
          <w:rFonts w:eastAsia="Times New Roman" w:cstheme="minorHAnsi"/>
        </w:rPr>
        <w:t>The study team will use non-probability, purposive recruitment to identify and recruit</w:t>
      </w:r>
      <w:r w:rsidR="001E5C4F">
        <w:rPr>
          <w:rFonts w:eastAsia="Times New Roman" w:cstheme="minorHAnsi"/>
        </w:rPr>
        <w:t xml:space="preserve"> a convenience sample of</w:t>
      </w:r>
      <w:r w:rsidRPr="00E35E8B">
        <w:rPr>
          <w:rFonts w:eastAsia="Times New Roman" w:cstheme="minorHAnsi"/>
        </w:rPr>
        <w:t xml:space="preserve"> home-based providers from at least 10 states in different regions</w:t>
      </w:r>
      <w:r w:rsidR="00EE76A9">
        <w:rPr>
          <w:rFonts w:eastAsia="Times New Roman" w:cstheme="minorHAnsi"/>
        </w:rPr>
        <w:t xml:space="preserve"> of the United States</w:t>
      </w:r>
      <w:r w:rsidRPr="00E35E8B">
        <w:rPr>
          <w:rFonts w:eastAsia="Times New Roman" w:cstheme="minorHAnsi"/>
        </w:rPr>
        <w:t xml:space="preserve">. </w:t>
      </w:r>
      <w:r w:rsidR="00377B25">
        <w:rPr>
          <w:rFonts w:eastAsia="Times New Roman" w:cstheme="minorHAnsi"/>
        </w:rPr>
        <w:t xml:space="preserve">The study team will </w:t>
      </w:r>
      <w:r w:rsidR="00BE3CF6">
        <w:rPr>
          <w:rFonts w:eastAsia="Times New Roman" w:cstheme="minorHAnsi"/>
        </w:rPr>
        <w:t xml:space="preserve">return to </w:t>
      </w:r>
      <w:r w:rsidRPr="00632EC4">
        <w:rPr>
          <w:rFonts w:eastAsia="Times New Roman" w:cstheme="minorHAnsi"/>
        </w:rPr>
        <w:t xml:space="preserve">states </w:t>
      </w:r>
      <w:r w:rsidR="00F215FE">
        <w:rPr>
          <w:rFonts w:eastAsia="Times New Roman" w:cstheme="minorHAnsi"/>
        </w:rPr>
        <w:t xml:space="preserve">from the </w:t>
      </w:r>
      <w:r w:rsidRPr="00632EC4">
        <w:rPr>
          <w:rFonts w:eastAsia="Times New Roman" w:cstheme="minorHAnsi"/>
        </w:rPr>
        <w:t>pilot study</w:t>
      </w:r>
      <w:r w:rsidR="00BE3CF6">
        <w:rPr>
          <w:rFonts w:eastAsia="Times New Roman" w:cstheme="minorHAnsi"/>
        </w:rPr>
        <w:t xml:space="preserve"> to recruit providers</w:t>
      </w:r>
      <w:r w:rsidRPr="00632EC4">
        <w:rPr>
          <w:rFonts w:eastAsia="Times New Roman" w:cstheme="minorHAnsi"/>
        </w:rPr>
        <w:t>.</w:t>
      </w:r>
      <w:r>
        <w:rPr>
          <w:rStyle w:val="FootnoteReference"/>
          <w:rFonts w:eastAsia="Times New Roman" w:cstheme="minorHAnsi"/>
        </w:rPr>
        <w:footnoteReference w:id="5"/>
      </w:r>
      <w:r w:rsidRPr="00632EC4">
        <w:rPr>
          <w:rFonts w:eastAsia="Times New Roman" w:cstheme="minorHAnsi"/>
        </w:rPr>
        <w:t xml:space="preserve">  </w:t>
      </w:r>
      <w:r w:rsidR="00BF2CD9">
        <w:rPr>
          <w:rFonts w:eastAsia="Times New Roman" w:cstheme="minorHAnsi"/>
        </w:rPr>
        <w:t>The</w:t>
      </w:r>
      <w:r w:rsidR="00CA526E">
        <w:rPr>
          <w:rFonts w:eastAsia="Times New Roman" w:cstheme="minorHAnsi"/>
        </w:rPr>
        <w:t>se</w:t>
      </w:r>
      <w:r w:rsidR="00BF2CD9">
        <w:rPr>
          <w:rFonts w:eastAsia="Times New Roman" w:cstheme="minorHAnsi"/>
        </w:rPr>
        <w:t xml:space="preserve"> states </w:t>
      </w:r>
      <w:r w:rsidR="00CA526E">
        <w:rPr>
          <w:rFonts w:eastAsia="Times New Roman" w:cstheme="minorHAnsi"/>
        </w:rPr>
        <w:t xml:space="preserve">were selected </w:t>
      </w:r>
      <w:r w:rsidR="00E72A29">
        <w:rPr>
          <w:rFonts w:eastAsia="Times New Roman" w:cstheme="minorHAnsi"/>
        </w:rPr>
        <w:t>by</w:t>
      </w:r>
      <w:r w:rsidR="00CA526E">
        <w:rPr>
          <w:rFonts w:eastAsia="Times New Roman" w:cstheme="minorHAnsi"/>
        </w:rPr>
        <w:t xml:space="preserve"> </w:t>
      </w:r>
      <w:r w:rsidR="008C7A95">
        <w:rPr>
          <w:rFonts w:eastAsia="Times New Roman" w:cstheme="minorHAnsi"/>
        </w:rPr>
        <w:t>prioritiz</w:t>
      </w:r>
      <w:r w:rsidR="00E72A29">
        <w:rPr>
          <w:rFonts w:eastAsia="Times New Roman" w:cstheme="minorHAnsi"/>
        </w:rPr>
        <w:t>ing</w:t>
      </w:r>
      <w:r w:rsidR="008C7A95">
        <w:rPr>
          <w:rFonts w:eastAsia="Times New Roman" w:cstheme="minorHAnsi"/>
        </w:rPr>
        <w:t xml:space="preserve"> states </w:t>
      </w:r>
      <w:r w:rsidR="005856CF">
        <w:rPr>
          <w:rFonts w:eastAsia="Times New Roman" w:cstheme="minorHAnsi"/>
        </w:rPr>
        <w:t xml:space="preserve">with: </w:t>
      </w:r>
    </w:p>
    <w:p w:rsidR="000C210E" w:rsidP="000C210E" w14:paraId="2289BDE4" w14:textId="376B725F">
      <w:pPr>
        <w:numPr>
          <w:ilvl w:val="0"/>
          <w:numId w:val="32"/>
        </w:numPr>
        <w:spacing w:after="160" w:line="264" w:lineRule="auto"/>
        <w:rPr>
          <w:rFonts w:eastAsia="Times New Roman" w:cstheme="minorHAnsi"/>
        </w:rPr>
      </w:pPr>
      <w:r>
        <w:rPr>
          <w:rFonts w:eastAsia="Times New Roman" w:cstheme="minorHAnsi"/>
        </w:rPr>
        <w:t>C</w:t>
      </w:r>
      <w:r w:rsidRPr="005856CF" w:rsidR="005856CF">
        <w:rPr>
          <w:rFonts w:eastAsia="Times New Roman" w:cstheme="minorHAnsi"/>
        </w:rPr>
        <w:t xml:space="preserve">ommunity organizations that offer support and quality improvement opportunities to </w:t>
      </w:r>
      <w:r w:rsidR="005856CF">
        <w:rPr>
          <w:rFonts w:eastAsia="Times New Roman" w:cstheme="minorHAnsi"/>
        </w:rPr>
        <w:t>home-based</w:t>
      </w:r>
      <w:r w:rsidRPr="005856CF" w:rsidR="005856CF">
        <w:rPr>
          <w:rFonts w:eastAsia="Times New Roman" w:cstheme="minorHAnsi"/>
        </w:rPr>
        <w:t xml:space="preserve"> providers, that </w:t>
      </w:r>
      <w:r w:rsidR="00577D05">
        <w:rPr>
          <w:rFonts w:eastAsia="Times New Roman" w:cstheme="minorHAnsi"/>
        </w:rPr>
        <w:t>have existing relationships with the study team, may be</w:t>
      </w:r>
      <w:r w:rsidRPr="005856CF" w:rsidR="005856CF">
        <w:rPr>
          <w:rFonts w:eastAsia="Times New Roman" w:cstheme="minorHAnsi"/>
        </w:rPr>
        <w:t xml:space="preserve"> willing to support the study</w:t>
      </w:r>
      <w:r w:rsidR="00577D05">
        <w:rPr>
          <w:rFonts w:eastAsia="Times New Roman" w:cstheme="minorHAnsi"/>
        </w:rPr>
        <w:t>, and likely have the</w:t>
      </w:r>
      <w:r w:rsidRPr="005856CF" w:rsidR="005856CF">
        <w:rPr>
          <w:rFonts w:eastAsia="Times New Roman" w:cstheme="minorHAnsi"/>
        </w:rPr>
        <w:t xml:space="preserve"> capacity to work with the study team to recruit enough providers.  </w:t>
      </w:r>
    </w:p>
    <w:p w:rsidR="00E1713A" w:rsidP="00E1713A" w14:paraId="16536226" w14:textId="12B4DB29">
      <w:pPr>
        <w:numPr>
          <w:ilvl w:val="0"/>
          <w:numId w:val="32"/>
        </w:numPr>
        <w:spacing w:after="160" w:line="264" w:lineRule="auto"/>
        <w:rPr>
          <w:rFonts w:eastAsia="Times New Roman" w:cstheme="minorHAnsi"/>
        </w:rPr>
      </w:pPr>
      <w:r w:rsidRPr="000C210E">
        <w:rPr>
          <w:rFonts w:eastAsia="Times New Roman" w:cstheme="minorHAnsi"/>
        </w:rPr>
        <w:t>D</w:t>
      </w:r>
      <w:r w:rsidRPr="005856CF" w:rsidR="005856CF">
        <w:rPr>
          <w:rFonts w:eastAsia="Times New Roman" w:cstheme="minorHAnsi"/>
        </w:rPr>
        <w:t>ifferent policy contexts, such as child care licensing thresholds</w:t>
      </w:r>
      <w:r w:rsidRPr="000C210E" w:rsidR="000D26B4">
        <w:rPr>
          <w:rFonts w:eastAsia="Times New Roman" w:cstheme="minorHAnsi"/>
        </w:rPr>
        <w:t xml:space="preserve">, </w:t>
      </w:r>
      <w:r w:rsidRPr="005856CF" w:rsidR="005856CF">
        <w:rPr>
          <w:rFonts w:eastAsia="Times New Roman" w:cstheme="minorHAnsi"/>
        </w:rPr>
        <w:t>numbers of children allowed in home-based child care settings, policies on subsidy eligibility,</w:t>
      </w:r>
      <w:r w:rsidRPr="000C210E" w:rsidR="000C210E">
        <w:rPr>
          <w:rFonts w:eastAsia="Times New Roman" w:cstheme="minorHAnsi"/>
        </w:rPr>
        <w:t xml:space="preserve"> and</w:t>
      </w:r>
      <w:r w:rsidRPr="005856CF" w:rsidR="005856CF">
        <w:rPr>
          <w:rFonts w:eastAsia="Times New Roman" w:cstheme="minorHAnsi"/>
        </w:rPr>
        <w:t xml:space="preserve"> participation of </w:t>
      </w:r>
      <w:r w:rsidRPr="000C210E" w:rsidR="000C210E">
        <w:rPr>
          <w:rFonts w:eastAsia="Times New Roman" w:cstheme="minorHAnsi"/>
        </w:rPr>
        <w:t>home-based</w:t>
      </w:r>
      <w:r w:rsidRPr="005856CF" w:rsidR="005856CF">
        <w:rPr>
          <w:rFonts w:eastAsia="Times New Roman" w:cstheme="minorHAnsi"/>
        </w:rPr>
        <w:t xml:space="preserve"> providers in Quality Rating and Improvement Systems (QRIS)</w:t>
      </w:r>
      <w:r w:rsidRPr="000C210E" w:rsidR="000C210E">
        <w:rPr>
          <w:rFonts w:eastAsia="Times New Roman" w:cstheme="minorHAnsi"/>
        </w:rPr>
        <w:t>.</w:t>
      </w:r>
    </w:p>
    <w:p w:rsidR="007C335C" w:rsidRPr="007C335C" w:rsidP="007C335C" w14:paraId="2D1ECD6D" w14:textId="39A89F03">
      <w:pPr>
        <w:pStyle w:val="ListParagraph"/>
        <w:numPr>
          <w:ilvl w:val="0"/>
          <w:numId w:val="32"/>
        </w:numPr>
        <w:rPr>
          <w:rFonts w:eastAsia="Times New Roman" w:cstheme="minorHAnsi"/>
        </w:rPr>
      </w:pPr>
      <w:r>
        <w:rPr>
          <w:rFonts w:eastAsia="Times New Roman" w:cstheme="minorHAnsi"/>
        </w:rPr>
        <w:t>Different g</w:t>
      </w:r>
      <w:r w:rsidRPr="007C335C">
        <w:rPr>
          <w:rFonts w:eastAsia="Times New Roman" w:cstheme="minorHAnsi"/>
        </w:rPr>
        <w:t>eographic regions</w:t>
      </w:r>
      <w:r w:rsidR="003226BE">
        <w:rPr>
          <w:rFonts w:eastAsia="Times New Roman" w:cstheme="minorHAnsi"/>
        </w:rPr>
        <w:t xml:space="preserve"> </w:t>
      </w:r>
      <w:r w:rsidRPr="007C335C">
        <w:rPr>
          <w:rFonts w:eastAsia="Times New Roman" w:cstheme="minorHAnsi"/>
        </w:rPr>
        <w:t>to capture variation in state and regional context and conditions.</w:t>
      </w:r>
    </w:p>
    <w:p w:rsidR="00E1713A" w:rsidP="006233B8" w14:paraId="56AFC4D2" w14:textId="7B1B0EE2">
      <w:pPr>
        <w:spacing w:after="0" w:line="264" w:lineRule="auto"/>
        <w:rPr>
          <w:rFonts w:eastAsia="Times New Roman" w:cstheme="minorHAnsi"/>
        </w:rPr>
      </w:pPr>
      <w:r>
        <w:rPr>
          <w:rFonts w:eastAsia="Times New Roman" w:cstheme="minorHAnsi"/>
        </w:rPr>
        <w:t>The study team will identify additional states as needed to reach recruitment targets.</w:t>
      </w:r>
      <w:r w:rsidR="009A4FF9">
        <w:rPr>
          <w:rFonts w:eastAsia="Times New Roman" w:cstheme="minorHAnsi"/>
        </w:rPr>
        <w:t xml:space="preserve"> </w:t>
      </w:r>
      <w:r w:rsidR="00E72A29">
        <w:rPr>
          <w:rFonts w:eastAsia="Times New Roman" w:cstheme="minorHAnsi"/>
        </w:rPr>
        <w:t xml:space="preserve">Any additional states selected for the validation study will also be selected using the above criteria. </w:t>
      </w:r>
      <w:r w:rsidR="00844EA6">
        <w:rPr>
          <w:rFonts w:eastAsia="Times New Roman" w:cstheme="minorHAnsi"/>
        </w:rPr>
        <w:t xml:space="preserve"> </w:t>
      </w:r>
    </w:p>
    <w:p w:rsidR="006233B8" w:rsidRPr="00E1713A" w:rsidP="00BD15D4" w14:paraId="5816FF78" w14:textId="77777777">
      <w:pPr>
        <w:spacing w:after="0" w:line="264" w:lineRule="auto"/>
        <w:rPr>
          <w:rFonts w:eastAsia="Times New Roman" w:cstheme="minorHAnsi"/>
        </w:rPr>
      </w:pPr>
    </w:p>
    <w:p w:rsidR="00C5204E" w:rsidP="00682C79" w14:paraId="72BDE873" w14:textId="43B02EBB">
      <w:pPr>
        <w:spacing w:after="160" w:line="264" w:lineRule="auto"/>
        <w:rPr>
          <w:rFonts w:eastAsia="Times New Roman" w:cstheme="minorHAnsi"/>
        </w:rPr>
      </w:pPr>
      <w:r w:rsidRPr="00E35E8B">
        <w:rPr>
          <w:rFonts w:eastAsia="Times New Roman" w:cstheme="minorHAnsi"/>
        </w:rPr>
        <w:t xml:space="preserve">In each of the study states, the </w:t>
      </w:r>
      <w:r w:rsidRPr="00E35E8B" w:rsidR="007D78CC">
        <w:rPr>
          <w:rFonts w:eastAsia="Times New Roman" w:cstheme="minorHAnsi"/>
        </w:rPr>
        <w:t xml:space="preserve">study team will partner with organizations </w:t>
      </w:r>
      <w:bookmarkStart w:id="3" w:name="_Hlk111475968"/>
      <w:r w:rsidRPr="00E35E8B" w:rsidR="007D78CC">
        <w:rPr>
          <w:rFonts w:eastAsia="Times New Roman" w:cstheme="minorHAnsi"/>
        </w:rPr>
        <w:t xml:space="preserve">that provide support to home-based providers in order to recruit </w:t>
      </w:r>
      <w:r w:rsidRPr="00E35E8B" w:rsidR="00433559">
        <w:rPr>
          <w:rFonts w:eastAsia="Times New Roman" w:cstheme="minorHAnsi"/>
        </w:rPr>
        <w:t>home-based providers</w:t>
      </w:r>
      <w:r w:rsidRPr="00E35E8B" w:rsidR="007D78CC">
        <w:rPr>
          <w:rFonts w:eastAsia="Times New Roman" w:cstheme="minorHAnsi"/>
        </w:rPr>
        <w:t>.</w:t>
      </w:r>
      <w:r w:rsidRPr="00E35E8B" w:rsidR="00C25959">
        <w:rPr>
          <w:rFonts w:eastAsia="Times New Roman" w:cstheme="minorHAnsi"/>
        </w:rPr>
        <w:t xml:space="preserve"> </w:t>
      </w:r>
      <w:bookmarkEnd w:id="3"/>
      <w:r w:rsidR="00D20ACD">
        <w:rPr>
          <w:rFonts w:eastAsia="Times New Roman" w:cstheme="minorHAnsi"/>
        </w:rPr>
        <w:t xml:space="preserve">The study team </w:t>
      </w:r>
      <w:r w:rsidR="00F47319">
        <w:rPr>
          <w:rFonts w:eastAsia="Times New Roman" w:cstheme="minorHAnsi"/>
        </w:rPr>
        <w:t xml:space="preserve">will partner with </w:t>
      </w:r>
      <w:r w:rsidR="00A13930">
        <w:rPr>
          <w:rFonts w:eastAsia="Times New Roman" w:cstheme="minorHAnsi"/>
        </w:rPr>
        <w:t xml:space="preserve">about </w:t>
      </w:r>
      <w:r w:rsidR="00813B25">
        <w:rPr>
          <w:rFonts w:eastAsia="Times New Roman" w:cstheme="minorHAnsi"/>
        </w:rPr>
        <w:t xml:space="preserve">15 </w:t>
      </w:r>
      <w:r w:rsidR="00F47319">
        <w:rPr>
          <w:rFonts w:eastAsia="Times New Roman" w:cstheme="minorHAnsi"/>
        </w:rPr>
        <w:t xml:space="preserve">organizations. </w:t>
      </w:r>
      <w:r w:rsidR="00D20ACD">
        <w:rPr>
          <w:rFonts w:eastAsia="Times New Roman" w:cstheme="minorHAnsi"/>
        </w:rPr>
        <w:t xml:space="preserve">The team </w:t>
      </w:r>
      <w:r w:rsidR="00D971F1">
        <w:rPr>
          <w:rFonts w:eastAsia="Times New Roman" w:cstheme="minorHAnsi"/>
        </w:rPr>
        <w:t xml:space="preserve">will prioritize selecting community organizations </w:t>
      </w:r>
      <w:r w:rsidR="009071DC">
        <w:rPr>
          <w:rFonts w:eastAsia="Times New Roman" w:cstheme="minorHAnsi"/>
        </w:rPr>
        <w:t>that</w:t>
      </w:r>
      <w:r>
        <w:rPr>
          <w:rFonts w:eastAsia="Times New Roman" w:cstheme="minorHAnsi"/>
        </w:rPr>
        <w:t xml:space="preserve">: </w:t>
      </w:r>
    </w:p>
    <w:p w:rsidR="00C5204E" w:rsidRPr="00C5204E" w:rsidP="00C5204E" w14:paraId="4ACF2D63" w14:textId="3C87BC80">
      <w:pPr>
        <w:numPr>
          <w:ilvl w:val="0"/>
          <w:numId w:val="36"/>
        </w:numPr>
        <w:spacing w:after="160" w:line="264" w:lineRule="auto"/>
        <w:rPr>
          <w:rFonts w:eastAsia="Times New Roman" w:cstheme="minorHAnsi"/>
        </w:rPr>
      </w:pPr>
      <w:r>
        <w:rPr>
          <w:rFonts w:eastAsia="Times New Roman" w:cstheme="minorHAnsi"/>
        </w:rPr>
        <w:t xml:space="preserve">Have existing relationships with the study team on this and other </w:t>
      </w:r>
      <w:r w:rsidRPr="00E35E8B">
        <w:rPr>
          <w:rFonts w:eastAsia="Times New Roman" w:cstheme="minorHAnsi"/>
        </w:rPr>
        <w:t>research studies (such as organizations</w:t>
      </w:r>
      <w:r w:rsidR="00C50F2A">
        <w:rPr>
          <w:rFonts w:eastAsia="Times New Roman" w:cstheme="minorHAnsi"/>
        </w:rPr>
        <w:t xml:space="preserve"> that have participated in the pilot study</w:t>
      </w:r>
      <w:r w:rsidRPr="00E35E8B">
        <w:rPr>
          <w:rFonts w:eastAsia="Times New Roman" w:cstheme="minorHAnsi"/>
        </w:rPr>
        <w:t>)</w:t>
      </w:r>
      <w:r w:rsidRPr="00C5204E">
        <w:rPr>
          <w:rFonts w:eastAsia="Times New Roman" w:cstheme="minorHAnsi"/>
        </w:rPr>
        <w:t>.  </w:t>
      </w:r>
    </w:p>
    <w:p w:rsidR="00C5204E" w:rsidP="00C5204E" w14:paraId="090CFE78" w14:textId="24880B08">
      <w:pPr>
        <w:numPr>
          <w:ilvl w:val="0"/>
          <w:numId w:val="37"/>
        </w:numPr>
        <w:spacing w:after="160" w:line="264" w:lineRule="auto"/>
        <w:rPr>
          <w:rFonts w:eastAsia="Times New Roman" w:cstheme="minorHAnsi"/>
        </w:rPr>
      </w:pPr>
      <w:r>
        <w:rPr>
          <w:rFonts w:eastAsia="Times New Roman" w:cstheme="minorHAnsi"/>
        </w:rPr>
        <w:t>Work with</w:t>
      </w:r>
      <w:r w:rsidRPr="00C5204E">
        <w:rPr>
          <w:rFonts w:eastAsia="Times New Roman" w:cstheme="minorHAnsi"/>
        </w:rPr>
        <w:t xml:space="preserve"> </w:t>
      </w:r>
      <w:r>
        <w:rPr>
          <w:rFonts w:eastAsia="Times New Roman" w:cstheme="minorHAnsi"/>
        </w:rPr>
        <w:t xml:space="preserve">home-based </w:t>
      </w:r>
      <w:r w:rsidRPr="00C5204E">
        <w:rPr>
          <w:rFonts w:eastAsia="Times New Roman" w:cstheme="minorHAnsi"/>
        </w:rPr>
        <w:t xml:space="preserve">providers from a range of </w:t>
      </w:r>
      <w:r w:rsidR="000E7F2E">
        <w:rPr>
          <w:rFonts w:eastAsia="Times New Roman" w:cstheme="minorHAnsi"/>
        </w:rPr>
        <w:t>characteristics outlined above</w:t>
      </w:r>
      <w:r w:rsidRPr="00C5204E">
        <w:rPr>
          <w:rFonts w:eastAsia="Times New Roman" w:cstheme="minorHAnsi"/>
        </w:rPr>
        <w:t>. </w:t>
      </w:r>
    </w:p>
    <w:p w:rsidR="000E7F2E" w:rsidP="00C5204E" w14:paraId="540AA8F6" w14:textId="3E574009">
      <w:pPr>
        <w:numPr>
          <w:ilvl w:val="0"/>
          <w:numId w:val="37"/>
        </w:numPr>
        <w:spacing w:after="160" w:line="264" w:lineRule="auto"/>
        <w:rPr>
          <w:rFonts w:eastAsia="Times New Roman" w:cstheme="minorHAnsi"/>
        </w:rPr>
      </w:pPr>
      <w:r>
        <w:rPr>
          <w:rFonts w:eastAsia="Times New Roman" w:cstheme="minorHAnsi"/>
        </w:rPr>
        <w:t>Have e</w:t>
      </w:r>
      <w:r w:rsidRPr="000E7F2E">
        <w:rPr>
          <w:rFonts w:eastAsia="Times New Roman" w:cstheme="minorHAnsi"/>
        </w:rPr>
        <w:t>xperience providing quality improvement-related supports (for example, professional development, training, or coaching)</w:t>
      </w:r>
      <w:r>
        <w:rPr>
          <w:rFonts w:eastAsia="Times New Roman" w:cstheme="minorHAnsi"/>
        </w:rPr>
        <w:t>.</w:t>
      </w:r>
    </w:p>
    <w:p w:rsidR="00443D9E" w:rsidP="006233B8" w14:paraId="4F91017F" w14:textId="35550EC8">
      <w:pPr>
        <w:spacing w:after="0" w:line="264" w:lineRule="auto"/>
        <w:rPr>
          <w:rFonts w:eastAsia="Times New Roman" w:cstheme="minorHAnsi"/>
        </w:rPr>
      </w:pPr>
      <w:r w:rsidRPr="00E35E8B">
        <w:rPr>
          <w:rFonts w:eastAsia="Times New Roman" w:cstheme="minorHAnsi"/>
        </w:rPr>
        <w:t xml:space="preserve">The team will work closely with </w:t>
      </w:r>
      <w:r w:rsidR="00C919B2">
        <w:rPr>
          <w:rFonts w:eastAsia="Times New Roman" w:cstheme="minorHAnsi"/>
        </w:rPr>
        <w:t xml:space="preserve">all </w:t>
      </w:r>
      <w:r w:rsidRPr="00E35E8B">
        <w:rPr>
          <w:rFonts w:eastAsia="Times New Roman" w:cstheme="minorHAnsi"/>
        </w:rPr>
        <w:t xml:space="preserve">community organizations that support HBCCs </w:t>
      </w:r>
      <w:r w:rsidR="00770631">
        <w:rPr>
          <w:rFonts w:eastAsia="Times New Roman" w:cstheme="minorHAnsi"/>
        </w:rPr>
        <w:t>to recruit</w:t>
      </w:r>
      <w:r w:rsidRPr="00E35E8B" w:rsidR="00F77301">
        <w:rPr>
          <w:rFonts w:eastAsia="Times New Roman" w:cstheme="minorHAnsi"/>
        </w:rPr>
        <w:t xml:space="preserve"> home-based providers </w:t>
      </w:r>
      <w:r w:rsidRPr="00E35E8B" w:rsidR="00457B56">
        <w:rPr>
          <w:rFonts w:eastAsia="Times New Roman" w:cstheme="minorHAnsi"/>
        </w:rPr>
        <w:t xml:space="preserve">and adjust selection of organizations </w:t>
      </w:r>
      <w:r w:rsidRPr="00E35E8B" w:rsidR="008F2068">
        <w:rPr>
          <w:rFonts w:eastAsia="Times New Roman" w:cstheme="minorHAnsi"/>
        </w:rPr>
        <w:t xml:space="preserve">as </w:t>
      </w:r>
      <w:r w:rsidR="00D20ACD">
        <w:rPr>
          <w:rFonts w:eastAsia="Times New Roman" w:cstheme="minorHAnsi"/>
        </w:rPr>
        <w:t>the team</w:t>
      </w:r>
      <w:r w:rsidRPr="00E35E8B" w:rsidR="00D20ACD">
        <w:rPr>
          <w:rFonts w:eastAsia="Times New Roman" w:cstheme="minorHAnsi"/>
        </w:rPr>
        <w:t xml:space="preserve"> </w:t>
      </w:r>
      <w:r w:rsidRPr="00E35E8B" w:rsidR="008F2068">
        <w:rPr>
          <w:rFonts w:eastAsia="Times New Roman" w:cstheme="minorHAnsi"/>
        </w:rPr>
        <w:t>reach</w:t>
      </w:r>
      <w:r w:rsidR="00D20ACD">
        <w:rPr>
          <w:rFonts w:eastAsia="Times New Roman" w:cstheme="minorHAnsi"/>
        </w:rPr>
        <w:t xml:space="preserve">es </w:t>
      </w:r>
      <w:r w:rsidRPr="00E35E8B" w:rsidR="008F2068">
        <w:rPr>
          <w:rFonts w:eastAsia="Times New Roman" w:cstheme="minorHAnsi"/>
        </w:rPr>
        <w:t>recruitment targets</w:t>
      </w:r>
      <w:r w:rsidRPr="00E35E8B" w:rsidR="0002084C">
        <w:rPr>
          <w:rFonts w:eastAsia="Times New Roman" w:cstheme="minorHAnsi"/>
        </w:rPr>
        <w:t xml:space="preserve"> (for example, if </w:t>
      </w:r>
      <w:r w:rsidR="00605CF7">
        <w:rPr>
          <w:rFonts w:eastAsia="Times New Roman" w:cstheme="minorHAnsi"/>
        </w:rPr>
        <w:t>the team has</w:t>
      </w:r>
      <w:r w:rsidRPr="00E35E8B" w:rsidR="0002084C">
        <w:rPr>
          <w:rFonts w:eastAsia="Times New Roman" w:cstheme="minorHAnsi"/>
        </w:rPr>
        <w:t xml:space="preserve"> difficulty recruiting rural </w:t>
      </w:r>
      <w:r w:rsidR="00616013">
        <w:rPr>
          <w:rFonts w:eastAsia="Times New Roman" w:cstheme="minorHAnsi"/>
        </w:rPr>
        <w:t>FFN</w:t>
      </w:r>
      <w:r w:rsidRPr="00E35E8B" w:rsidR="0002084C">
        <w:rPr>
          <w:rFonts w:eastAsia="Times New Roman" w:cstheme="minorHAnsi"/>
        </w:rPr>
        <w:t xml:space="preserve"> providers during the beginning of data collection, </w:t>
      </w:r>
      <w:r w:rsidR="00605CF7">
        <w:rPr>
          <w:rFonts w:eastAsia="Times New Roman" w:cstheme="minorHAnsi"/>
        </w:rPr>
        <w:t>the team</w:t>
      </w:r>
      <w:r w:rsidRPr="00E35E8B" w:rsidR="00605CF7">
        <w:rPr>
          <w:rFonts w:eastAsia="Times New Roman" w:cstheme="minorHAnsi"/>
        </w:rPr>
        <w:t xml:space="preserve"> </w:t>
      </w:r>
      <w:r w:rsidRPr="00E35E8B" w:rsidR="0002084C">
        <w:rPr>
          <w:rFonts w:eastAsia="Times New Roman" w:cstheme="minorHAnsi"/>
        </w:rPr>
        <w:t xml:space="preserve">may invite new organizations that have experience working with such providers). </w:t>
      </w:r>
      <w:r w:rsidR="00D678B2">
        <w:rPr>
          <w:rFonts w:eastAsia="Times New Roman" w:cstheme="minorHAnsi"/>
        </w:rPr>
        <w:t>The study team will work with each community organization to designate a site coordinator who will be the study’s main point of contact (</w:t>
      </w:r>
      <w:r w:rsidR="007A6D0E">
        <w:rPr>
          <w:rFonts w:eastAsia="Times New Roman" w:cstheme="minorHAnsi"/>
        </w:rPr>
        <w:t xml:space="preserve">Instrument 1, </w:t>
      </w:r>
      <w:r w:rsidR="00D678B2">
        <w:rPr>
          <w:rFonts w:eastAsia="Times New Roman" w:cstheme="minorHAnsi"/>
        </w:rPr>
        <w:t>Appendix A).</w:t>
      </w:r>
    </w:p>
    <w:p w:rsidR="006233B8" w:rsidP="00BD15D4" w14:paraId="6F905B2D" w14:textId="77777777">
      <w:pPr>
        <w:spacing w:after="0" w:line="264" w:lineRule="auto"/>
        <w:rPr>
          <w:rFonts w:eastAsia="Times New Roman" w:cstheme="minorHAnsi"/>
        </w:rPr>
      </w:pPr>
    </w:p>
    <w:p w:rsidR="0017243C" w:rsidP="006233B8" w14:paraId="607176D3" w14:textId="1B2A4F69">
      <w:pPr>
        <w:spacing w:after="0" w:line="264" w:lineRule="auto"/>
        <w:rPr>
          <w:rFonts w:eastAsia="Times New Roman"/>
        </w:rPr>
      </w:pPr>
      <w:r w:rsidRPr="3880212B">
        <w:rPr>
          <w:rFonts w:eastAsia="Times New Roman"/>
        </w:rPr>
        <w:t>The team</w:t>
      </w:r>
      <w:r w:rsidRPr="3880212B" w:rsidR="00443D9E">
        <w:rPr>
          <w:rFonts w:eastAsia="Times New Roman"/>
        </w:rPr>
        <w:t xml:space="preserve"> will recruit </w:t>
      </w:r>
      <w:r w:rsidRPr="3880212B" w:rsidR="00CA2904">
        <w:rPr>
          <w:rFonts w:eastAsia="Times New Roman"/>
        </w:rPr>
        <w:t>5</w:t>
      </w:r>
      <w:r w:rsidRPr="3880212B" w:rsidR="00443D9E">
        <w:rPr>
          <w:rFonts w:eastAsia="Times New Roman"/>
        </w:rPr>
        <w:t xml:space="preserve">0 home-based providers who will participate in observations in a subset (at least 2) of the study states. </w:t>
      </w:r>
      <w:r w:rsidRPr="3880212B">
        <w:rPr>
          <w:rFonts w:eastAsia="Times New Roman"/>
        </w:rPr>
        <w:t xml:space="preserve">The team </w:t>
      </w:r>
      <w:r w:rsidRPr="3880212B" w:rsidR="00C919B2">
        <w:rPr>
          <w:rFonts w:eastAsia="Times New Roman"/>
        </w:rPr>
        <w:t xml:space="preserve">will work with community organizations </w:t>
      </w:r>
      <w:r w:rsidRPr="3880212B" w:rsidR="00600862">
        <w:rPr>
          <w:rFonts w:eastAsia="Times New Roman"/>
        </w:rPr>
        <w:t>within these states</w:t>
      </w:r>
      <w:r w:rsidRPr="3880212B" w:rsidR="00C919B2">
        <w:rPr>
          <w:rFonts w:eastAsia="Times New Roman"/>
        </w:rPr>
        <w:t xml:space="preserve"> to focus exclusively on recruiting home-based providers who will participate in observations.</w:t>
      </w:r>
      <w:r w:rsidRPr="3880212B" w:rsidR="007212AC">
        <w:rPr>
          <w:rFonts w:eastAsia="Times New Roman"/>
        </w:rPr>
        <w:t xml:space="preserve"> </w:t>
      </w:r>
      <w:r w:rsidRPr="3880212B" w:rsidR="005627AA">
        <w:rPr>
          <w:rFonts w:eastAsia="Times New Roman"/>
        </w:rPr>
        <w:t xml:space="preserve">The team </w:t>
      </w:r>
      <w:r w:rsidRPr="3880212B" w:rsidR="003558FB">
        <w:rPr>
          <w:rFonts w:eastAsia="Times New Roman"/>
        </w:rPr>
        <w:t>will also b</w:t>
      </w:r>
      <w:r w:rsidRPr="3880212B" w:rsidR="003412BA">
        <w:rPr>
          <w:rFonts w:eastAsia="Times New Roman"/>
        </w:rPr>
        <w:t>ase</w:t>
      </w:r>
      <w:r w:rsidRPr="3880212B" w:rsidR="003558FB">
        <w:rPr>
          <w:rFonts w:eastAsia="Times New Roman"/>
        </w:rPr>
        <w:t xml:space="preserve"> selection</w:t>
      </w:r>
      <w:r w:rsidRPr="3880212B" w:rsidR="003412BA">
        <w:rPr>
          <w:rFonts w:eastAsia="Times New Roman"/>
        </w:rPr>
        <w:t xml:space="preserve"> </w:t>
      </w:r>
      <w:r w:rsidRPr="3880212B" w:rsidR="32D28AF8">
        <w:rPr>
          <w:rFonts w:eastAsia="Times New Roman"/>
        </w:rPr>
        <w:t>of community organizations</w:t>
      </w:r>
      <w:r w:rsidRPr="3880212B" w:rsidR="003412BA">
        <w:rPr>
          <w:rFonts w:eastAsia="Times New Roman"/>
        </w:rPr>
        <w:t xml:space="preserve"> on </w:t>
      </w:r>
      <w:r w:rsidRPr="3880212B" w:rsidR="00236463">
        <w:rPr>
          <w:rFonts w:eastAsia="Times New Roman"/>
        </w:rPr>
        <w:t>the study team’s</w:t>
      </w:r>
      <w:r w:rsidRPr="3880212B" w:rsidR="003412BA">
        <w:rPr>
          <w:rFonts w:eastAsia="Times New Roman"/>
        </w:rPr>
        <w:t xml:space="preserve"> experience working with </w:t>
      </w:r>
      <w:r w:rsidRPr="3880212B" w:rsidR="06A46EBE">
        <w:rPr>
          <w:rFonts w:eastAsia="Times New Roman"/>
        </w:rPr>
        <w:t xml:space="preserve">them </w:t>
      </w:r>
      <w:r w:rsidRPr="3880212B" w:rsidR="00BD6B11">
        <w:rPr>
          <w:rFonts w:eastAsia="Times New Roman"/>
        </w:rPr>
        <w:t xml:space="preserve">during </w:t>
      </w:r>
      <w:r w:rsidRPr="3880212B" w:rsidR="003412BA">
        <w:rPr>
          <w:rFonts w:eastAsia="Times New Roman"/>
        </w:rPr>
        <w:t>the pilot study</w:t>
      </w:r>
      <w:r w:rsidRPr="3880212B" w:rsidR="16B71FF2">
        <w:rPr>
          <w:rFonts w:eastAsia="Times New Roman"/>
        </w:rPr>
        <w:t xml:space="preserve">. The study team will </w:t>
      </w:r>
      <w:r w:rsidRPr="3880212B" w:rsidR="007212AC">
        <w:rPr>
          <w:rFonts w:eastAsia="Times New Roman"/>
        </w:rPr>
        <w:t xml:space="preserve">prioritize community organizations </w:t>
      </w:r>
      <w:r w:rsidRPr="3880212B" w:rsidR="00BD6B11">
        <w:rPr>
          <w:rFonts w:eastAsia="Times New Roman"/>
        </w:rPr>
        <w:t>that</w:t>
      </w:r>
      <w:r w:rsidRPr="3880212B" w:rsidR="00FF4E52">
        <w:rPr>
          <w:rFonts w:eastAsia="Times New Roman"/>
        </w:rPr>
        <w:t xml:space="preserve"> </w:t>
      </w:r>
      <w:r w:rsidR="009B5AAC">
        <w:rPr>
          <w:rFonts w:eastAsia="Times New Roman"/>
        </w:rPr>
        <w:t>successfully referred eligible providers to the pilot study</w:t>
      </w:r>
      <w:r w:rsidRPr="3880212B" w:rsidR="00660E2F">
        <w:rPr>
          <w:rFonts w:eastAsia="Times New Roman"/>
        </w:rPr>
        <w:t xml:space="preserve">. </w:t>
      </w:r>
      <w:r w:rsidRPr="3880212B" w:rsidR="00F03D5A">
        <w:rPr>
          <w:rFonts w:eastAsia="Times New Roman"/>
        </w:rPr>
        <w:t>If the study team</w:t>
      </w:r>
      <w:r w:rsidRPr="3880212B" w:rsidR="005E72B3">
        <w:rPr>
          <w:rFonts w:eastAsia="Times New Roman"/>
        </w:rPr>
        <w:t xml:space="preserve"> is </w:t>
      </w:r>
      <w:r w:rsidRPr="3880212B" w:rsidR="00F03D5A">
        <w:rPr>
          <w:rFonts w:eastAsia="Times New Roman"/>
        </w:rPr>
        <w:t xml:space="preserve">unable to reach the desired targets for observations, </w:t>
      </w:r>
      <w:r w:rsidRPr="3880212B" w:rsidR="005627AA">
        <w:rPr>
          <w:rFonts w:eastAsia="Times New Roman"/>
        </w:rPr>
        <w:t xml:space="preserve">the team </w:t>
      </w:r>
      <w:r w:rsidRPr="3880212B" w:rsidR="00F03D5A">
        <w:rPr>
          <w:rFonts w:eastAsia="Times New Roman"/>
        </w:rPr>
        <w:t xml:space="preserve">will </w:t>
      </w:r>
      <w:r w:rsidRPr="3880212B" w:rsidR="005E72B3">
        <w:rPr>
          <w:rFonts w:eastAsia="Times New Roman"/>
        </w:rPr>
        <w:t xml:space="preserve">invite new community organizations </w:t>
      </w:r>
      <w:r w:rsidRPr="3880212B" w:rsidR="00333BE7">
        <w:rPr>
          <w:rFonts w:eastAsia="Times New Roman"/>
        </w:rPr>
        <w:t>within the selected</w:t>
      </w:r>
      <w:r w:rsidRPr="3880212B" w:rsidR="00825A3B">
        <w:rPr>
          <w:rFonts w:eastAsia="Times New Roman"/>
        </w:rPr>
        <w:t xml:space="preserve"> study states</w:t>
      </w:r>
      <w:r w:rsidRPr="3880212B" w:rsidR="00333BE7">
        <w:rPr>
          <w:rFonts w:eastAsia="Times New Roman"/>
        </w:rPr>
        <w:t xml:space="preserve"> </w:t>
      </w:r>
      <w:r w:rsidRPr="3880212B" w:rsidR="005E72B3">
        <w:rPr>
          <w:rFonts w:eastAsia="Times New Roman"/>
        </w:rPr>
        <w:t xml:space="preserve">until targets are reached. </w:t>
      </w:r>
    </w:p>
    <w:p w:rsidR="006233B8" w:rsidP="00BD15D4" w14:paraId="7FF96FC2" w14:textId="77777777">
      <w:pPr>
        <w:spacing w:after="0" w:line="264" w:lineRule="auto"/>
        <w:rPr>
          <w:rFonts w:eastAsia="Times New Roman"/>
        </w:rPr>
      </w:pPr>
    </w:p>
    <w:p w:rsidR="007D78CC" w:rsidP="006233B8" w14:paraId="55D3ED60" w14:textId="2AE75315">
      <w:pPr>
        <w:spacing w:after="0" w:line="264" w:lineRule="auto"/>
        <w:rPr>
          <w:rFonts w:eastAsia="Times New Roman"/>
        </w:rPr>
      </w:pPr>
      <w:r w:rsidRPr="3880212B">
        <w:rPr>
          <w:rFonts w:eastAsia="Times New Roman"/>
        </w:rPr>
        <w:t xml:space="preserve">In addition to partnering with organizations, the study team will also draw from publicly available </w:t>
      </w:r>
      <w:r w:rsidRPr="3880212B" w:rsidR="009D7662">
        <w:rPr>
          <w:rFonts w:eastAsia="Times New Roman"/>
        </w:rPr>
        <w:t xml:space="preserve">state licensing </w:t>
      </w:r>
      <w:r w:rsidRPr="3880212B" w:rsidR="004D6ECB">
        <w:rPr>
          <w:rFonts w:eastAsia="Times New Roman"/>
        </w:rPr>
        <w:t>lists</w:t>
      </w:r>
      <w:r w:rsidRPr="3880212B" w:rsidR="009D7662">
        <w:rPr>
          <w:rFonts w:eastAsia="Times New Roman"/>
        </w:rPr>
        <w:t xml:space="preserve"> </w:t>
      </w:r>
      <w:r w:rsidRPr="3880212B" w:rsidR="00187E74">
        <w:rPr>
          <w:rFonts w:eastAsia="Times New Roman"/>
        </w:rPr>
        <w:t xml:space="preserve">as needed </w:t>
      </w:r>
      <w:r w:rsidRPr="3880212B">
        <w:rPr>
          <w:rFonts w:eastAsia="Times New Roman"/>
        </w:rPr>
        <w:t xml:space="preserve">to supplement providers referred to the study from community organizations. </w:t>
      </w:r>
      <w:r w:rsidRPr="3880212B">
        <w:rPr>
          <w:rFonts w:eastAsia="Times New Roman"/>
        </w:rPr>
        <w:t xml:space="preserve">The study team will also </w:t>
      </w:r>
      <w:r w:rsidRPr="3880212B" w:rsidR="00FE7F20">
        <w:rPr>
          <w:rFonts w:eastAsia="Times New Roman"/>
        </w:rPr>
        <w:t xml:space="preserve">use snowball recruitment by </w:t>
      </w:r>
      <w:r w:rsidRPr="3880212B">
        <w:rPr>
          <w:rFonts w:eastAsia="Times New Roman"/>
        </w:rPr>
        <w:t>ask</w:t>
      </w:r>
      <w:r w:rsidRPr="3880212B" w:rsidR="00FE7F20">
        <w:rPr>
          <w:rFonts w:eastAsia="Times New Roman"/>
        </w:rPr>
        <w:t>ing</w:t>
      </w:r>
      <w:r w:rsidRPr="3880212B">
        <w:rPr>
          <w:rFonts w:eastAsia="Times New Roman"/>
        </w:rPr>
        <w:t xml:space="preserve"> for recommendations </w:t>
      </w:r>
      <w:r w:rsidRPr="3880212B">
        <w:rPr>
          <w:rFonts w:eastAsia="Times New Roman"/>
        </w:rPr>
        <w:t xml:space="preserve">from </w:t>
      </w:r>
      <w:r w:rsidRPr="3880212B">
        <w:rPr>
          <w:rFonts w:eastAsia="Times New Roman"/>
        </w:rPr>
        <w:t xml:space="preserve">other </w:t>
      </w:r>
      <w:r w:rsidRPr="3880212B">
        <w:rPr>
          <w:rFonts w:eastAsia="Times New Roman"/>
        </w:rPr>
        <w:t xml:space="preserve">providers </w:t>
      </w:r>
      <w:r w:rsidRPr="3880212B">
        <w:rPr>
          <w:rFonts w:eastAsia="Times New Roman"/>
        </w:rPr>
        <w:t xml:space="preserve">contacted by the study team during recruitment to participate in the </w:t>
      </w:r>
      <w:r w:rsidRPr="3880212B" w:rsidR="00237ACB">
        <w:rPr>
          <w:rFonts w:eastAsia="Times New Roman"/>
        </w:rPr>
        <w:t>study</w:t>
      </w:r>
      <w:r w:rsidRPr="3880212B">
        <w:rPr>
          <w:rFonts w:eastAsia="Times New Roman"/>
        </w:rPr>
        <w:t xml:space="preserve">. </w:t>
      </w:r>
    </w:p>
    <w:p w:rsidR="006233B8" w:rsidRPr="00E35E8B" w:rsidP="00BD15D4" w14:paraId="076B0368" w14:textId="77777777">
      <w:pPr>
        <w:spacing w:after="0" w:line="264" w:lineRule="auto"/>
        <w:rPr>
          <w:rFonts w:eastAsia="Times New Roman"/>
          <w:color w:val="000000"/>
        </w:rPr>
      </w:pPr>
    </w:p>
    <w:p w:rsidR="007D78CC" w:rsidP="006233B8" w14:paraId="453D68A4" w14:textId="092474B7">
      <w:pPr>
        <w:spacing w:after="0" w:line="264" w:lineRule="auto"/>
        <w:rPr>
          <w:rFonts w:eastAsia="Times New Roman" w:cstheme="minorHAnsi"/>
        </w:rPr>
      </w:pPr>
      <w:r w:rsidRPr="00E35E8B">
        <w:rPr>
          <w:rFonts w:eastAsia="Times New Roman" w:cstheme="minorHAnsi"/>
        </w:rPr>
        <w:t>T</w:t>
      </w:r>
      <w:r w:rsidRPr="00E35E8B">
        <w:rPr>
          <w:rFonts w:eastAsia="Times New Roman" w:cstheme="minorHAnsi"/>
        </w:rPr>
        <w:t xml:space="preserve">he study team </w:t>
      </w:r>
      <w:r w:rsidRPr="00E35E8B">
        <w:rPr>
          <w:rFonts w:eastAsia="Times New Roman" w:cstheme="minorHAnsi"/>
        </w:rPr>
        <w:t>will</w:t>
      </w:r>
      <w:r w:rsidRPr="00E35E8B">
        <w:rPr>
          <w:rFonts w:eastAsia="Times New Roman" w:cstheme="minorHAnsi"/>
        </w:rPr>
        <w:t xml:space="preserve"> </w:t>
      </w:r>
      <w:r w:rsidR="00FC5A4A">
        <w:rPr>
          <w:rFonts w:eastAsia="Times New Roman" w:cstheme="minorHAnsi"/>
        </w:rPr>
        <w:t>work</w:t>
      </w:r>
      <w:r w:rsidRPr="00E35E8B" w:rsidR="004904DC">
        <w:rPr>
          <w:rFonts w:eastAsia="Times New Roman" w:cstheme="minorHAnsi"/>
        </w:rPr>
        <w:t xml:space="preserve"> </w:t>
      </w:r>
      <w:r w:rsidR="00193C1F">
        <w:rPr>
          <w:rFonts w:eastAsia="Times New Roman" w:cstheme="minorHAnsi"/>
        </w:rPr>
        <w:t xml:space="preserve">with </w:t>
      </w:r>
      <w:r w:rsidR="006B1DFB">
        <w:rPr>
          <w:rFonts w:eastAsia="Times New Roman" w:cstheme="minorHAnsi"/>
        </w:rPr>
        <w:t xml:space="preserve">all </w:t>
      </w:r>
      <w:r w:rsidRPr="00E35E8B">
        <w:rPr>
          <w:rFonts w:eastAsia="Times New Roman" w:cstheme="minorHAnsi"/>
        </w:rPr>
        <w:t xml:space="preserve">participating </w:t>
      </w:r>
      <w:r w:rsidR="007F4222">
        <w:rPr>
          <w:rFonts w:eastAsia="Times New Roman" w:cstheme="minorHAnsi"/>
        </w:rPr>
        <w:t xml:space="preserve">home-based </w:t>
      </w:r>
      <w:r w:rsidRPr="00E35E8B">
        <w:rPr>
          <w:rFonts w:eastAsia="Times New Roman" w:cstheme="minorHAnsi"/>
        </w:rPr>
        <w:t xml:space="preserve">providers to recruit </w:t>
      </w:r>
      <w:r w:rsidR="00264297">
        <w:rPr>
          <w:rFonts w:eastAsia="Times New Roman" w:cstheme="minorHAnsi"/>
        </w:rPr>
        <w:t xml:space="preserve">English-speaking </w:t>
      </w:r>
      <w:r w:rsidRPr="00E35E8B" w:rsidR="006F091A">
        <w:rPr>
          <w:rFonts w:eastAsia="Times New Roman" w:cstheme="minorHAnsi"/>
        </w:rPr>
        <w:t>famil</w:t>
      </w:r>
      <w:r w:rsidR="006F091A">
        <w:rPr>
          <w:rFonts w:eastAsia="Times New Roman" w:cstheme="minorHAnsi"/>
        </w:rPr>
        <w:t>ies</w:t>
      </w:r>
      <w:r w:rsidRPr="00E35E8B" w:rsidR="006F091A">
        <w:rPr>
          <w:rFonts w:eastAsia="Times New Roman" w:cstheme="minorHAnsi"/>
        </w:rPr>
        <w:t xml:space="preserve"> </w:t>
      </w:r>
      <w:r w:rsidRPr="00E35E8B">
        <w:rPr>
          <w:rFonts w:eastAsia="Times New Roman" w:cstheme="minorHAnsi"/>
        </w:rPr>
        <w:t xml:space="preserve">of school-age children who attend their HBCC to complete the </w:t>
      </w:r>
      <w:r w:rsidR="002F1E76">
        <w:rPr>
          <w:rFonts w:eastAsia="Times New Roman" w:cstheme="minorHAnsi"/>
        </w:rPr>
        <w:t>family survey</w:t>
      </w:r>
      <w:r w:rsidRPr="00E35E8B">
        <w:rPr>
          <w:rFonts w:eastAsia="Times New Roman" w:cstheme="minorHAnsi"/>
        </w:rPr>
        <w:t>.</w:t>
      </w:r>
      <w:r w:rsidRPr="00E35E8B">
        <w:rPr>
          <w:rFonts w:eastAsia="Times New Roman" w:cstheme="minorHAnsi"/>
        </w:rPr>
        <w:t xml:space="preserve"> </w:t>
      </w:r>
    </w:p>
    <w:p w:rsidR="006233B8" w:rsidRPr="00E35E8B" w:rsidP="00BD15D4" w14:paraId="37DEDC7A" w14:textId="77777777">
      <w:pPr>
        <w:spacing w:after="0" w:line="264" w:lineRule="auto"/>
        <w:rPr>
          <w:rFonts w:eastAsia="Times New Roman" w:cstheme="minorHAnsi"/>
          <w:color w:val="000000"/>
        </w:rPr>
      </w:pPr>
    </w:p>
    <w:p w:rsidR="00A42C71" w:rsidRPr="00E35E8B" w:rsidP="00BD15D4" w14:paraId="49BCF056" w14:textId="2D560FF5">
      <w:pPr>
        <w:spacing w:after="0" w:line="264" w:lineRule="auto"/>
      </w:pPr>
      <w:r w:rsidRPr="00E35E8B">
        <w:rPr>
          <w:rFonts w:eastAsia="Times New Roman" w:cstheme="minorHAnsi"/>
        </w:rPr>
        <w:t xml:space="preserve">Because respondents will be purposively selected, they will not be representative of their populations. Instead, the study team aims to obtain variation in </w:t>
      </w:r>
      <w:r w:rsidRPr="00E35E8B" w:rsidR="00C664FF">
        <w:rPr>
          <w:rFonts w:eastAsia="Times New Roman" w:cstheme="minorHAnsi"/>
        </w:rPr>
        <w:t>home-based</w:t>
      </w:r>
      <w:r w:rsidRPr="00E35E8B">
        <w:rPr>
          <w:rFonts w:eastAsia="Times New Roman" w:cstheme="minorHAnsi"/>
        </w:rPr>
        <w:t xml:space="preserve"> providers’ characteristics to </w:t>
      </w:r>
      <w:r w:rsidR="00595C76">
        <w:rPr>
          <w:rFonts w:eastAsia="Times New Roman" w:cstheme="minorHAnsi"/>
        </w:rPr>
        <w:t>gather</w:t>
      </w:r>
      <w:r w:rsidRPr="00E35E8B" w:rsidR="00595C76">
        <w:rPr>
          <w:rFonts w:eastAsia="Times New Roman" w:cstheme="minorHAnsi"/>
        </w:rPr>
        <w:t xml:space="preserve"> </w:t>
      </w:r>
      <w:r w:rsidRPr="00E35E8B">
        <w:rPr>
          <w:rFonts w:eastAsia="Times New Roman" w:cstheme="minorHAnsi"/>
        </w:rPr>
        <w:t xml:space="preserve">a diverse group of respondents </w:t>
      </w:r>
      <w:r w:rsidR="008F4330">
        <w:rPr>
          <w:rFonts w:eastAsia="Times New Roman" w:cstheme="minorHAnsi"/>
        </w:rPr>
        <w:t xml:space="preserve">to </w:t>
      </w:r>
      <w:r w:rsidRPr="00E35E8B" w:rsidR="00625784">
        <w:rPr>
          <w:rFonts w:eastAsia="Times New Roman" w:cstheme="minorHAnsi"/>
        </w:rPr>
        <w:t xml:space="preserve">respond to the </w:t>
      </w:r>
      <w:r w:rsidRPr="00E35E8B">
        <w:rPr>
          <w:rFonts w:eastAsia="Times New Roman" w:cstheme="minorHAnsi"/>
        </w:rPr>
        <w:t xml:space="preserve">instruments. </w:t>
      </w:r>
    </w:p>
    <w:p w:rsidR="00A42C71" w:rsidP="00A42C71" w14:paraId="705CF94B" w14:textId="7F4DC881">
      <w:pPr>
        <w:pStyle w:val="ListParagraph"/>
        <w:spacing w:after="0" w:line="240" w:lineRule="auto"/>
        <w:ind w:left="0"/>
        <w:rPr>
          <w:rFonts w:cstheme="minorHAnsi"/>
        </w:rPr>
      </w:pPr>
    </w:p>
    <w:p w:rsidR="006233B8" w:rsidRPr="001A59B6" w:rsidP="00A42C71" w14:paraId="6611E815"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30836828">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C91DC8" w:rsidP="006233B8" w14:paraId="4C62830B" w14:textId="721AF9EC">
      <w:pPr>
        <w:pStyle w:val="ParagraphContinued"/>
        <w:spacing w:before="0" w:after="0"/>
        <w:rPr>
          <w:rFonts w:eastAsia="Times New Roman"/>
        </w:rPr>
      </w:pPr>
      <w:r>
        <w:t xml:space="preserve">The recruitment information collection instruments (Instrument </w:t>
      </w:r>
      <w:r w:rsidR="00D94500">
        <w:t>2</w:t>
      </w:r>
      <w:r>
        <w:t xml:space="preserve"> and Instrument </w:t>
      </w:r>
      <w:r w:rsidR="00D94500">
        <w:t>3</w:t>
      </w:r>
      <w:r>
        <w:t>) were developed by the study team to include the key questions necessary to determine whether providers will be invited to participate in the study</w:t>
      </w:r>
      <w:r w:rsidRPr="405827C5" w:rsidR="00C80660">
        <w:rPr>
          <w:rFonts w:eastAsia="Times New Roman"/>
        </w:rPr>
        <w:t xml:space="preserve">. </w:t>
      </w:r>
      <w:r w:rsidR="006F4571">
        <w:rPr>
          <w:rFonts w:eastAsia="Times New Roman"/>
        </w:rPr>
        <w:t>T</w:t>
      </w:r>
      <w:r w:rsidRPr="405827C5" w:rsidR="00C80660">
        <w:rPr>
          <w:rFonts w:eastAsia="Times New Roman"/>
        </w:rPr>
        <w:t>he</w:t>
      </w:r>
      <w:r w:rsidR="00C80660">
        <w:rPr>
          <w:rFonts w:eastAsia="Times New Roman"/>
        </w:rPr>
        <w:t xml:space="preserve">se </w:t>
      </w:r>
      <w:r w:rsidR="006F4571">
        <w:rPr>
          <w:rFonts w:eastAsia="Times New Roman"/>
        </w:rPr>
        <w:t>instruments also</w:t>
      </w:r>
      <w:r w:rsidR="00C80660">
        <w:rPr>
          <w:rFonts w:eastAsia="Times New Roman"/>
        </w:rPr>
        <w:t xml:space="preserve"> </w:t>
      </w:r>
      <w:r w:rsidRPr="405827C5" w:rsidR="00C80660">
        <w:rPr>
          <w:rFonts w:eastAsia="Times New Roman"/>
        </w:rPr>
        <w:t xml:space="preserve">guide the discussion of the provider’s responsibilities when sharing the </w:t>
      </w:r>
      <w:r w:rsidR="002F1E76">
        <w:rPr>
          <w:rFonts w:eastAsia="Times New Roman"/>
        </w:rPr>
        <w:t>family survey</w:t>
      </w:r>
      <w:r w:rsidRPr="405827C5" w:rsidR="00C80660">
        <w:rPr>
          <w:rFonts w:eastAsia="Times New Roman"/>
        </w:rPr>
        <w:t xml:space="preserve"> with families</w:t>
      </w:r>
      <w:r w:rsidR="001A7E08">
        <w:rPr>
          <w:rFonts w:eastAsia="Times New Roman"/>
        </w:rPr>
        <w:t xml:space="preserve"> (and if completed by paper,</w:t>
      </w:r>
      <w:r w:rsidRPr="405827C5" w:rsidR="00C80660">
        <w:rPr>
          <w:rFonts w:eastAsia="Times New Roman"/>
        </w:rPr>
        <w:t xml:space="preserve"> collecting it</w:t>
      </w:r>
      <w:r w:rsidR="00032228">
        <w:rPr>
          <w:rFonts w:eastAsia="Times New Roman"/>
        </w:rPr>
        <w:t xml:space="preserve"> </w:t>
      </w:r>
      <w:r w:rsidRPr="405827C5" w:rsidR="00C80660">
        <w:rPr>
          <w:rFonts w:eastAsia="Times New Roman"/>
        </w:rPr>
        <w:t>and returning it to the study team</w:t>
      </w:r>
      <w:r w:rsidR="00032228">
        <w:rPr>
          <w:rFonts w:eastAsia="Times New Roman"/>
        </w:rPr>
        <w:t>)</w:t>
      </w:r>
      <w:r w:rsidRPr="405827C5" w:rsidR="00C80660">
        <w:rPr>
          <w:rFonts w:eastAsia="Times New Roman"/>
        </w:rPr>
        <w:t>.</w:t>
      </w:r>
      <w:r w:rsidR="00A21DDF">
        <w:rPr>
          <w:rFonts w:eastAsia="Times New Roman"/>
        </w:rPr>
        <w:t xml:space="preserve"> Instrument </w:t>
      </w:r>
      <w:r w:rsidR="009D3574">
        <w:rPr>
          <w:rFonts w:eastAsia="Times New Roman"/>
        </w:rPr>
        <w:t xml:space="preserve">3 </w:t>
      </w:r>
      <w:r w:rsidR="00A21DDF">
        <w:rPr>
          <w:rFonts w:eastAsia="Times New Roman"/>
        </w:rPr>
        <w:t>also determines providers’ eligibility and willingness to participate in the observation.</w:t>
      </w:r>
    </w:p>
    <w:p w:rsidR="006233B8" w:rsidRPr="006233B8" w:rsidP="00BD15D4" w14:paraId="55FEFF35" w14:textId="77777777">
      <w:pPr>
        <w:pStyle w:val="Paragraph"/>
        <w:spacing w:after="0"/>
      </w:pPr>
    </w:p>
    <w:p w:rsidR="009441DC" w:rsidP="00026297" w14:paraId="758A2509" w14:textId="0FF2D171">
      <w:pPr>
        <w:pStyle w:val="Paragraph"/>
        <w:spacing w:after="0"/>
      </w:pPr>
      <w:r>
        <w:t>To develop the HBCC-NSAC Toolkit</w:t>
      </w:r>
      <w:r w:rsidR="002F6551">
        <w:t xml:space="preserve"> provider questionnaire</w:t>
      </w:r>
      <w:r>
        <w:t xml:space="preserve"> (Instrument </w:t>
      </w:r>
      <w:r w:rsidR="00D94500">
        <w:t>5</w:t>
      </w:r>
      <w:r>
        <w:t>), the study team selected domain topics based on the larger HBCCSQ project’s conceptual framework, literature review, and measures review</w:t>
      </w:r>
      <w:r>
        <w:t xml:space="preserve"> </w:t>
      </w:r>
      <w:r>
        <w:t>to highlight features of quality that are typically implemented differently or more likely to occur in HBCC than in other</w:t>
      </w:r>
      <w:r w:rsidRPr="007B6BB4">
        <w:t xml:space="preserve"> </w:t>
      </w:r>
      <w:r w:rsidR="00DB380D">
        <w:t>c</w:t>
      </w:r>
      <w:r w:rsidR="009265C5">
        <w:t xml:space="preserve">hild </w:t>
      </w:r>
      <w:r w:rsidR="00DB380D">
        <w:t>c</w:t>
      </w:r>
      <w:r w:rsidR="009265C5">
        <w:t xml:space="preserve">are and </w:t>
      </w:r>
      <w:r w:rsidR="00DB380D">
        <w:t>e</w:t>
      </w:r>
      <w:r w:rsidR="009265C5">
        <w:t xml:space="preserve">arly </w:t>
      </w:r>
      <w:r w:rsidR="00DB380D">
        <w:t>e</w:t>
      </w:r>
      <w:r w:rsidR="009265C5">
        <w:t xml:space="preserve">ducation </w:t>
      </w:r>
      <w:r w:rsidR="00DB380D">
        <w:t>(</w:t>
      </w:r>
      <w:r>
        <w:t>CCEE</w:t>
      </w:r>
      <w:r w:rsidR="00DB380D">
        <w:t>)</w:t>
      </w:r>
      <w:r>
        <w:t xml:space="preserve"> settings, and that might support positive outcomes for children and families. </w:t>
      </w:r>
      <w:r w:rsidR="004C1924">
        <w:t>Since</w:t>
      </w:r>
      <w:r>
        <w:t xml:space="preserve"> the HBCC-NSAC Toolkit</w:t>
      </w:r>
      <w:r w:rsidR="006B2531">
        <w:t xml:space="preserve"> provider questionnaire</w:t>
      </w:r>
      <w:r>
        <w:t xml:space="preserve"> is designed to measure dimensions that were identified as inadequately measured or not measured in existing instruments, the study team developed </w:t>
      </w:r>
      <w:r w:rsidR="004C1924">
        <w:t>new</w:t>
      </w:r>
      <w:r>
        <w:t xml:space="preserve"> items </w:t>
      </w:r>
      <w:r w:rsidR="00363443">
        <w:t>after review of</w:t>
      </w:r>
      <w:r>
        <w:t xml:space="preserve"> </w:t>
      </w:r>
      <w:r w:rsidR="004C1924">
        <w:t xml:space="preserve">existing measures </w:t>
      </w:r>
      <w:r w:rsidR="00A1272C">
        <w:t xml:space="preserve">of quality used in HBCC or used in school-age youth program settings </w:t>
      </w:r>
      <w:r w:rsidR="004C1924">
        <w:t>and</w:t>
      </w:r>
      <w:r>
        <w:t xml:space="preserve"> literature about the most promotive and protective practices for school-age children in each domain</w:t>
      </w:r>
      <w:r w:rsidR="004C1924">
        <w:t xml:space="preserve"> and dimension</w:t>
      </w:r>
      <w:r>
        <w:t>. Academic experts and experts with lived experience providing HBCC</w:t>
      </w:r>
      <w:r>
        <w:t xml:space="preserve"> </w:t>
      </w:r>
      <w:r>
        <w:t xml:space="preserve">provided input to measures development from selection of the </w:t>
      </w:r>
      <w:r w:rsidR="006364CE">
        <w:t xml:space="preserve">domains and dimensions </w:t>
      </w:r>
      <w:r>
        <w:t xml:space="preserve">through review of final items in the draft provider questionnaire. </w:t>
      </w:r>
      <w:r w:rsidRPr="000B357A">
        <w:t>The</w:t>
      </w:r>
      <w:r>
        <w:t xml:space="preserve">se </w:t>
      </w:r>
      <w:r w:rsidRPr="000B357A">
        <w:t xml:space="preserve">experts </w:t>
      </w:r>
      <w:r>
        <w:t xml:space="preserve">provided written and/or verbal feedback. </w:t>
      </w:r>
      <w:r w:rsidRPr="006F11C4">
        <w:t xml:space="preserve">Additionally, staff from community organizations reviewed the draft provider questionnaire and provided feedback </w:t>
      </w:r>
      <w:r>
        <w:t xml:space="preserve">and the study team revised </w:t>
      </w:r>
      <w:r w:rsidRPr="006F11C4">
        <w:t>(see Supporting Statement Part A Section A.8).</w:t>
      </w:r>
      <w:r w:rsidR="007264E8">
        <w:t xml:space="preserve"> </w:t>
      </w:r>
      <w:r w:rsidR="00026297">
        <w:t>Through these efforts, the team did not request the same information from more than nine individuals and therefore activities were not subject to the Paperwork Reduction Act.</w:t>
      </w:r>
      <w:r w:rsidRPr="00707D37" w:rsidR="00026297">
        <w:t xml:space="preserve"> </w:t>
      </w:r>
      <w:r w:rsidRPr="00707D37" w:rsidR="004D550B">
        <w:t xml:space="preserve">In July 2022, the study team </w:t>
      </w:r>
      <w:r w:rsidR="004D550B">
        <w:t xml:space="preserve">also </w:t>
      </w:r>
      <w:r w:rsidRPr="00707D37" w:rsidR="004D550B">
        <w:t>pre-tested the English version of the HBCC-NSAC Toolkit provider questionnaire with 9 providers</w:t>
      </w:r>
      <w:r w:rsidR="004D550B">
        <w:t xml:space="preserve"> with a mix of characteristics</w:t>
      </w:r>
      <w:r w:rsidR="004D550B">
        <w:rPr>
          <w:rFonts w:eastAsia="Calibri"/>
        </w:rPr>
        <w:t xml:space="preserve"> including FCC and FFN providers in </w:t>
      </w:r>
      <w:r w:rsidRPr="005A00E1" w:rsidR="004D550B">
        <w:rPr>
          <w:rFonts w:eastAsia="Calibri"/>
        </w:rPr>
        <w:t>urban</w:t>
      </w:r>
      <w:r w:rsidR="004D550B">
        <w:rPr>
          <w:rFonts w:eastAsia="Calibri"/>
        </w:rPr>
        <w:t xml:space="preserve"> and rural</w:t>
      </w:r>
      <w:r w:rsidRPr="005A00E1" w:rsidR="004D550B">
        <w:rPr>
          <w:rFonts w:eastAsia="Calibri"/>
        </w:rPr>
        <w:t xml:space="preserve"> areas, </w:t>
      </w:r>
      <w:r w:rsidR="004D550B">
        <w:rPr>
          <w:rFonts w:eastAsia="Calibri"/>
        </w:rPr>
        <w:t xml:space="preserve">with different racial and ethnic identities, and some who are </w:t>
      </w:r>
      <w:r w:rsidRPr="005A00E1" w:rsidR="004D550B">
        <w:rPr>
          <w:rFonts w:eastAsia="Calibri"/>
        </w:rPr>
        <w:t>bilingual in Spanish and English</w:t>
      </w:r>
      <w:r w:rsidR="004D550B">
        <w:t>. The study team used</w:t>
      </w:r>
      <w:r w:rsidRPr="000B357A" w:rsidR="004D550B">
        <w:t xml:space="preserve"> participant feedback to revise and finalize the introduction, instructions, and items</w:t>
      </w:r>
      <w:r w:rsidR="004D550B">
        <w:t xml:space="preserve"> in the provider questionnaire.</w:t>
      </w:r>
    </w:p>
    <w:p w:rsidR="00026297" w:rsidP="00BD15D4" w14:paraId="25053C1C" w14:textId="77777777">
      <w:pPr>
        <w:pStyle w:val="Paragraph"/>
        <w:spacing w:after="0"/>
      </w:pPr>
    </w:p>
    <w:p w:rsidR="00C91DC8" w:rsidP="00026297" w14:paraId="7A4A0CA4" w14:textId="1E95E89C">
      <w:pPr>
        <w:pStyle w:val="Paragraph"/>
        <w:spacing w:after="0"/>
      </w:pPr>
      <w:r>
        <w:t>After the pre-test, t</w:t>
      </w:r>
      <w:r w:rsidR="003C4D29">
        <w:t>he study team conducted a</w:t>
      </w:r>
      <w:r w:rsidRPr="003C4D29" w:rsidR="003C4D29">
        <w:t xml:space="preserve"> pilot study</w:t>
      </w:r>
      <w:r w:rsidR="005C1AEA">
        <w:t>, beginning in March 2023</w:t>
      </w:r>
      <w:r w:rsidRPr="003C4D29" w:rsidR="003C4D29">
        <w:t xml:space="preserve"> (completed under ACF’s generic clearance 0970 – 0355).</w:t>
      </w:r>
      <w:r w:rsidR="003C4D29">
        <w:t xml:space="preserve"> </w:t>
      </w:r>
      <w:r w:rsidR="00952F91">
        <w:t xml:space="preserve">Based on findings from the pilot study, </w:t>
      </w:r>
      <w:r w:rsidR="007264E8">
        <w:t>the study team made improvements to the provider questionnaire</w:t>
      </w:r>
      <w:r w:rsidR="009441DC">
        <w:t xml:space="preserve"> </w:t>
      </w:r>
      <w:r w:rsidR="007264E8">
        <w:t xml:space="preserve">including streamlining the introductory text, </w:t>
      </w:r>
      <w:r w:rsidR="003C65CF">
        <w:t>updating the response options scale</w:t>
      </w:r>
      <w:r w:rsidR="00D96691">
        <w:t xml:space="preserve"> from a 4-item scale to a </w:t>
      </w:r>
      <w:r w:rsidR="00D36DE7">
        <w:t>7</w:t>
      </w:r>
      <w:r w:rsidR="00D96691">
        <w:t>-item scale</w:t>
      </w:r>
      <w:r w:rsidR="003C65CF">
        <w:t>,</w:t>
      </w:r>
      <w:r w:rsidR="00D96691">
        <w:t xml:space="preserve"> </w:t>
      </w:r>
      <w:r w:rsidR="0076318B">
        <w:t>dropping or revising items to remove the ‘not applicable’ option, and removing the ‘don’t know’ response option. T</w:t>
      </w:r>
      <w:r w:rsidR="00B70DB3">
        <w:t>o streamline the questionnaire to the most essential items, t</w:t>
      </w:r>
      <w:r w:rsidR="0076318B">
        <w:t xml:space="preserve">he study team also </w:t>
      </w:r>
      <w:r w:rsidR="003C65CF">
        <w:t>dropp</w:t>
      </w:r>
      <w:r w:rsidR="0076318B">
        <w:t>ed</w:t>
      </w:r>
      <w:r w:rsidR="003C65CF">
        <w:t xml:space="preserve"> items </w:t>
      </w:r>
      <w:r w:rsidR="0076318B">
        <w:t xml:space="preserve">that: </w:t>
      </w:r>
      <w:r w:rsidR="00AD02B6">
        <w:t>(</w:t>
      </w:r>
      <w:r w:rsidR="001A5E1B">
        <w:t>1</w:t>
      </w:r>
      <w:r w:rsidR="00F844DB">
        <w:t xml:space="preserve">) </w:t>
      </w:r>
      <w:r w:rsidRPr="00F844DB" w:rsidR="00F844DB">
        <w:t>d</w:t>
      </w:r>
      <w:r w:rsidR="00F844DB">
        <w:t>id</w:t>
      </w:r>
      <w:r w:rsidRPr="00F844DB" w:rsidR="00F844DB">
        <w:t xml:space="preserve"> not vary (</w:t>
      </w:r>
      <w:r w:rsidR="55B16FAC">
        <w:t xml:space="preserve">for example, </w:t>
      </w:r>
      <w:r w:rsidRPr="00F844DB" w:rsidR="00F844DB">
        <w:t>almost everyone responds “3”)</w:t>
      </w:r>
      <w:r w:rsidR="00D41BBB">
        <w:t xml:space="preserve"> or </w:t>
      </w:r>
      <w:r w:rsidR="00AD02B6">
        <w:t>(</w:t>
      </w:r>
      <w:r w:rsidR="00D41BBB">
        <w:t>2</w:t>
      </w:r>
      <w:r w:rsidR="00F844DB">
        <w:t xml:space="preserve">) </w:t>
      </w:r>
      <w:r w:rsidRPr="00F844DB" w:rsidR="00F844DB">
        <w:t xml:space="preserve">or </w:t>
      </w:r>
      <w:r w:rsidR="560A4199">
        <w:t>had</w:t>
      </w:r>
      <w:r w:rsidRPr="00F844DB" w:rsidR="00F844DB">
        <w:t xml:space="preserve"> covariance and/or misfit problems.</w:t>
      </w:r>
      <w:r w:rsidR="00940B57">
        <w:t xml:space="preserve"> </w:t>
      </w:r>
    </w:p>
    <w:p w:rsidR="00026297" w:rsidRPr="00224CE0" w:rsidP="00BD15D4" w14:paraId="78096789" w14:textId="77777777">
      <w:pPr>
        <w:pStyle w:val="Paragraph"/>
        <w:spacing w:after="0"/>
      </w:pPr>
    </w:p>
    <w:p w:rsidR="00C91DC8" w:rsidP="00C91DC8" w14:paraId="05D3F302" w14:textId="2E406EE7">
      <w:pPr>
        <w:pStyle w:val="Paragraph"/>
      </w:pPr>
      <w:r w:rsidRPr="008C03DF">
        <w:t>Table</w:t>
      </w:r>
      <w:r w:rsidRPr="008C03DF">
        <w:t xml:space="preserve"> B.</w:t>
      </w:r>
      <w:r w:rsidRPr="008C03DF" w:rsidR="007000F0">
        <w:t>2</w:t>
      </w:r>
      <w:r w:rsidRPr="008C03DF">
        <w:t xml:space="preserve"> describes</w:t>
      </w:r>
      <w:r w:rsidRPr="000B357A">
        <w:t xml:space="preserve"> the key dimensions within each domain of the </w:t>
      </w:r>
      <w:r>
        <w:t>HBCC-NSAC Toolkit</w:t>
      </w:r>
      <w:r w:rsidR="00FE2D83">
        <w:t xml:space="preserve"> provider questionnaire</w:t>
      </w:r>
      <w:r w:rsidRPr="000B357A">
        <w:t xml:space="preserve">. Items were developed </w:t>
      </w:r>
      <w:r w:rsidR="007C4B1B">
        <w:t xml:space="preserve">to assess </w:t>
      </w:r>
      <w:r w:rsidRPr="000B357A">
        <w:t>each key dimension.</w:t>
      </w:r>
      <w:r>
        <w:t xml:space="preserve"> </w:t>
      </w:r>
    </w:p>
    <w:p w:rsidR="00C91DC8" w:rsidRPr="00312A3E" w:rsidP="5447354D" w14:paraId="2F1E37EB" w14:textId="3506C51E">
      <w:pPr>
        <w:pStyle w:val="TableTitle"/>
        <w:rPr>
          <w:rFonts w:ascii="Arial" w:hAnsi="Arial" w:cs="Arial"/>
          <w:szCs w:val="20"/>
        </w:rPr>
      </w:pPr>
      <w:r w:rsidRPr="00312A3E">
        <w:rPr>
          <w:rFonts w:ascii="Arial" w:hAnsi="Arial" w:cs="Arial"/>
          <w:szCs w:val="20"/>
        </w:rPr>
        <w:t>Table B.</w:t>
      </w:r>
      <w:r w:rsidRPr="00312A3E" w:rsidR="007000F0">
        <w:rPr>
          <w:rFonts w:ascii="Arial" w:hAnsi="Arial" w:cs="Arial"/>
          <w:szCs w:val="20"/>
        </w:rPr>
        <w:t>2</w:t>
      </w:r>
      <w:r w:rsidRPr="00312A3E">
        <w:rPr>
          <w:rFonts w:ascii="Arial" w:hAnsi="Arial" w:cs="Arial"/>
          <w:szCs w:val="20"/>
        </w:rPr>
        <w:t xml:space="preserve"> Domains and key dimensions in the HBCC-NSAC Toolkit </w:t>
      </w:r>
      <w:r w:rsidRPr="00312A3E" w:rsidR="005128B3">
        <w:rPr>
          <w:rFonts w:ascii="Arial" w:hAnsi="Arial" w:cs="Arial"/>
          <w:szCs w:val="20"/>
        </w:rPr>
        <w:t>provider questionnaire</w:t>
      </w:r>
    </w:p>
    <w:tbl>
      <w:tblPr>
        <w:tblStyle w:val="BaseTable"/>
        <w:tblW w:w="0" w:type="auto"/>
        <w:tblLook w:val="04A0"/>
      </w:tblPr>
      <w:tblGrid>
        <w:gridCol w:w="2970"/>
        <w:gridCol w:w="6380"/>
      </w:tblGrid>
      <w:tr w14:paraId="68715640" w14:textId="77777777" w:rsidTr="00773FA5">
        <w:tblPrEx>
          <w:tblW w:w="0" w:type="auto"/>
          <w:tblLook w:val="04A0"/>
        </w:tblPrEx>
        <w:trPr>
          <w:trHeight w:val="120"/>
          <w:tblHeader/>
        </w:trPr>
        <w:tc>
          <w:tcPr>
            <w:tcW w:w="2970" w:type="dxa"/>
          </w:tcPr>
          <w:p w:rsidR="00C91DC8" w:rsidRPr="00312A3E" w:rsidP="00773FA5" w14:paraId="355401F2" w14:textId="77777777">
            <w:pPr>
              <w:pStyle w:val="TableHeaderLeft"/>
              <w:rPr>
                <w:rFonts w:ascii="Arial" w:eastAsia="Times New Roman" w:hAnsi="Arial" w:cs="Arial"/>
                <w:b w:val="0"/>
                <w:szCs w:val="18"/>
              </w:rPr>
            </w:pPr>
            <w:r w:rsidRPr="00312A3E">
              <w:rPr>
                <w:rFonts w:ascii="Arial" w:eastAsia="Times New Roman" w:hAnsi="Arial" w:cs="Arial"/>
                <w:szCs w:val="18"/>
              </w:rPr>
              <w:t xml:space="preserve">Domain </w:t>
            </w:r>
          </w:p>
        </w:tc>
        <w:tc>
          <w:tcPr>
            <w:tcW w:w="6380" w:type="dxa"/>
          </w:tcPr>
          <w:p w:rsidR="00C91DC8" w:rsidRPr="00312A3E" w:rsidP="00773FA5" w14:paraId="72DB7701" w14:textId="77777777">
            <w:pPr>
              <w:pStyle w:val="TableHeaderCenter"/>
              <w:rPr>
                <w:rFonts w:ascii="Arial" w:eastAsia="Times New Roman" w:hAnsi="Arial" w:cs="Arial"/>
                <w:b w:val="0"/>
                <w:szCs w:val="18"/>
              </w:rPr>
            </w:pPr>
            <w:r w:rsidRPr="00312A3E">
              <w:rPr>
                <w:rFonts w:ascii="Arial" w:eastAsia="Times New Roman" w:hAnsi="Arial" w:cs="Arial"/>
                <w:szCs w:val="18"/>
              </w:rPr>
              <w:t xml:space="preserve">Key dimensions </w:t>
            </w:r>
          </w:p>
        </w:tc>
      </w:tr>
      <w:tr w14:paraId="21430816" w14:textId="77777777" w:rsidTr="00773FA5">
        <w:tblPrEx>
          <w:tblW w:w="0" w:type="auto"/>
          <w:tblLook w:val="04A0"/>
        </w:tblPrEx>
        <w:trPr>
          <w:trHeight w:val="120"/>
        </w:trPr>
        <w:tc>
          <w:tcPr>
            <w:tcW w:w="2970" w:type="dxa"/>
          </w:tcPr>
          <w:p w:rsidR="00C91DC8" w:rsidRPr="00312A3E" w:rsidP="00773FA5" w14:paraId="5F06BCE0" w14:textId="77777777">
            <w:pPr>
              <w:pStyle w:val="TableTextLeft"/>
              <w:rPr>
                <w:rFonts w:ascii="Arial" w:eastAsia="Times New Roman" w:hAnsi="Arial" w:cs="Arial"/>
                <w:szCs w:val="18"/>
              </w:rPr>
            </w:pPr>
            <w:r w:rsidRPr="00312A3E">
              <w:rPr>
                <w:rFonts w:ascii="Arial" w:eastAsia="Times New Roman" w:hAnsi="Arial" w:cs="Arial"/>
                <w:szCs w:val="18"/>
              </w:rPr>
              <w:t xml:space="preserve">Support for social development </w:t>
            </w:r>
          </w:p>
        </w:tc>
        <w:tc>
          <w:tcPr>
            <w:tcW w:w="6380" w:type="dxa"/>
          </w:tcPr>
          <w:p w:rsidR="00C91DC8" w:rsidRPr="00312A3E" w:rsidP="00773FA5" w14:paraId="2088BF3C" w14:textId="57F2EA3F">
            <w:pPr>
              <w:pStyle w:val="TableListBullet"/>
              <w:rPr>
                <w:rFonts w:ascii="Arial" w:eastAsia="Times New Roman" w:hAnsi="Arial" w:cs="Arial"/>
                <w:szCs w:val="18"/>
              </w:rPr>
            </w:pPr>
            <w:r w:rsidRPr="00312A3E">
              <w:rPr>
                <w:rFonts w:ascii="Arial" w:eastAsia="Times New Roman" w:hAnsi="Arial" w:cs="Arial"/>
                <w:szCs w:val="18"/>
              </w:rPr>
              <w:t xml:space="preserve">Builds </w:t>
            </w:r>
            <w:r w:rsidRPr="00312A3E" w:rsidR="00E0588D">
              <w:rPr>
                <w:rFonts w:ascii="Arial" w:eastAsia="Times New Roman" w:hAnsi="Arial" w:cs="Arial"/>
                <w:szCs w:val="18"/>
              </w:rPr>
              <w:t xml:space="preserve">and strengthens </w:t>
            </w:r>
            <w:r w:rsidRPr="00312A3E">
              <w:rPr>
                <w:rFonts w:ascii="Arial" w:eastAsia="Times New Roman" w:hAnsi="Arial" w:cs="Arial"/>
                <w:szCs w:val="18"/>
              </w:rPr>
              <w:t>a positive relationship with children</w:t>
            </w:r>
          </w:p>
          <w:p w:rsidR="00C91DC8" w:rsidRPr="00312A3E" w:rsidP="00773FA5" w14:paraId="391D1CD1" w14:textId="77777777">
            <w:pPr>
              <w:pStyle w:val="TableListBullet"/>
              <w:rPr>
                <w:rFonts w:ascii="Arial" w:eastAsia="Times New Roman" w:hAnsi="Arial" w:cs="Arial"/>
                <w:szCs w:val="18"/>
              </w:rPr>
            </w:pPr>
            <w:r w:rsidRPr="00312A3E">
              <w:rPr>
                <w:rFonts w:ascii="Arial" w:eastAsia="Times New Roman" w:hAnsi="Arial" w:cs="Arial"/>
                <w:szCs w:val="18"/>
              </w:rPr>
              <w:t>Supports children’s perspective-taking and nonverbal communication</w:t>
            </w:r>
          </w:p>
          <w:p w:rsidR="00C91DC8" w:rsidRPr="00312A3E" w:rsidP="00773FA5" w14:paraId="2CE7445C" w14:textId="77777777">
            <w:pPr>
              <w:pStyle w:val="TableListBullet"/>
              <w:rPr>
                <w:rFonts w:ascii="Arial" w:eastAsia="Times New Roman" w:hAnsi="Arial" w:cs="Arial"/>
                <w:szCs w:val="18"/>
              </w:rPr>
            </w:pPr>
            <w:r w:rsidRPr="00312A3E">
              <w:rPr>
                <w:rFonts w:ascii="Arial" w:eastAsia="Times New Roman" w:hAnsi="Arial" w:cs="Arial"/>
                <w:szCs w:val="18"/>
              </w:rPr>
              <w:t>Supports children’s social skills</w:t>
            </w:r>
          </w:p>
          <w:p w:rsidR="00C91DC8" w:rsidRPr="00312A3E" w:rsidP="00773FA5" w14:paraId="3F364D5F" w14:textId="4F45E9A8">
            <w:pPr>
              <w:pStyle w:val="TableListBullet"/>
              <w:rPr>
                <w:rFonts w:ascii="Arial" w:eastAsia="Times New Roman" w:hAnsi="Arial" w:cs="Arial"/>
                <w:szCs w:val="18"/>
              </w:rPr>
            </w:pPr>
            <w:r w:rsidRPr="00312A3E">
              <w:rPr>
                <w:rFonts w:ascii="Arial" w:eastAsia="Times New Roman" w:hAnsi="Arial" w:cs="Arial"/>
                <w:szCs w:val="18"/>
              </w:rPr>
              <w:t>Supports antibullying and antibias practices</w:t>
            </w:r>
          </w:p>
        </w:tc>
      </w:tr>
      <w:tr w14:paraId="4223E98D" w14:textId="77777777" w:rsidTr="00773FA5">
        <w:tblPrEx>
          <w:tblW w:w="0" w:type="auto"/>
          <w:tblLook w:val="04A0"/>
        </w:tblPrEx>
        <w:trPr>
          <w:trHeight w:val="120"/>
        </w:trPr>
        <w:tc>
          <w:tcPr>
            <w:tcW w:w="2970" w:type="dxa"/>
          </w:tcPr>
          <w:p w:rsidR="00C91DC8" w:rsidRPr="00312A3E" w:rsidP="00773FA5" w14:paraId="2399EDEA" w14:textId="77777777">
            <w:pPr>
              <w:pStyle w:val="TableTextLeft"/>
              <w:rPr>
                <w:rFonts w:ascii="Arial" w:eastAsia="Times New Roman" w:hAnsi="Arial" w:cs="Arial"/>
                <w:szCs w:val="18"/>
              </w:rPr>
            </w:pPr>
            <w:r w:rsidRPr="00312A3E">
              <w:rPr>
                <w:rFonts w:ascii="Arial" w:eastAsia="Times New Roman" w:hAnsi="Arial" w:cs="Arial"/>
                <w:szCs w:val="18"/>
              </w:rPr>
              <w:t>Support for emotional development</w:t>
            </w:r>
          </w:p>
        </w:tc>
        <w:tc>
          <w:tcPr>
            <w:tcW w:w="6380" w:type="dxa"/>
          </w:tcPr>
          <w:p w:rsidR="00C91DC8" w:rsidRPr="00312A3E" w:rsidP="00773FA5" w14:paraId="6348ED24" w14:textId="5E82012D">
            <w:pPr>
              <w:pStyle w:val="TableListBullet"/>
              <w:rPr>
                <w:rFonts w:ascii="Arial" w:eastAsia="Times New Roman" w:hAnsi="Arial" w:cs="Arial"/>
                <w:szCs w:val="18"/>
              </w:rPr>
            </w:pPr>
            <w:r w:rsidRPr="00312A3E">
              <w:rPr>
                <w:rFonts w:ascii="Arial" w:eastAsia="Times New Roman" w:hAnsi="Arial" w:cs="Arial"/>
                <w:szCs w:val="18"/>
              </w:rPr>
              <w:t xml:space="preserve">Helps children understand and regulate emotions </w:t>
            </w:r>
          </w:p>
          <w:p w:rsidR="00C91DC8" w:rsidRPr="00312A3E" w:rsidP="00773FA5" w14:paraId="7FBE74B0" w14:textId="77777777">
            <w:pPr>
              <w:pStyle w:val="TableListBullet"/>
              <w:rPr>
                <w:rFonts w:ascii="Arial" w:eastAsia="Times New Roman" w:hAnsi="Arial" w:cs="Arial"/>
                <w:szCs w:val="18"/>
              </w:rPr>
            </w:pPr>
            <w:r w:rsidRPr="00312A3E">
              <w:rPr>
                <w:rFonts w:ascii="Arial" w:eastAsia="Times New Roman" w:hAnsi="Arial" w:cs="Arial"/>
                <w:szCs w:val="18"/>
              </w:rPr>
              <w:t>Supports a positive sense of belonging</w:t>
            </w:r>
          </w:p>
          <w:p w:rsidR="00C91DC8" w:rsidRPr="00312A3E" w:rsidP="00773FA5" w14:paraId="488F7262" w14:textId="77777777">
            <w:pPr>
              <w:pStyle w:val="TableListBullet"/>
              <w:rPr>
                <w:rFonts w:ascii="Arial" w:eastAsia="Times New Roman" w:hAnsi="Arial" w:cs="Arial"/>
                <w:szCs w:val="18"/>
              </w:rPr>
            </w:pPr>
            <w:r w:rsidRPr="00312A3E">
              <w:rPr>
                <w:rFonts w:ascii="Arial" w:eastAsia="Times New Roman" w:hAnsi="Arial" w:cs="Arial"/>
                <w:szCs w:val="18"/>
              </w:rPr>
              <w:t>Supports a positive self-identity (including racial and ethnic identity)</w:t>
            </w:r>
          </w:p>
        </w:tc>
      </w:tr>
      <w:tr w14:paraId="6A54581D" w14:textId="77777777" w:rsidTr="00773FA5">
        <w:tblPrEx>
          <w:tblW w:w="0" w:type="auto"/>
          <w:tblLook w:val="04A0"/>
        </w:tblPrEx>
        <w:trPr>
          <w:trHeight w:val="120"/>
        </w:trPr>
        <w:tc>
          <w:tcPr>
            <w:tcW w:w="2970" w:type="dxa"/>
          </w:tcPr>
          <w:p w:rsidR="00C91DC8" w:rsidRPr="00312A3E" w:rsidP="00773FA5" w14:paraId="76C398CA" w14:textId="77777777">
            <w:pPr>
              <w:pStyle w:val="TableTextLeft"/>
              <w:rPr>
                <w:rFonts w:ascii="Arial" w:eastAsia="Times New Roman" w:hAnsi="Arial" w:cs="Arial"/>
                <w:szCs w:val="18"/>
              </w:rPr>
            </w:pPr>
            <w:r w:rsidRPr="00312A3E">
              <w:rPr>
                <w:rFonts w:ascii="Arial" w:eastAsia="Times New Roman" w:hAnsi="Arial" w:cs="Arial"/>
                <w:szCs w:val="18"/>
              </w:rPr>
              <w:t>Positive and proactive behavior management</w:t>
            </w:r>
          </w:p>
        </w:tc>
        <w:tc>
          <w:tcPr>
            <w:tcW w:w="6380" w:type="dxa"/>
          </w:tcPr>
          <w:p w:rsidR="00C91DC8" w:rsidRPr="00312A3E" w:rsidP="00773FA5" w14:paraId="48C98407" w14:textId="77777777">
            <w:pPr>
              <w:pStyle w:val="TableListBullet"/>
              <w:rPr>
                <w:rFonts w:ascii="Arial" w:eastAsia="Times New Roman" w:hAnsi="Arial" w:cs="Arial"/>
                <w:szCs w:val="18"/>
              </w:rPr>
            </w:pPr>
            <w:r w:rsidRPr="00312A3E">
              <w:rPr>
                <w:rFonts w:ascii="Arial" w:eastAsia="Times New Roman" w:hAnsi="Arial" w:cs="Arial"/>
                <w:szCs w:val="18"/>
              </w:rPr>
              <w:t>Uses predictable and responsive routines</w:t>
            </w:r>
          </w:p>
          <w:p w:rsidR="00C91DC8" w:rsidRPr="00312A3E" w:rsidP="00773FA5" w14:paraId="75DAEA1D" w14:textId="77777777">
            <w:pPr>
              <w:pStyle w:val="TableListBullet"/>
              <w:rPr>
                <w:rFonts w:ascii="Arial" w:eastAsia="Times New Roman" w:hAnsi="Arial" w:cs="Arial"/>
                <w:szCs w:val="18"/>
              </w:rPr>
            </w:pPr>
            <w:r w:rsidRPr="00312A3E">
              <w:rPr>
                <w:rFonts w:ascii="Arial" w:eastAsia="Times New Roman" w:hAnsi="Arial" w:cs="Arial"/>
                <w:szCs w:val="18"/>
              </w:rPr>
              <w:t>Uses proactive or positive disciplinary practices</w:t>
            </w:r>
          </w:p>
        </w:tc>
      </w:tr>
      <w:tr w14:paraId="0424464E" w14:textId="77777777" w:rsidTr="00773FA5">
        <w:tblPrEx>
          <w:tblW w:w="0" w:type="auto"/>
          <w:tblLook w:val="04A0"/>
        </w:tblPrEx>
        <w:trPr>
          <w:trHeight w:val="120"/>
        </w:trPr>
        <w:tc>
          <w:tcPr>
            <w:tcW w:w="2970" w:type="dxa"/>
          </w:tcPr>
          <w:p w:rsidR="00C91DC8" w:rsidRPr="00312A3E" w:rsidP="00773FA5" w14:paraId="40C53ADC" w14:textId="77777777">
            <w:pPr>
              <w:pStyle w:val="TableTextLeft"/>
              <w:rPr>
                <w:rFonts w:ascii="Arial" w:eastAsia="Times New Roman" w:hAnsi="Arial" w:cs="Arial"/>
                <w:szCs w:val="18"/>
              </w:rPr>
            </w:pPr>
            <w:r w:rsidRPr="00312A3E">
              <w:rPr>
                <w:rFonts w:ascii="Arial" w:eastAsia="Times New Roman" w:hAnsi="Arial" w:cs="Arial"/>
                <w:szCs w:val="18"/>
              </w:rPr>
              <w:t>Support for learning</w:t>
            </w:r>
          </w:p>
        </w:tc>
        <w:tc>
          <w:tcPr>
            <w:tcW w:w="6380" w:type="dxa"/>
          </w:tcPr>
          <w:p w:rsidR="00C91DC8" w:rsidRPr="00312A3E" w:rsidP="00773FA5" w14:paraId="696FDA18" w14:textId="4AA8808B">
            <w:pPr>
              <w:pStyle w:val="TableListBullet"/>
              <w:rPr>
                <w:rFonts w:ascii="Arial" w:eastAsia="Times New Roman" w:hAnsi="Arial" w:cs="Arial"/>
                <w:szCs w:val="18"/>
              </w:rPr>
            </w:pPr>
            <w:r w:rsidRPr="00312A3E">
              <w:rPr>
                <w:rFonts w:ascii="Arial" w:eastAsia="Times New Roman" w:hAnsi="Arial" w:cs="Arial"/>
                <w:szCs w:val="18"/>
              </w:rPr>
              <w:t xml:space="preserve">Provides learning opportunities </w:t>
            </w:r>
          </w:p>
          <w:p w:rsidR="00C91DC8" w:rsidRPr="00312A3E" w:rsidP="00773FA5" w14:paraId="030EB233" w14:textId="7D88AD4C">
            <w:pPr>
              <w:pStyle w:val="TableListBullet"/>
              <w:rPr>
                <w:rFonts w:ascii="Arial" w:eastAsia="Times New Roman" w:hAnsi="Arial" w:cs="Arial"/>
                <w:szCs w:val="18"/>
              </w:rPr>
            </w:pPr>
            <w:r w:rsidRPr="00312A3E">
              <w:rPr>
                <w:rFonts w:ascii="Arial" w:eastAsia="Times New Roman" w:hAnsi="Arial" w:cs="Arial"/>
                <w:szCs w:val="18"/>
              </w:rPr>
              <w:t>Supports positive approaches to learning</w:t>
            </w:r>
            <w:r w:rsidRPr="00312A3E" w:rsidR="003E13DF">
              <w:rPr>
                <w:rFonts w:ascii="Arial" w:eastAsia="Times New Roman" w:hAnsi="Arial" w:cs="Arial"/>
                <w:szCs w:val="18"/>
              </w:rPr>
              <w:t xml:space="preserve"> and a growth mindset</w:t>
            </w:r>
          </w:p>
          <w:p w:rsidR="00C91DC8" w:rsidRPr="00312A3E" w:rsidP="00773FA5" w14:paraId="65D6FC15" w14:textId="77777777">
            <w:pPr>
              <w:pStyle w:val="TableListBullet"/>
              <w:rPr>
                <w:rFonts w:ascii="Arial" w:eastAsia="Times New Roman" w:hAnsi="Arial" w:cs="Arial"/>
                <w:szCs w:val="18"/>
              </w:rPr>
            </w:pPr>
            <w:r w:rsidRPr="00312A3E">
              <w:rPr>
                <w:rFonts w:ascii="Arial" w:eastAsia="Times New Roman" w:hAnsi="Arial" w:cs="Arial"/>
                <w:szCs w:val="18"/>
              </w:rPr>
              <w:t>Scaffolds problem-solving</w:t>
            </w:r>
          </w:p>
          <w:p w:rsidR="00C91DC8" w:rsidRPr="00312A3E" w:rsidP="00773FA5" w14:paraId="03919C42" w14:textId="31EB2355">
            <w:pPr>
              <w:pStyle w:val="TableListBullet"/>
              <w:rPr>
                <w:rFonts w:ascii="Arial" w:eastAsia="Times New Roman" w:hAnsi="Arial" w:cs="Arial"/>
                <w:szCs w:val="18"/>
              </w:rPr>
            </w:pPr>
            <w:r w:rsidRPr="00312A3E">
              <w:rPr>
                <w:rFonts w:ascii="Arial" w:eastAsia="Times New Roman" w:hAnsi="Arial" w:cs="Arial"/>
                <w:szCs w:val="18"/>
              </w:rPr>
              <w:t>Collaborates with families to strengthen</w:t>
            </w:r>
            <w:r w:rsidRPr="00312A3E" w:rsidR="003E13DF">
              <w:rPr>
                <w:rFonts w:ascii="Arial" w:eastAsia="Times New Roman" w:hAnsi="Arial" w:cs="Arial"/>
                <w:szCs w:val="18"/>
              </w:rPr>
              <w:t xml:space="preserve"> learning</w:t>
            </w:r>
            <w:r w:rsidRPr="00312A3E">
              <w:rPr>
                <w:rFonts w:ascii="Arial" w:eastAsia="Times New Roman" w:hAnsi="Arial" w:cs="Arial"/>
                <w:szCs w:val="18"/>
              </w:rPr>
              <w:t xml:space="preserve"> connections with home</w:t>
            </w:r>
            <w:r w:rsidRPr="00312A3E" w:rsidR="000323F1">
              <w:rPr>
                <w:rFonts w:ascii="Arial" w:eastAsia="Times New Roman" w:hAnsi="Arial" w:cs="Arial"/>
                <w:szCs w:val="18"/>
                <w:vertAlign w:val="superscript"/>
              </w:rPr>
              <w:t>a</w:t>
            </w:r>
            <w:r w:rsidRPr="00312A3E">
              <w:rPr>
                <w:rFonts w:ascii="Arial" w:eastAsia="Times New Roman" w:hAnsi="Arial" w:cs="Arial"/>
                <w:szCs w:val="18"/>
              </w:rPr>
              <w:t xml:space="preserve"> </w:t>
            </w:r>
          </w:p>
        </w:tc>
      </w:tr>
      <w:tr w14:paraId="4DD0B4A5" w14:textId="77777777" w:rsidTr="00773FA5">
        <w:tblPrEx>
          <w:tblW w:w="0" w:type="auto"/>
          <w:tblLook w:val="04A0"/>
        </w:tblPrEx>
        <w:trPr>
          <w:trHeight w:val="120"/>
        </w:trPr>
        <w:tc>
          <w:tcPr>
            <w:tcW w:w="2970" w:type="dxa"/>
          </w:tcPr>
          <w:p w:rsidR="00C91DC8" w:rsidRPr="00312A3E" w:rsidP="00773FA5" w14:paraId="7EA9C5E5" w14:textId="77777777">
            <w:pPr>
              <w:pStyle w:val="TableTextLeft"/>
              <w:rPr>
                <w:rFonts w:ascii="Arial" w:eastAsia="Times New Roman" w:hAnsi="Arial" w:cs="Arial"/>
                <w:szCs w:val="18"/>
              </w:rPr>
            </w:pPr>
            <w:r w:rsidRPr="00312A3E">
              <w:rPr>
                <w:rFonts w:ascii="Arial" w:eastAsia="Times New Roman" w:hAnsi="Arial" w:cs="Arial"/>
                <w:szCs w:val="18"/>
              </w:rPr>
              <w:t>Support for health and physical development</w:t>
            </w:r>
          </w:p>
        </w:tc>
        <w:tc>
          <w:tcPr>
            <w:tcW w:w="6380" w:type="dxa"/>
          </w:tcPr>
          <w:p w:rsidR="00C91DC8" w:rsidRPr="00312A3E" w:rsidP="00773FA5" w14:paraId="5219DECC" w14:textId="7F6D255B">
            <w:pPr>
              <w:pStyle w:val="TableListBullet"/>
              <w:rPr>
                <w:rFonts w:ascii="Arial" w:eastAsia="Times New Roman" w:hAnsi="Arial" w:cs="Arial"/>
                <w:szCs w:val="18"/>
              </w:rPr>
            </w:pPr>
            <w:r w:rsidRPr="00312A3E">
              <w:rPr>
                <w:rFonts w:ascii="Arial" w:eastAsia="Times New Roman" w:hAnsi="Arial" w:cs="Arial"/>
                <w:szCs w:val="18"/>
              </w:rPr>
              <w:t xml:space="preserve">Provides a variety of activities to support physical </w:t>
            </w:r>
            <w:r w:rsidRPr="00312A3E" w:rsidR="00A603F1">
              <w:rPr>
                <w:rFonts w:ascii="Arial" w:eastAsia="Times New Roman" w:hAnsi="Arial" w:cs="Arial"/>
                <w:szCs w:val="18"/>
              </w:rPr>
              <w:t xml:space="preserve">well-being </w:t>
            </w:r>
          </w:p>
          <w:p w:rsidR="0056238E" w:rsidRPr="00312A3E" w:rsidP="00773FA5" w14:paraId="2136F017" w14:textId="1E543B4D">
            <w:pPr>
              <w:pStyle w:val="TableListBullet"/>
              <w:rPr>
                <w:rFonts w:ascii="Arial" w:eastAsia="Times New Roman" w:hAnsi="Arial" w:cs="Arial"/>
                <w:szCs w:val="18"/>
              </w:rPr>
            </w:pPr>
            <w:r w:rsidRPr="00312A3E">
              <w:rPr>
                <w:rFonts w:ascii="Arial" w:eastAsia="Times New Roman" w:hAnsi="Arial" w:cs="Arial"/>
                <w:szCs w:val="18"/>
              </w:rPr>
              <w:t>Communicates with families about health and physical development</w:t>
            </w:r>
            <w:r w:rsidRPr="00312A3E" w:rsidR="000323F1">
              <w:rPr>
                <w:rFonts w:ascii="Arial" w:eastAsia="Times New Roman" w:hAnsi="Arial" w:cs="Arial"/>
                <w:szCs w:val="18"/>
                <w:vertAlign w:val="superscript"/>
              </w:rPr>
              <w:t>a</w:t>
            </w:r>
            <w:r w:rsidRPr="00312A3E">
              <w:rPr>
                <w:rFonts w:ascii="Arial" w:eastAsia="Times New Roman" w:hAnsi="Arial" w:cs="Arial"/>
                <w:szCs w:val="18"/>
              </w:rPr>
              <w:t xml:space="preserve"> </w:t>
            </w:r>
          </w:p>
          <w:p w:rsidR="00C91DC8" w:rsidRPr="00312A3E" w:rsidP="00773FA5" w14:paraId="1D75E44C" w14:textId="6AE9AA4B">
            <w:pPr>
              <w:pStyle w:val="TableListBullet"/>
              <w:rPr>
                <w:rFonts w:ascii="Arial" w:eastAsia="Times New Roman" w:hAnsi="Arial" w:cs="Arial"/>
                <w:szCs w:val="18"/>
              </w:rPr>
            </w:pPr>
            <w:r w:rsidRPr="00312A3E">
              <w:rPr>
                <w:rFonts w:ascii="Arial" w:eastAsia="Times New Roman" w:hAnsi="Arial" w:cs="Arial"/>
                <w:szCs w:val="18"/>
              </w:rPr>
              <w:t>Scaffolds physical activity</w:t>
            </w:r>
          </w:p>
          <w:p w:rsidR="00C91DC8" w:rsidRPr="00312A3E" w:rsidP="00773FA5" w14:paraId="4EC3EFBB" w14:textId="36EF98C2">
            <w:pPr>
              <w:pStyle w:val="TableListBullet"/>
              <w:rPr>
                <w:rFonts w:ascii="Arial" w:eastAsia="Times New Roman" w:hAnsi="Arial" w:cs="Arial"/>
                <w:szCs w:val="18"/>
              </w:rPr>
            </w:pPr>
            <w:r w:rsidRPr="00312A3E">
              <w:rPr>
                <w:rFonts w:ascii="Arial" w:eastAsia="Times New Roman" w:hAnsi="Arial" w:cs="Arial"/>
                <w:szCs w:val="18"/>
              </w:rPr>
              <w:t>Promotes health, safety, and nutrition</w:t>
            </w:r>
          </w:p>
        </w:tc>
      </w:tr>
    </w:tbl>
    <w:p w:rsidR="000F7408" w:rsidRPr="000F7408" w:rsidP="000F7408" w14:paraId="4A81F6B4" w14:textId="77777777">
      <w:pPr>
        <w:pStyle w:val="TableTextLeft"/>
        <w:rPr>
          <w:rFonts w:ascii="Arial" w:hAnsi="Arial" w:cs="Arial"/>
        </w:rPr>
      </w:pPr>
      <w:r w:rsidRPr="000F7408">
        <w:rPr>
          <w:rFonts w:ascii="Arial" w:hAnsi="Arial" w:cs="Arial"/>
          <w:vertAlign w:val="superscript"/>
        </w:rPr>
        <w:t>a</w:t>
      </w:r>
      <w:r w:rsidRPr="000F7408">
        <w:rPr>
          <w:rFonts w:ascii="Arial" w:hAnsi="Arial" w:cs="Arial"/>
        </w:rPr>
        <w:t xml:space="preserve">These </w:t>
      </w:r>
      <w:r w:rsidRPr="000F7408" w:rsidR="00DF5A9E">
        <w:rPr>
          <w:rFonts w:ascii="Arial" w:hAnsi="Arial" w:cs="Arial"/>
        </w:rPr>
        <w:t xml:space="preserve">dimensions were removed from the provider questionnaire after the pilot study. </w:t>
      </w:r>
    </w:p>
    <w:p w:rsidR="00026297" w:rsidP="00BD15D4" w14:paraId="1374B017" w14:textId="77777777">
      <w:pPr>
        <w:pStyle w:val="ParagraphContinued"/>
        <w:spacing w:before="0" w:after="0"/>
      </w:pPr>
    </w:p>
    <w:p w:rsidR="001A67CA" w:rsidP="00BD15D4" w14:paraId="42616E1C" w14:textId="14C9F55F">
      <w:pPr>
        <w:pStyle w:val="ParagraphContinued"/>
        <w:spacing w:before="0" w:after="0"/>
      </w:pPr>
      <w:r>
        <w:t>For validation purposes in this study, t</w:t>
      </w:r>
      <w:r>
        <w:t xml:space="preserve">he provider questionnaire (Instrument </w:t>
      </w:r>
      <w:r w:rsidR="00D94500">
        <w:t>5</w:t>
      </w:r>
      <w:r>
        <w:t>) also includes items</w:t>
      </w:r>
      <w:r w:rsidR="009D4129">
        <w:t xml:space="preserve"> from the</w:t>
      </w:r>
      <w:r w:rsidR="001C4958">
        <w:t xml:space="preserve"> </w:t>
      </w:r>
      <w:r w:rsidR="00697CD2">
        <w:t xml:space="preserve">Multicultural Teaching Competency Scale (MTCS; </w:t>
      </w:r>
      <w:r w:rsidRPr="00392EFD" w:rsidR="00392EFD">
        <w:t>Spanierman</w:t>
      </w:r>
      <w:r w:rsidR="00392EFD">
        <w:t>, 2011</w:t>
      </w:r>
      <w:r w:rsidRPr="00690E74" w:rsidR="00690E74">
        <w:t>)</w:t>
      </w:r>
      <w:r w:rsidR="00690E74">
        <w:t xml:space="preserve">. </w:t>
      </w:r>
      <w:r w:rsidR="0065450A">
        <w:t xml:space="preserve">The </w:t>
      </w:r>
      <w:r w:rsidR="007A69D4">
        <w:t xml:space="preserve">study team selected the </w:t>
      </w:r>
      <w:r w:rsidR="0065450A">
        <w:t>MTCS</w:t>
      </w:r>
      <w:r w:rsidRPr="00877E87" w:rsidR="00877E87">
        <w:t xml:space="preserve"> from measures used in the field that </w:t>
      </w:r>
      <w:r w:rsidR="00925D02">
        <w:t>the team</w:t>
      </w:r>
      <w:r w:rsidRPr="00877E87" w:rsidR="00925D02">
        <w:t xml:space="preserve"> </w:t>
      </w:r>
      <w:r w:rsidRPr="00877E87" w:rsidR="00877E87">
        <w:t xml:space="preserve">hypothesized </w:t>
      </w:r>
      <w:r w:rsidR="00662B44">
        <w:t>are</w:t>
      </w:r>
      <w:r w:rsidRPr="00877E87" w:rsidR="00877E87">
        <w:t xml:space="preserve"> associated with </w:t>
      </w:r>
      <w:r w:rsidR="00F54295">
        <w:t>the</w:t>
      </w:r>
      <w:r w:rsidR="007A69D4">
        <w:t xml:space="preserve"> constructs represented in the</w:t>
      </w:r>
      <w:r w:rsidR="00F54295">
        <w:t xml:space="preserve"> </w:t>
      </w:r>
      <w:r w:rsidR="006905BA">
        <w:t xml:space="preserve">Supports antibullying /antibias practices and the </w:t>
      </w:r>
      <w:r w:rsidRPr="00F54295" w:rsidR="00F54295">
        <w:t>Supports a positive self-identity (including racial and ethnic identity)</w:t>
      </w:r>
      <w:r w:rsidR="00895A96">
        <w:t xml:space="preserve"> dimension</w:t>
      </w:r>
      <w:r w:rsidR="00F22849">
        <w:t xml:space="preserve">s </w:t>
      </w:r>
      <w:r w:rsidR="00895A96">
        <w:t>in the provider questionnaire</w:t>
      </w:r>
      <w:r w:rsidRPr="00877E87" w:rsidR="00877E87">
        <w:t>.</w:t>
      </w:r>
    </w:p>
    <w:p w:rsidR="00026297" w:rsidRPr="00026297" w:rsidP="00BD15D4" w14:paraId="6F95E833" w14:textId="77777777">
      <w:pPr>
        <w:pStyle w:val="Paragraph"/>
        <w:spacing w:after="0"/>
      </w:pPr>
    </w:p>
    <w:p w:rsidR="00C91DC8" w:rsidP="00F34810" w14:paraId="07476F9B" w14:textId="22D70046">
      <w:pPr>
        <w:pStyle w:val="Paragraph"/>
        <w:spacing w:after="0"/>
      </w:pPr>
      <w:r w:rsidRPr="0005117C">
        <w:t xml:space="preserve">The family </w:t>
      </w:r>
      <w:r w:rsidR="00E5739B">
        <w:t>survey</w:t>
      </w:r>
      <w:r w:rsidRPr="0005117C" w:rsidR="00E5739B">
        <w:t xml:space="preserve"> </w:t>
      </w:r>
      <w:r w:rsidRPr="0005117C">
        <w:t xml:space="preserve">(Instrument </w:t>
      </w:r>
      <w:r w:rsidR="00D94500">
        <w:t>6</w:t>
      </w:r>
      <w:r w:rsidRPr="0005117C">
        <w:t>)</w:t>
      </w:r>
      <w:r w:rsidR="0006611C">
        <w:t xml:space="preserve"> includes </w:t>
      </w:r>
      <w:r w:rsidRPr="0006611C" w:rsidR="0006611C">
        <w:t>child and family background information items</w:t>
      </w:r>
      <w:r w:rsidR="0006611C">
        <w:t xml:space="preserve"> and</w:t>
      </w:r>
      <w:r w:rsidR="0080214A">
        <w:t xml:space="preserve"> items from sub-scales in</w:t>
      </w:r>
      <w:r w:rsidR="00294074">
        <w:t xml:space="preserve"> the</w:t>
      </w:r>
      <w:r w:rsidRPr="00294074" w:rsidR="00294074">
        <w:t xml:space="preserve"> </w:t>
      </w:r>
      <w:r w:rsidRPr="008A6524" w:rsidR="00294074">
        <w:t>Emlen Scales (Emlen 2000</w:t>
      </w:r>
      <w:r w:rsidR="00294074">
        <w:t xml:space="preserve">; </w:t>
      </w:r>
      <w:r w:rsidRPr="004F4C9F" w:rsidR="00294074">
        <w:t>composite subscale, parent’s perception of caregiver’s cultural sensitivity subscale, and happy, safe, secure subscale</w:t>
      </w:r>
      <w:r w:rsidRPr="008A6524" w:rsidR="00294074">
        <w:t>)</w:t>
      </w:r>
      <w:r w:rsidR="00294074">
        <w:t>,</w:t>
      </w:r>
      <w:r w:rsidR="0080214A">
        <w:t xml:space="preserve"> </w:t>
      </w:r>
      <w:r w:rsidR="002138B4">
        <w:t xml:space="preserve">an </w:t>
      </w:r>
      <w:r w:rsidR="0080214A">
        <w:t xml:space="preserve">existing measure </w:t>
      </w:r>
      <w:r w:rsidR="00294074">
        <w:t xml:space="preserve">used </w:t>
      </w:r>
      <w:r w:rsidR="0080214A">
        <w:t>for validation purposes</w:t>
      </w:r>
      <w:r w:rsidR="004F4C9F">
        <w:t xml:space="preserve">. </w:t>
      </w:r>
      <w:r w:rsidR="0065450A">
        <w:t>The</w:t>
      </w:r>
      <w:r w:rsidR="5CB26444">
        <w:t xml:space="preserve"> study team selected the </w:t>
      </w:r>
      <w:r w:rsidR="0065450A">
        <w:t xml:space="preserve">Emlen subscales </w:t>
      </w:r>
      <w:r w:rsidRPr="00877E87" w:rsidR="00D85F11">
        <w:t xml:space="preserve">from measures used in the field </w:t>
      </w:r>
      <w:r w:rsidR="00D85F11">
        <w:t xml:space="preserve">that </w:t>
      </w:r>
      <w:r w:rsidR="329156B4">
        <w:t>the team</w:t>
      </w:r>
      <w:r w:rsidRPr="00877E87" w:rsidR="00D85F11">
        <w:t xml:space="preserve"> hypothesized </w:t>
      </w:r>
      <w:r w:rsidR="00662B44">
        <w:t>are</w:t>
      </w:r>
      <w:r w:rsidRPr="00877E87" w:rsidR="00D85F11">
        <w:t xml:space="preserve"> associated with </w:t>
      </w:r>
      <w:r w:rsidR="00D03087">
        <w:t>constructs represented in the domains and dimensions</w:t>
      </w:r>
      <w:r w:rsidRPr="00877E87" w:rsidR="00D85F11">
        <w:t xml:space="preserve"> in the provider questionnaire.</w:t>
      </w:r>
      <w:r w:rsidR="00D03087">
        <w:t xml:space="preserve"> </w:t>
      </w:r>
      <w:r w:rsidR="00CC1A6E">
        <w:t xml:space="preserve">The study team will compare families’ responses to the Emlen scale against provider’s responses in the provider questionnaire </w:t>
      </w:r>
      <w:r w:rsidR="00165E82">
        <w:t xml:space="preserve">in order to help validate the provider questionnaire. </w:t>
      </w:r>
    </w:p>
    <w:p w:rsidR="00A42C71" w:rsidP="00A42C71" w14:paraId="309ACF0F" w14:textId="26CC4C05">
      <w:pPr>
        <w:autoSpaceDE w:val="0"/>
        <w:autoSpaceDN w:val="0"/>
        <w:adjustRightInd w:val="0"/>
        <w:spacing w:after="0" w:line="240" w:lineRule="atLeast"/>
        <w:rPr>
          <w:rFonts w:eastAsia="Times New Roman" w:cstheme="minorHAnsi"/>
          <w:color w:val="000000"/>
        </w:rPr>
      </w:pPr>
    </w:p>
    <w:p w:rsidR="00F34810" w:rsidRPr="001A59B6" w:rsidP="00A42C71" w14:paraId="068D1777" w14:textId="77777777">
      <w:pPr>
        <w:autoSpaceDE w:val="0"/>
        <w:autoSpaceDN w:val="0"/>
        <w:adjustRightInd w:val="0"/>
        <w:spacing w:after="0" w:line="240" w:lineRule="atLeast"/>
        <w:rPr>
          <w:rFonts w:eastAsia="Times New Roman" w:cstheme="minorHAnsi"/>
          <w:color w:val="000000"/>
        </w:rPr>
      </w:pPr>
    </w:p>
    <w:p w:rsidR="00A42C71" w:rsidRPr="001A59B6" w:rsidP="00A42C71" w14:paraId="3E0643E6" w14:textId="1EAE06CC">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A42C71" w:rsidP="00A42C71" w14:paraId="1167930B" w14:textId="7E9B7F9B">
      <w:pPr>
        <w:autoSpaceDE w:val="0"/>
        <w:autoSpaceDN w:val="0"/>
        <w:adjustRightInd w:val="0"/>
        <w:spacing w:after="0" w:line="240" w:lineRule="atLeast"/>
        <w:rPr>
          <w:rFonts w:eastAsia="Times New Roman"/>
          <w:color w:val="000000"/>
        </w:rPr>
      </w:pPr>
      <w:r w:rsidRPr="29798801">
        <w:rPr>
          <w:rFonts w:eastAsia="Times New Roman"/>
          <w:color w:val="000000" w:themeColor="text1"/>
        </w:rPr>
        <w:t>ACF has contracted with Mathematica</w:t>
      </w:r>
      <w:r w:rsidRPr="29798801" w:rsidR="002E1A1E">
        <w:rPr>
          <w:rFonts w:eastAsia="Times New Roman"/>
          <w:color w:val="000000" w:themeColor="text1"/>
        </w:rPr>
        <w:t xml:space="preserve"> </w:t>
      </w:r>
      <w:r w:rsidRPr="29798801">
        <w:rPr>
          <w:rFonts w:eastAsia="Times New Roman"/>
          <w:color w:val="000000" w:themeColor="text1"/>
        </w:rPr>
        <w:t xml:space="preserve">for this data collection. </w:t>
      </w:r>
      <w:r w:rsidRPr="29798801" w:rsidR="59FC2EA7">
        <w:rPr>
          <w:rFonts w:eastAsia="Times New Roman"/>
          <w:color w:val="000000" w:themeColor="text1"/>
        </w:rPr>
        <w:t>Staff from the Erikson Institute, a subcontract</w:t>
      </w:r>
      <w:r w:rsidR="00C23B21">
        <w:rPr>
          <w:rFonts w:eastAsia="Times New Roman"/>
          <w:color w:val="000000" w:themeColor="text1"/>
        </w:rPr>
        <w:t>or</w:t>
      </w:r>
      <w:r w:rsidRPr="29798801" w:rsidR="59FC2EA7">
        <w:rPr>
          <w:rFonts w:eastAsia="Times New Roman"/>
          <w:color w:val="000000" w:themeColor="text1"/>
        </w:rPr>
        <w:t xml:space="preserve"> to Mathematica, provided input on the design </w:t>
      </w:r>
      <w:r w:rsidR="00C23B21">
        <w:rPr>
          <w:rFonts w:eastAsia="Times New Roman"/>
          <w:color w:val="000000" w:themeColor="text1"/>
        </w:rPr>
        <w:t>and will provide consultation on data collection and analysis</w:t>
      </w:r>
      <w:r w:rsidRPr="29798801" w:rsidR="59FC2EA7">
        <w:rPr>
          <w:rFonts w:eastAsia="Times New Roman"/>
          <w:color w:val="000000" w:themeColor="text1"/>
        </w:rPr>
        <w:t>.</w:t>
      </w:r>
      <w:r w:rsidRPr="29798801">
        <w:rPr>
          <w:rFonts w:eastAsia="Times New Roman"/>
          <w:color w:val="000000" w:themeColor="text1"/>
        </w:rPr>
        <w:t xml:space="preserve"> Study team members at Mathematica have experience recruiting respondents for studies that focus on CCEE, respondents who are experiencing high levels of poverty</w:t>
      </w:r>
      <w:r w:rsidRPr="29798801" w:rsidR="00EA760E">
        <w:rPr>
          <w:rFonts w:eastAsia="Times New Roman"/>
          <w:color w:val="000000" w:themeColor="text1"/>
        </w:rPr>
        <w:t>,</w:t>
      </w:r>
      <w:r w:rsidRPr="29798801" w:rsidR="00A97C79">
        <w:rPr>
          <w:rFonts w:eastAsia="Times New Roman"/>
          <w:color w:val="000000" w:themeColor="text1"/>
        </w:rPr>
        <w:t xml:space="preserve"> and</w:t>
      </w:r>
      <w:r w:rsidRPr="29798801">
        <w:rPr>
          <w:rFonts w:eastAsia="Times New Roman"/>
          <w:color w:val="000000" w:themeColor="text1"/>
        </w:rPr>
        <w:t xml:space="preserve"> </w:t>
      </w:r>
      <w:r w:rsidRPr="29798801" w:rsidR="00EA760E">
        <w:rPr>
          <w:rFonts w:eastAsia="Times New Roman"/>
          <w:color w:val="000000" w:themeColor="text1"/>
        </w:rPr>
        <w:t xml:space="preserve">respondents who </w:t>
      </w:r>
      <w:r w:rsidRPr="29798801">
        <w:rPr>
          <w:rFonts w:eastAsia="Times New Roman"/>
          <w:color w:val="000000" w:themeColor="text1"/>
        </w:rPr>
        <w:t>are members of historically marginalized communities.</w:t>
      </w:r>
      <w:r w:rsidRPr="29798801" w:rsidR="000411E5">
        <w:rPr>
          <w:rFonts w:eastAsia="Times New Roman"/>
          <w:color w:val="000000" w:themeColor="text1"/>
        </w:rPr>
        <w:t xml:space="preserve"> Importantly, study team members have experience recruiting for and conducting the pilot study.</w:t>
      </w:r>
      <w:r w:rsidRPr="29798801" w:rsidR="003355D8">
        <w:rPr>
          <w:rFonts w:eastAsia="Times New Roman"/>
          <w:color w:val="000000" w:themeColor="text1"/>
        </w:rPr>
        <w:t xml:space="preserve"> The study team made updates and improvements to all relevant study materials based on pilot study findings to help respondents better understand the </w:t>
      </w:r>
      <w:r w:rsidRPr="29798801" w:rsidR="00C77AC6">
        <w:rPr>
          <w:rFonts w:eastAsia="Times New Roman"/>
          <w:color w:val="000000" w:themeColor="text1"/>
        </w:rPr>
        <w:t xml:space="preserve">proposed </w:t>
      </w:r>
      <w:r w:rsidRPr="29798801" w:rsidR="003355D8">
        <w:rPr>
          <w:rFonts w:eastAsia="Times New Roman"/>
          <w:color w:val="000000" w:themeColor="text1"/>
        </w:rPr>
        <w:t>study and their role.</w:t>
      </w:r>
    </w:p>
    <w:p w:rsidR="001904CB" w:rsidP="00A42C71" w14:paraId="304A4AAD" w14:textId="77777777">
      <w:pPr>
        <w:autoSpaceDE w:val="0"/>
        <w:autoSpaceDN w:val="0"/>
        <w:adjustRightInd w:val="0"/>
        <w:spacing w:after="0" w:line="240" w:lineRule="atLeast"/>
        <w:rPr>
          <w:rFonts w:eastAsia="Times New Roman" w:cstheme="minorHAnsi"/>
          <w:color w:val="000000"/>
        </w:rPr>
      </w:pPr>
    </w:p>
    <w:p w:rsidR="008C2483" w:rsidRPr="00BD778C" w:rsidP="00BD15D4" w14:paraId="17814875" w14:textId="5F5E8096">
      <w:pPr>
        <w:autoSpaceDE w:val="0"/>
        <w:autoSpaceDN w:val="0"/>
        <w:adjustRightInd w:val="0"/>
        <w:spacing w:after="60" w:line="240" w:lineRule="atLeast"/>
        <w:rPr>
          <w:rFonts w:eastAsia="Times New Roman" w:cstheme="minorHAnsi"/>
          <w:b/>
          <w:bCs/>
          <w:color w:val="000000"/>
        </w:rPr>
      </w:pPr>
      <w:r w:rsidRPr="00BD778C">
        <w:rPr>
          <w:rFonts w:eastAsia="Times New Roman" w:cstheme="minorHAnsi"/>
          <w:b/>
          <w:bCs/>
          <w:color w:val="000000"/>
        </w:rPr>
        <w:t xml:space="preserve">Recruitment protocol </w:t>
      </w:r>
    </w:p>
    <w:p w:rsidR="00EA760E" w:rsidP="008C2483" w14:paraId="4D5E0EC5" w14:textId="07B6963B">
      <w:pPr>
        <w:autoSpaceDE w:val="0"/>
        <w:autoSpaceDN w:val="0"/>
        <w:adjustRightInd w:val="0"/>
        <w:spacing w:after="0" w:line="240" w:lineRule="atLeast"/>
        <w:rPr>
          <w:rFonts w:eastAsia="Times New Roman" w:cstheme="minorHAnsi"/>
          <w:color w:val="000000"/>
        </w:rPr>
      </w:pPr>
      <w:r w:rsidRPr="008C2483">
        <w:rPr>
          <w:rFonts w:eastAsia="Times New Roman" w:cstheme="minorHAnsi"/>
          <w:color w:val="000000"/>
        </w:rPr>
        <w:t>The study team developed flyers and other recruitment materials to facilitate outreach to community organizations and potential participants</w:t>
      </w:r>
      <w:r w:rsidR="003749CC">
        <w:rPr>
          <w:rFonts w:eastAsia="Times New Roman" w:cstheme="minorHAnsi"/>
          <w:color w:val="000000"/>
        </w:rPr>
        <w:t xml:space="preserve"> (Append</w:t>
      </w:r>
      <w:r w:rsidR="005D38A3">
        <w:rPr>
          <w:rFonts w:eastAsia="Times New Roman" w:cstheme="minorHAnsi"/>
          <w:color w:val="000000"/>
        </w:rPr>
        <w:t>ices</w:t>
      </w:r>
      <w:r w:rsidR="003749CC">
        <w:rPr>
          <w:rFonts w:eastAsia="Times New Roman" w:cstheme="minorHAnsi"/>
          <w:color w:val="000000"/>
        </w:rPr>
        <w:t xml:space="preserve"> A</w:t>
      </w:r>
      <w:r w:rsidR="00A7207C">
        <w:rPr>
          <w:rFonts w:eastAsia="Times New Roman" w:cstheme="minorHAnsi"/>
          <w:color w:val="000000"/>
        </w:rPr>
        <w:t xml:space="preserve"> and B</w:t>
      </w:r>
      <w:r w:rsidR="003749CC">
        <w:rPr>
          <w:rFonts w:eastAsia="Times New Roman" w:cstheme="minorHAnsi"/>
          <w:color w:val="000000"/>
        </w:rPr>
        <w:t>)</w:t>
      </w:r>
      <w:r w:rsidR="00EF6DF5">
        <w:rPr>
          <w:rFonts w:eastAsia="Times New Roman" w:cstheme="minorHAnsi"/>
          <w:color w:val="000000"/>
        </w:rPr>
        <w:t xml:space="preserve"> </w:t>
      </w:r>
      <w:r w:rsidRPr="006F50AB" w:rsidR="00EF6DF5">
        <w:rPr>
          <w:rFonts w:eastAsia="Times New Roman" w:cstheme="minorHAnsi"/>
          <w:color w:val="000000"/>
        </w:rPr>
        <w:t>that explain the study clearly and concisely</w:t>
      </w:r>
      <w:r w:rsidR="00A7207C">
        <w:rPr>
          <w:rFonts w:eastAsia="Times New Roman" w:cstheme="minorHAnsi"/>
          <w:color w:val="000000"/>
        </w:rPr>
        <w:t xml:space="preserve"> in plain language</w:t>
      </w:r>
      <w:r w:rsidRPr="008C2483">
        <w:rPr>
          <w:rFonts w:eastAsia="Times New Roman" w:cstheme="minorHAnsi"/>
          <w:color w:val="000000"/>
        </w:rPr>
        <w:t xml:space="preserve">. </w:t>
      </w:r>
      <w:r w:rsidR="00A7207C">
        <w:rPr>
          <w:rFonts w:eastAsia="Times New Roman" w:cstheme="minorHAnsi"/>
          <w:color w:val="000000"/>
        </w:rPr>
        <w:t>These materials</w:t>
      </w:r>
      <w:r w:rsidR="00436DA3">
        <w:rPr>
          <w:rFonts w:eastAsia="Times New Roman" w:cstheme="minorHAnsi"/>
          <w:color w:val="000000"/>
        </w:rPr>
        <w:t xml:space="preserve"> were updated based on pilot study findings to help </w:t>
      </w:r>
      <w:r w:rsidR="00A7207C">
        <w:rPr>
          <w:rFonts w:eastAsia="Times New Roman" w:cstheme="minorHAnsi"/>
          <w:color w:val="000000"/>
        </w:rPr>
        <w:t xml:space="preserve">participants </w:t>
      </w:r>
      <w:r w:rsidR="00436DA3">
        <w:rPr>
          <w:rFonts w:eastAsia="Times New Roman" w:cstheme="minorHAnsi"/>
          <w:color w:val="000000"/>
        </w:rPr>
        <w:t xml:space="preserve">better understand the </w:t>
      </w:r>
      <w:r w:rsidR="00340501">
        <w:rPr>
          <w:rFonts w:eastAsia="Times New Roman" w:cstheme="minorHAnsi"/>
          <w:color w:val="000000"/>
        </w:rPr>
        <w:t xml:space="preserve">current </w:t>
      </w:r>
      <w:r w:rsidR="00436DA3">
        <w:rPr>
          <w:rFonts w:eastAsia="Times New Roman" w:cstheme="minorHAnsi"/>
          <w:color w:val="000000"/>
        </w:rPr>
        <w:t>study</w:t>
      </w:r>
      <w:r w:rsidRPr="008C2483">
        <w:rPr>
          <w:rFonts w:eastAsia="Times New Roman" w:cstheme="minorHAnsi"/>
          <w:color w:val="000000"/>
        </w:rPr>
        <w:t>.</w:t>
      </w:r>
      <w:r>
        <w:rPr>
          <w:rFonts w:eastAsia="Times New Roman" w:cstheme="minorHAnsi"/>
          <w:color w:val="000000"/>
        </w:rPr>
        <w:t xml:space="preserve"> </w:t>
      </w:r>
    </w:p>
    <w:p w:rsidR="00EA760E" w:rsidP="008C2483" w14:paraId="3D91DA33" w14:textId="77777777">
      <w:pPr>
        <w:autoSpaceDE w:val="0"/>
        <w:autoSpaceDN w:val="0"/>
        <w:adjustRightInd w:val="0"/>
        <w:spacing w:after="0" w:line="240" w:lineRule="atLeast"/>
        <w:rPr>
          <w:rFonts w:eastAsia="Times New Roman" w:cstheme="minorHAnsi"/>
          <w:color w:val="000000"/>
        </w:rPr>
      </w:pPr>
    </w:p>
    <w:p w:rsidR="00F84700" w:rsidP="008C2483" w14:paraId="31D17094" w14:textId="0DFC81E9">
      <w:pPr>
        <w:autoSpaceDE w:val="0"/>
        <w:autoSpaceDN w:val="0"/>
        <w:adjustRightInd w:val="0"/>
        <w:spacing w:after="0" w:line="240" w:lineRule="atLeast"/>
        <w:rPr>
          <w:rFonts w:eastAsia="Times New Roman"/>
          <w:color w:val="000000"/>
        </w:rPr>
      </w:pPr>
      <w:r w:rsidRPr="29798801">
        <w:rPr>
          <w:rFonts w:eastAsia="Times New Roman"/>
          <w:color w:val="000000" w:themeColor="text1"/>
        </w:rPr>
        <w:t xml:space="preserve">The study team will </w:t>
      </w:r>
      <w:r w:rsidRPr="29798801" w:rsidR="00EF7CD3">
        <w:rPr>
          <w:rFonts w:eastAsia="Times New Roman"/>
          <w:color w:val="000000" w:themeColor="text1"/>
        </w:rPr>
        <w:t>primarily</w:t>
      </w:r>
      <w:r w:rsidRPr="29798801" w:rsidR="004B1FED">
        <w:rPr>
          <w:rFonts w:eastAsia="Times New Roman"/>
          <w:color w:val="000000" w:themeColor="text1"/>
        </w:rPr>
        <w:t xml:space="preserve"> work with community</w:t>
      </w:r>
      <w:r w:rsidRPr="29798801" w:rsidR="006E738B">
        <w:rPr>
          <w:rFonts w:eastAsia="Times New Roman"/>
          <w:color w:val="000000" w:themeColor="text1"/>
        </w:rPr>
        <w:t xml:space="preserve"> organization</w:t>
      </w:r>
      <w:r w:rsidRPr="29798801" w:rsidR="003F7099">
        <w:rPr>
          <w:rFonts w:eastAsia="Times New Roman"/>
          <w:color w:val="000000" w:themeColor="text1"/>
        </w:rPr>
        <w:t xml:space="preserve"> site coordinators</w:t>
      </w:r>
      <w:r w:rsidRPr="29798801" w:rsidR="006E738B">
        <w:rPr>
          <w:rFonts w:eastAsia="Times New Roman"/>
          <w:color w:val="000000" w:themeColor="text1"/>
        </w:rPr>
        <w:t xml:space="preserve"> to identify providers who may be interested in participating in the study.</w:t>
      </w:r>
      <w:r w:rsidRPr="29798801" w:rsidR="00BD778C">
        <w:rPr>
          <w:rFonts w:eastAsia="Times New Roman"/>
          <w:color w:val="000000" w:themeColor="text1"/>
        </w:rPr>
        <w:t xml:space="preserve"> </w:t>
      </w:r>
      <w:r w:rsidR="00EE7F1F">
        <w:rPr>
          <w:rFonts w:eastAsia="Times New Roman"/>
          <w:color w:val="000000" w:themeColor="text1"/>
        </w:rPr>
        <w:t xml:space="preserve">The study team will discuss </w:t>
      </w:r>
      <w:r w:rsidR="00F92DD0">
        <w:rPr>
          <w:rFonts w:eastAsia="Times New Roman"/>
          <w:color w:val="000000" w:themeColor="text1"/>
        </w:rPr>
        <w:t xml:space="preserve">the study and site coordinator role on an onboarding call (Instrument 1) and </w:t>
      </w:r>
      <w:r w:rsidRPr="29798801" w:rsidR="00AA7878">
        <w:rPr>
          <w:rFonts w:eastAsia="Times New Roman"/>
          <w:color w:val="000000" w:themeColor="text1"/>
        </w:rPr>
        <w:t xml:space="preserve">Appendix A contains </w:t>
      </w:r>
      <w:r w:rsidR="00F92DD0">
        <w:rPr>
          <w:rFonts w:eastAsia="Times New Roman"/>
          <w:color w:val="000000" w:themeColor="text1"/>
        </w:rPr>
        <w:t xml:space="preserve">the other </w:t>
      </w:r>
      <w:r w:rsidRPr="29798801" w:rsidR="00AA7878">
        <w:rPr>
          <w:rFonts w:eastAsia="Times New Roman"/>
          <w:color w:val="000000" w:themeColor="text1"/>
        </w:rPr>
        <w:t xml:space="preserve">materials used to </w:t>
      </w:r>
      <w:r w:rsidRPr="29798801" w:rsidR="00B46910">
        <w:rPr>
          <w:rFonts w:eastAsia="Times New Roman"/>
          <w:color w:val="000000" w:themeColor="text1"/>
        </w:rPr>
        <w:t xml:space="preserve">work with community organizations. </w:t>
      </w:r>
      <w:r w:rsidRPr="29798801" w:rsidR="00EF7CD3">
        <w:rPr>
          <w:rFonts w:eastAsia="Times New Roman"/>
          <w:color w:val="000000" w:themeColor="text1"/>
        </w:rPr>
        <w:t xml:space="preserve">The study team will also </w:t>
      </w:r>
      <w:r w:rsidRPr="29798801" w:rsidR="00180919">
        <w:rPr>
          <w:rFonts w:eastAsia="Times New Roman"/>
          <w:color w:val="000000" w:themeColor="text1"/>
        </w:rPr>
        <w:t>contact providers</w:t>
      </w:r>
      <w:r w:rsidRPr="29798801" w:rsidR="00605E0B">
        <w:rPr>
          <w:rFonts w:eastAsia="Times New Roman"/>
          <w:color w:val="000000" w:themeColor="text1"/>
        </w:rPr>
        <w:t xml:space="preserve"> using contact information </w:t>
      </w:r>
      <w:r w:rsidRPr="29798801" w:rsidR="00EF7CD3">
        <w:rPr>
          <w:rFonts w:eastAsia="Times New Roman"/>
          <w:color w:val="000000" w:themeColor="text1"/>
        </w:rPr>
        <w:t>obtain</w:t>
      </w:r>
      <w:r w:rsidRPr="29798801" w:rsidR="00605E0B">
        <w:rPr>
          <w:rFonts w:eastAsia="Times New Roman"/>
          <w:color w:val="000000" w:themeColor="text1"/>
        </w:rPr>
        <w:t>ed from public</w:t>
      </w:r>
      <w:r w:rsidRPr="29798801" w:rsidR="00EF7CD3">
        <w:rPr>
          <w:rFonts w:eastAsia="Times New Roman"/>
          <w:color w:val="000000" w:themeColor="text1"/>
        </w:rPr>
        <w:t xml:space="preserve"> lists of providers as needed. </w:t>
      </w:r>
      <w:r w:rsidRPr="29798801" w:rsidR="77F38671">
        <w:rPr>
          <w:rFonts w:eastAsia="Times New Roman"/>
          <w:color w:val="000000" w:themeColor="text1"/>
        </w:rPr>
        <w:t xml:space="preserve">The study team will screen all providers for eligibility and to recruit them into the study. </w:t>
      </w:r>
      <w:r w:rsidRPr="29798801" w:rsidR="00E761D5">
        <w:rPr>
          <w:rFonts w:eastAsia="Times New Roman"/>
          <w:color w:val="000000" w:themeColor="text1"/>
        </w:rPr>
        <w:t>At the end of the recruitment call</w:t>
      </w:r>
      <w:r w:rsidRPr="29798801" w:rsidR="00431088">
        <w:rPr>
          <w:rFonts w:eastAsia="Times New Roman"/>
          <w:color w:val="000000" w:themeColor="text1"/>
        </w:rPr>
        <w:t xml:space="preserve"> (Instrument </w:t>
      </w:r>
      <w:r w:rsidR="009D3574">
        <w:rPr>
          <w:rFonts w:eastAsia="Times New Roman"/>
          <w:color w:val="000000" w:themeColor="text1"/>
        </w:rPr>
        <w:t>2</w:t>
      </w:r>
      <w:r w:rsidRPr="29798801" w:rsidR="00431088">
        <w:rPr>
          <w:rFonts w:eastAsia="Times New Roman"/>
          <w:color w:val="000000" w:themeColor="text1"/>
        </w:rPr>
        <w:t xml:space="preserve"> or </w:t>
      </w:r>
      <w:r w:rsidR="009D3574">
        <w:rPr>
          <w:rFonts w:eastAsia="Times New Roman"/>
          <w:color w:val="000000" w:themeColor="text1"/>
        </w:rPr>
        <w:t>3</w:t>
      </w:r>
      <w:r w:rsidRPr="29798801" w:rsidR="00431088">
        <w:rPr>
          <w:rFonts w:eastAsia="Times New Roman"/>
          <w:color w:val="000000" w:themeColor="text1"/>
        </w:rPr>
        <w:t>)</w:t>
      </w:r>
      <w:r w:rsidRPr="29798801" w:rsidR="00E761D5">
        <w:rPr>
          <w:rFonts w:eastAsia="Times New Roman"/>
          <w:color w:val="000000" w:themeColor="text1"/>
        </w:rPr>
        <w:t xml:space="preserve">, </w:t>
      </w:r>
      <w:r w:rsidRPr="29798801" w:rsidR="00F22B55">
        <w:rPr>
          <w:rFonts w:eastAsia="Times New Roman"/>
          <w:color w:val="000000" w:themeColor="text1"/>
        </w:rPr>
        <w:t>the protocol</w:t>
      </w:r>
      <w:r w:rsidRPr="29798801" w:rsidR="00E761D5">
        <w:rPr>
          <w:rFonts w:eastAsia="Times New Roman"/>
          <w:color w:val="000000" w:themeColor="text1"/>
        </w:rPr>
        <w:t xml:space="preserve"> ask</w:t>
      </w:r>
      <w:r w:rsidRPr="29798801" w:rsidR="00F22B55">
        <w:rPr>
          <w:rFonts w:eastAsia="Times New Roman"/>
          <w:color w:val="000000" w:themeColor="text1"/>
        </w:rPr>
        <w:t>s</w:t>
      </w:r>
      <w:r w:rsidRPr="29798801" w:rsidR="00E761D5">
        <w:rPr>
          <w:rFonts w:eastAsia="Times New Roman"/>
          <w:color w:val="000000" w:themeColor="text1"/>
        </w:rPr>
        <w:t xml:space="preserve"> providers to </w:t>
      </w:r>
      <w:r w:rsidRPr="29798801" w:rsidR="00F22B55">
        <w:rPr>
          <w:rFonts w:eastAsia="Times New Roman"/>
          <w:color w:val="000000" w:themeColor="text1"/>
        </w:rPr>
        <w:t xml:space="preserve">make recommendations of other providers who might like to participate in the study. </w:t>
      </w:r>
    </w:p>
    <w:p w:rsidR="00F84700" w:rsidP="008C2483" w14:paraId="3FBD06DC" w14:textId="77777777">
      <w:pPr>
        <w:autoSpaceDE w:val="0"/>
        <w:autoSpaceDN w:val="0"/>
        <w:adjustRightInd w:val="0"/>
        <w:spacing w:after="0" w:line="240" w:lineRule="atLeast"/>
        <w:rPr>
          <w:rFonts w:eastAsia="Times New Roman" w:cstheme="minorHAnsi"/>
          <w:color w:val="000000"/>
        </w:rPr>
      </w:pPr>
    </w:p>
    <w:p w:rsidR="001904CB" w:rsidP="008C2483" w14:paraId="2F4A36A3" w14:textId="2797A7E3">
      <w:pPr>
        <w:autoSpaceDE w:val="0"/>
        <w:autoSpaceDN w:val="0"/>
        <w:adjustRightInd w:val="0"/>
        <w:spacing w:after="0" w:line="240" w:lineRule="atLeast"/>
        <w:rPr>
          <w:rFonts w:eastAsia="Times New Roman" w:cstheme="minorHAnsi"/>
          <w:color w:val="000000"/>
        </w:rPr>
      </w:pPr>
      <w:r w:rsidRPr="00B7287C">
        <w:rPr>
          <w:rFonts w:eastAsia="Times New Roman" w:cstheme="minorHAnsi"/>
          <w:color w:val="000000"/>
        </w:rPr>
        <w:t xml:space="preserve">The team will work with </w:t>
      </w:r>
      <w:r w:rsidR="00F84700">
        <w:rPr>
          <w:rFonts w:eastAsia="Times New Roman" w:cstheme="minorHAnsi"/>
          <w:color w:val="000000"/>
        </w:rPr>
        <w:t xml:space="preserve">eligible </w:t>
      </w:r>
      <w:r w:rsidRPr="00B7287C">
        <w:rPr>
          <w:rFonts w:eastAsia="Times New Roman" w:cstheme="minorHAnsi"/>
          <w:color w:val="000000"/>
        </w:rPr>
        <w:t>providers to recruit families.</w:t>
      </w:r>
    </w:p>
    <w:p w:rsidR="006E738B" w:rsidP="008C2483" w14:paraId="12B0A56E" w14:textId="77777777">
      <w:pPr>
        <w:autoSpaceDE w:val="0"/>
        <w:autoSpaceDN w:val="0"/>
        <w:adjustRightInd w:val="0"/>
        <w:spacing w:after="0" w:line="240" w:lineRule="atLeast"/>
        <w:rPr>
          <w:rFonts w:eastAsia="Times New Roman" w:cstheme="minorHAnsi"/>
          <w:color w:val="000000"/>
        </w:rPr>
      </w:pPr>
    </w:p>
    <w:p w:rsidR="006E738B" w:rsidP="00BD15D4" w14:paraId="7EFFCEA5" w14:textId="4BE47EEB">
      <w:pPr>
        <w:autoSpaceDE w:val="0"/>
        <w:autoSpaceDN w:val="0"/>
        <w:adjustRightInd w:val="0"/>
        <w:spacing w:after="60" w:line="240" w:lineRule="atLeast"/>
        <w:rPr>
          <w:rFonts w:eastAsia="Times New Roman" w:cstheme="minorHAnsi"/>
          <w:i/>
          <w:iCs/>
          <w:color w:val="000000"/>
        </w:rPr>
      </w:pPr>
      <w:r>
        <w:rPr>
          <w:rFonts w:eastAsia="Times New Roman" w:cstheme="minorHAnsi"/>
          <w:i/>
          <w:iCs/>
          <w:color w:val="000000"/>
        </w:rPr>
        <w:t>Provider recruitment</w:t>
      </w:r>
    </w:p>
    <w:p w:rsidR="00180919" w:rsidP="00D07F35" w14:paraId="04AB3D0D" w14:textId="5603A29A">
      <w:pPr>
        <w:autoSpaceDE w:val="0"/>
        <w:autoSpaceDN w:val="0"/>
        <w:adjustRightInd w:val="0"/>
        <w:spacing w:after="0" w:line="240" w:lineRule="atLeast"/>
        <w:rPr>
          <w:rFonts w:eastAsia="Times New Roman"/>
          <w:color w:val="000000"/>
        </w:rPr>
      </w:pPr>
      <w:r w:rsidRPr="29798801">
        <w:rPr>
          <w:rFonts w:eastAsia="Times New Roman"/>
          <w:color w:val="000000" w:themeColor="text1"/>
        </w:rPr>
        <w:t xml:space="preserve">To generate provider awareness of and interest in the study, the study team will work with community organizations site coordinators to communicate information about the study </w:t>
      </w:r>
      <w:r w:rsidRPr="29798801" w:rsidR="09A1E396">
        <w:rPr>
          <w:rFonts w:eastAsia="Times New Roman"/>
          <w:color w:val="000000" w:themeColor="text1"/>
        </w:rPr>
        <w:t>to</w:t>
      </w:r>
      <w:r w:rsidRPr="29798801">
        <w:rPr>
          <w:rFonts w:eastAsia="Times New Roman"/>
          <w:color w:val="000000" w:themeColor="text1"/>
        </w:rPr>
        <w:t xml:space="preserve"> providers (for example, posting or distributing flyers, introducing the study during provider gatherings) or arrange for community organization liaisons to speak about the study at the organizations’ virtual gatherings. With the provider’s permission, the site coordinators will share the contact information of interested providers with the study team using a secure website</w:t>
      </w:r>
      <w:r w:rsidR="00811D4B">
        <w:rPr>
          <w:rFonts w:eastAsia="Times New Roman"/>
          <w:color w:val="000000" w:themeColor="text1"/>
        </w:rPr>
        <w:t xml:space="preserve"> (Instrument 1)</w:t>
      </w:r>
      <w:r w:rsidRPr="29798801">
        <w:rPr>
          <w:rFonts w:eastAsia="Times New Roman"/>
          <w:color w:val="000000" w:themeColor="text1"/>
        </w:rPr>
        <w:t xml:space="preserve">. </w:t>
      </w:r>
      <w:r w:rsidRPr="29798801" w:rsidR="00A72444">
        <w:rPr>
          <w:rFonts w:eastAsia="Times New Roman"/>
          <w:color w:val="000000" w:themeColor="text1"/>
        </w:rPr>
        <w:t xml:space="preserve">Materials related to working with community organization site coordinators are in Appendix </w:t>
      </w:r>
      <w:r w:rsidRPr="29798801" w:rsidR="00400378">
        <w:rPr>
          <w:rFonts w:eastAsia="Times New Roman"/>
          <w:color w:val="000000" w:themeColor="text1"/>
        </w:rPr>
        <w:t>A</w:t>
      </w:r>
      <w:r w:rsidRPr="29798801" w:rsidR="00A72444">
        <w:rPr>
          <w:rFonts w:eastAsia="Times New Roman"/>
          <w:color w:val="000000" w:themeColor="text1"/>
        </w:rPr>
        <w:t>.</w:t>
      </w:r>
    </w:p>
    <w:p w:rsidR="00180919" w:rsidP="00D07F35" w14:paraId="62D2E485" w14:textId="77777777">
      <w:pPr>
        <w:autoSpaceDE w:val="0"/>
        <w:autoSpaceDN w:val="0"/>
        <w:adjustRightInd w:val="0"/>
        <w:spacing w:after="0" w:line="240" w:lineRule="atLeast"/>
        <w:rPr>
          <w:rFonts w:eastAsia="Times New Roman" w:cstheme="minorHAnsi"/>
          <w:color w:val="000000"/>
        </w:rPr>
      </w:pPr>
    </w:p>
    <w:p w:rsidR="006E738B" w:rsidP="00D07F35" w14:paraId="67614595" w14:textId="6473B951">
      <w:pPr>
        <w:autoSpaceDE w:val="0"/>
        <w:autoSpaceDN w:val="0"/>
        <w:adjustRightInd w:val="0"/>
        <w:spacing w:after="0" w:line="240" w:lineRule="atLeast"/>
        <w:rPr>
          <w:rFonts w:eastAsia="Times New Roman"/>
          <w:color w:val="000000"/>
        </w:rPr>
      </w:pPr>
      <w:r w:rsidRPr="29798801">
        <w:rPr>
          <w:rFonts w:eastAsia="Times New Roman"/>
          <w:color w:val="000000" w:themeColor="text1"/>
        </w:rPr>
        <w:t xml:space="preserve">Trained recruiters will send an email and flyer to introduce the study to providers identified from community organizations, </w:t>
      </w:r>
      <w:r w:rsidRPr="29798801" w:rsidR="00AD28A3">
        <w:rPr>
          <w:rFonts w:eastAsia="Times New Roman"/>
          <w:color w:val="000000" w:themeColor="text1"/>
        </w:rPr>
        <w:t xml:space="preserve">state lists, </w:t>
      </w:r>
      <w:r w:rsidRPr="29798801">
        <w:rPr>
          <w:rFonts w:eastAsia="Times New Roman"/>
          <w:color w:val="000000" w:themeColor="text1"/>
        </w:rPr>
        <w:t>or other providers</w:t>
      </w:r>
      <w:r w:rsidRPr="29798801" w:rsidR="00A33A25">
        <w:rPr>
          <w:rFonts w:eastAsia="Times New Roman"/>
          <w:color w:val="000000" w:themeColor="text1"/>
        </w:rPr>
        <w:t xml:space="preserve"> (Appendix </w:t>
      </w:r>
      <w:r w:rsidR="00D163DA">
        <w:rPr>
          <w:rFonts w:eastAsia="Times New Roman"/>
          <w:color w:val="000000" w:themeColor="text1"/>
        </w:rPr>
        <w:t>B</w:t>
      </w:r>
      <w:r w:rsidRPr="29798801" w:rsidR="00A33A25">
        <w:rPr>
          <w:rFonts w:eastAsia="Times New Roman"/>
          <w:color w:val="000000" w:themeColor="text1"/>
        </w:rPr>
        <w:t>)</w:t>
      </w:r>
      <w:r w:rsidRPr="29798801">
        <w:rPr>
          <w:rFonts w:eastAsia="Times New Roman"/>
          <w:color w:val="000000" w:themeColor="text1"/>
        </w:rPr>
        <w:t xml:space="preserve">. Recruiters will also call providers to discuss the study and learn about the providers’ characteristics and eligibility using a call script (Instrument </w:t>
      </w:r>
      <w:r w:rsidR="009D3574">
        <w:rPr>
          <w:rFonts w:eastAsia="Times New Roman"/>
          <w:color w:val="000000" w:themeColor="text1"/>
        </w:rPr>
        <w:t>2</w:t>
      </w:r>
      <w:r w:rsidRPr="29798801">
        <w:rPr>
          <w:rFonts w:eastAsia="Times New Roman"/>
          <w:color w:val="000000" w:themeColor="text1"/>
        </w:rPr>
        <w:t xml:space="preserve"> or </w:t>
      </w:r>
      <w:r w:rsidR="009D3574">
        <w:rPr>
          <w:rFonts w:eastAsia="Times New Roman"/>
          <w:color w:val="000000" w:themeColor="text1"/>
        </w:rPr>
        <w:t>3</w:t>
      </w:r>
      <w:r w:rsidRPr="29798801">
        <w:rPr>
          <w:rFonts w:eastAsia="Times New Roman"/>
          <w:color w:val="000000" w:themeColor="text1"/>
        </w:rPr>
        <w:t>, depending on whether the provider is in a site selected for</w:t>
      </w:r>
      <w:r w:rsidRPr="29798801" w:rsidR="00D41C41">
        <w:rPr>
          <w:rFonts w:eastAsia="Times New Roman"/>
          <w:color w:val="000000" w:themeColor="text1"/>
        </w:rPr>
        <w:t xml:space="preserve"> observations</w:t>
      </w:r>
      <w:r w:rsidRPr="29798801">
        <w:rPr>
          <w:rFonts w:eastAsia="Times New Roman"/>
          <w:color w:val="000000" w:themeColor="text1"/>
        </w:rPr>
        <w:t xml:space="preserve">). The study team will also ask participating providers to recommend other providers in the area who provide care to school-age children. The study team will continue recruitment until the number of </w:t>
      </w:r>
      <w:r w:rsidRPr="29798801" w:rsidR="003A1255">
        <w:rPr>
          <w:rFonts w:eastAsia="Times New Roman"/>
          <w:color w:val="000000" w:themeColor="text1"/>
        </w:rPr>
        <w:t xml:space="preserve">overall </w:t>
      </w:r>
      <w:r w:rsidRPr="29798801" w:rsidR="00B2612E">
        <w:rPr>
          <w:rFonts w:eastAsia="Times New Roman"/>
          <w:color w:val="000000" w:themeColor="text1"/>
        </w:rPr>
        <w:t>respondents and</w:t>
      </w:r>
      <w:r w:rsidRPr="29798801" w:rsidR="003A1255">
        <w:rPr>
          <w:rFonts w:eastAsia="Times New Roman"/>
          <w:color w:val="000000" w:themeColor="text1"/>
        </w:rPr>
        <w:t xml:space="preserve"> minimums </w:t>
      </w:r>
      <w:r w:rsidRPr="29798801">
        <w:rPr>
          <w:rFonts w:eastAsia="Times New Roman"/>
          <w:color w:val="000000" w:themeColor="text1"/>
        </w:rPr>
        <w:t xml:space="preserve">for each type of provider </w:t>
      </w:r>
      <w:r w:rsidR="0033145B">
        <w:rPr>
          <w:rFonts w:eastAsia="Times New Roman"/>
          <w:color w:val="000000" w:themeColor="text1"/>
        </w:rPr>
        <w:t xml:space="preserve">needed for analyses </w:t>
      </w:r>
      <w:r w:rsidRPr="29798801">
        <w:rPr>
          <w:rFonts w:eastAsia="Times New Roman"/>
          <w:color w:val="000000" w:themeColor="text1"/>
        </w:rPr>
        <w:t>are reached</w:t>
      </w:r>
      <w:r w:rsidRPr="29798801" w:rsidR="00C41A46">
        <w:rPr>
          <w:rFonts w:eastAsia="Times New Roman"/>
          <w:color w:val="000000" w:themeColor="text1"/>
        </w:rPr>
        <w:t xml:space="preserve"> (see Table B.1)</w:t>
      </w:r>
      <w:r w:rsidRPr="29798801">
        <w:rPr>
          <w:rFonts w:eastAsia="Times New Roman"/>
          <w:color w:val="000000" w:themeColor="text1"/>
        </w:rPr>
        <w:t>.</w:t>
      </w:r>
      <w:r w:rsidR="00246780">
        <w:rPr>
          <w:rFonts w:eastAsia="Times New Roman"/>
          <w:color w:val="000000" w:themeColor="text1"/>
        </w:rPr>
        <w:t xml:space="preserve"> </w:t>
      </w:r>
      <w:r w:rsidR="0033145B">
        <w:rPr>
          <w:rFonts w:eastAsia="Times New Roman"/>
          <w:color w:val="000000" w:themeColor="text1"/>
        </w:rPr>
        <w:t>Section B</w:t>
      </w:r>
      <w:r w:rsidR="00704EEC">
        <w:rPr>
          <w:rFonts w:eastAsia="Times New Roman"/>
          <w:color w:val="000000" w:themeColor="text1"/>
        </w:rPr>
        <w:t>5 describes the study’s expected response rates</w:t>
      </w:r>
      <w:r w:rsidR="00610CA6">
        <w:rPr>
          <w:rFonts w:eastAsia="Times New Roman"/>
          <w:color w:val="000000" w:themeColor="text1"/>
        </w:rPr>
        <w:t xml:space="preserve">. </w:t>
      </w:r>
    </w:p>
    <w:p w:rsidR="00873E9A" w:rsidP="00D07F35" w14:paraId="498DC93A" w14:textId="77777777">
      <w:pPr>
        <w:autoSpaceDE w:val="0"/>
        <w:autoSpaceDN w:val="0"/>
        <w:adjustRightInd w:val="0"/>
        <w:spacing w:after="0" w:line="240" w:lineRule="atLeast"/>
        <w:rPr>
          <w:rFonts w:eastAsia="Times New Roman" w:cstheme="minorHAnsi"/>
          <w:color w:val="000000"/>
        </w:rPr>
      </w:pPr>
    </w:p>
    <w:p w:rsidR="00873E9A" w:rsidP="00BD15D4" w14:paraId="0839BAB3" w14:textId="41511FF7">
      <w:pPr>
        <w:autoSpaceDE w:val="0"/>
        <w:autoSpaceDN w:val="0"/>
        <w:adjustRightInd w:val="0"/>
        <w:spacing w:after="60" w:line="240" w:lineRule="atLeast"/>
        <w:rPr>
          <w:rFonts w:eastAsia="Times New Roman" w:cstheme="minorHAnsi"/>
          <w:i/>
          <w:iCs/>
          <w:color w:val="000000"/>
        </w:rPr>
      </w:pPr>
      <w:r>
        <w:rPr>
          <w:rFonts w:eastAsia="Times New Roman" w:cstheme="minorHAnsi"/>
          <w:i/>
          <w:iCs/>
          <w:color w:val="000000"/>
        </w:rPr>
        <w:t>Family recruitment</w:t>
      </w:r>
    </w:p>
    <w:p w:rsidR="00873E9A" w:rsidRPr="00873E9A" w:rsidP="00D07F35" w14:paraId="2DEAB202" w14:textId="620FF714">
      <w:pPr>
        <w:autoSpaceDE w:val="0"/>
        <w:autoSpaceDN w:val="0"/>
        <w:adjustRightInd w:val="0"/>
        <w:spacing w:after="0" w:line="240" w:lineRule="atLeast"/>
        <w:rPr>
          <w:rFonts w:eastAsia="Times New Roman"/>
          <w:color w:val="000000"/>
        </w:rPr>
      </w:pPr>
      <w:r w:rsidRPr="29798801">
        <w:rPr>
          <w:rFonts w:eastAsia="Times New Roman"/>
          <w:color w:val="000000" w:themeColor="text1"/>
        </w:rPr>
        <w:t>During the recruitment call</w:t>
      </w:r>
      <w:r w:rsidRPr="29798801" w:rsidR="00EC16E4">
        <w:rPr>
          <w:rFonts w:eastAsia="Times New Roman"/>
          <w:color w:val="000000" w:themeColor="text1"/>
        </w:rPr>
        <w:t xml:space="preserve"> (Instrument </w:t>
      </w:r>
      <w:r w:rsidR="009D3574">
        <w:rPr>
          <w:rFonts w:eastAsia="Times New Roman"/>
          <w:color w:val="000000" w:themeColor="text1"/>
        </w:rPr>
        <w:t>2</w:t>
      </w:r>
      <w:r w:rsidRPr="29798801" w:rsidR="00EC16E4">
        <w:rPr>
          <w:rFonts w:eastAsia="Times New Roman"/>
          <w:color w:val="000000" w:themeColor="text1"/>
        </w:rPr>
        <w:t xml:space="preserve"> or </w:t>
      </w:r>
      <w:r w:rsidR="009D3574">
        <w:rPr>
          <w:rFonts w:eastAsia="Times New Roman"/>
          <w:color w:val="000000" w:themeColor="text1"/>
        </w:rPr>
        <w:t>3</w:t>
      </w:r>
      <w:r w:rsidRPr="29798801" w:rsidR="00EC16E4">
        <w:rPr>
          <w:rFonts w:eastAsia="Times New Roman"/>
          <w:color w:val="000000" w:themeColor="text1"/>
        </w:rPr>
        <w:t>)</w:t>
      </w:r>
      <w:r w:rsidRPr="29798801">
        <w:rPr>
          <w:rFonts w:eastAsia="Times New Roman"/>
          <w:color w:val="000000" w:themeColor="text1"/>
        </w:rPr>
        <w:t xml:space="preserve">, recruiters will discuss the </w:t>
      </w:r>
      <w:r w:rsidRPr="29798801" w:rsidR="00C54163">
        <w:rPr>
          <w:rFonts w:eastAsia="Times New Roman"/>
          <w:color w:val="000000" w:themeColor="text1"/>
        </w:rPr>
        <w:t xml:space="preserve">providers’ role in the </w:t>
      </w:r>
      <w:r w:rsidRPr="29798801">
        <w:rPr>
          <w:rFonts w:eastAsia="Times New Roman"/>
          <w:color w:val="000000" w:themeColor="text1"/>
        </w:rPr>
        <w:t xml:space="preserve">family </w:t>
      </w:r>
      <w:r w:rsidRPr="29798801" w:rsidR="00C529B8">
        <w:rPr>
          <w:rFonts w:eastAsia="Times New Roman"/>
          <w:color w:val="000000" w:themeColor="text1"/>
        </w:rPr>
        <w:t xml:space="preserve">survey </w:t>
      </w:r>
      <w:r w:rsidRPr="29798801">
        <w:rPr>
          <w:rFonts w:eastAsia="Times New Roman"/>
          <w:color w:val="000000" w:themeColor="text1"/>
        </w:rPr>
        <w:t>data collection and</w:t>
      </w:r>
      <w:r w:rsidRPr="29798801" w:rsidR="00C529B8">
        <w:rPr>
          <w:rFonts w:eastAsia="Times New Roman"/>
          <w:color w:val="000000" w:themeColor="text1"/>
        </w:rPr>
        <w:t xml:space="preserve"> ask</w:t>
      </w:r>
      <w:r w:rsidRPr="29798801">
        <w:rPr>
          <w:rFonts w:eastAsia="Times New Roman"/>
          <w:color w:val="000000" w:themeColor="text1"/>
        </w:rPr>
        <w:t xml:space="preserve"> </w:t>
      </w:r>
      <w:r w:rsidRPr="29798801" w:rsidR="0016172A">
        <w:rPr>
          <w:rFonts w:eastAsia="Times New Roman"/>
          <w:color w:val="000000" w:themeColor="text1"/>
        </w:rPr>
        <w:t xml:space="preserve">if </w:t>
      </w:r>
      <w:r w:rsidRPr="29798801">
        <w:rPr>
          <w:rFonts w:eastAsia="Times New Roman"/>
          <w:color w:val="000000" w:themeColor="text1"/>
        </w:rPr>
        <w:t xml:space="preserve">providers’ </w:t>
      </w:r>
      <w:r w:rsidRPr="29798801" w:rsidR="0062301E">
        <w:rPr>
          <w:rFonts w:eastAsia="Times New Roman"/>
          <w:color w:val="000000" w:themeColor="text1"/>
        </w:rPr>
        <w:t>are able to share the</w:t>
      </w:r>
      <w:r w:rsidRPr="29798801">
        <w:rPr>
          <w:rFonts w:eastAsia="Times New Roman"/>
          <w:color w:val="000000" w:themeColor="text1"/>
        </w:rPr>
        <w:t xml:space="preserve"> family </w:t>
      </w:r>
      <w:r w:rsidRPr="29798801" w:rsidR="00142699">
        <w:rPr>
          <w:rFonts w:eastAsia="Times New Roman"/>
          <w:color w:val="000000" w:themeColor="text1"/>
        </w:rPr>
        <w:t xml:space="preserve">survey </w:t>
      </w:r>
      <w:r w:rsidRPr="29798801">
        <w:rPr>
          <w:rFonts w:eastAsia="Times New Roman"/>
          <w:color w:val="000000" w:themeColor="text1"/>
        </w:rPr>
        <w:t xml:space="preserve">with </w:t>
      </w:r>
      <w:r w:rsidRPr="29798801" w:rsidR="0062301E">
        <w:rPr>
          <w:rFonts w:eastAsia="Times New Roman"/>
          <w:color w:val="000000" w:themeColor="text1"/>
        </w:rPr>
        <w:t xml:space="preserve">at least one of their families </w:t>
      </w:r>
      <w:r w:rsidRPr="29798801" w:rsidR="00283E13">
        <w:rPr>
          <w:rFonts w:eastAsia="Times New Roman"/>
          <w:color w:val="000000" w:themeColor="text1"/>
        </w:rPr>
        <w:t xml:space="preserve">who have a school-age child and are able to complete the family survey in </w:t>
      </w:r>
      <w:r w:rsidRPr="29798801">
        <w:rPr>
          <w:rFonts w:eastAsia="Times New Roman"/>
          <w:color w:val="000000" w:themeColor="text1"/>
        </w:rPr>
        <w:t xml:space="preserve">English. </w:t>
      </w:r>
      <w:r w:rsidRPr="29798801" w:rsidR="00EC16E4">
        <w:rPr>
          <w:rFonts w:eastAsia="Times New Roman"/>
          <w:color w:val="000000" w:themeColor="text1"/>
        </w:rPr>
        <w:t xml:space="preserve">Only providers who can share the family survey </w:t>
      </w:r>
      <w:r w:rsidRPr="29798801" w:rsidR="00AD69F3">
        <w:rPr>
          <w:rFonts w:eastAsia="Times New Roman"/>
          <w:color w:val="000000" w:themeColor="text1"/>
        </w:rPr>
        <w:t xml:space="preserve">with </w:t>
      </w:r>
      <w:r w:rsidRPr="29798801" w:rsidR="00EC16E4">
        <w:rPr>
          <w:rFonts w:eastAsia="Times New Roman"/>
          <w:color w:val="000000" w:themeColor="text1"/>
        </w:rPr>
        <w:t>at least one eligible family will be included in the study.</w:t>
      </w:r>
      <w:r w:rsidRPr="29798801" w:rsidR="00AD69F3">
        <w:rPr>
          <w:rFonts w:eastAsia="Times New Roman"/>
          <w:color w:val="000000" w:themeColor="text1"/>
        </w:rPr>
        <w:t xml:space="preserve"> </w:t>
      </w:r>
      <w:r w:rsidRPr="29798801" w:rsidR="00FB7918">
        <w:rPr>
          <w:rFonts w:eastAsia="Times New Roman"/>
          <w:color w:val="000000" w:themeColor="text1"/>
        </w:rPr>
        <w:t>The study team will mail providers materials</w:t>
      </w:r>
      <w:r w:rsidRPr="29798801" w:rsidR="00DD6D89">
        <w:rPr>
          <w:rFonts w:eastAsia="Times New Roman"/>
          <w:color w:val="000000" w:themeColor="text1"/>
        </w:rPr>
        <w:t xml:space="preserve"> to distribute the family survey to all eligible families in their care.</w:t>
      </w:r>
      <w:r w:rsidRPr="29798801" w:rsidR="00EC16E4">
        <w:rPr>
          <w:rFonts w:eastAsia="Times New Roman"/>
          <w:color w:val="000000" w:themeColor="text1"/>
        </w:rPr>
        <w:t xml:space="preserve"> </w:t>
      </w:r>
      <w:r w:rsidRPr="29798801" w:rsidR="00313F4C">
        <w:rPr>
          <w:rFonts w:eastAsia="Times New Roman"/>
          <w:color w:val="000000" w:themeColor="text1"/>
        </w:rPr>
        <w:t xml:space="preserve">This mailing </w:t>
      </w:r>
      <w:r w:rsidRPr="00B42AC1" w:rsidR="00313F4C">
        <w:rPr>
          <w:rFonts w:eastAsia="Times New Roman"/>
          <w:color w:val="000000" w:themeColor="text1"/>
        </w:rPr>
        <w:t>will include</w:t>
      </w:r>
      <w:r w:rsidRPr="00B42AC1">
        <w:rPr>
          <w:rFonts w:eastAsia="Times New Roman"/>
          <w:color w:val="000000" w:themeColor="text1"/>
        </w:rPr>
        <w:t xml:space="preserve"> all materials needed to recruit and support the participation of</w:t>
      </w:r>
      <w:r w:rsidRPr="00B42AC1" w:rsidR="00AD69F3">
        <w:rPr>
          <w:rFonts w:eastAsia="Times New Roman"/>
          <w:color w:val="000000" w:themeColor="text1"/>
        </w:rPr>
        <w:t xml:space="preserve"> eligible</w:t>
      </w:r>
      <w:r w:rsidRPr="00B42AC1">
        <w:rPr>
          <w:rFonts w:eastAsia="Times New Roman"/>
          <w:color w:val="000000" w:themeColor="text1"/>
        </w:rPr>
        <w:t xml:space="preserve"> families in the study (Appendix </w:t>
      </w:r>
      <w:r w:rsidRPr="00B42AC1" w:rsidR="006156D6">
        <w:rPr>
          <w:rFonts w:eastAsia="Times New Roman"/>
          <w:color w:val="000000" w:themeColor="text1"/>
        </w:rPr>
        <w:t>F</w:t>
      </w:r>
      <w:r w:rsidRPr="00B42AC1">
        <w:rPr>
          <w:rFonts w:eastAsia="Times New Roman"/>
          <w:color w:val="000000" w:themeColor="text1"/>
        </w:rPr>
        <w:t>).</w:t>
      </w:r>
      <w:r w:rsidRPr="29798801">
        <w:rPr>
          <w:rFonts w:eastAsia="Times New Roman"/>
          <w:color w:val="000000" w:themeColor="text1"/>
        </w:rPr>
        <w:t xml:space="preserve"> </w:t>
      </w:r>
      <w:r w:rsidRPr="29798801" w:rsidR="00C82C19">
        <w:rPr>
          <w:rFonts w:eastAsia="Times New Roman"/>
          <w:color w:val="000000" w:themeColor="text1"/>
        </w:rPr>
        <w:t>These materials were updated based on pilot study findings</w:t>
      </w:r>
      <w:r w:rsidRPr="29798801" w:rsidR="003C5398">
        <w:rPr>
          <w:rFonts w:eastAsia="Times New Roman"/>
          <w:color w:val="000000" w:themeColor="text1"/>
        </w:rPr>
        <w:t xml:space="preserve"> </w:t>
      </w:r>
      <w:r w:rsidRPr="29798801" w:rsidR="00CD438F">
        <w:rPr>
          <w:rFonts w:eastAsia="Times New Roman"/>
          <w:color w:val="000000" w:themeColor="text1"/>
        </w:rPr>
        <w:t xml:space="preserve">to </w:t>
      </w:r>
      <w:r w:rsidRPr="29798801" w:rsidR="002F23CC">
        <w:rPr>
          <w:rFonts w:eastAsia="Times New Roman"/>
          <w:color w:val="000000" w:themeColor="text1"/>
        </w:rPr>
        <w:t>help respondents better understand their role in the family survey process (for example, who to give the family survey to and how to return the family survey).</w:t>
      </w:r>
      <w:r w:rsidRPr="29798801" w:rsidR="000762BF">
        <w:rPr>
          <w:rFonts w:eastAsia="Times New Roman"/>
          <w:color w:val="000000" w:themeColor="text1"/>
        </w:rPr>
        <w:t xml:space="preserve"> </w:t>
      </w:r>
      <w:r w:rsidRPr="29798801" w:rsidR="00730499">
        <w:rPr>
          <w:rFonts w:eastAsia="Times New Roman"/>
          <w:color w:val="000000" w:themeColor="text1"/>
        </w:rPr>
        <w:t>To encourage participation from family respondents,</w:t>
      </w:r>
      <w:r w:rsidRPr="29798801" w:rsidR="001E75AE">
        <w:rPr>
          <w:rFonts w:eastAsia="Times New Roman"/>
          <w:color w:val="000000" w:themeColor="text1"/>
        </w:rPr>
        <w:t xml:space="preserve"> </w:t>
      </w:r>
      <w:r w:rsidRPr="29798801" w:rsidR="00087E8C">
        <w:rPr>
          <w:rFonts w:eastAsia="Times New Roman"/>
          <w:color w:val="000000" w:themeColor="text1"/>
        </w:rPr>
        <w:t xml:space="preserve">families </w:t>
      </w:r>
      <w:r w:rsidRPr="29798801" w:rsidR="00730499">
        <w:rPr>
          <w:rFonts w:eastAsia="Times New Roman"/>
          <w:color w:val="000000" w:themeColor="text1"/>
        </w:rPr>
        <w:t>will receive a pre-</w:t>
      </w:r>
      <w:r w:rsidR="00026297">
        <w:rPr>
          <w:rFonts w:eastAsia="Times New Roman"/>
          <w:color w:val="000000" w:themeColor="text1"/>
        </w:rPr>
        <w:t>complete</w:t>
      </w:r>
      <w:r w:rsidRPr="29798801" w:rsidR="00026297">
        <w:rPr>
          <w:rFonts w:eastAsia="Times New Roman"/>
          <w:color w:val="000000" w:themeColor="text1"/>
        </w:rPr>
        <w:t xml:space="preserve"> </w:t>
      </w:r>
      <w:r w:rsidRPr="29798801" w:rsidR="00730499">
        <w:rPr>
          <w:rFonts w:eastAsia="Times New Roman"/>
          <w:color w:val="000000" w:themeColor="text1"/>
        </w:rPr>
        <w:t>token of appreciation along with the family survey information.</w:t>
      </w:r>
      <w:r w:rsidRPr="29798801">
        <w:rPr>
          <w:rFonts w:eastAsia="Times New Roman"/>
          <w:color w:val="000000" w:themeColor="text1"/>
        </w:rPr>
        <w:t xml:space="preserve"> Designated study team members will be available to answer study related questions from providers or family members as needed to support family recruitment.</w:t>
      </w:r>
      <w:r w:rsidRPr="29798801" w:rsidR="00CB7B0C">
        <w:rPr>
          <w:rFonts w:eastAsia="Times New Roman"/>
          <w:color w:val="000000" w:themeColor="text1"/>
        </w:rPr>
        <w:t xml:space="preserve"> </w:t>
      </w:r>
      <w:r w:rsidRPr="29798801" w:rsidR="009D41AA">
        <w:rPr>
          <w:rFonts w:eastAsia="Times New Roman"/>
          <w:color w:val="000000" w:themeColor="text1"/>
        </w:rPr>
        <w:t xml:space="preserve">The study team </w:t>
      </w:r>
      <w:r w:rsidRPr="29798801" w:rsidR="00AF3CAA">
        <w:rPr>
          <w:rFonts w:eastAsia="Times New Roman"/>
          <w:color w:val="000000" w:themeColor="text1"/>
        </w:rPr>
        <w:t>may contact</w:t>
      </w:r>
      <w:r w:rsidRPr="29798801" w:rsidR="009D41AA">
        <w:rPr>
          <w:rFonts w:eastAsia="Times New Roman"/>
          <w:color w:val="000000" w:themeColor="text1"/>
        </w:rPr>
        <w:t xml:space="preserve"> </w:t>
      </w:r>
      <w:r w:rsidRPr="29798801" w:rsidR="00E34CF3">
        <w:rPr>
          <w:rFonts w:eastAsia="Times New Roman"/>
          <w:color w:val="000000" w:themeColor="text1"/>
        </w:rPr>
        <w:t>family participants</w:t>
      </w:r>
      <w:r w:rsidRPr="29798801" w:rsidR="009D41AA">
        <w:rPr>
          <w:rFonts w:eastAsia="Times New Roman"/>
          <w:color w:val="000000" w:themeColor="text1"/>
        </w:rPr>
        <w:t xml:space="preserve"> directly</w:t>
      </w:r>
      <w:r w:rsidRPr="29798801" w:rsidR="00AF3CAA">
        <w:rPr>
          <w:rFonts w:eastAsia="Times New Roman"/>
          <w:color w:val="000000" w:themeColor="text1"/>
        </w:rPr>
        <w:t xml:space="preserve"> to encourage participation</w:t>
      </w:r>
      <w:r w:rsidRPr="29798801" w:rsidR="009D41AA">
        <w:rPr>
          <w:rFonts w:eastAsia="Times New Roman"/>
          <w:color w:val="000000" w:themeColor="text1"/>
        </w:rPr>
        <w:t xml:space="preserve"> </w:t>
      </w:r>
      <w:r w:rsidRPr="29798801" w:rsidR="00EB5254">
        <w:rPr>
          <w:rFonts w:eastAsia="Times New Roman"/>
          <w:color w:val="000000" w:themeColor="text1"/>
        </w:rPr>
        <w:t>for participants who</w:t>
      </w:r>
      <w:r w:rsidRPr="29798801" w:rsidR="00AF3CAA">
        <w:rPr>
          <w:rFonts w:eastAsia="Times New Roman"/>
          <w:color w:val="000000" w:themeColor="text1"/>
        </w:rPr>
        <w:t>:</w:t>
      </w:r>
      <w:r w:rsidRPr="29798801" w:rsidR="009D41AA">
        <w:rPr>
          <w:rFonts w:eastAsia="Times New Roman"/>
          <w:color w:val="000000" w:themeColor="text1"/>
        </w:rPr>
        <w:t xml:space="preserve"> </w:t>
      </w:r>
      <w:r w:rsidRPr="29798801" w:rsidR="00AF3CAA">
        <w:rPr>
          <w:rFonts w:eastAsia="Times New Roman"/>
          <w:color w:val="000000" w:themeColor="text1"/>
        </w:rPr>
        <w:t xml:space="preserve">1) </w:t>
      </w:r>
      <w:r w:rsidRPr="29798801" w:rsidR="005F14D6">
        <w:rPr>
          <w:rFonts w:eastAsia="Times New Roman"/>
          <w:color w:val="000000" w:themeColor="text1"/>
        </w:rPr>
        <w:t>reach out to the study team via the study phone number or email provided in their materials</w:t>
      </w:r>
      <w:r w:rsidRPr="29798801" w:rsidR="00AF3CAA">
        <w:rPr>
          <w:rFonts w:eastAsia="Times New Roman"/>
          <w:color w:val="000000" w:themeColor="text1"/>
        </w:rPr>
        <w:t>, 2)</w:t>
      </w:r>
      <w:r w:rsidRPr="29798801" w:rsidR="005F14D6">
        <w:rPr>
          <w:rFonts w:eastAsia="Times New Roman"/>
          <w:color w:val="000000" w:themeColor="text1"/>
        </w:rPr>
        <w:t xml:space="preserve"> </w:t>
      </w:r>
      <w:r w:rsidRPr="29798801" w:rsidR="009D41AA">
        <w:rPr>
          <w:rFonts w:eastAsia="Times New Roman"/>
          <w:color w:val="000000" w:themeColor="text1"/>
        </w:rPr>
        <w:t xml:space="preserve">give providers permission </w:t>
      </w:r>
      <w:r w:rsidRPr="29798801" w:rsidR="005F14D6">
        <w:rPr>
          <w:rFonts w:eastAsia="Times New Roman"/>
          <w:color w:val="000000" w:themeColor="text1"/>
        </w:rPr>
        <w:t>to share contact information with the study team</w:t>
      </w:r>
      <w:r w:rsidRPr="29798801" w:rsidR="00AF3CAA">
        <w:rPr>
          <w:rFonts w:eastAsia="Times New Roman"/>
          <w:color w:val="000000" w:themeColor="text1"/>
        </w:rPr>
        <w:t>, or 3)</w:t>
      </w:r>
      <w:r w:rsidRPr="29798801" w:rsidR="002C322A">
        <w:rPr>
          <w:rFonts w:eastAsia="Times New Roman"/>
          <w:color w:val="000000" w:themeColor="text1"/>
        </w:rPr>
        <w:t xml:space="preserve"> have incomplete web-based family survey</w:t>
      </w:r>
      <w:r w:rsidRPr="29798801" w:rsidR="00EB5254">
        <w:rPr>
          <w:rFonts w:eastAsia="Times New Roman"/>
          <w:color w:val="000000" w:themeColor="text1"/>
        </w:rPr>
        <w:t>s and completed the consent portion</w:t>
      </w:r>
      <w:r w:rsidRPr="29798801" w:rsidR="28029C6F">
        <w:rPr>
          <w:rFonts w:eastAsia="Times New Roman"/>
          <w:color w:val="000000" w:themeColor="text1"/>
        </w:rPr>
        <w:t xml:space="preserve"> of the instrument</w:t>
      </w:r>
      <w:r w:rsidRPr="29798801" w:rsidR="00EB5254">
        <w:rPr>
          <w:rFonts w:eastAsia="Times New Roman"/>
          <w:color w:val="000000" w:themeColor="text1"/>
        </w:rPr>
        <w:t xml:space="preserve">. </w:t>
      </w:r>
    </w:p>
    <w:p w:rsidR="00A42C71" w:rsidP="00A42C71" w14:paraId="4D80C138" w14:textId="77777777">
      <w:pPr>
        <w:autoSpaceDE w:val="0"/>
        <w:autoSpaceDN w:val="0"/>
        <w:adjustRightInd w:val="0"/>
        <w:spacing w:after="0" w:line="240" w:lineRule="atLeast"/>
        <w:rPr>
          <w:rFonts w:eastAsia="Times New Roman" w:cstheme="minorHAnsi"/>
          <w:color w:val="000000"/>
        </w:rPr>
      </w:pPr>
    </w:p>
    <w:p w:rsidR="00AD04A5" w:rsidP="00BD15D4" w14:paraId="73A85289" w14:textId="73E629D8">
      <w:pPr>
        <w:autoSpaceDE w:val="0"/>
        <w:autoSpaceDN w:val="0"/>
        <w:adjustRightInd w:val="0"/>
        <w:spacing w:after="60" w:line="240" w:lineRule="atLeast"/>
        <w:rPr>
          <w:rFonts w:eastAsia="Times New Roman" w:cstheme="minorHAnsi"/>
          <w:b/>
          <w:bCs/>
          <w:color w:val="000000"/>
        </w:rPr>
      </w:pPr>
      <w:r>
        <w:rPr>
          <w:rFonts w:eastAsia="Times New Roman" w:cstheme="minorHAnsi"/>
          <w:b/>
          <w:bCs/>
          <w:color w:val="000000"/>
        </w:rPr>
        <w:t>Instrument mode and data collection</w:t>
      </w:r>
    </w:p>
    <w:p w:rsidR="00264940" w:rsidRPr="00264940" w:rsidP="00264940" w14:paraId="722AFC11" w14:textId="1986A80A">
      <w:pPr>
        <w:autoSpaceDE w:val="0"/>
        <w:autoSpaceDN w:val="0"/>
        <w:adjustRightInd w:val="0"/>
        <w:spacing w:after="0" w:line="240" w:lineRule="atLeast"/>
        <w:rPr>
          <w:rFonts w:eastAsia="Times New Roman" w:cstheme="minorHAnsi"/>
          <w:color w:val="000000"/>
        </w:rPr>
      </w:pPr>
      <w:r w:rsidRPr="004211F5">
        <w:rPr>
          <w:rFonts w:eastAsia="Times New Roman" w:cstheme="minorHAnsi"/>
          <w:color w:val="000000"/>
        </w:rPr>
        <w:t xml:space="preserve">The provider </w:t>
      </w:r>
      <w:r>
        <w:rPr>
          <w:rFonts w:eastAsia="Times New Roman" w:cstheme="minorHAnsi"/>
          <w:color w:val="000000"/>
        </w:rPr>
        <w:t xml:space="preserve">and family instruments and </w:t>
      </w:r>
      <w:r w:rsidRPr="004211F5">
        <w:rPr>
          <w:rFonts w:eastAsia="Times New Roman" w:cstheme="minorHAnsi"/>
          <w:color w:val="000000"/>
        </w:rPr>
        <w:t>consent form</w:t>
      </w:r>
      <w:r>
        <w:rPr>
          <w:rFonts w:eastAsia="Times New Roman" w:cstheme="minorHAnsi"/>
          <w:color w:val="000000"/>
        </w:rPr>
        <w:t>s</w:t>
      </w:r>
      <w:r w:rsidRPr="004211F5">
        <w:rPr>
          <w:rFonts w:eastAsia="Times New Roman" w:cstheme="minorHAnsi"/>
          <w:color w:val="000000"/>
        </w:rPr>
        <w:t xml:space="preserve"> will be available electronically </w:t>
      </w:r>
      <w:r w:rsidRPr="00B42AC1">
        <w:rPr>
          <w:rFonts w:eastAsia="Times New Roman" w:cstheme="minorHAnsi"/>
          <w:color w:val="000000"/>
        </w:rPr>
        <w:t xml:space="preserve">and on paper.  </w:t>
      </w:r>
      <w:r w:rsidRPr="00B42AC1" w:rsidR="004211F5">
        <w:rPr>
          <w:rFonts w:eastAsia="Times New Roman" w:cstheme="minorHAnsi"/>
          <w:color w:val="000000"/>
        </w:rPr>
        <w:t>All participants will complete a consent form before completing their applicable instrument(s)</w:t>
      </w:r>
      <w:r w:rsidRPr="00B42AC1" w:rsidR="00A06FC1">
        <w:rPr>
          <w:rFonts w:eastAsia="Times New Roman" w:cstheme="minorHAnsi"/>
          <w:color w:val="000000"/>
        </w:rPr>
        <w:t xml:space="preserve"> </w:t>
      </w:r>
      <w:r w:rsidRPr="00B42AC1" w:rsidR="004211F5">
        <w:rPr>
          <w:rFonts w:eastAsia="Times New Roman" w:cstheme="minorHAnsi"/>
          <w:color w:val="000000"/>
        </w:rPr>
        <w:t xml:space="preserve">(Appendix </w:t>
      </w:r>
      <w:r w:rsidRPr="00B42AC1" w:rsidR="006156D6">
        <w:rPr>
          <w:rFonts w:eastAsia="Times New Roman" w:cstheme="minorHAnsi"/>
          <w:color w:val="000000"/>
        </w:rPr>
        <w:t>E</w:t>
      </w:r>
      <w:r w:rsidRPr="00B42AC1" w:rsidR="004211F5">
        <w:rPr>
          <w:rFonts w:eastAsia="Times New Roman" w:cstheme="minorHAnsi"/>
          <w:color w:val="000000"/>
        </w:rPr>
        <w:t>).</w:t>
      </w:r>
      <w:r w:rsidRPr="004211F5" w:rsidR="004211F5">
        <w:rPr>
          <w:rFonts w:eastAsia="Times New Roman" w:cstheme="minorHAnsi"/>
          <w:color w:val="000000"/>
        </w:rPr>
        <w:t xml:space="preserve"> </w:t>
      </w:r>
      <w:r>
        <w:rPr>
          <w:rFonts w:eastAsia="Times New Roman" w:cstheme="minorHAnsi"/>
          <w:color w:val="000000"/>
        </w:rPr>
        <w:t>P</w:t>
      </w:r>
      <w:r w:rsidRPr="00264940">
        <w:rPr>
          <w:rFonts w:eastAsia="Times New Roman" w:cstheme="minorHAnsi"/>
          <w:color w:val="000000"/>
        </w:rPr>
        <w:t xml:space="preserve">roviders </w:t>
      </w:r>
      <w:r w:rsidR="00020297">
        <w:rPr>
          <w:rFonts w:eastAsia="Times New Roman" w:cstheme="minorHAnsi"/>
          <w:color w:val="000000"/>
        </w:rPr>
        <w:t xml:space="preserve">and families </w:t>
      </w:r>
      <w:r w:rsidRPr="00264940">
        <w:rPr>
          <w:rFonts w:eastAsia="Times New Roman" w:cstheme="minorHAnsi"/>
          <w:color w:val="000000"/>
        </w:rPr>
        <w:t xml:space="preserve">will complete the consent form using the same mode they will use to complete their instrument(s). For example, providers who complete the web-based provider questionnaire (Instruments </w:t>
      </w:r>
      <w:r w:rsidR="00C80CDD">
        <w:rPr>
          <w:rFonts w:eastAsia="Times New Roman" w:cstheme="minorHAnsi"/>
          <w:color w:val="000000"/>
        </w:rPr>
        <w:t>5</w:t>
      </w:r>
      <w:r w:rsidRPr="00264940">
        <w:rPr>
          <w:rFonts w:eastAsia="Times New Roman" w:cstheme="minorHAnsi"/>
          <w:color w:val="000000"/>
        </w:rPr>
        <w:t>) will first complete a web-based consent form.</w:t>
      </w:r>
    </w:p>
    <w:p w:rsidR="00264940" w:rsidP="00264940" w14:paraId="3C3D92B8" w14:textId="77777777">
      <w:pPr>
        <w:autoSpaceDE w:val="0"/>
        <w:autoSpaceDN w:val="0"/>
        <w:adjustRightInd w:val="0"/>
        <w:spacing w:after="0" w:line="240" w:lineRule="atLeast"/>
        <w:rPr>
          <w:rFonts w:eastAsia="Times New Roman" w:cstheme="minorHAnsi"/>
          <w:color w:val="000000"/>
        </w:rPr>
      </w:pPr>
    </w:p>
    <w:p w:rsidR="00264940" w:rsidP="00264940" w14:paraId="21919BC8" w14:textId="168F17C4">
      <w:pPr>
        <w:autoSpaceDE w:val="0"/>
        <w:autoSpaceDN w:val="0"/>
        <w:adjustRightInd w:val="0"/>
        <w:spacing w:after="0" w:line="240" w:lineRule="atLeast"/>
        <w:rPr>
          <w:rFonts w:eastAsia="Times New Roman" w:cstheme="minorHAnsi"/>
          <w:color w:val="000000"/>
        </w:rPr>
      </w:pPr>
      <w:r w:rsidRPr="00264940">
        <w:rPr>
          <w:rFonts w:eastAsia="Times New Roman" w:cstheme="minorHAnsi"/>
          <w:color w:val="000000"/>
        </w:rPr>
        <w:t>Based on provider preference, the study team will email providers a link to the web-based provider questionnaire</w:t>
      </w:r>
      <w:r w:rsidR="00F01CD7">
        <w:rPr>
          <w:rFonts w:eastAsia="Times New Roman" w:cstheme="minorHAnsi"/>
          <w:color w:val="000000"/>
        </w:rPr>
        <w:t xml:space="preserve"> (</w:t>
      </w:r>
      <w:r w:rsidRPr="00264940" w:rsidR="00F01CD7">
        <w:rPr>
          <w:rFonts w:eastAsia="Times New Roman" w:cstheme="minorHAnsi"/>
          <w:color w:val="000000"/>
        </w:rPr>
        <w:t>optimized so providers can respond on smartphones</w:t>
      </w:r>
      <w:r w:rsidR="00F01CD7">
        <w:rPr>
          <w:rFonts w:eastAsia="Times New Roman" w:cstheme="minorHAnsi"/>
          <w:color w:val="000000"/>
        </w:rPr>
        <w:t>)</w:t>
      </w:r>
      <w:r w:rsidRPr="00264940">
        <w:rPr>
          <w:rFonts w:eastAsia="Times New Roman" w:cstheme="minorHAnsi"/>
          <w:color w:val="000000"/>
        </w:rPr>
        <w:t>, mail the paper-based version, or call the provider to administer the</w:t>
      </w:r>
      <w:r w:rsidR="008E5A29">
        <w:rPr>
          <w:rFonts w:eastAsia="Times New Roman" w:cstheme="minorHAnsi"/>
          <w:color w:val="000000"/>
        </w:rPr>
        <w:t xml:space="preserve"> questionnaire</w:t>
      </w:r>
      <w:r w:rsidRPr="00264940">
        <w:rPr>
          <w:rFonts w:eastAsia="Times New Roman" w:cstheme="minorHAnsi"/>
          <w:color w:val="000000"/>
        </w:rPr>
        <w:t xml:space="preserve"> by phone. </w:t>
      </w:r>
      <w:r w:rsidR="00D64E10">
        <w:rPr>
          <w:rFonts w:eastAsia="Times New Roman" w:cstheme="minorHAnsi"/>
          <w:color w:val="000000"/>
        </w:rPr>
        <w:t>If providers provide permission</w:t>
      </w:r>
      <w:r w:rsidR="00B003F6">
        <w:rPr>
          <w:rFonts w:eastAsia="Times New Roman" w:cstheme="minorHAnsi"/>
          <w:color w:val="000000"/>
        </w:rPr>
        <w:t xml:space="preserve"> to text them, the study team may send </w:t>
      </w:r>
      <w:r w:rsidR="000E68EE">
        <w:rPr>
          <w:rFonts w:eastAsia="Times New Roman" w:cstheme="minorHAnsi"/>
          <w:color w:val="000000"/>
        </w:rPr>
        <w:t xml:space="preserve">text </w:t>
      </w:r>
      <w:r w:rsidR="00B003F6">
        <w:rPr>
          <w:rFonts w:eastAsia="Times New Roman" w:cstheme="minorHAnsi"/>
          <w:color w:val="000000"/>
        </w:rPr>
        <w:t xml:space="preserve">reminders. Otherwise, reminders will be </w:t>
      </w:r>
      <w:r w:rsidR="001A6DE8">
        <w:rPr>
          <w:rFonts w:eastAsia="Times New Roman" w:cstheme="minorHAnsi"/>
          <w:color w:val="000000"/>
        </w:rPr>
        <w:t>made by email</w:t>
      </w:r>
      <w:r w:rsidR="000E68EE">
        <w:rPr>
          <w:rFonts w:eastAsia="Times New Roman" w:cstheme="minorHAnsi"/>
          <w:color w:val="000000"/>
        </w:rPr>
        <w:t xml:space="preserve">, mail, or </w:t>
      </w:r>
      <w:r w:rsidR="001A6DE8">
        <w:rPr>
          <w:rFonts w:eastAsia="Times New Roman" w:cstheme="minorHAnsi"/>
          <w:color w:val="000000"/>
        </w:rPr>
        <w:t>telephone.</w:t>
      </w:r>
      <w:r w:rsidRPr="00264940">
        <w:rPr>
          <w:rFonts w:eastAsia="Times New Roman" w:cstheme="minorHAnsi"/>
          <w:color w:val="000000"/>
        </w:rPr>
        <w:t xml:space="preserve"> </w:t>
      </w:r>
    </w:p>
    <w:p w:rsidR="00946829" w:rsidP="00264940" w14:paraId="6F4FB1C0" w14:textId="76BDF68A">
      <w:pPr>
        <w:autoSpaceDE w:val="0"/>
        <w:autoSpaceDN w:val="0"/>
        <w:adjustRightInd w:val="0"/>
        <w:spacing w:after="0" w:line="240" w:lineRule="atLeast"/>
        <w:rPr>
          <w:rFonts w:eastAsia="Times New Roman" w:cstheme="minorHAnsi"/>
          <w:color w:val="000000"/>
        </w:rPr>
      </w:pPr>
    </w:p>
    <w:p w:rsidR="00946829" w:rsidP="00264940" w14:paraId="1294C757" w14:textId="3D0F8E10">
      <w:pPr>
        <w:autoSpaceDE w:val="0"/>
        <w:autoSpaceDN w:val="0"/>
        <w:adjustRightInd w:val="0"/>
        <w:spacing w:after="0" w:line="240" w:lineRule="atLeast"/>
        <w:rPr>
          <w:rFonts w:eastAsia="Times New Roman"/>
          <w:color w:val="000000"/>
        </w:rPr>
      </w:pPr>
      <w:r w:rsidRPr="29798801">
        <w:rPr>
          <w:rFonts w:eastAsia="Times New Roman"/>
          <w:color w:val="000000"/>
        </w:rPr>
        <w:t xml:space="preserve">For </w:t>
      </w:r>
      <w:r w:rsidRPr="29798801" w:rsidR="00873004">
        <w:rPr>
          <w:rFonts w:eastAsia="Times New Roman"/>
          <w:color w:val="000000"/>
        </w:rPr>
        <w:t xml:space="preserve">the subset of </w:t>
      </w:r>
      <w:r w:rsidRPr="29798801">
        <w:rPr>
          <w:rFonts w:eastAsia="Times New Roman"/>
          <w:color w:val="000000"/>
        </w:rPr>
        <w:t xml:space="preserve">providers who will </w:t>
      </w:r>
      <w:r w:rsidRPr="29798801" w:rsidR="0090329F">
        <w:rPr>
          <w:rFonts w:eastAsia="Times New Roman"/>
          <w:color w:val="000000"/>
        </w:rPr>
        <w:t xml:space="preserve">participate in </w:t>
      </w:r>
      <w:r w:rsidR="00CB5E2A">
        <w:rPr>
          <w:rFonts w:eastAsia="Times New Roman"/>
          <w:color w:val="000000"/>
        </w:rPr>
        <w:t>observations</w:t>
      </w:r>
      <w:r w:rsidRPr="29798801" w:rsidR="0090329F">
        <w:rPr>
          <w:rFonts w:eastAsia="Times New Roman"/>
          <w:color w:val="000000"/>
        </w:rPr>
        <w:t xml:space="preserve">, the study team will </w:t>
      </w:r>
      <w:r w:rsidRPr="29798801" w:rsidR="00F06B70">
        <w:rPr>
          <w:rFonts w:eastAsia="Times New Roman"/>
          <w:color w:val="000000"/>
        </w:rPr>
        <w:t xml:space="preserve">collect scheduling information during the recruitment call (Instrument </w:t>
      </w:r>
      <w:r w:rsidR="00C80CDD">
        <w:rPr>
          <w:rFonts w:eastAsia="Times New Roman"/>
          <w:color w:val="000000"/>
        </w:rPr>
        <w:t>3</w:t>
      </w:r>
      <w:r w:rsidRPr="29798801" w:rsidR="00F06B70">
        <w:rPr>
          <w:rFonts w:eastAsia="Times New Roman"/>
          <w:color w:val="000000"/>
        </w:rPr>
        <w:t>)</w:t>
      </w:r>
      <w:r w:rsidRPr="29798801" w:rsidR="00932CB6">
        <w:rPr>
          <w:rFonts w:eastAsia="Times New Roman"/>
          <w:color w:val="000000"/>
        </w:rPr>
        <w:t>,</w:t>
      </w:r>
      <w:r w:rsidRPr="29798801" w:rsidR="00F06B70">
        <w:rPr>
          <w:rFonts w:eastAsia="Times New Roman"/>
          <w:color w:val="000000"/>
        </w:rPr>
        <w:t xml:space="preserve"> </w:t>
      </w:r>
      <w:r w:rsidRPr="29798801" w:rsidR="0090329F">
        <w:rPr>
          <w:rFonts w:eastAsia="Times New Roman"/>
          <w:color w:val="000000"/>
        </w:rPr>
        <w:t>schedule the date</w:t>
      </w:r>
      <w:r w:rsidRPr="29798801" w:rsidR="00606857">
        <w:rPr>
          <w:rFonts w:eastAsia="Times New Roman"/>
          <w:color w:val="000000"/>
        </w:rPr>
        <w:t xml:space="preserve"> and</w:t>
      </w:r>
      <w:r w:rsidRPr="29798801" w:rsidR="005458CD">
        <w:rPr>
          <w:rFonts w:eastAsia="Times New Roman"/>
          <w:color w:val="000000"/>
        </w:rPr>
        <w:t xml:space="preserve"> </w:t>
      </w:r>
      <w:r w:rsidRPr="29798801" w:rsidR="0090329F">
        <w:rPr>
          <w:rFonts w:eastAsia="Times New Roman"/>
          <w:color w:val="000000"/>
        </w:rPr>
        <w:t>time</w:t>
      </w:r>
      <w:r w:rsidRPr="29798801" w:rsidR="00932CB6">
        <w:rPr>
          <w:rFonts w:eastAsia="Times New Roman"/>
          <w:color w:val="000000"/>
        </w:rPr>
        <w:t>,</w:t>
      </w:r>
      <w:r w:rsidRPr="29798801" w:rsidR="0090329F">
        <w:rPr>
          <w:rFonts w:eastAsia="Times New Roman"/>
          <w:color w:val="000000"/>
        </w:rPr>
        <w:t xml:space="preserve"> and go over the logistics for the in-person visit during </w:t>
      </w:r>
      <w:r w:rsidRPr="29798801" w:rsidR="00F06B70">
        <w:rPr>
          <w:rFonts w:eastAsia="Times New Roman"/>
          <w:color w:val="000000"/>
        </w:rPr>
        <w:t xml:space="preserve">a pre-visit phone call </w:t>
      </w:r>
      <w:r w:rsidRPr="29798801" w:rsidR="0090329F">
        <w:rPr>
          <w:rFonts w:eastAsia="Times New Roman"/>
          <w:color w:val="000000"/>
        </w:rPr>
        <w:t>(</w:t>
      </w:r>
      <w:r w:rsidR="008152A6">
        <w:rPr>
          <w:rFonts w:eastAsia="Times New Roman"/>
          <w:color w:val="000000"/>
        </w:rPr>
        <w:t>Instrument 4</w:t>
      </w:r>
      <w:r w:rsidRPr="29798801" w:rsidR="0090329F">
        <w:rPr>
          <w:rFonts w:eastAsia="Times New Roman"/>
          <w:color w:val="000000"/>
        </w:rPr>
        <w:t>)</w:t>
      </w:r>
      <w:r w:rsidRPr="29798801" w:rsidR="000A0B38">
        <w:rPr>
          <w:rFonts w:eastAsia="Times New Roman"/>
          <w:color w:val="000000"/>
        </w:rPr>
        <w:t>, in which the assigned observer will confirm logistics and reschedule visits if needed</w:t>
      </w:r>
      <w:r w:rsidRPr="29798801" w:rsidR="00B500E3">
        <w:rPr>
          <w:rFonts w:eastAsia="Times New Roman"/>
          <w:color w:val="000000"/>
        </w:rPr>
        <w:t xml:space="preserve">. </w:t>
      </w:r>
      <w:r w:rsidRPr="29798801" w:rsidR="005627AA">
        <w:rPr>
          <w:rFonts w:eastAsia="Times New Roman"/>
          <w:color w:val="000000"/>
        </w:rPr>
        <w:t xml:space="preserve">The study team </w:t>
      </w:r>
      <w:r w:rsidRPr="29798801" w:rsidR="00B500E3">
        <w:rPr>
          <w:rFonts w:eastAsia="Times New Roman"/>
          <w:color w:val="000000"/>
        </w:rPr>
        <w:t>will also</w:t>
      </w:r>
      <w:r w:rsidRPr="29798801" w:rsidR="00E85950">
        <w:rPr>
          <w:rFonts w:eastAsia="Times New Roman"/>
          <w:color w:val="000000"/>
        </w:rPr>
        <w:t xml:space="preserve"> provide providers with a letter notifying parents about the </w:t>
      </w:r>
      <w:r w:rsidRPr="00B42AC1" w:rsidR="00E85950">
        <w:rPr>
          <w:rFonts w:eastAsia="Times New Roman"/>
          <w:color w:val="000000"/>
        </w:rPr>
        <w:t xml:space="preserve">observation (Appendix </w:t>
      </w:r>
      <w:r w:rsidRPr="00B42AC1" w:rsidR="006156D6">
        <w:rPr>
          <w:rFonts w:eastAsia="Times New Roman"/>
          <w:color w:val="000000"/>
        </w:rPr>
        <w:t>D</w:t>
      </w:r>
      <w:r w:rsidRPr="29798801" w:rsidR="00E85950">
        <w:rPr>
          <w:rFonts w:eastAsia="Times New Roman"/>
          <w:color w:val="000000"/>
        </w:rPr>
        <w:t>)</w:t>
      </w:r>
      <w:r w:rsidRPr="29798801" w:rsidR="00D97D64">
        <w:rPr>
          <w:rFonts w:eastAsia="Times New Roman"/>
          <w:color w:val="000000"/>
        </w:rPr>
        <w:t xml:space="preserve">. </w:t>
      </w:r>
      <w:r w:rsidRPr="29798801" w:rsidR="00FA3CC2">
        <w:rPr>
          <w:rFonts w:eastAsia="Times New Roman"/>
          <w:color w:val="000000"/>
        </w:rPr>
        <w:t xml:space="preserve"> Assigned observers will administer the </w:t>
      </w:r>
      <w:r w:rsidR="000E6948">
        <w:rPr>
          <w:iCs/>
        </w:rPr>
        <w:t>Family Child Care</w:t>
      </w:r>
      <w:r w:rsidRPr="00B646A0" w:rsidR="000E6948">
        <w:rPr>
          <w:iCs/>
        </w:rPr>
        <w:t xml:space="preserve"> Program Quality Assessment </w:t>
      </w:r>
      <w:r w:rsidR="000E6948">
        <w:rPr>
          <w:iCs/>
        </w:rPr>
        <w:t>(</w:t>
      </w:r>
      <w:r w:rsidRPr="29798801" w:rsidR="00FA3CC2">
        <w:rPr>
          <w:rFonts w:eastAsia="Times New Roman"/>
          <w:color w:val="000000"/>
        </w:rPr>
        <w:t>FCC PQA</w:t>
      </w:r>
      <w:r w:rsidRPr="29798801" w:rsidR="000E6948">
        <w:rPr>
          <w:rFonts w:eastAsia="Times New Roman"/>
          <w:color w:val="000000"/>
        </w:rPr>
        <w:t>)</w:t>
      </w:r>
      <w:r w:rsidRPr="29798801" w:rsidR="00FA3CC2">
        <w:rPr>
          <w:rFonts w:eastAsia="Times New Roman"/>
          <w:color w:val="000000"/>
        </w:rPr>
        <w:t xml:space="preserve"> observation during the </w:t>
      </w:r>
      <w:r w:rsidRPr="29798801" w:rsidR="001B3359">
        <w:rPr>
          <w:rFonts w:eastAsia="Times New Roman"/>
          <w:color w:val="000000"/>
        </w:rPr>
        <w:t>site visit</w:t>
      </w:r>
      <w:r w:rsidRPr="29798801" w:rsidR="0057189D">
        <w:rPr>
          <w:rFonts w:eastAsia="Times New Roman"/>
          <w:color w:val="000000"/>
        </w:rPr>
        <w:t>.</w:t>
      </w:r>
      <w:r>
        <w:rPr>
          <w:rStyle w:val="FootnoteReference"/>
          <w:rFonts w:eastAsia="Times New Roman"/>
          <w:color w:val="000000"/>
        </w:rPr>
        <w:footnoteReference w:id="6"/>
      </w:r>
      <w:r w:rsidRPr="29798801" w:rsidR="0057189D">
        <w:rPr>
          <w:rFonts w:eastAsia="Times New Roman"/>
          <w:color w:val="000000"/>
        </w:rPr>
        <w:t xml:space="preserve"> I</w:t>
      </w:r>
      <w:r w:rsidRPr="29798801" w:rsidR="007D2CAD">
        <w:rPr>
          <w:rFonts w:eastAsia="Times New Roman"/>
          <w:color w:val="000000"/>
        </w:rPr>
        <w:t xml:space="preserve">f the </w:t>
      </w:r>
      <w:r w:rsidRPr="29798801" w:rsidR="0057189D">
        <w:rPr>
          <w:rFonts w:eastAsia="Times New Roman"/>
          <w:color w:val="000000"/>
        </w:rPr>
        <w:t xml:space="preserve">provider </w:t>
      </w:r>
      <w:r w:rsidRPr="29798801" w:rsidR="002372B4">
        <w:rPr>
          <w:rFonts w:eastAsia="Times New Roman"/>
          <w:color w:val="000000"/>
        </w:rPr>
        <w:t xml:space="preserve">questionnaire </w:t>
      </w:r>
      <w:r w:rsidRPr="29798801" w:rsidR="0057189D">
        <w:rPr>
          <w:rFonts w:eastAsia="Times New Roman"/>
          <w:color w:val="000000"/>
        </w:rPr>
        <w:t xml:space="preserve">or </w:t>
      </w:r>
      <w:r w:rsidRPr="29798801" w:rsidR="002F1E76">
        <w:rPr>
          <w:rFonts w:eastAsia="Times New Roman"/>
          <w:color w:val="000000"/>
        </w:rPr>
        <w:t xml:space="preserve">family </w:t>
      </w:r>
      <w:r w:rsidRPr="29798801" w:rsidR="002372B4">
        <w:rPr>
          <w:rFonts w:eastAsia="Times New Roman"/>
          <w:color w:val="000000"/>
        </w:rPr>
        <w:t>surveys</w:t>
      </w:r>
      <w:r w:rsidRPr="29798801" w:rsidR="00557BE7">
        <w:rPr>
          <w:rFonts w:eastAsia="Times New Roman"/>
          <w:color w:val="000000"/>
        </w:rPr>
        <w:t xml:space="preserve"> are incomplete at the time of observation</w:t>
      </w:r>
      <w:r w:rsidRPr="29798801" w:rsidR="0057189D">
        <w:rPr>
          <w:rFonts w:eastAsia="Times New Roman"/>
          <w:color w:val="000000"/>
        </w:rPr>
        <w:t xml:space="preserve">, the observer </w:t>
      </w:r>
      <w:r w:rsidRPr="29798801" w:rsidR="001B3359">
        <w:rPr>
          <w:rFonts w:eastAsia="Times New Roman"/>
          <w:color w:val="000000"/>
        </w:rPr>
        <w:t xml:space="preserve">will </w:t>
      </w:r>
      <w:r w:rsidRPr="29798801" w:rsidR="009202C4">
        <w:rPr>
          <w:rFonts w:eastAsia="Times New Roman"/>
          <w:color w:val="000000"/>
        </w:rPr>
        <w:t xml:space="preserve">remind the participants and </w:t>
      </w:r>
      <w:r w:rsidRPr="29798801" w:rsidR="001B3359">
        <w:rPr>
          <w:rFonts w:eastAsia="Times New Roman"/>
          <w:color w:val="000000"/>
        </w:rPr>
        <w:t xml:space="preserve">offer </w:t>
      </w:r>
      <w:r w:rsidRPr="29798801" w:rsidR="0057189D">
        <w:rPr>
          <w:rFonts w:eastAsia="Times New Roman"/>
          <w:color w:val="000000"/>
        </w:rPr>
        <w:t xml:space="preserve">each respondent </w:t>
      </w:r>
      <w:r w:rsidRPr="29798801" w:rsidR="00BC247D">
        <w:rPr>
          <w:rFonts w:eastAsia="Times New Roman"/>
          <w:color w:val="000000"/>
        </w:rPr>
        <w:t xml:space="preserve">the </w:t>
      </w:r>
      <w:r w:rsidRPr="29798801" w:rsidR="0057189D">
        <w:rPr>
          <w:rFonts w:eastAsia="Times New Roman"/>
          <w:color w:val="000000"/>
        </w:rPr>
        <w:t xml:space="preserve">option </w:t>
      </w:r>
      <w:r w:rsidRPr="29798801" w:rsidR="007D2CAD">
        <w:rPr>
          <w:rFonts w:eastAsia="Times New Roman"/>
          <w:color w:val="000000"/>
        </w:rPr>
        <w:t>to complete the</w:t>
      </w:r>
      <w:r w:rsidRPr="29798801" w:rsidR="00F2726B">
        <w:rPr>
          <w:rFonts w:eastAsia="Times New Roman"/>
          <w:color w:val="000000"/>
        </w:rPr>
        <w:t>ir respective instrument</w:t>
      </w:r>
      <w:r w:rsidRPr="29798801" w:rsidR="0057189D">
        <w:rPr>
          <w:rFonts w:eastAsia="Times New Roman"/>
          <w:color w:val="000000"/>
        </w:rPr>
        <w:t xml:space="preserve"> in-person (for example, </w:t>
      </w:r>
      <w:r w:rsidRPr="29798801" w:rsidR="00134039">
        <w:rPr>
          <w:rFonts w:eastAsia="Times New Roman"/>
          <w:color w:val="000000"/>
        </w:rPr>
        <w:t>offer the parent a paper copy to complete and hand back)</w:t>
      </w:r>
      <w:r w:rsidRPr="29798801" w:rsidR="0057189D">
        <w:rPr>
          <w:rFonts w:eastAsia="Times New Roman"/>
          <w:color w:val="000000"/>
        </w:rPr>
        <w:t xml:space="preserve">. </w:t>
      </w:r>
      <w:r w:rsidRPr="29798801" w:rsidR="007D2CAD">
        <w:rPr>
          <w:rFonts w:eastAsia="Times New Roman"/>
          <w:color w:val="000000"/>
        </w:rPr>
        <w:t xml:space="preserve"> </w:t>
      </w:r>
    </w:p>
    <w:p w:rsidR="009172E9" w:rsidRPr="00264940" w:rsidP="00264940" w14:paraId="616A2D1D" w14:textId="77777777">
      <w:pPr>
        <w:autoSpaceDE w:val="0"/>
        <w:autoSpaceDN w:val="0"/>
        <w:adjustRightInd w:val="0"/>
        <w:spacing w:after="0" w:line="240" w:lineRule="atLeast"/>
        <w:rPr>
          <w:rFonts w:eastAsia="Times New Roman" w:cstheme="minorHAnsi"/>
          <w:color w:val="000000"/>
        </w:rPr>
      </w:pPr>
    </w:p>
    <w:p w:rsidR="0051601B" w:rsidP="00264940" w14:paraId="2ACBF516" w14:textId="45208094">
      <w:pPr>
        <w:autoSpaceDE w:val="0"/>
        <w:autoSpaceDN w:val="0"/>
        <w:adjustRightInd w:val="0"/>
        <w:spacing w:after="0" w:line="240" w:lineRule="atLeast"/>
        <w:rPr>
          <w:rFonts w:eastAsia="Times New Roman"/>
          <w:color w:val="000000"/>
        </w:rPr>
      </w:pPr>
      <w:r w:rsidRPr="29798801">
        <w:rPr>
          <w:rFonts w:eastAsia="Times New Roman"/>
          <w:color w:val="000000" w:themeColor="text1"/>
        </w:rPr>
        <w:t xml:space="preserve">The study team will ship each participating provider a </w:t>
      </w:r>
      <w:r w:rsidRPr="29798801" w:rsidR="009134E8">
        <w:rPr>
          <w:rFonts w:eastAsia="Times New Roman"/>
          <w:color w:val="000000" w:themeColor="text1"/>
        </w:rPr>
        <w:t xml:space="preserve">family survey distribution </w:t>
      </w:r>
      <w:r w:rsidRPr="29798801">
        <w:rPr>
          <w:rFonts w:eastAsia="Times New Roman"/>
          <w:color w:val="000000" w:themeColor="text1"/>
        </w:rPr>
        <w:t>packet</w:t>
      </w:r>
      <w:r w:rsidR="007853A2">
        <w:rPr>
          <w:rFonts w:eastAsia="Times New Roman"/>
          <w:color w:val="000000" w:themeColor="text1"/>
        </w:rPr>
        <w:t xml:space="preserve"> </w:t>
      </w:r>
      <w:r w:rsidRPr="29798801" w:rsidR="007853A2">
        <w:rPr>
          <w:rFonts w:eastAsia="Times New Roman"/>
          <w:color w:val="000000" w:themeColor="text1"/>
        </w:rPr>
        <w:t>(Appendix F)</w:t>
      </w:r>
      <w:r w:rsidRPr="29798801">
        <w:rPr>
          <w:rFonts w:eastAsia="Times New Roman"/>
          <w:color w:val="000000" w:themeColor="text1"/>
        </w:rPr>
        <w:t xml:space="preserve"> </w:t>
      </w:r>
      <w:r w:rsidRPr="29798801" w:rsidR="00D03D9D">
        <w:rPr>
          <w:rFonts w:eastAsia="Times New Roman"/>
          <w:color w:val="000000" w:themeColor="text1"/>
        </w:rPr>
        <w:t>with</w:t>
      </w:r>
      <w:r w:rsidRPr="29798801" w:rsidR="00614E91">
        <w:rPr>
          <w:rFonts w:eastAsia="Times New Roman"/>
          <w:color w:val="000000" w:themeColor="text1"/>
        </w:rPr>
        <w:t>: 1)</w:t>
      </w:r>
      <w:r w:rsidRPr="29798801" w:rsidR="006C72EF">
        <w:rPr>
          <w:rFonts w:eastAsia="Times New Roman"/>
          <w:color w:val="000000" w:themeColor="text1"/>
        </w:rPr>
        <w:t xml:space="preserve"> instructions</w:t>
      </w:r>
      <w:r w:rsidRPr="29798801" w:rsidR="00B135AA">
        <w:rPr>
          <w:rFonts w:eastAsia="Times New Roman"/>
          <w:color w:val="000000" w:themeColor="text1"/>
        </w:rPr>
        <w:t xml:space="preserve"> </w:t>
      </w:r>
      <w:r w:rsidRPr="29798801" w:rsidR="00B02039">
        <w:rPr>
          <w:rFonts w:eastAsia="Times New Roman"/>
          <w:color w:val="000000" w:themeColor="text1"/>
        </w:rPr>
        <w:t>for the provider about how</w:t>
      </w:r>
      <w:r w:rsidRPr="29798801" w:rsidR="00B135AA">
        <w:rPr>
          <w:rFonts w:eastAsia="Times New Roman"/>
          <w:color w:val="000000" w:themeColor="text1"/>
        </w:rPr>
        <w:t xml:space="preserve"> </w:t>
      </w:r>
      <w:r w:rsidRPr="29798801" w:rsidR="005B6C44">
        <w:rPr>
          <w:rFonts w:eastAsia="Times New Roman"/>
          <w:color w:val="000000" w:themeColor="text1"/>
        </w:rPr>
        <w:t xml:space="preserve">to distribute </w:t>
      </w:r>
      <w:r w:rsidRPr="29798801" w:rsidR="00B02039">
        <w:rPr>
          <w:rFonts w:eastAsia="Times New Roman"/>
          <w:color w:val="000000" w:themeColor="text1"/>
        </w:rPr>
        <w:t xml:space="preserve">to </w:t>
      </w:r>
      <w:r w:rsidRPr="29798801" w:rsidR="005B6C44">
        <w:rPr>
          <w:rFonts w:eastAsia="Times New Roman"/>
          <w:color w:val="000000" w:themeColor="text1"/>
        </w:rPr>
        <w:t>and collect the family survey</w:t>
      </w:r>
      <w:r w:rsidRPr="29798801" w:rsidR="00210602">
        <w:rPr>
          <w:rFonts w:eastAsia="Times New Roman"/>
          <w:color w:val="000000" w:themeColor="text1"/>
        </w:rPr>
        <w:t>s</w:t>
      </w:r>
      <w:r w:rsidRPr="29798801" w:rsidR="00B02039">
        <w:rPr>
          <w:rFonts w:eastAsia="Times New Roman"/>
          <w:color w:val="000000" w:themeColor="text1"/>
        </w:rPr>
        <w:t xml:space="preserve"> from their eligible families</w:t>
      </w:r>
      <w:r w:rsidRPr="29798801" w:rsidR="00B135AA">
        <w:rPr>
          <w:rFonts w:eastAsia="Times New Roman"/>
          <w:color w:val="000000" w:themeColor="text1"/>
        </w:rPr>
        <w:t>, 2) family packets</w:t>
      </w:r>
      <w:r w:rsidRPr="29798801" w:rsidR="00382094">
        <w:rPr>
          <w:rFonts w:eastAsia="Times New Roman"/>
          <w:color w:val="000000" w:themeColor="text1"/>
        </w:rPr>
        <w:t xml:space="preserve"> for each eligible family</w:t>
      </w:r>
      <w:r w:rsidRPr="29798801" w:rsidR="00F4428F">
        <w:rPr>
          <w:rFonts w:eastAsia="Times New Roman"/>
          <w:color w:val="000000" w:themeColor="text1"/>
        </w:rPr>
        <w:t xml:space="preserve"> (the content of the packets explained below)</w:t>
      </w:r>
      <w:r w:rsidRPr="29798801" w:rsidR="00382094">
        <w:rPr>
          <w:rFonts w:eastAsia="Times New Roman"/>
          <w:color w:val="000000" w:themeColor="text1"/>
        </w:rPr>
        <w:t>, and 3) a $10 gift card</w:t>
      </w:r>
      <w:r w:rsidRPr="29798801" w:rsidR="000A6D65">
        <w:rPr>
          <w:rFonts w:eastAsia="Times New Roman"/>
          <w:color w:val="000000" w:themeColor="text1"/>
        </w:rPr>
        <w:t xml:space="preserve"> </w:t>
      </w:r>
      <w:r w:rsidRPr="29798801" w:rsidR="00700786">
        <w:rPr>
          <w:rFonts w:eastAsia="Times New Roman"/>
          <w:color w:val="000000" w:themeColor="text1"/>
        </w:rPr>
        <w:t>honorarium for the provider</w:t>
      </w:r>
      <w:r w:rsidR="00E51448">
        <w:rPr>
          <w:rFonts w:eastAsia="Times New Roman"/>
          <w:color w:val="000000" w:themeColor="text1"/>
        </w:rPr>
        <w:t xml:space="preserve"> </w:t>
      </w:r>
      <w:r w:rsidR="007853A2">
        <w:rPr>
          <w:rFonts w:eastAsia="Times New Roman"/>
          <w:color w:val="000000" w:themeColor="text1"/>
        </w:rPr>
        <w:t>(</w:t>
      </w:r>
      <w:r w:rsidR="00301ECD">
        <w:rPr>
          <w:rFonts w:eastAsia="Times New Roman"/>
          <w:color w:val="000000" w:themeColor="text1"/>
        </w:rPr>
        <w:t xml:space="preserve">honoraria </w:t>
      </w:r>
      <w:r w:rsidR="00C51DB8">
        <w:rPr>
          <w:rFonts w:eastAsia="Times New Roman"/>
          <w:color w:val="000000" w:themeColor="text1"/>
        </w:rPr>
        <w:t xml:space="preserve">described </w:t>
      </w:r>
      <w:r w:rsidR="00301ECD">
        <w:rPr>
          <w:rFonts w:eastAsia="Times New Roman"/>
          <w:color w:val="000000" w:themeColor="text1"/>
        </w:rPr>
        <w:t xml:space="preserve">in Supporting Statement </w:t>
      </w:r>
      <w:r w:rsidR="00C51DB8">
        <w:rPr>
          <w:rFonts w:eastAsia="Times New Roman"/>
          <w:color w:val="000000" w:themeColor="text1"/>
        </w:rPr>
        <w:t xml:space="preserve">Part </w:t>
      </w:r>
      <w:r w:rsidR="00301ECD">
        <w:rPr>
          <w:rFonts w:eastAsia="Times New Roman"/>
          <w:color w:val="000000" w:themeColor="text1"/>
        </w:rPr>
        <w:t>A Section</w:t>
      </w:r>
      <w:r w:rsidR="00C51DB8">
        <w:rPr>
          <w:rFonts w:eastAsia="Times New Roman"/>
          <w:color w:val="000000" w:themeColor="text1"/>
        </w:rPr>
        <w:t xml:space="preserve"> A13)</w:t>
      </w:r>
      <w:r w:rsidRPr="29798801" w:rsidR="000010AC">
        <w:rPr>
          <w:rFonts w:eastAsia="Times New Roman"/>
          <w:color w:val="000000" w:themeColor="text1"/>
        </w:rPr>
        <w:t xml:space="preserve">. </w:t>
      </w:r>
      <w:r w:rsidRPr="29798801" w:rsidR="00232B07">
        <w:rPr>
          <w:rFonts w:eastAsia="Times New Roman"/>
          <w:color w:val="000000" w:themeColor="text1"/>
        </w:rPr>
        <w:t xml:space="preserve">To aid the paper-based </w:t>
      </w:r>
      <w:r w:rsidRPr="29798801" w:rsidR="006D683C">
        <w:rPr>
          <w:rFonts w:eastAsia="Times New Roman"/>
          <w:color w:val="000000" w:themeColor="text1"/>
        </w:rPr>
        <w:t xml:space="preserve">family survey </w:t>
      </w:r>
      <w:r w:rsidRPr="29798801" w:rsidR="00232B07">
        <w:rPr>
          <w:rFonts w:eastAsia="Times New Roman"/>
          <w:color w:val="000000" w:themeColor="text1"/>
        </w:rPr>
        <w:t xml:space="preserve">option, </w:t>
      </w:r>
      <w:r w:rsidRPr="29798801" w:rsidR="00614E91">
        <w:rPr>
          <w:rFonts w:eastAsia="Times New Roman"/>
          <w:color w:val="000000" w:themeColor="text1"/>
        </w:rPr>
        <w:t xml:space="preserve">the instructions </w:t>
      </w:r>
      <w:r w:rsidRPr="29798801" w:rsidR="00F303E6">
        <w:rPr>
          <w:rFonts w:eastAsia="Times New Roman"/>
          <w:color w:val="000000" w:themeColor="text1"/>
        </w:rPr>
        <w:t xml:space="preserve">to the providers </w:t>
      </w:r>
      <w:r w:rsidRPr="29798801" w:rsidR="00614E91">
        <w:rPr>
          <w:rFonts w:eastAsia="Times New Roman"/>
          <w:color w:val="000000" w:themeColor="text1"/>
        </w:rPr>
        <w:t>will</w:t>
      </w:r>
      <w:r w:rsidRPr="29798801" w:rsidR="00232B07">
        <w:rPr>
          <w:rFonts w:eastAsia="Times New Roman"/>
          <w:color w:val="000000" w:themeColor="text1"/>
        </w:rPr>
        <w:t xml:space="preserve"> include easy-to-follow </w:t>
      </w:r>
      <w:r w:rsidRPr="29798801" w:rsidR="00614E91">
        <w:rPr>
          <w:rFonts w:eastAsia="Times New Roman"/>
          <w:color w:val="000000" w:themeColor="text1"/>
        </w:rPr>
        <w:t>steps</w:t>
      </w:r>
      <w:r w:rsidRPr="29798801" w:rsidR="00232B07">
        <w:rPr>
          <w:rFonts w:eastAsia="Times New Roman"/>
          <w:color w:val="000000" w:themeColor="text1"/>
        </w:rPr>
        <w:t xml:space="preserve"> for distributing and collecting the</w:t>
      </w:r>
      <w:r w:rsidRPr="29798801" w:rsidR="00961769">
        <w:rPr>
          <w:rFonts w:eastAsia="Times New Roman"/>
          <w:color w:val="000000" w:themeColor="text1"/>
        </w:rPr>
        <w:t xml:space="preserve"> survey</w:t>
      </w:r>
      <w:r w:rsidRPr="29798801" w:rsidR="005D04FF">
        <w:rPr>
          <w:rFonts w:eastAsia="Times New Roman"/>
          <w:color w:val="000000" w:themeColor="text1"/>
        </w:rPr>
        <w:t>s</w:t>
      </w:r>
      <w:r w:rsidRPr="29798801" w:rsidR="00232B07">
        <w:rPr>
          <w:rFonts w:eastAsia="Times New Roman"/>
          <w:color w:val="000000" w:themeColor="text1"/>
        </w:rPr>
        <w:t xml:space="preserve"> from families with a school-aged child. </w:t>
      </w:r>
    </w:p>
    <w:p w:rsidR="0051601B" w:rsidP="00264940" w14:paraId="2BE5AD64" w14:textId="77777777">
      <w:pPr>
        <w:autoSpaceDE w:val="0"/>
        <w:autoSpaceDN w:val="0"/>
        <w:adjustRightInd w:val="0"/>
        <w:spacing w:after="0" w:line="240" w:lineRule="atLeast"/>
        <w:rPr>
          <w:rFonts w:eastAsia="Times New Roman" w:cstheme="minorHAnsi"/>
          <w:color w:val="000000"/>
        </w:rPr>
      </w:pPr>
    </w:p>
    <w:p w:rsidR="00264940" w:rsidP="00264940" w14:paraId="6A120D6A" w14:textId="13526B1E">
      <w:pPr>
        <w:autoSpaceDE w:val="0"/>
        <w:autoSpaceDN w:val="0"/>
        <w:adjustRightInd w:val="0"/>
        <w:spacing w:after="0" w:line="240" w:lineRule="atLeast"/>
        <w:rPr>
          <w:rFonts w:eastAsia="Times New Roman"/>
          <w:color w:val="000000"/>
        </w:rPr>
      </w:pPr>
      <w:r w:rsidRPr="29798801">
        <w:rPr>
          <w:rFonts w:eastAsia="Times New Roman"/>
          <w:color w:val="000000"/>
        </w:rPr>
        <w:t xml:space="preserve">The </w:t>
      </w:r>
      <w:r w:rsidRPr="29798801" w:rsidR="00FA7BF6">
        <w:rPr>
          <w:rFonts w:eastAsia="Times New Roman"/>
          <w:color w:val="000000"/>
        </w:rPr>
        <w:t>family survey packet</w:t>
      </w:r>
      <w:r w:rsidRPr="29798801">
        <w:rPr>
          <w:rFonts w:eastAsia="Times New Roman"/>
          <w:color w:val="000000"/>
        </w:rPr>
        <w:t>s</w:t>
      </w:r>
      <w:r w:rsidRPr="29798801" w:rsidR="00232B07">
        <w:rPr>
          <w:rFonts w:eastAsia="Times New Roman"/>
          <w:color w:val="000000"/>
        </w:rPr>
        <w:t xml:space="preserve"> (Appendix </w:t>
      </w:r>
      <w:r w:rsidRPr="29798801" w:rsidR="00282893">
        <w:rPr>
          <w:rFonts w:eastAsia="Times New Roman"/>
          <w:color w:val="000000"/>
        </w:rPr>
        <w:t>F</w:t>
      </w:r>
      <w:r w:rsidRPr="29798801" w:rsidR="00232B07">
        <w:rPr>
          <w:rFonts w:eastAsia="Times New Roman"/>
          <w:color w:val="000000"/>
        </w:rPr>
        <w:t>)</w:t>
      </w:r>
      <w:r w:rsidRPr="29798801">
        <w:rPr>
          <w:rFonts w:eastAsia="Times New Roman"/>
          <w:color w:val="000000"/>
        </w:rPr>
        <w:t xml:space="preserve"> for each eligible family </w:t>
      </w:r>
      <w:r w:rsidRPr="29798801" w:rsidR="00382094">
        <w:rPr>
          <w:rFonts w:eastAsia="Times New Roman"/>
          <w:color w:val="000000"/>
        </w:rPr>
        <w:t>will contain</w:t>
      </w:r>
      <w:r w:rsidRPr="29798801">
        <w:rPr>
          <w:rFonts w:eastAsia="Times New Roman"/>
          <w:color w:val="000000"/>
        </w:rPr>
        <w:t>: 1) instructions with a link to complete the web-based family</w:t>
      </w:r>
      <w:r w:rsidRPr="29798801" w:rsidR="00232B07">
        <w:rPr>
          <w:rFonts w:eastAsia="Times New Roman"/>
          <w:color w:val="000000"/>
        </w:rPr>
        <w:t xml:space="preserve"> consent </w:t>
      </w:r>
      <w:r w:rsidRPr="29798801" w:rsidR="00565F10">
        <w:rPr>
          <w:rFonts w:eastAsia="Times New Roman"/>
          <w:color w:val="000000"/>
        </w:rPr>
        <w:t xml:space="preserve">(Appendix </w:t>
      </w:r>
      <w:r w:rsidRPr="29798801" w:rsidR="00282893">
        <w:rPr>
          <w:rFonts w:eastAsia="Times New Roman"/>
          <w:color w:val="000000"/>
        </w:rPr>
        <w:t>E</w:t>
      </w:r>
      <w:r w:rsidRPr="29798801" w:rsidR="00565F10">
        <w:rPr>
          <w:rFonts w:eastAsia="Times New Roman"/>
          <w:color w:val="000000"/>
        </w:rPr>
        <w:t xml:space="preserve">) </w:t>
      </w:r>
      <w:r w:rsidRPr="29798801" w:rsidR="00232B07">
        <w:rPr>
          <w:rFonts w:eastAsia="Times New Roman"/>
          <w:color w:val="000000"/>
        </w:rPr>
        <w:t>and</w:t>
      </w:r>
      <w:r w:rsidRPr="29798801">
        <w:rPr>
          <w:rFonts w:eastAsia="Times New Roman"/>
          <w:color w:val="000000"/>
        </w:rPr>
        <w:t xml:space="preserve"> survey</w:t>
      </w:r>
      <w:r w:rsidRPr="29798801" w:rsidR="00565F10">
        <w:rPr>
          <w:rFonts w:eastAsia="Times New Roman"/>
          <w:color w:val="000000"/>
        </w:rPr>
        <w:t xml:space="preserve"> (Instrument </w:t>
      </w:r>
      <w:r w:rsidR="00C80CDD">
        <w:rPr>
          <w:rFonts w:eastAsia="Times New Roman"/>
          <w:color w:val="000000"/>
        </w:rPr>
        <w:t>6</w:t>
      </w:r>
      <w:r w:rsidRPr="29798801" w:rsidR="00565F10">
        <w:rPr>
          <w:rFonts w:eastAsia="Times New Roman"/>
          <w:color w:val="000000"/>
        </w:rPr>
        <w:t>)</w:t>
      </w:r>
      <w:r w:rsidRPr="29798801" w:rsidR="00232B07">
        <w:rPr>
          <w:rFonts w:eastAsia="Times New Roman"/>
          <w:color w:val="000000"/>
        </w:rPr>
        <w:t xml:space="preserve">, </w:t>
      </w:r>
      <w:r w:rsidRPr="29798801" w:rsidR="00614E91">
        <w:rPr>
          <w:rFonts w:eastAsia="Times New Roman"/>
          <w:color w:val="000000"/>
        </w:rPr>
        <w:t>2) the family survey flyer</w:t>
      </w:r>
      <w:r w:rsidRPr="29798801" w:rsidR="00565F10">
        <w:rPr>
          <w:rFonts w:eastAsia="Times New Roman"/>
          <w:color w:val="000000"/>
        </w:rPr>
        <w:t xml:space="preserve"> (Appendix </w:t>
      </w:r>
      <w:r w:rsidR="00B73D83">
        <w:rPr>
          <w:rFonts w:eastAsia="Times New Roman"/>
          <w:color w:val="000000"/>
        </w:rPr>
        <w:t>B</w:t>
      </w:r>
      <w:r w:rsidRPr="29798801" w:rsidR="00D60F2F">
        <w:rPr>
          <w:rFonts w:eastAsia="Times New Roman"/>
          <w:color w:val="000000"/>
        </w:rPr>
        <w:t>)</w:t>
      </w:r>
      <w:r w:rsidRPr="29798801" w:rsidR="00614E91">
        <w:rPr>
          <w:rFonts w:eastAsia="Times New Roman"/>
          <w:color w:val="000000"/>
        </w:rPr>
        <w:t>, 3</w:t>
      </w:r>
      <w:r w:rsidRPr="29798801" w:rsidR="00232B07">
        <w:rPr>
          <w:rFonts w:eastAsia="Times New Roman"/>
          <w:color w:val="000000"/>
        </w:rPr>
        <w:t xml:space="preserve">) </w:t>
      </w:r>
      <w:r w:rsidRPr="29798801">
        <w:rPr>
          <w:rFonts w:eastAsia="Times New Roman"/>
          <w:color w:val="000000"/>
        </w:rPr>
        <w:t>paper-based family</w:t>
      </w:r>
      <w:r w:rsidRPr="29798801" w:rsidR="00232B07">
        <w:rPr>
          <w:rFonts w:eastAsia="Times New Roman"/>
          <w:color w:val="000000"/>
        </w:rPr>
        <w:t xml:space="preserve"> consent (Appendix </w:t>
      </w:r>
      <w:r w:rsidRPr="29798801" w:rsidR="00282893">
        <w:rPr>
          <w:rFonts w:eastAsia="Times New Roman"/>
          <w:color w:val="000000"/>
        </w:rPr>
        <w:t>E</w:t>
      </w:r>
      <w:r w:rsidRPr="29798801" w:rsidR="00232B07">
        <w:rPr>
          <w:rFonts w:eastAsia="Times New Roman"/>
          <w:color w:val="000000"/>
        </w:rPr>
        <w:t>) and</w:t>
      </w:r>
      <w:r w:rsidRPr="29798801">
        <w:rPr>
          <w:rFonts w:eastAsia="Times New Roman"/>
          <w:color w:val="000000"/>
        </w:rPr>
        <w:t xml:space="preserve"> survey </w:t>
      </w:r>
      <w:r w:rsidRPr="29798801" w:rsidR="00232B07">
        <w:rPr>
          <w:rFonts w:eastAsia="Times New Roman"/>
          <w:color w:val="000000"/>
        </w:rPr>
        <w:t xml:space="preserve">(Instrument </w:t>
      </w:r>
      <w:r w:rsidR="00C80CDD">
        <w:rPr>
          <w:rFonts w:eastAsia="Times New Roman"/>
          <w:color w:val="000000"/>
        </w:rPr>
        <w:t>6</w:t>
      </w:r>
      <w:r w:rsidRPr="29798801" w:rsidR="00232B07">
        <w:rPr>
          <w:rFonts w:eastAsia="Times New Roman"/>
          <w:color w:val="000000"/>
        </w:rPr>
        <w:t xml:space="preserve">) </w:t>
      </w:r>
      <w:r w:rsidRPr="29798801">
        <w:rPr>
          <w:rFonts w:eastAsia="Times New Roman"/>
          <w:color w:val="000000"/>
        </w:rPr>
        <w:t>with self-seal envelopes</w:t>
      </w:r>
      <w:r w:rsidRPr="29798801" w:rsidR="00232B07">
        <w:rPr>
          <w:rFonts w:eastAsia="Times New Roman"/>
          <w:color w:val="000000"/>
        </w:rPr>
        <w:t xml:space="preserve">, </w:t>
      </w:r>
      <w:r w:rsidRPr="29798801" w:rsidR="00252583">
        <w:rPr>
          <w:rFonts w:eastAsia="Times New Roman"/>
          <w:color w:val="000000"/>
        </w:rPr>
        <w:t xml:space="preserve">4) </w:t>
      </w:r>
      <w:r w:rsidRPr="29798801" w:rsidR="00382656">
        <w:rPr>
          <w:rFonts w:eastAsia="Times New Roman"/>
          <w:color w:val="000000"/>
        </w:rPr>
        <w:t xml:space="preserve">the study team phone number if the family would like to </w:t>
      </w:r>
      <w:r w:rsidRPr="29798801" w:rsidR="00252583">
        <w:rPr>
          <w:rFonts w:eastAsia="Times New Roman"/>
          <w:color w:val="000000"/>
        </w:rPr>
        <w:t>call in to complete the family survey over the telephone, and 5</w:t>
      </w:r>
      <w:r w:rsidRPr="29798801" w:rsidR="00232B07">
        <w:rPr>
          <w:rFonts w:eastAsia="Times New Roman"/>
          <w:color w:val="000000"/>
        </w:rPr>
        <w:t xml:space="preserve">) </w:t>
      </w:r>
      <w:r w:rsidRPr="29798801" w:rsidR="0072074F">
        <w:rPr>
          <w:rFonts w:eastAsia="Times New Roman"/>
          <w:color w:val="000000"/>
        </w:rPr>
        <w:t>a $5</w:t>
      </w:r>
      <w:r w:rsidRPr="29798801" w:rsidR="00AF570E">
        <w:rPr>
          <w:rFonts w:eastAsia="Times New Roman"/>
          <w:color w:val="000000"/>
        </w:rPr>
        <w:t xml:space="preserve"> </w:t>
      </w:r>
      <w:r w:rsidRPr="29798801" w:rsidR="00477CA4">
        <w:rPr>
          <w:rFonts w:eastAsia="Times New Roman"/>
          <w:color w:val="000000"/>
        </w:rPr>
        <w:t>gift card</w:t>
      </w:r>
      <w:r w:rsidR="006911E8">
        <w:rPr>
          <w:rFonts w:eastAsia="Times New Roman"/>
          <w:color w:val="000000"/>
        </w:rPr>
        <w:t xml:space="preserve"> (</w:t>
      </w:r>
      <w:r w:rsidR="00F17A6A">
        <w:rPr>
          <w:rFonts w:eastAsia="Times New Roman"/>
          <w:color w:val="000000" w:themeColor="text1"/>
        </w:rPr>
        <w:t>tokens of appreciation</w:t>
      </w:r>
      <w:r w:rsidR="006911E8">
        <w:rPr>
          <w:rFonts w:eastAsia="Times New Roman"/>
          <w:color w:val="000000" w:themeColor="text1"/>
        </w:rPr>
        <w:t xml:space="preserve"> described in Supporting Statement Part A Section A</w:t>
      </w:r>
      <w:r w:rsidR="00F17A6A">
        <w:rPr>
          <w:rFonts w:eastAsia="Times New Roman"/>
          <w:color w:val="000000" w:themeColor="text1"/>
        </w:rPr>
        <w:t>9</w:t>
      </w:r>
      <w:r w:rsidR="006911E8">
        <w:rPr>
          <w:rFonts w:eastAsia="Times New Roman"/>
          <w:color w:val="000000" w:themeColor="text1"/>
        </w:rPr>
        <w:t>)</w:t>
      </w:r>
      <w:r w:rsidRPr="29798801" w:rsidR="00477CA4">
        <w:rPr>
          <w:rFonts w:eastAsia="Times New Roman"/>
          <w:color w:val="000000"/>
        </w:rPr>
        <w:t>.</w:t>
      </w:r>
      <w:r>
        <w:rPr>
          <w:rStyle w:val="FootnoteReference"/>
          <w:rFonts w:eastAsia="Times New Roman"/>
          <w:color w:val="000000"/>
        </w:rPr>
        <w:footnoteReference w:id="7"/>
      </w:r>
      <w:r w:rsidRPr="29798801" w:rsidR="00477CA4">
        <w:rPr>
          <w:rFonts w:eastAsia="Times New Roman"/>
          <w:color w:val="000000"/>
        </w:rPr>
        <w:t xml:space="preserve"> </w:t>
      </w:r>
      <w:r w:rsidRPr="29798801" w:rsidR="00D070F1">
        <w:rPr>
          <w:rFonts w:eastAsia="Times New Roman"/>
          <w:color w:val="000000"/>
        </w:rPr>
        <w:t>For families who choose the paper-based option, they</w:t>
      </w:r>
      <w:r w:rsidRPr="29798801">
        <w:rPr>
          <w:rFonts w:eastAsia="Times New Roman"/>
          <w:color w:val="000000"/>
        </w:rPr>
        <w:t xml:space="preserve"> will place their completed </w:t>
      </w:r>
      <w:r w:rsidRPr="29798801" w:rsidR="00D070F1">
        <w:rPr>
          <w:rFonts w:eastAsia="Times New Roman"/>
          <w:color w:val="000000"/>
        </w:rPr>
        <w:t xml:space="preserve">paper </w:t>
      </w:r>
      <w:r w:rsidRPr="29798801">
        <w:rPr>
          <w:rFonts w:eastAsia="Times New Roman"/>
          <w:color w:val="000000"/>
        </w:rPr>
        <w:t xml:space="preserve">consent form and </w:t>
      </w:r>
      <w:r w:rsidRPr="29798801" w:rsidR="005D04FF">
        <w:rPr>
          <w:rFonts w:eastAsia="Times New Roman"/>
          <w:color w:val="000000"/>
        </w:rPr>
        <w:t xml:space="preserve">survey </w:t>
      </w:r>
      <w:r w:rsidRPr="29798801">
        <w:rPr>
          <w:rFonts w:eastAsia="Times New Roman"/>
          <w:color w:val="000000"/>
        </w:rPr>
        <w:t xml:space="preserve">into the provided self-seal envelope and seal them before returning to providers. Providers will </w:t>
      </w:r>
      <w:r w:rsidRPr="29798801" w:rsidR="00614E91">
        <w:rPr>
          <w:rFonts w:eastAsia="Times New Roman"/>
          <w:color w:val="000000"/>
        </w:rPr>
        <w:t>use</w:t>
      </w:r>
      <w:r w:rsidRPr="29798801" w:rsidR="00B135AA">
        <w:rPr>
          <w:rFonts w:eastAsia="Times New Roman"/>
          <w:color w:val="000000"/>
        </w:rPr>
        <w:t xml:space="preserve"> the </w:t>
      </w:r>
      <w:r w:rsidRPr="29798801">
        <w:rPr>
          <w:rFonts w:eastAsia="Times New Roman"/>
          <w:color w:val="000000"/>
        </w:rPr>
        <w:t xml:space="preserve">prepaid shipping materials </w:t>
      </w:r>
      <w:r w:rsidRPr="29798801" w:rsidR="707AF3A2">
        <w:rPr>
          <w:rFonts w:eastAsia="Times New Roman"/>
          <w:color w:val="000000"/>
        </w:rPr>
        <w:t>provided by the study team</w:t>
      </w:r>
      <w:r w:rsidRPr="29798801">
        <w:rPr>
          <w:rFonts w:eastAsia="Times New Roman"/>
          <w:color w:val="000000"/>
        </w:rPr>
        <w:t xml:space="preserve"> to </w:t>
      </w:r>
      <w:r w:rsidRPr="29798801" w:rsidR="00322F9B">
        <w:rPr>
          <w:rFonts w:eastAsia="Times New Roman"/>
          <w:color w:val="000000"/>
        </w:rPr>
        <w:t xml:space="preserve">ship </w:t>
      </w:r>
      <w:r w:rsidRPr="29798801">
        <w:rPr>
          <w:rFonts w:eastAsia="Times New Roman"/>
          <w:color w:val="000000"/>
        </w:rPr>
        <w:t xml:space="preserve">completed paper instruments to the study team. </w:t>
      </w:r>
    </w:p>
    <w:p w:rsidR="009172E9" w:rsidRPr="00264940" w:rsidP="00264940" w14:paraId="70CCCE80" w14:textId="77777777">
      <w:pPr>
        <w:autoSpaceDE w:val="0"/>
        <w:autoSpaceDN w:val="0"/>
        <w:adjustRightInd w:val="0"/>
        <w:spacing w:after="0" w:line="240" w:lineRule="atLeast"/>
        <w:rPr>
          <w:rFonts w:eastAsia="Times New Roman" w:cstheme="minorHAnsi"/>
          <w:color w:val="000000"/>
        </w:rPr>
      </w:pPr>
    </w:p>
    <w:p w:rsidR="00AD04A5" w:rsidP="00BD15D4" w14:paraId="38186019" w14:textId="65008AC5">
      <w:pPr>
        <w:autoSpaceDE w:val="0"/>
        <w:autoSpaceDN w:val="0"/>
        <w:adjustRightInd w:val="0"/>
        <w:spacing w:after="60" w:line="240" w:lineRule="atLeast"/>
        <w:rPr>
          <w:rFonts w:eastAsia="Times New Roman" w:cstheme="minorHAnsi"/>
          <w:b/>
          <w:bCs/>
          <w:color w:val="000000"/>
        </w:rPr>
      </w:pPr>
      <w:r>
        <w:rPr>
          <w:rFonts w:eastAsia="Times New Roman" w:cstheme="minorHAnsi"/>
          <w:b/>
          <w:bCs/>
          <w:color w:val="000000"/>
        </w:rPr>
        <w:t>Provider questionnaire and family survey data collection monitoring</w:t>
      </w:r>
      <w:r w:rsidR="005D7226">
        <w:rPr>
          <w:rFonts w:eastAsia="Times New Roman" w:cstheme="minorHAnsi"/>
          <w:b/>
          <w:bCs/>
          <w:color w:val="000000"/>
        </w:rPr>
        <w:t xml:space="preserve"> </w:t>
      </w:r>
    </w:p>
    <w:p w:rsidR="005227B1" w:rsidRPr="005227B1" w:rsidP="005227B1" w14:paraId="1F0F21F9" w14:textId="4C469C5E">
      <w:pPr>
        <w:autoSpaceDE w:val="0"/>
        <w:autoSpaceDN w:val="0"/>
        <w:adjustRightInd w:val="0"/>
        <w:spacing w:after="0" w:line="240" w:lineRule="atLeast"/>
        <w:rPr>
          <w:rFonts w:eastAsia="Times New Roman" w:cstheme="minorHAnsi"/>
          <w:color w:val="000000"/>
        </w:rPr>
      </w:pPr>
      <w:r w:rsidRPr="005227B1">
        <w:rPr>
          <w:rFonts w:eastAsia="Times New Roman" w:cstheme="minorHAnsi"/>
          <w:color w:val="000000"/>
        </w:rPr>
        <w:t xml:space="preserve">The study team will monitor data quality and consistency throughout the data collection. Before data collection begins, recruiters and telephone interviewers will participate in training to discuss the purpose of the HBCC-NSAC Toolkit </w:t>
      </w:r>
      <w:r w:rsidR="00E621D1">
        <w:rPr>
          <w:rFonts w:eastAsia="Times New Roman" w:cstheme="minorHAnsi"/>
          <w:color w:val="000000"/>
        </w:rPr>
        <w:t xml:space="preserve">provider questionnaire, family survey, </w:t>
      </w:r>
      <w:r w:rsidRPr="005227B1">
        <w:rPr>
          <w:rFonts w:eastAsia="Times New Roman" w:cstheme="minorHAnsi"/>
          <w:color w:val="000000"/>
        </w:rPr>
        <w:t xml:space="preserve">and the </w:t>
      </w:r>
      <w:r w:rsidR="00E621D1">
        <w:rPr>
          <w:rFonts w:eastAsia="Times New Roman" w:cstheme="minorHAnsi"/>
          <w:color w:val="000000"/>
        </w:rPr>
        <w:t>validation</w:t>
      </w:r>
      <w:r w:rsidRPr="005227B1" w:rsidR="00E621D1">
        <w:rPr>
          <w:rFonts w:eastAsia="Times New Roman" w:cstheme="minorHAnsi"/>
          <w:color w:val="000000"/>
        </w:rPr>
        <w:t xml:space="preserve"> </w:t>
      </w:r>
      <w:r w:rsidRPr="005227B1">
        <w:rPr>
          <w:rFonts w:eastAsia="Times New Roman" w:cstheme="minorHAnsi"/>
          <w:color w:val="000000"/>
        </w:rPr>
        <w:t xml:space="preserve">study. Recruiters will learn the importance of testing the </w:t>
      </w:r>
      <w:r w:rsidR="00D146A1">
        <w:rPr>
          <w:rFonts w:eastAsia="Times New Roman" w:cstheme="minorHAnsi"/>
          <w:color w:val="000000"/>
        </w:rPr>
        <w:t xml:space="preserve">provider questionnaire </w:t>
      </w:r>
      <w:r w:rsidRPr="005227B1">
        <w:rPr>
          <w:rFonts w:eastAsia="Times New Roman" w:cstheme="minorHAnsi"/>
          <w:color w:val="000000"/>
        </w:rPr>
        <w:t xml:space="preserve">with a diverse group of </w:t>
      </w:r>
      <w:r w:rsidR="004E27BD">
        <w:rPr>
          <w:rFonts w:eastAsia="Times New Roman" w:cstheme="minorHAnsi"/>
          <w:color w:val="000000"/>
        </w:rPr>
        <w:t>home-based</w:t>
      </w:r>
      <w:r w:rsidRPr="005227B1" w:rsidR="004E27BD">
        <w:rPr>
          <w:rFonts w:eastAsia="Times New Roman" w:cstheme="minorHAnsi"/>
          <w:color w:val="000000"/>
        </w:rPr>
        <w:t xml:space="preserve"> </w:t>
      </w:r>
      <w:r w:rsidRPr="005227B1">
        <w:rPr>
          <w:rFonts w:eastAsia="Times New Roman" w:cstheme="minorHAnsi"/>
          <w:color w:val="000000"/>
        </w:rPr>
        <w:t xml:space="preserve">providers, as well as strategies to build rapport and execute the recruitment and data collection protocol. Also, during training, recruiters will practice using the recruitment script to ensure provider characteristics are collected accurately and consistently across respondents. Telephone interviewers will review the provider questionnaire </w:t>
      </w:r>
      <w:r w:rsidR="005F0292">
        <w:rPr>
          <w:rFonts w:eastAsia="Times New Roman" w:cstheme="minorHAnsi"/>
          <w:color w:val="000000"/>
        </w:rPr>
        <w:t>and family survey</w:t>
      </w:r>
      <w:r w:rsidRPr="005227B1">
        <w:rPr>
          <w:rFonts w:eastAsia="Times New Roman" w:cstheme="minorHAnsi"/>
          <w:color w:val="000000"/>
        </w:rPr>
        <w:t xml:space="preserve"> and best practices for administration and entry into the web-based version</w:t>
      </w:r>
      <w:r w:rsidR="005F0292">
        <w:rPr>
          <w:rFonts w:eastAsia="Times New Roman" w:cstheme="minorHAnsi"/>
          <w:color w:val="000000"/>
        </w:rPr>
        <w:t>s</w:t>
      </w:r>
      <w:r w:rsidRPr="005227B1">
        <w:rPr>
          <w:rFonts w:eastAsia="Times New Roman" w:cstheme="minorHAnsi"/>
          <w:color w:val="000000"/>
        </w:rPr>
        <w:t>.</w:t>
      </w:r>
    </w:p>
    <w:p w:rsidR="005E4281" w:rsidP="005227B1" w14:paraId="6E7CCA53" w14:textId="77777777">
      <w:pPr>
        <w:autoSpaceDE w:val="0"/>
        <w:autoSpaceDN w:val="0"/>
        <w:adjustRightInd w:val="0"/>
        <w:spacing w:after="0" w:line="240" w:lineRule="atLeast"/>
        <w:rPr>
          <w:rFonts w:eastAsia="Times New Roman" w:cstheme="minorHAnsi"/>
          <w:color w:val="000000"/>
        </w:rPr>
      </w:pPr>
    </w:p>
    <w:p w:rsidR="009172E9" w:rsidP="005227B1" w14:paraId="2CB59379" w14:textId="71556851">
      <w:pPr>
        <w:autoSpaceDE w:val="0"/>
        <w:autoSpaceDN w:val="0"/>
        <w:adjustRightInd w:val="0"/>
        <w:spacing w:after="0" w:line="240" w:lineRule="atLeast"/>
        <w:rPr>
          <w:rFonts w:eastAsia="Times New Roman"/>
          <w:color w:val="000000"/>
        </w:rPr>
      </w:pPr>
      <w:r w:rsidRPr="29798801">
        <w:rPr>
          <w:rFonts w:eastAsia="Times New Roman"/>
          <w:color w:val="000000" w:themeColor="text1"/>
        </w:rPr>
        <w:t xml:space="preserve">During data collection, the study lead will hold weekly check-ins with recruiters so staff can discuss progress, ask questions, troubleshoot problems, and share successful strategies. In addition, study team members will discuss any questions or comments received from participants to ensure </w:t>
      </w:r>
      <w:r w:rsidRPr="29798801" w:rsidR="0069215A">
        <w:rPr>
          <w:rFonts w:eastAsia="Times New Roman"/>
          <w:color w:val="000000" w:themeColor="text1"/>
        </w:rPr>
        <w:t xml:space="preserve">the </w:t>
      </w:r>
      <w:r w:rsidRPr="29798801" w:rsidR="00F31EE1">
        <w:rPr>
          <w:rFonts w:eastAsia="Times New Roman"/>
          <w:color w:val="000000" w:themeColor="text1"/>
        </w:rPr>
        <w:t xml:space="preserve">study </w:t>
      </w:r>
      <w:r w:rsidRPr="29798801" w:rsidR="0069215A">
        <w:rPr>
          <w:rFonts w:eastAsia="Times New Roman"/>
          <w:color w:val="000000" w:themeColor="text1"/>
        </w:rPr>
        <w:t>team</w:t>
      </w:r>
      <w:r w:rsidRPr="29798801">
        <w:rPr>
          <w:rFonts w:eastAsia="Times New Roman"/>
          <w:color w:val="000000" w:themeColor="text1"/>
        </w:rPr>
        <w:t xml:space="preserve"> accurately respond</w:t>
      </w:r>
      <w:r w:rsidRPr="29798801" w:rsidR="0069215A">
        <w:rPr>
          <w:rFonts w:eastAsia="Times New Roman"/>
          <w:color w:val="000000" w:themeColor="text1"/>
        </w:rPr>
        <w:t>s</w:t>
      </w:r>
      <w:r w:rsidRPr="29798801">
        <w:rPr>
          <w:rFonts w:eastAsia="Times New Roman"/>
          <w:color w:val="000000" w:themeColor="text1"/>
        </w:rPr>
        <w:t xml:space="preserve"> to questions or issues reported by respondents. The team will monitor completion of the instruments, including conducting initial data checks as the data are received, </w:t>
      </w:r>
      <w:r w:rsidRPr="29798801" w:rsidR="00294779">
        <w:rPr>
          <w:rFonts w:eastAsia="Times New Roman"/>
          <w:color w:val="000000" w:themeColor="text1"/>
        </w:rPr>
        <w:t xml:space="preserve">for example, </w:t>
      </w:r>
      <w:r w:rsidRPr="29798801">
        <w:rPr>
          <w:rFonts w:eastAsia="Times New Roman"/>
          <w:color w:val="000000" w:themeColor="text1"/>
        </w:rPr>
        <w:t xml:space="preserve">to identify high missingness. </w:t>
      </w:r>
      <w:r w:rsidRPr="29798801" w:rsidR="004F4608">
        <w:rPr>
          <w:rFonts w:eastAsia="Times New Roman"/>
          <w:color w:val="000000" w:themeColor="text1"/>
        </w:rPr>
        <w:t>As described above, t</w:t>
      </w:r>
      <w:r w:rsidRPr="29798801">
        <w:rPr>
          <w:rFonts w:eastAsia="Times New Roman"/>
          <w:color w:val="000000" w:themeColor="text1"/>
        </w:rPr>
        <w:t xml:space="preserve">he team will follow up with providers and families as needed to address any issues. The web-based instruments will include checks for completeness to minimize missing data, for example, the programmed provider questionnaire may notify respondents if they skipped a question and ask them to provide a response. Every </w:t>
      </w:r>
      <w:r w:rsidRPr="29798801" w:rsidR="001824A7">
        <w:rPr>
          <w:rFonts w:eastAsia="Times New Roman"/>
          <w:color w:val="000000" w:themeColor="text1"/>
        </w:rPr>
        <w:t xml:space="preserve">phone </w:t>
      </w:r>
      <w:r w:rsidRPr="29798801">
        <w:rPr>
          <w:rFonts w:eastAsia="Times New Roman"/>
          <w:color w:val="000000" w:themeColor="text1"/>
        </w:rPr>
        <w:t>interviewer will be monitored at least twice during data collection.</w:t>
      </w:r>
    </w:p>
    <w:p w:rsidR="00CD6CFE" w:rsidP="005E4281" w14:paraId="0DAFDBF8" w14:textId="77777777">
      <w:pPr>
        <w:pStyle w:val="NormalSS"/>
        <w:spacing w:after="0"/>
        <w:ind w:firstLine="0"/>
        <w:rPr>
          <w:rFonts w:asciiTheme="minorHAnsi" w:hAnsiTheme="minorHAnsi" w:cstheme="minorHAnsi"/>
          <w:b/>
          <w:bCs/>
          <w:sz w:val="22"/>
          <w:szCs w:val="22"/>
        </w:rPr>
      </w:pPr>
    </w:p>
    <w:p w:rsidR="00841C91" w:rsidP="00E30FB2" w14:paraId="24482270" w14:textId="2284DD37">
      <w:pPr>
        <w:pStyle w:val="NormalSS"/>
        <w:spacing w:after="0"/>
        <w:ind w:firstLine="0"/>
        <w:rPr>
          <w:rFonts w:asciiTheme="minorHAnsi" w:hAnsiTheme="minorHAnsi" w:cstheme="minorHAnsi"/>
          <w:bCs/>
          <w:sz w:val="22"/>
          <w:szCs w:val="22"/>
        </w:rPr>
      </w:pPr>
      <w:r>
        <w:rPr>
          <w:rFonts w:asciiTheme="minorHAnsi" w:hAnsiTheme="minorHAnsi" w:cstheme="minorHAnsi"/>
          <w:b/>
          <w:bCs/>
          <w:sz w:val="22"/>
          <w:szCs w:val="22"/>
        </w:rPr>
        <w:t>Observation</w:t>
      </w:r>
      <w:r w:rsidRPr="0038146A" w:rsidR="00CD6CFE">
        <w:rPr>
          <w:rFonts w:asciiTheme="minorHAnsi" w:hAnsiTheme="minorHAnsi" w:cstheme="minorHAnsi"/>
          <w:b/>
          <w:bCs/>
          <w:sz w:val="22"/>
          <w:szCs w:val="22"/>
        </w:rPr>
        <w:t xml:space="preserve"> data collection monitoring. </w:t>
      </w:r>
      <w:r w:rsidRPr="00FC7D4C" w:rsidR="00FC7D4C">
        <w:t xml:space="preserve"> </w:t>
      </w:r>
      <w:r w:rsidRPr="00762D1A" w:rsidR="00FC7D4C">
        <w:rPr>
          <w:rFonts w:asciiTheme="minorHAnsi" w:hAnsiTheme="minorHAnsi" w:cstheme="minorHAnsi"/>
          <w:sz w:val="22"/>
          <w:szCs w:val="22"/>
        </w:rPr>
        <w:t xml:space="preserve">Before data collection begins, </w:t>
      </w:r>
      <w:r w:rsidR="00FC7D4C">
        <w:rPr>
          <w:rFonts w:asciiTheme="minorHAnsi" w:hAnsiTheme="minorHAnsi" w:cstheme="minorHAnsi"/>
          <w:sz w:val="22"/>
          <w:szCs w:val="22"/>
        </w:rPr>
        <w:t>observers</w:t>
      </w:r>
      <w:r w:rsidRPr="00762D1A" w:rsidR="00FC7D4C">
        <w:rPr>
          <w:rFonts w:asciiTheme="minorHAnsi" w:hAnsiTheme="minorHAnsi" w:cstheme="minorHAnsi"/>
          <w:sz w:val="22"/>
          <w:szCs w:val="22"/>
        </w:rPr>
        <w:t xml:space="preserve"> will participate in </w:t>
      </w:r>
      <w:r w:rsidR="00C21DE3">
        <w:rPr>
          <w:rFonts w:asciiTheme="minorHAnsi" w:hAnsiTheme="minorHAnsi" w:cstheme="minorHAnsi"/>
          <w:sz w:val="22"/>
          <w:szCs w:val="22"/>
        </w:rPr>
        <w:t xml:space="preserve">a </w:t>
      </w:r>
      <w:r w:rsidRPr="00762D1A" w:rsidR="00FC7D4C">
        <w:rPr>
          <w:rFonts w:asciiTheme="minorHAnsi" w:hAnsiTheme="minorHAnsi" w:cstheme="minorHAnsi"/>
          <w:sz w:val="22"/>
          <w:szCs w:val="22"/>
        </w:rPr>
        <w:t>training</w:t>
      </w:r>
      <w:r w:rsidR="0004076B">
        <w:rPr>
          <w:rFonts w:asciiTheme="minorHAnsi" w:hAnsiTheme="minorHAnsi" w:cstheme="minorHAnsi"/>
          <w:sz w:val="22"/>
          <w:szCs w:val="22"/>
        </w:rPr>
        <w:t xml:space="preserve"> </w:t>
      </w:r>
      <w:r w:rsidR="00363DBA">
        <w:rPr>
          <w:rFonts w:asciiTheme="minorHAnsi" w:hAnsiTheme="minorHAnsi" w:cstheme="minorHAnsi"/>
          <w:sz w:val="22"/>
          <w:szCs w:val="22"/>
        </w:rPr>
        <w:t>led by the FCC PQA trainers to</w:t>
      </w:r>
      <w:r w:rsidRPr="00363DBA" w:rsidR="00363DBA">
        <w:t xml:space="preserve"> </w:t>
      </w:r>
      <w:r w:rsidRPr="00363DBA" w:rsidR="00363DBA">
        <w:rPr>
          <w:rFonts w:asciiTheme="minorHAnsi" w:hAnsiTheme="minorHAnsi" w:cstheme="minorHAnsi"/>
          <w:sz w:val="22"/>
          <w:szCs w:val="22"/>
        </w:rPr>
        <w:t xml:space="preserve">ensure </w:t>
      </w:r>
      <w:r w:rsidR="00363DBA">
        <w:rPr>
          <w:rFonts w:asciiTheme="minorHAnsi" w:hAnsiTheme="minorHAnsi" w:cstheme="minorHAnsi"/>
          <w:sz w:val="22"/>
          <w:szCs w:val="22"/>
        </w:rPr>
        <w:t xml:space="preserve">observers </w:t>
      </w:r>
      <w:r w:rsidRPr="00363DBA" w:rsidR="00363DBA">
        <w:rPr>
          <w:rFonts w:asciiTheme="minorHAnsi" w:hAnsiTheme="minorHAnsi" w:cstheme="minorHAnsi"/>
          <w:sz w:val="22"/>
          <w:szCs w:val="22"/>
        </w:rPr>
        <w:t xml:space="preserve">are certified to conduct </w:t>
      </w:r>
      <w:r w:rsidR="00363DBA">
        <w:rPr>
          <w:rFonts w:asciiTheme="minorHAnsi" w:hAnsiTheme="minorHAnsi" w:cstheme="minorHAnsi"/>
          <w:sz w:val="22"/>
          <w:szCs w:val="22"/>
        </w:rPr>
        <w:t>observations</w:t>
      </w:r>
      <w:r w:rsidRPr="00363DBA" w:rsidR="00363DBA">
        <w:rPr>
          <w:rFonts w:asciiTheme="minorHAnsi" w:hAnsiTheme="minorHAnsi" w:cstheme="minorHAnsi"/>
          <w:sz w:val="22"/>
          <w:szCs w:val="22"/>
        </w:rPr>
        <w:t xml:space="preserve"> according to the developer’s’ standards for reliability</w:t>
      </w:r>
      <w:r w:rsidRPr="00762D1A" w:rsidR="00FC7D4C">
        <w:rPr>
          <w:rFonts w:asciiTheme="minorHAnsi" w:hAnsiTheme="minorHAnsi" w:cstheme="minorHAnsi"/>
          <w:sz w:val="22"/>
          <w:szCs w:val="22"/>
        </w:rPr>
        <w:t>.</w:t>
      </w:r>
      <w:r w:rsidRPr="00FC7D4C" w:rsidR="00FC7D4C">
        <w:rPr>
          <w:rFonts w:asciiTheme="minorHAnsi" w:hAnsiTheme="minorHAnsi" w:cstheme="minorHAnsi"/>
          <w:b/>
          <w:bCs/>
          <w:sz w:val="22"/>
          <w:szCs w:val="22"/>
        </w:rPr>
        <w:t xml:space="preserve"> </w:t>
      </w:r>
      <w:r w:rsidR="00363DBA">
        <w:rPr>
          <w:rFonts w:asciiTheme="minorHAnsi" w:hAnsiTheme="minorHAnsi" w:cstheme="minorHAnsi"/>
          <w:sz w:val="22"/>
          <w:szCs w:val="22"/>
        </w:rPr>
        <w:t xml:space="preserve">In addition, observers will also participate in a training led by the study team </w:t>
      </w:r>
      <w:r w:rsidR="003676EB">
        <w:rPr>
          <w:rFonts w:asciiTheme="minorHAnsi" w:hAnsiTheme="minorHAnsi" w:cstheme="minorHAnsi"/>
          <w:sz w:val="22"/>
          <w:szCs w:val="22"/>
        </w:rPr>
        <w:t>on the</w:t>
      </w:r>
      <w:r w:rsidRPr="003676EB" w:rsidR="003676EB">
        <w:rPr>
          <w:rFonts w:asciiTheme="minorHAnsi" w:hAnsiTheme="minorHAnsi" w:cstheme="minorHAnsi"/>
          <w:sz w:val="22"/>
          <w:szCs w:val="22"/>
        </w:rPr>
        <w:t xml:space="preserve"> study’s background and logistics for data collection, such as interacting with providers</w:t>
      </w:r>
      <w:r w:rsidR="00890F43">
        <w:rPr>
          <w:rFonts w:asciiTheme="minorHAnsi" w:hAnsiTheme="minorHAnsi" w:cstheme="minorHAnsi"/>
          <w:sz w:val="22"/>
          <w:szCs w:val="22"/>
        </w:rPr>
        <w:t xml:space="preserve"> and</w:t>
      </w:r>
      <w:r w:rsidRPr="003676EB" w:rsidR="003676EB">
        <w:rPr>
          <w:rFonts w:asciiTheme="minorHAnsi" w:hAnsiTheme="minorHAnsi" w:cstheme="minorHAnsi"/>
          <w:sz w:val="22"/>
          <w:szCs w:val="22"/>
        </w:rPr>
        <w:t xml:space="preserve"> giving providers </w:t>
      </w:r>
      <w:r w:rsidR="00890F43">
        <w:rPr>
          <w:rFonts w:asciiTheme="minorHAnsi" w:hAnsiTheme="minorHAnsi" w:cstheme="minorHAnsi"/>
          <w:sz w:val="22"/>
          <w:szCs w:val="22"/>
        </w:rPr>
        <w:t xml:space="preserve">honoraria. </w:t>
      </w:r>
      <w:r w:rsidR="00BA4B90">
        <w:rPr>
          <w:rFonts w:asciiTheme="minorHAnsi" w:hAnsiTheme="minorHAnsi" w:cstheme="minorHAnsi"/>
          <w:bCs/>
          <w:sz w:val="22"/>
          <w:szCs w:val="22"/>
        </w:rPr>
        <w:t>F</w:t>
      </w:r>
      <w:r w:rsidRPr="00841C91">
        <w:rPr>
          <w:rFonts w:asciiTheme="minorHAnsi" w:hAnsiTheme="minorHAnsi" w:cstheme="minorHAnsi"/>
          <w:bCs/>
          <w:sz w:val="22"/>
          <w:szCs w:val="22"/>
        </w:rPr>
        <w:t xml:space="preserve">ield supervisors will oversee the work of the </w:t>
      </w:r>
      <w:r w:rsidRPr="0038146A" w:rsidR="00605EBB">
        <w:rPr>
          <w:rFonts w:asciiTheme="minorHAnsi" w:hAnsiTheme="minorHAnsi" w:cstheme="minorHAnsi"/>
          <w:sz w:val="22"/>
          <w:szCs w:val="22"/>
        </w:rPr>
        <w:t>field staff conducting</w:t>
      </w:r>
      <w:r w:rsidR="00605EBB">
        <w:rPr>
          <w:rFonts w:asciiTheme="minorHAnsi" w:hAnsiTheme="minorHAnsi" w:cstheme="minorHAnsi"/>
          <w:sz w:val="22"/>
          <w:szCs w:val="22"/>
        </w:rPr>
        <w:t xml:space="preserve"> FCC PQA observations (observers)</w:t>
      </w:r>
      <w:r w:rsidRPr="00841C91">
        <w:rPr>
          <w:rFonts w:asciiTheme="minorHAnsi" w:hAnsiTheme="minorHAnsi" w:cstheme="minorHAnsi"/>
          <w:bCs/>
          <w:sz w:val="22"/>
          <w:szCs w:val="22"/>
        </w:rPr>
        <w:t>. Each observer will be required to check</w:t>
      </w:r>
      <w:r w:rsidR="00F06879">
        <w:rPr>
          <w:rFonts w:asciiTheme="minorHAnsi" w:hAnsiTheme="minorHAnsi" w:cstheme="minorHAnsi"/>
          <w:bCs/>
          <w:sz w:val="22"/>
          <w:szCs w:val="22"/>
        </w:rPr>
        <w:t xml:space="preserve"> in</w:t>
      </w:r>
      <w:r w:rsidRPr="00841C91">
        <w:rPr>
          <w:rFonts w:asciiTheme="minorHAnsi" w:hAnsiTheme="minorHAnsi" w:cstheme="minorHAnsi"/>
          <w:bCs/>
          <w:sz w:val="22"/>
          <w:szCs w:val="22"/>
        </w:rPr>
        <w:t xml:space="preserve"> so field supervisors can monitor daily data collection progress. </w:t>
      </w:r>
      <w:r w:rsidR="007228E4">
        <w:rPr>
          <w:rFonts w:asciiTheme="minorHAnsi" w:hAnsiTheme="minorHAnsi" w:cstheme="minorHAnsi"/>
          <w:bCs/>
          <w:sz w:val="22"/>
          <w:szCs w:val="22"/>
        </w:rPr>
        <w:t>T</w:t>
      </w:r>
      <w:r w:rsidRPr="007228E4" w:rsidR="007228E4">
        <w:rPr>
          <w:rFonts w:asciiTheme="minorHAnsi" w:hAnsiTheme="minorHAnsi" w:cstheme="minorHAnsi"/>
          <w:bCs/>
          <w:sz w:val="22"/>
          <w:szCs w:val="22"/>
        </w:rPr>
        <w:t xml:space="preserve">rained staff will </w:t>
      </w:r>
      <w:r w:rsidR="007228E4">
        <w:rPr>
          <w:rFonts w:asciiTheme="minorHAnsi" w:hAnsiTheme="minorHAnsi" w:cstheme="minorHAnsi"/>
          <w:bCs/>
          <w:sz w:val="22"/>
          <w:szCs w:val="22"/>
        </w:rPr>
        <w:t xml:space="preserve">also </w:t>
      </w:r>
      <w:r w:rsidRPr="007228E4" w:rsidR="007228E4">
        <w:rPr>
          <w:rFonts w:asciiTheme="minorHAnsi" w:hAnsiTheme="minorHAnsi" w:cstheme="minorHAnsi"/>
          <w:bCs/>
          <w:sz w:val="22"/>
          <w:szCs w:val="22"/>
        </w:rPr>
        <w:t xml:space="preserve">review all materials returned from the field for completeness and follow up with </w:t>
      </w:r>
      <w:r w:rsidR="007228E4">
        <w:rPr>
          <w:rFonts w:asciiTheme="minorHAnsi" w:hAnsiTheme="minorHAnsi" w:cstheme="minorHAnsi"/>
          <w:bCs/>
          <w:sz w:val="22"/>
          <w:szCs w:val="22"/>
        </w:rPr>
        <w:t>observers</w:t>
      </w:r>
      <w:r w:rsidRPr="007228E4" w:rsidR="007228E4">
        <w:rPr>
          <w:rFonts w:asciiTheme="minorHAnsi" w:hAnsiTheme="minorHAnsi" w:cstheme="minorHAnsi"/>
          <w:bCs/>
          <w:sz w:val="22"/>
          <w:szCs w:val="22"/>
        </w:rPr>
        <w:t xml:space="preserve">, if needed. </w:t>
      </w:r>
      <w:r w:rsidRPr="00841C91">
        <w:rPr>
          <w:rFonts w:asciiTheme="minorHAnsi" w:hAnsiTheme="minorHAnsi" w:cstheme="minorHAnsi"/>
          <w:bCs/>
          <w:sz w:val="22"/>
          <w:szCs w:val="22"/>
        </w:rPr>
        <w:t xml:space="preserve">Using daily status reports and weekly meetings with field supervisors, </w:t>
      </w:r>
      <w:r w:rsidR="000C1F77">
        <w:rPr>
          <w:rFonts w:asciiTheme="minorHAnsi" w:hAnsiTheme="minorHAnsi" w:cstheme="minorHAnsi"/>
          <w:bCs/>
          <w:sz w:val="22"/>
          <w:szCs w:val="22"/>
        </w:rPr>
        <w:t>the study team</w:t>
      </w:r>
      <w:r w:rsidRPr="00841C91" w:rsidR="000C1F77">
        <w:rPr>
          <w:rFonts w:asciiTheme="minorHAnsi" w:hAnsiTheme="minorHAnsi" w:cstheme="minorHAnsi"/>
          <w:bCs/>
          <w:sz w:val="22"/>
          <w:szCs w:val="22"/>
        </w:rPr>
        <w:t xml:space="preserve"> </w:t>
      </w:r>
      <w:r w:rsidRPr="00841C91">
        <w:rPr>
          <w:rFonts w:asciiTheme="minorHAnsi" w:hAnsiTheme="minorHAnsi" w:cstheme="minorHAnsi"/>
          <w:bCs/>
          <w:sz w:val="22"/>
          <w:szCs w:val="22"/>
        </w:rPr>
        <w:t xml:space="preserve">will monitor observation completion rates. </w:t>
      </w:r>
      <w:r w:rsidR="00407208">
        <w:rPr>
          <w:rFonts w:asciiTheme="minorHAnsi" w:hAnsiTheme="minorHAnsi" w:cstheme="minorHAnsi"/>
          <w:bCs/>
          <w:sz w:val="22"/>
          <w:szCs w:val="22"/>
        </w:rPr>
        <w:t>The team</w:t>
      </w:r>
      <w:r w:rsidRPr="00841C91" w:rsidR="00407208">
        <w:rPr>
          <w:rFonts w:asciiTheme="minorHAnsi" w:hAnsiTheme="minorHAnsi" w:cstheme="minorHAnsi"/>
          <w:bCs/>
          <w:sz w:val="22"/>
          <w:szCs w:val="22"/>
        </w:rPr>
        <w:t xml:space="preserve"> </w:t>
      </w:r>
      <w:r w:rsidRPr="00841C91">
        <w:rPr>
          <w:rFonts w:asciiTheme="minorHAnsi" w:hAnsiTheme="minorHAnsi" w:cstheme="minorHAnsi"/>
          <w:bCs/>
          <w:sz w:val="22"/>
          <w:szCs w:val="22"/>
        </w:rPr>
        <w:t xml:space="preserve">will also check observation reliability to ensure observers maintain their reliability </w:t>
      </w:r>
      <w:r w:rsidR="00CE552F">
        <w:rPr>
          <w:rFonts w:asciiTheme="minorHAnsi" w:hAnsiTheme="minorHAnsi" w:cstheme="minorHAnsi"/>
          <w:bCs/>
          <w:sz w:val="22"/>
          <w:szCs w:val="22"/>
        </w:rPr>
        <w:t xml:space="preserve">on the FCC PQA </w:t>
      </w:r>
      <w:r w:rsidRPr="00841C91">
        <w:rPr>
          <w:rFonts w:asciiTheme="minorHAnsi" w:hAnsiTheme="minorHAnsi" w:cstheme="minorHAnsi"/>
          <w:bCs/>
          <w:sz w:val="22"/>
          <w:szCs w:val="22"/>
        </w:rPr>
        <w:t>once, midway through the field period, to prevent drift</w:t>
      </w:r>
      <w:r w:rsidR="00497E33">
        <w:rPr>
          <w:rFonts w:asciiTheme="minorHAnsi" w:hAnsiTheme="minorHAnsi" w:cstheme="minorHAnsi"/>
          <w:bCs/>
          <w:sz w:val="22"/>
          <w:szCs w:val="22"/>
        </w:rPr>
        <w:t xml:space="preserve"> using videos and </w:t>
      </w:r>
      <w:r w:rsidR="00CE552F">
        <w:rPr>
          <w:rFonts w:asciiTheme="minorHAnsi" w:hAnsiTheme="minorHAnsi" w:cstheme="minorHAnsi"/>
          <w:bCs/>
          <w:sz w:val="22"/>
          <w:szCs w:val="22"/>
        </w:rPr>
        <w:t>consensus scores</w:t>
      </w:r>
      <w:r w:rsidR="00320683">
        <w:rPr>
          <w:rFonts w:asciiTheme="minorHAnsi" w:hAnsiTheme="minorHAnsi" w:cstheme="minorHAnsi"/>
          <w:bCs/>
          <w:sz w:val="22"/>
          <w:szCs w:val="22"/>
        </w:rPr>
        <w:t xml:space="preserve"> provided by the FCC PQA developers. </w:t>
      </w:r>
      <w:r w:rsidRPr="00841C91">
        <w:rPr>
          <w:rFonts w:asciiTheme="minorHAnsi" w:hAnsiTheme="minorHAnsi" w:cstheme="minorHAnsi"/>
          <w:bCs/>
          <w:sz w:val="22"/>
          <w:szCs w:val="22"/>
        </w:rPr>
        <w:t xml:space="preserve">To compare the observers’ scores for reliability, </w:t>
      </w:r>
      <w:r w:rsidR="00407208">
        <w:rPr>
          <w:rFonts w:asciiTheme="minorHAnsi" w:hAnsiTheme="minorHAnsi" w:cstheme="minorHAnsi"/>
          <w:bCs/>
          <w:sz w:val="22"/>
          <w:szCs w:val="22"/>
        </w:rPr>
        <w:t xml:space="preserve">all </w:t>
      </w:r>
      <w:r w:rsidRPr="00841C91">
        <w:rPr>
          <w:rFonts w:asciiTheme="minorHAnsi" w:hAnsiTheme="minorHAnsi" w:cstheme="minorHAnsi"/>
          <w:bCs/>
          <w:sz w:val="22"/>
          <w:szCs w:val="22"/>
        </w:rPr>
        <w:t>observers will need to match on at least 80 percent of the consensus scores. If observers are not reliable on the first video, they will receive feedback and then be asked to code a second video.</w:t>
      </w:r>
      <w:r w:rsidRPr="00605EBB" w:rsidR="00605EBB">
        <w:rPr>
          <w:rFonts w:asciiTheme="minorHAnsi" w:hAnsiTheme="minorHAnsi" w:cstheme="minorHAnsi"/>
          <w:bCs/>
          <w:sz w:val="22"/>
          <w:szCs w:val="22"/>
        </w:rPr>
        <w:t xml:space="preserve"> </w:t>
      </w:r>
      <w:r w:rsidR="00605EBB">
        <w:rPr>
          <w:rFonts w:asciiTheme="minorHAnsi" w:hAnsiTheme="minorHAnsi" w:cstheme="minorHAnsi"/>
          <w:bCs/>
          <w:sz w:val="22"/>
          <w:szCs w:val="22"/>
        </w:rPr>
        <w:t>Observers</w:t>
      </w:r>
      <w:r w:rsidRPr="0038146A" w:rsidR="00605EBB">
        <w:rPr>
          <w:rFonts w:asciiTheme="minorHAnsi" w:hAnsiTheme="minorHAnsi" w:cstheme="minorHAnsi"/>
          <w:bCs/>
          <w:sz w:val="22"/>
          <w:szCs w:val="22"/>
        </w:rPr>
        <w:t xml:space="preserve"> who are unable to achieve the desired level of inter-rater reliability will not be allowed to continue conducting observations.</w:t>
      </w:r>
      <w:r w:rsidR="00F40F51">
        <w:rPr>
          <w:rFonts w:asciiTheme="minorHAnsi" w:hAnsiTheme="minorHAnsi" w:cstheme="minorHAnsi"/>
          <w:bCs/>
          <w:sz w:val="22"/>
          <w:szCs w:val="22"/>
        </w:rPr>
        <w:t xml:space="preserve"> </w:t>
      </w:r>
    </w:p>
    <w:p w:rsidR="00E30FB2" w:rsidP="00E30FB2" w14:paraId="5E273C8D" w14:textId="076DAD4D">
      <w:pPr>
        <w:pStyle w:val="NormalSS"/>
        <w:spacing w:after="0"/>
        <w:ind w:firstLine="0"/>
        <w:rPr>
          <w:rFonts w:asciiTheme="minorHAnsi" w:hAnsiTheme="minorHAnsi" w:cstheme="minorHAnsi"/>
          <w:bCs/>
          <w:sz w:val="22"/>
          <w:szCs w:val="22"/>
        </w:rPr>
      </w:pPr>
    </w:p>
    <w:p w:rsidR="00E30FB2" w:rsidRPr="0038146A" w:rsidP="00BD15D4" w14:paraId="159E19C0" w14:textId="77777777">
      <w:pPr>
        <w:pStyle w:val="NormalSS"/>
        <w:spacing w:after="0"/>
        <w:ind w:firstLine="0"/>
        <w:rPr>
          <w:rFonts w:asciiTheme="minorHAnsi" w:hAnsiTheme="minorHAnsi" w:cstheme="minorHAnsi"/>
          <w:bCs/>
          <w:sz w:val="22"/>
          <w:szCs w:val="22"/>
        </w:rPr>
      </w:pPr>
    </w:p>
    <w:p w:rsidR="00A42C71" w:rsidRPr="001A59B6" w:rsidP="00A42C71" w14:paraId="040C23CA" w14:textId="0862D5C4">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A42C71" w:rsidP="00B44FB3" w14:paraId="19CA8A2D" w14:textId="3C46F01C">
      <w:pPr>
        <w:autoSpaceDE w:val="0"/>
        <w:autoSpaceDN w:val="0"/>
        <w:adjustRightInd w:val="0"/>
        <w:spacing w:after="0" w:line="240" w:lineRule="atLeast"/>
        <w:rPr>
          <w:rFonts w:eastAsia="Times New Roman" w:cstheme="minorHAnsi"/>
          <w:color w:val="000000"/>
        </w:rPr>
      </w:pPr>
      <w:r w:rsidRPr="00B44FB3">
        <w:rPr>
          <w:rFonts w:eastAsia="Times New Roman" w:cstheme="minorHAnsi"/>
          <w:color w:val="000000"/>
        </w:rPr>
        <w:t>The</w:t>
      </w:r>
      <w:r w:rsidR="0090128A">
        <w:rPr>
          <w:rFonts w:eastAsia="Times New Roman" w:cstheme="minorHAnsi"/>
          <w:color w:val="000000"/>
        </w:rPr>
        <w:t xml:space="preserve"> HBCC-NSAC Toolkit </w:t>
      </w:r>
      <w:r w:rsidR="009C576B">
        <w:rPr>
          <w:rFonts w:eastAsia="Times New Roman" w:cstheme="minorHAnsi"/>
          <w:color w:val="000000"/>
        </w:rPr>
        <w:t xml:space="preserve">provider questionnaire and the family survey </w:t>
      </w:r>
      <w:r w:rsidRPr="00B44FB3">
        <w:rPr>
          <w:rFonts w:eastAsia="Times New Roman" w:cstheme="minorHAnsi"/>
          <w:color w:val="000000"/>
        </w:rPr>
        <w:t>are not designed to produce statistically generalizable findings and participation is wholly at the respondent’s discretion. Response rates will not be calculated or reported.</w:t>
      </w:r>
    </w:p>
    <w:p w:rsidR="001A6213" w:rsidP="00B44FB3" w14:paraId="32758E8C" w14:textId="77777777">
      <w:pPr>
        <w:autoSpaceDE w:val="0"/>
        <w:autoSpaceDN w:val="0"/>
        <w:adjustRightInd w:val="0"/>
        <w:spacing w:after="0" w:line="240" w:lineRule="atLeast"/>
        <w:rPr>
          <w:rStyle w:val="normaltextrun"/>
          <w:rFonts w:ascii="Calibri" w:hAnsi="Calibri" w:cs="Calibri"/>
          <w:color w:val="000000"/>
          <w:shd w:val="clear" w:color="auto" w:fill="FFFFFF"/>
        </w:rPr>
      </w:pPr>
    </w:p>
    <w:p w:rsidR="00912A79" w:rsidRPr="0098088B" w:rsidP="00912A79" w14:paraId="4A0306FB" w14:textId="43902452">
      <w:pPr>
        <w:spacing w:after="160" w:line="264" w:lineRule="auto"/>
        <w:rPr>
          <w:rFonts w:eastAsia="Times New Roman" w:cstheme="minorHAnsi"/>
        </w:rPr>
      </w:pPr>
      <w:r>
        <w:rPr>
          <w:rStyle w:val="normaltextrun"/>
          <w:rFonts w:ascii="Calibri" w:hAnsi="Calibri" w:cs="Calibri"/>
          <w:color w:val="000000"/>
          <w:shd w:val="clear" w:color="auto" w:fill="FFFFFF"/>
        </w:rPr>
        <w:t xml:space="preserve">However, because the study team will screen potential respondents for eligibility and interest in participating, </w:t>
      </w:r>
      <w:r w:rsidR="00E73025">
        <w:rPr>
          <w:rStyle w:val="normaltextrun"/>
          <w:rFonts w:ascii="Calibri" w:hAnsi="Calibri" w:cs="Calibri"/>
          <w:color w:val="000000"/>
          <w:shd w:val="clear" w:color="auto" w:fill="FFFFFF"/>
        </w:rPr>
        <w:t xml:space="preserve">the team </w:t>
      </w:r>
      <w:r>
        <w:rPr>
          <w:rStyle w:val="normaltextrun"/>
          <w:rFonts w:ascii="Calibri" w:hAnsi="Calibri" w:cs="Calibri"/>
          <w:color w:val="000000"/>
          <w:shd w:val="clear" w:color="auto" w:fill="FFFFFF"/>
        </w:rPr>
        <w:t>will calculate and report basic information about how many of the potential respondents that were screened participated, were not eligible, or declined to participate</w:t>
      </w:r>
      <w:r w:rsidR="00B6127E">
        <w:rPr>
          <w:rStyle w:val="normaltextrun"/>
          <w:rFonts w:ascii="Calibri" w:hAnsi="Calibri" w:cs="Calibri"/>
          <w:color w:val="000000"/>
          <w:shd w:val="clear" w:color="auto" w:fill="FFFFFF"/>
        </w:rPr>
        <w:t>,</w:t>
      </w:r>
      <w:r w:rsidRPr="00B6127E" w:rsidR="00B6127E">
        <w:rPr>
          <w:rFonts w:eastAsia="Times New Roman"/>
        </w:rPr>
        <w:t xml:space="preserve"> </w:t>
      </w:r>
      <w:r w:rsidR="00B6127E">
        <w:rPr>
          <w:rFonts w:eastAsia="Times New Roman"/>
        </w:rPr>
        <w:t>and</w:t>
      </w:r>
      <w:r w:rsidRPr="25164AD6" w:rsidR="00B6127E">
        <w:rPr>
          <w:rFonts w:eastAsia="Times New Roman"/>
        </w:rPr>
        <w:t xml:space="preserve"> d</w:t>
      </w:r>
      <w:r w:rsidR="00B6127E">
        <w:rPr>
          <w:rFonts w:eastAsia="Times New Roman"/>
        </w:rPr>
        <w:t>id</w:t>
      </w:r>
      <w:r w:rsidRPr="25164AD6" w:rsidR="00B6127E">
        <w:rPr>
          <w:rFonts w:eastAsia="Times New Roman"/>
        </w:rPr>
        <w:t xml:space="preserve"> not complete all study </w:t>
      </w:r>
      <w:r w:rsidRPr="0098088B" w:rsidR="00B6127E">
        <w:rPr>
          <w:rFonts w:eastAsia="Times New Roman"/>
        </w:rPr>
        <w:t>activities</w:t>
      </w:r>
      <w:r w:rsidRPr="0098088B" w:rsidR="00B92118">
        <w:rPr>
          <w:rFonts w:eastAsia="Times New Roman"/>
        </w:rPr>
        <w:t xml:space="preserve"> to ACF</w:t>
      </w:r>
      <w:r w:rsidRPr="0098088B">
        <w:rPr>
          <w:rStyle w:val="normaltextrun"/>
          <w:rFonts w:ascii="Calibri" w:hAnsi="Calibri" w:cs="Calibri"/>
          <w:color w:val="000000"/>
          <w:shd w:val="clear" w:color="auto" w:fill="FFFFFF"/>
        </w:rPr>
        <w:t>.</w:t>
      </w:r>
      <w:r w:rsidRPr="0098088B">
        <w:t xml:space="preserve"> </w:t>
      </w:r>
      <w:r w:rsidRPr="0098088B" w:rsidR="003D6FD2">
        <w:rPr>
          <w:rFonts w:eastAsia="Times New Roman" w:cstheme="minorHAnsi"/>
        </w:rPr>
        <w:t>Table B.</w:t>
      </w:r>
      <w:r w:rsidRPr="0098088B" w:rsidR="007000F0">
        <w:rPr>
          <w:rFonts w:eastAsia="Times New Roman" w:cstheme="minorHAnsi"/>
        </w:rPr>
        <w:t>3</w:t>
      </w:r>
      <w:r w:rsidRPr="0098088B" w:rsidR="003D6FD2">
        <w:rPr>
          <w:rFonts w:eastAsia="Times New Roman" w:cstheme="minorHAnsi"/>
        </w:rPr>
        <w:t xml:space="preserve"> describes the expected response rates and number of responses.</w:t>
      </w:r>
      <w:r w:rsidRPr="0098088B" w:rsidR="003D6FD2">
        <w:t xml:space="preserve"> </w:t>
      </w:r>
      <w:r w:rsidRPr="0098088B" w:rsidR="00E73025">
        <w:rPr>
          <w:rStyle w:val="normaltextrun"/>
          <w:rFonts w:ascii="Calibri" w:hAnsi="Calibri" w:cs="Calibri"/>
          <w:color w:val="000000"/>
          <w:shd w:val="clear" w:color="auto" w:fill="FFFFFF"/>
        </w:rPr>
        <w:t xml:space="preserve">The team’s </w:t>
      </w:r>
      <w:r w:rsidRPr="0098088B" w:rsidR="00AE0145">
        <w:rPr>
          <w:rStyle w:val="normaltextrun"/>
          <w:rFonts w:ascii="Calibri" w:hAnsi="Calibri" w:cs="Calibri"/>
          <w:color w:val="000000"/>
          <w:shd w:val="clear" w:color="auto" w:fill="FFFFFF"/>
        </w:rPr>
        <w:t xml:space="preserve">expected response rates for </w:t>
      </w:r>
      <w:r w:rsidRPr="0098088B" w:rsidR="00F16C81">
        <w:rPr>
          <w:rStyle w:val="normaltextrun"/>
          <w:rFonts w:ascii="Calibri" w:hAnsi="Calibri" w:cs="Calibri"/>
          <w:color w:val="000000"/>
          <w:shd w:val="clear" w:color="auto" w:fill="FFFFFF"/>
        </w:rPr>
        <w:t>the validation study</w:t>
      </w:r>
      <w:r w:rsidRPr="0098088B" w:rsidR="00AE0145">
        <w:rPr>
          <w:rStyle w:val="normaltextrun"/>
          <w:rFonts w:ascii="Calibri" w:hAnsi="Calibri" w:cs="Calibri"/>
          <w:color w:val="000000"/>
          <w:shd w:val="clear" w:color="auto" w:fill="FFFFFF"/>
        </w:rPr>
        <w:t xml:space="preserve"> are based on actual response rates from </w:t>
      </w:r>
      <w:r w:rsidRPr="0098088B" w:rsidR="00F16C81">
        <w:rPr>
          <w:rStyle w:val="normaltextrun"/>
          <w:rFonts w:ascii="Calibri" w:hAnsi="Calibri" w:cs="Calibri"/>
          <w:color w:val="000000"/>
          <w:shd w:val="clear" w:color="auto" w:fill="FFFFFF"/>
        </w:rPr>
        <w:t>the pilot study</w:t>
      </w:r>
      <w:r w:rsidRPr="0098088B" w:rsidR="00AE0145">
        <w:rPr>
          <w:rStyle w:val="normaltextrun"/>
          <w:rFonts w:ascii="Calibri" w:hAnsi="Calibri" w:cs="Calibri"/>
          <w:color w:val="000000"/>
          <w:shd w:val="clear" w:color="auto" w:fill="FFFFFF"/>
        </w:rPr>
        <w:t>.</w:t>
      </w:r>
      <w:r w:rsidRPr="0098088B">
        <w:rPr>
          <w:rStyle w:val="normaltextrun"/>
          <w:rFonts w:ascii="Calibri" w:hAnsi="Calibri" w:cs="Calibri"/>
          <w:color w:val="000000"/>
          <w:shd w:val="clear" w:color="auto" w:fill="FFFFFF"/>
        </w:rPr>
        <w:t xml:space="preserve"> </w:t>
      </w:r>
      <w:r w:rsidRPr="0098088B" w:rsidR="00570614">
        <w:rPr>
          <w:rStyle w:val="normaltextrun"/>
          <w:rFonts w:ascii="Calibri" w:hAnsi="Calibri" w:cs="Calibri"/>
          <w:color w:val="000000"/>
          <w:shd w:val="clear" w:color="auto" w:fill="FFFFFF"/>
        </w:rPr>
        <w:t>T</w:t>
      </w:r>
      <w:r w:rsidRPr="0098088B">
        <w:rPr>
          <w:rStyle w:val="normaltextrun"/>
          <w:rFonts w:ascii="Calibri" w:hAnsi="Calibri" w:cs="Calibri"/>
          <w:color w:val="000000"/>
          <w:shd w:val="clear" w:color="auto" w:fill="FFFFFF"/>
        </w:rPr>
        <w:t xml:space="preserve">he study team expects that </w:t>
      </w:r>
      <w:r w:rsidRPr="0098088B" w:rsidR="00F046D9">
        <w:rPr>
          <w:rStyle w:val="normaltextrun"/>
          <w:rFonts w:ascii="Calibri" w:hAnsi="Calibri" w:cs="Calibri"/>
          <w:color w:val="000000"/>
          <w:shd w:val="clear" w:color="auto" w:fill="FFFFFF"/>
        </w:rPr>
        <w:t xml:space="preserve">73 </w:t>
      </w:r>
      <w:r w:rsidRPr="0098088B">
        <w:rPr>
          <w:rStyle w:val="normaltextrun"/>
          <w:rFonts w:ascii="Calibri" w:hAnsi="Calibri" w:cs="Calibri"/>
          <w:color w:val="000000"/>
          <w:shd w:val="clear" w:color="auto" w:fill="FFFFFF"/>
        </w:rPr>
        <w:t xml:space="preserve">percent of the potential </w:t>
      </w:r>
      <w:r w:rsidRPr="0098088B" w:rsidR="00F046D9">
        <w:rPr>
          <w:rStyle w:val="normaltextrun"/>
          <w:rFonts w:ascii="Calibri" w:hAnsi="Calibri" w:cs="Calibri"/>
          <w:color w:val="000000"/>
          <w:shd w:val="clear" w:color="auto" w:fill="FFFFFF"/>
        </w:rPr>
        <w:t xml:space="preserve">Instrument </w:t>
      </w:r>
      <w:r w:rsidR="00C80CDD">
        <w:rPr>
          <w:rStyle w:val="normaltextrun"/>
          <w:rFonts w:ascii="Calibri" w:hAnsi="Calibri" w:cs="Calibri"/>
          <w:color w:val="000000"/>
          <w:shd w:val="clear" w:color="auto" w:fill="FFFFFF"/>
        </w:rPr>
        <w:t>2</w:t>
      </w:r>
      <w:r w:rsidRPr="0098088B">
        <w:rPr>
          <w:rStyle w:val="normaltextrun"/>
          <w:rFonts w:ascii="Calibri" w:hAnsi="Calibri" w:cs="Calibri"/>
          <w:color w:val="000000"/>
          <w:shd w:val="clear" w:color="auto" w:fill="FFFFFF"/>
        </w:rPr>
        <w:t xml:space="preserve"> respondents</w:t>
      </w:r>
      <w:r w:rsidRPr="0098088B" w:rsidR="00F046D9">
        <w:rPr>
          <w:rStyle w:val="normaltextrun"/>
          <w:rFonts w:ascii="Calibri" w:hAnsi="Calibri" w:cs="Calibri"/>
          <w:color w:val="000000"/>
          <w:shd w:val="clear" w:color="auto" w:fill="FFFFFF"/>
        </w:rPr>
        <w:t xml:space="preserve"> and 50 percent of the potential Instrument </w:t>
      </w:r>
      <w:r w:rsidR="00C80CDD">
        <w:rPr>
          <w:rStyle w:val="normaltextrun"/>
          <w:rFonts w:ascii="Calibri" w:hAnsi="Calibri" w:cs="Calibri"/>
          <w:color w:val="000000"/>
          <w:shd w:val="clear" w:color="auto" w:fill="FFFFFF"/>
        </w:rPr>
        <w:t>3</w:t>
      </w:r>
      <w:r w:rsidRPr="0098088B" w:rsidR="00F046D9">
        <w:rPr>
          <w:rStyle w:val="normaltextrun"/>
          <w:rFonts w:ascii="Calibri" w:hAnsi="Calibri" w:cs="Calibri"/>
          <w:color w:val="000000"/>
          <w:shd w:val="clear" w:color="auto" w:fill="FFFFFF"/>
        </w:rPr>
        <w:t xml:space="preserve"> </w:t>
      </w:r>
      <w:r w:rsidRPr="0098088B">
        <w:rPr>
          <w:rStyle w:val="normaltextrun"/>
          <w:rFonts w:ascii="Calibri" w:hAnsi="Calibri" w:cs="Calibri"/>
          <w:color w:val="000000"/>
          <w:shd w:val="clear" w:color="auto" w:fill="FFFFFF"/>
        </w:rPr>
        <w:t>respondents screened will be eligible and agree to participate. </w:t>
      </w:r>
      <w:r w:rsidRPr="0098088B" w:rsidR="00400FB7">
        <w:rPr>
          <w:rStyle w:val="normaltextrun"/>
          <w:rFonts w:ascii="Calibri" w:hAnsi="Calibri" w:cs="Calibri"/>
          <w:color w:val="000000"/>
          <w:shd w:val="clear" w:color="auto" w:fill="FFFFFF"/>
        </w:rPr>
        <w:t xml:space="preserve">Among those recruited, the study team expects that </w:t>
      </w:r>
      <w:r w:rsidRPr="0098088B" w:rsidR="006C6C35">
        <w:rPr>
          <w:rStyle w:val="normaltextrun"/>
          <w:rFonts w:ascii="Calibri" w:hAnsi="Calibri" w:cs="Calibri"/>
          <w:color w:val="000000"/>
          <w:shd w:val="clear" w:color="auto" w:fill="FFFFFF"/>
        </w:rPr>
        <w:t>67</w:t>
      </w:r>
      <w:r w:rsidRPr="0098088B" w:rsidR="00400FB7">
        <w:rPr>
          <w:rStyle w:val="normaltextrun"/>
          <w:rFonts w:ascii="Calibri" w:hAnsi="Calibri" w:cs="Calibri"/>
          <w:color w:val="000000"/>
          <w:shd w:val="clear" w:color="auto" w:fill="FFFFFF"/>
        </w:rPr>
        <w:t xml:space="preserve"> percent of providers will complete the provider questionnaire</w:t>
      </w:r>
      <w:r w:rsidRPr="0098088B" w:rsidR="00D934FF">
        <w:rPr>
          <w:rStyle w:val="normaltextrun"/>
          <w:rFonts w:ascii="Calibri" w:hAnsi="Calibri" w:cs="Calibri"/>
          <w:color w:val="000000"/>
          <w:shd w:val="clear" w:color="auto" w:fill="FFFFFF"/>
        </w:rPr>
        <w:t xml:space="preserve"> (Instrument </w:t>
      </w:r>
      <w:r w:rsidR="00C80CDD">
        <w:rPr>
          <w:rStyle w:val="normaltextrun"/>
          <w:rFonts w:ascii="Calibri" w:hAnsi="Calibri" w:cs="Calibri"/>
          <w:color w:val="000000"/>
          <w:shd w:val="clear" w:color="auto" w:fill="FFFFFF"/>
        </w:rPr>
        <w:t>5</w:t>
      </w:r>
      <w:r w:rsidRPr="0098088B" w:rsidR="00D934FF">
        <w:rPr>
          <w:rStyle w:val="normaltextrun"/>
          <w:rFonts w:ascii="Calibri" w:hAnsi="Calibri" w:cs="Calibri"/>
          <w:color w:val="000000"/>
          <w:shd w:val="clear" w:color="auto" w:fill="FFFFFF"/>
        </w:rPr>
        <w:t xml:space="preserve">) and </w:t>
      </w:r>
      <w:r w:rsidRPr="0098088B" w:rsidR="000C50AA">
        <w:rPr>
          <w:rStyle w:val="normaltextrun"/>
          <w:rFonts w:ascii="Calibri" w:hAnsi="Calibri" w:cs="Calibri"/>
          <w:color w:val="000000"/>
          <w:shd w:val="clear" w:color="auto" w:fill="FFFFFF"/>
        </w:rPr>
        <w:t>that</w:t>
      </w:r>
      <w:r w:rsidRPr="0098088B" w:rsidR="00D934FF">
        <w:rPr>
          <w:rStyle w:val="normaltextrun"/>
          <w:rFonts w:ascii="Calibri" w:hAnsi="Calibri" w:cs="Calibri"/>
          <w:color w:val="000000"/>
          <w:shd w:val="clear" w:color="auto" w:fill="FFFFFF"/>
        </w:rPr>
        <w:t xml:space="preserve"> </w:t>
      </w:r>
      <w:r w:rsidRPr="0098088B" w:rsidR="00D934FF">
        <w:rPr>
          <w:rStyle w:val="eop"/>
          <w:rFonts w:ascii="Calibri" w:hAnsi="Calibri" w:cs="Calibri"/>
          <w:color w:val="000000"/>
          <w:shd w:val="clear" w:color="auto" w:fill="FFFFFF"/>
        </w:rPr>
        <w:t xml:space="preserve">74 percent of </w:t>
      </w:r>
      <w:r w:rsidRPr="0098088B" w:rsidR="000C50AA">
        <w:rPr>
          <w:rStyle w:val="eop"/>
          <w:rFonts w:ascii="Calibri" w:hAnsi="Calibri" w:cs="Calibri"/>
          <w:color w:val="000000"/>
          <w:shd w:val="clear" w:color="auto" w:fill="FFFFFF"/>
        </w:rPr>
        <w:t xml:space="preserve">recruited </w:t>
      </w:r>
      <w:r w:rsidRPr="0098088B" w:rsidR="00D934FF">
        <w:rPr>
          <w:rStyle w:val="eop"/>
          <w:rFonts w:ascii="Calibri" w:hAnsi="Calibri" w:cs="Calibri"/>
          <w:color w:val="000000"/>
          <w:shd w:val="clear" w:color="auto" w:fill="FFFFFF"/>
        </w:rPr>
        <w:t xml:space="preserve">providers </w:t>
      </w:r>
      <w:r w:rsidRPr="0098088B" w:rsidR="004B0634">
        <w:rPr>
          <w:rStyle w:val="eop"/>
          <w:rFonts w:ascii="Calibri" w:hAnsi="Calibri" w:cs="Calibri"/>
          <w:color w:val="000000"/>
          <w:shd w:val="clear" w:color="auto" w:fill="FFFFFF"/>
        </w:rPr>
        <w:t>will</w:t>
      </w:r>
      <w:r w:rsidRPr="0098088B" w:rsidR="00D934FF">
        <w:rPr>
          <w:rStyle w:val="eop"/>
          <w:rFonts w:ascii="Calibri" w:hAnsi="Calibri" w:cs="Calibri"/>
          <w:color w:val="000000"/>
          <w:shd w:val="clear" w:color="auto" w:fill="FFFFFF"/>
        </w:rPr>
        <w:t xml:space="preserve"> distribute the family surveys (Instrument </w:t>
      </w:r>
      <w:r w:rsidR="00C80CDD">
        <w:rPr>
          <w:rStyle w:val="eop"/>
          <w:rFonts w:ascii="Calibri" w:hAnsi="Calibri" w:cs="Calibri"/>
          <w:color w:val="000000"/>
          <w:shd w:val="clear" w:color="auto" w:fill="FFFFFF"/>
        </w:rPr>
        <w:t>6</w:t>
      </w:r>
      <w:r w:rsidRPr="0098088B" w:rsidR="00D934FF">
        <w:rPr>
          <w:rStyle w:val="eop"/>
          <w:rFonts w:ascii="Calibri" w:hAnsi="Calibri" w:cs="Calibri"/>
          <w:color w:val="000000"/>
          <w:shd w:val="clear" w:color="auto" w:fill="FFFFFF"/>
        </w:rPr>
        <w:t>) to an average of two eligible families per provider. The study team also expects</w:t>
      </w:r>
      <w:r w:rsidRPr="0098088B" w:rsidR="00400FB7">
        <w:rPr>
          <w:rStyle w:val="normaltextrun"/>
          <w:rFonts w:ascii="Calibri" w:hAnsi="Calibri" w:cs="Calibri"/>
          <w:color w:val="000000"/>
          <w:shd w:val="clear" w:color="auto" w:fill="FFFFFF"/>
        </w:rPr>
        <w:t xml:space="preserve"> 50 percent of families </w:t>
      </w:r>
      <w:r w:rsidRPr="0098088B" w:rsidR="00D934FF">
        <w:rPr>
          <w:rStyle w:val="normaltextrun"/>
          <w:rFonts w:ascii="Calibri" w:hAnsi="Calibri" w:cs="Calibri"/>
          <w:color w:val="000000"/>
          <w:shd w:val="clear" w:color="auto" w:fill="FFFFFF"/>
        </w:rPr>
        <w:t xml:space="preserve">who receive a family survey </w:t>
      </w:r>
      <w:r w:rsidRPr="0098088B" w:rsidR="00400FB7">
        <w:rPr>
          <w:rStyle w:val="normaltextrun"/>
          <w:rFonts w:ascii="Calibri" w:hAnsi="Calibri" w:cs="Calibri"/>
          <w:color w:val="000000"/>
          <w:shd w:val="clear" w:color="auto" w:fill="FFFFFF"/>
        </w:rPr>
        <w:t xml:space="preserve">will complete </w:t>
      </w:r>
      <w:r w:rsidRPr="0098088B" w:rsidR="00277552">
        <w:rPr>
          <w:rStyle w:val="normaltextrun"/>
          <w:rFonts w:ascii="Calibri" w:hAnsi="Calibri" w:cs="Calibri"/>
          <w:color w:val="000000"/>
          <w:shd w:val="clear" w:color="auto" w:fill="FFFFFF"/>
        </w:rPr>
        <w:t xml:space="preserve">the </w:t>
      </w:r>
      <w:r w:rsidRPr="0098088B" w:rsidR="00400FB7">
        <w:rPr>
          <w:rStyle w:val="normaltextrun"/>
          <w:rFonts w:ascii="Calibri" w:hAnsi="Calibri" w:cs="Calibri"/>
          <w:color w:val="000000"/>
          <w:shd w:val="clear" w:color="auto" w:fill="FFFFFF"/>
        </w:rPr>
        <w:t>family survey.</w:t>
      </w:r>
      <w:r w:rsidRPr="0098088B" w:rsidR="00CA3771">
        <w:t xml:space="preserve"> </w:t>
      </w:r>
    </w:p>
    <w:p w:rsidR="00912A79" w:rsidRPr="00312A3E" w:rsidP="00912A79" w14:paraId="712FB1D5" w14:textId="0B68D61D">
      <w:pPr>
        <w:keepNext/>
        <w:keepLines/>
        <w:spacing w:before="40" w:after="40" w:line="264" w:lineRule="auto"/>
        <w:rPr>
          <w:rFonts w:ascii="Arial" w:eastAsia="Times New Roman" w:hAnsi="Arial" w:cs="Arial"/>
          <w:b/>
          <w:color w:val="000000"/>
          <w:sz w:val="20"/>
          <w:szCs w:val="20"/>
        </w:rPr>
      </w:pPr>
      <w:r w:rsidRPr="00312A3E">
        <w:rPr>
          <w:rFonts w:ascii="Arial" w:eastAsia="Times New Roman" w:hAnsi="Arial" w:cs="Arial"/>
          <w:b/>
          <w:color w:val="000000"/>
          <w:sz w:val="20"/>
          <w:szCs w:val="20"/>
        </w:rPr>
        <w:t>Table B.</w:t>
      </w:r>
      <w:r w:rsidRPr="00312A3E" w:rsidR="007000F0">
        <w:rPr>
          <w:rFonts w:ascii="Arial" w:eastAsia="Times New Roman" w:hAnsi="Arial" w:cs="Arial"/>
          <w:b/>
          <w:color w:val="000000"/>
          <w:sz w:val="20"/>
          <w:szCs w:val="20"/>
        </w:rPr>
        <w:t>3</w:t>
      </w:r>
      <w:r w:rsidRPr="00312A3E">
        <w:rPr>
          <w:rFonts w:ascii="Arial" w:eastAsia="Times New Roman" w:hAnsi="Arial" w:cs="Arial"/>
          <w:b/>
          <w:color w:val="000000"/>
          <w:sz w:val="20"/>
          <w:szCs w:val="20"/>
        </w:rPr>
        <w:t>. Expected response rates and number of responses by instrument</w:t>
      </w:r>
    </w:p>
    <w:tbl>
      <w:tblPr>
        <w:tblStyle w:val="BaseTable"/>
        <w:tblW w:w="9375" w:type="dxa"/>
        <w:tblLook w:val="04A0"/>
      </w:tblPr>
      <w:tblGrid>
        <w:gridCol w:w="3443"/>
        <w:gridCol w:w="2439"/>
        <w:gridCol w:w="1987"/>
        <w:gridCol w:w="1506"/>
      </w:tblGrid>
      <w:tr w14:paraId="335724C4" w14:textId="77777777">
        <w:tblPrEx>
          <w:tblW w:w="9375" w:type="dxa"/>
          <w:tblLook w:val="04A0"/>
        </w:tblPrEx>
        <w:trPr>
          <w:trHeight w:val="128"/>
          <w:tblHeader/>
        </w:trPr>
        <w:tc>
          <w:tcPr>
            <w:tcW w:w="3443" w:type="dxa"/>
            <w:hideMark/>
          </w:tcPr>
          <w:p w:rsidR="00912A79" w:rsidRPr="007D78CC" w14:paraId="4DC632BC" w14:textId="061B1AC0">
            <w:pPr>
              <w:keepNext/>
              <w:spacing w:line="264" w:lineRule="auto"/>
              <w:rPr>
                <w:rFonts w:eastAsia="Times New Roman" w:cs="Times New Roman"/>
                <w:sz w:val="20"/>
                <w:szCs w:val="20"/>
              </w:rPr>
            </w:pPr>
            <w:r>
              <w:t>Instrument</w:t>
            </w:r>
          </w:p>
        </w:tc>
        <w:tc>
          <w:tcPr>
            <w:tcW w:w="2439" w:type="dxa"/>
            <w:hideMark/>
          </w:tcPr>
          <w:p w:rsidR="00912A79" w:rsidRPr="007D78CC" w14:paraId="479547F7" w14:textId="77777777">
            <w:pPr>
              <w:keepNext/>
              <w:spacing w:line="264" w:lineRule="auto"/>
              <w:jc w:val="center"/>
              <w:rPr>
                <w:rFonts w:eastAsia="Times New Roman" w:cs="Times New Roman"/>
                <w:sz w:val="20"/>
                <w:szCs w:val="20"/>
              </w:rPr>
            </w:pPr>
            <w:r>
              <w:rPr>
                <w:rFonts w:eastAsia="Times New Roman" w:cs="Times New Roman"/>
                <w:szCs w:val="20"/>
              </w:rPr>
              <w:t>Number of recruited participants</w:t>
            </w:r>
          </w:p>
        </w:tc>
        <w:tc>
          <w:tcPr>
            <w:tcW w:w="1987" w:type="dxa"/>
            <w:hideMark/>
          </w:tcPr>
          <w:p w:rsidR="00912A79" w:rsidRPr="007D78CC" w14:paraId="44F69743" w14:textId="77777777">
            <w:pPr>
              <w:keepNext/>
              <w:spacing w:line="264" w:lineRule="auto"/>
              <w:jc w:val="center"/>
              <w:rPr>
                <w:rFonts w:eastAsia="Times New Roman" w:cs="Times New Roman"/>
                <w:sz w:val="20"/>
                <w:szCs w:val="20"/>
              </w:rPr>
            </w:pPr>
            <w:r w:rsidRPr="00507ED7">
              <w:t>Expected response (percentage)</w:t>
            </w:r>
          </w:p>
        </w:tc>
        <w:tc>
          <w:tcPr>
            <w:tcW w:w="1506" w:type="dxa"/>
          </w:tcPr>
          <w:p w:rsidR="00912A79" w:rsidRPr="007D78CC" w14:paraId="4315B896" w14:textId="77777777">
            <w:pPr>
              <w:keepNext/>
              <w:spacing w:line="264" w:lineRule="auto"/>
              <w:jc w:val="center"/>
              <w:rPr>
                <w:rFonts w:eastAsia="Times New Roman" w:cs="Times New Roman"/>
                <w:sz w:val="20"/>
                <w:szCs w:val="20"/>
              </w:rPr>
            </w:pPr>
            <w:r w:rsidRPr="00507ED7">
              <w:t>Expected number of responses</w:t>
            </w:r>
            <w:r>
              <w:t xml:space="preserve"> </w:t>
            </w:r>
          </w:p>
        </w:tc>
      </w:tr>
      <w:tr w14:paraId="100C0626" w14:textId="77777777">
        <w:tblPrEx>
          <w:tblW w:w="9375" w:type="dxa"/>
          <w:tblLook w:val="04A0"/>
        </w:tblPrEx>
        <w:trPr>
          <w:trHeight w:val="128"/>
        </w:trPr>
        <w:tc>
          <w:tcPr>
            <w:tcW w:w="3443" w:type="dxa"/>
          </w:tcPr>
          <w:p w:rsidR="00912A79" w:rsidRPr="007D78CC" w14:paraId="312A379D" w14:textId="0BCE268C">
            <w:pPr>
              <w:spacing w:line="264" w:lineRule="auto"/>
              <w:rPr>
                <w:rFonts w:eastAsia="Times New Roman" w:cs="Times New Roman"/>
                <w:color w:val="000000"/>
              </w:rPr>
            </w:pPr>
            <w:r>
              <w:rPr>
                <w:rFonts w:eastAsia="Times New Roman" w:cs="Times New Roman"/>
                <w:color w:val="000000"/>
              </w:rPr>
              <w:t xml:space="preserve">1. Provider questionnaire (instrument </w:t>
            </w:r>
            <w:r w:rsidR="00C80CDD">
              <w:rPr>
                <w:rFonts w:eastAsia="Times New Roman" w:cs="Times New Roman"/>
                <w:color w:val="000000"/>
              </w:rPr>
              <w:t>5</w:t>
            </w:r>
            <w:r>
              <w:rPr>
                <w:rFonts w:eastAsia="Times New Roman" w:cs="Times New Roman"/>
                <w:color w:val="000000"/>
              </w:rPr>
              <w:t>)</w:t>
            </w:r>
          </w:p>
        </w:tc>
        <w:tc>
          <w:tcPr>
            <w:tcW w:w="2439" w:type="dxa"/>
          </w:tcPr>
          <w:p w:rsidR="00912A79" w:rsidRPr="007D78CC" w:rsidP="004D4631" w14:paraId="3BA455A8" w14:textId="77777777">
            <w:pPr>
              <w:tabs>
                <w:tab w:val="center" w:pos="1001"/>
              </w:tabs>
              <w:spacing w:line="264" w:lineRule="auto"/>
              <w:jc w:val="center"/>
              <w:rPr>
                <w:rFonts w:eastAsia="Times New Roman" w:cs="Times New Roman"/>
                <w:color w:val="000000"/>
              </w:rPr>
            </w:pPr>
            <w:r>
              <w:rPr>
                <w:rFonts w:eastAsia="Times New Roman" w:cs="Times New Roman"/>
                <w:color w:val="000000"/>
              </w:rPr>
              <w:t>224</w:t>
            </w:r>
          </w:p>
        </w:tc>
        <w:tc>
          <w:tcPr>
            <w:tcW w:w="1987" w:type="dxa"/>
          </w:tcPr>
          <w:p w:rsidR="00912A79" w:rsidRPr="007D78CC" w14:paraId="2A76DCC8" w14:textId="77777777">
            <w:pPr>
              <w:tabs>
                <w:tab w:val="decimal" w:pos="841"/>
              </w:tabs>
              <w:spacing w:line="264" w:lineRule="auto"/>
              <w:rPr>
                <w:rFonts w:eastAsia="Times New Roman" w:cs="Times New Roman"/>
                <w:color w:val="000000"/>
              </w:rPr>
            </w:pPr>
            <w:r>
              <w:rPr>
                <w:rFonts w:eastAsia="Times New Roman" w:cs="Times New Roman"/>
                <w:color w:val="000000"/>
              </w:rPr>
              <w:t>0.67</w:t>
            </w:r>
          </w:p>
        </w:tc>
        <w:tc>
          <w:tcPr>
            <w:tcW w:w="1506" w:type="dxa"/>
          </w:tcPr>
          <w:p w:rsidR="00912A79" w:rsidRPr="007D78CC" w14:paraId="2D00BAD3" w14:textId="77777777">
            <w:pPr>
              <w:tabs>
                <w:tab w:val="decimal" w:pos="841"/>
              </w:tabs>
              <w:spacing w:line="264" w:lineRule="auto"/>
              <w:rPr>
                <w:rFonts w:eastAsia="Times New Roman" w:cs="Times New Roman"/>
                <w:color w:val="000000"/>
              </w:rPr>
            </w:pPr>
            <w:r>
              <w:rPr>
                <w:rFonts w:eastAsia="Times New Roman" w:cs="Times New Roman"/>
                <w:color w:val="000000"/>
              </w:rPr>
              <w:t>150</w:t>
            </w:r>
          </w:p>
        </w:tc>
      </w:tr>
      <w:tr w14:paraId="48AF0B14" w14:textId="77777777">
        <w:tblPrEx>
          <w:tblW w:w="9375" w:type="dxa"/>
          <w:tblLook w:val="04A0"/>
        </w:tblPrEx>
        <w:trPr>
          <w:trHeight w:val="128"/>
        </w:trPr>
        <w:tc>
          <w:tcPr>
            <w:tcW w:w="3443" w:type="dxa"/>
          </w:tcPr>
          <w:p w:rsidR="00912A79" w14:paraId="38549CF2" w14:textId="7EA98AA5">
            <w:pPr>
              <w:spacing w:line="264" w:lineRule="auto"/>
              <w:rPr>
                <w:rFonts w:eastAsia="Times New Roman" w:cs="Times New Roman"/>
                <w:color w:val="000000"/>
              </w:rPr>
            </w:pPr>
            <w:r>
              <w:rPr>
                <w:rFonts w:eastAsia="Times New Roman" w:cs="Times New Roman"/>
                <w:color w:val="000000"/>
              </w:rPr>
              <w:t xml:space="preserve">2. Family survey (instrument </w:t>
            </w:r>
            <w:r w:rsidR="00C80CDD">
              <w:rPr>
                <w:rFonts w:eastAsia="Times New Roman" w:cs="Times New Roman"/>
                <w:color w:val="000000"/>
              </w:rPr>
              <w:t>6</w:t>
            </w:r>
            <w:r>
              <w:rPr>
                <w:rFonts w:eastAsia="Times New Roman" w:cs="Times New Roman"/>
                <w:color w:val="000000"/>
              </w:rPr>
              <w:t>)</w:t>
            </w:r>
          </w:p>
        </w:tc>
        <w:tc>
          <w:tcPr>
            <w:tcW w:w="2439" w:type="dxa"/>
          </w:tcPr>
          <w:p w:rsidR="00912A79" w:rsidRPr="007D78CC" w:rsidP="004D4631" w14:paraId="2115D226" w14:textId="560097BF">
            <w:pPr>
              <w:tabs>
                <w:tab w:val="center" w:pos="1091"/>
              </w:tabs>
              <w:spacing w:line="264" w:lineRule="auto"/>
              <w:jc w:val="center"/>
              <w:rPr>
                <w:rFonts w:eastAsia="Times New Roman" w:cs="Times New Roman"/>
                <w:color w:val="000000"/>
              </w:rPr>
            </w:pPr>
            <w:r>
              <w:rPr>
                <w:rFonts w:eastAsia="Times New Roman" w:cs="Times New Roman"/>
                <w:color w:val="000000"/>
              </w:rPr>
              <w:t xml:space="preserve"> </w:t>
            </w:r>
            <w:r>
              <w:rPr>
                <w:rFonts w:eastAsia="Times New Roman" w:cs="Times New Roman"/>
                <w:color w:val="000000"/>
              </w:rPr>
              <w:t>332</w:t>
            </w:r>
            <w:r w:rsidRPr="00762D1A">
              <w:rPr>
                <w:rFonts w:eastAsia="Times New Roman" w:cs="Times New Roman"/>
                <w:color w:val="000000"/>
                <w:vertAlign w:val="superscript"/>
              </w:rPr>
              <w:t>a</w:t>
            </w:r>
          </w:p>
        </w:tc>
        <w:tc>
          <w:tcPr>
            <w:tcW w:w="1987" w:type="dxa"/>
          </w:tcPr>
          <w:p w:rsidR="00912A79" w:rsidRPr="007D78CC" w14:paraId="5D2BB44D" w14:textId="77777777">
            <w:pPr>
              <w:tabs>
                <w:tab w:val="decimal" w:pos="841"/>
              </w:tabs>
              <w:spacing w:line="264" w:lineRule="auto"/>
              <w:rPr>
                <w:rFonts w:eastAsia="Times New Roman" w:cs="Times New Roman"/>
                <w:color w:val="000000"/>
              </w:rPr>
            </w:pPr>
            <w:r>
              <w:rPr>
                <w:rFonts w:eastAsia="Times New Roman" w:cs="Times New Roman"/>
                <w:color w:val="000000"/>
              </w:rPr>
              <w:t>0.50</w:t>
            </w:r>
          </w:p>
        </w:tc>
        <w:tc>
          <w:tcPr>
            <w:tcW w:w="1506" w:type="dxa"/>
          </w:tcPr>
          <w:p w:rsidR="00912A79" w14:paraId="70B0C629" w14:textId="77777777">
            <w:pPr>
              <w:tabs>
                <w:tab w:val="decimal" w:pos="841"/>
              </w:tabs>
              <w:spacing w:line="264" w:lineRule="auto"/>
              <w:rPr>
                <w:rFonts w:eastAsia="Times New Roman" w:cs="Times New Roman"/>
                <w:color w:val="000000"/>
              </w:rPr>
            </w:pPr>
            <w:r>
              <w:rPr>
                <w:rFonts w:eastAsia="Times New Roman" w:cs="Times New Roman"/>
                <w:color w:val="000000"/>
              </w:rPr>
              <w:t>166</w:t>
            </w:r>
          </w:p>
        </w:tc>
      </w:tr>
    </w:tbl>
    <w:p w:rsidR="00912A79" w:rsidRPr="00BE4779" w:rsidP="00912A79" w14:paraId="7E48E597" w14:textId="77777777">
      <w:pPr>
        <w:pStyle w:val="ExhibitFootnote"/>
        <w:rPr>
          <w:rFonts w:ascii="Arial" w:hAnsi="Arial" w:cs="Arial"/>
        </w:rPr>
      </w:pPr>
      <w:r w:rsidRPr="00BE4779">
        <w:rPr>
          <w:rFonts w:ascii="Arial" w:hAnsi="Arial" w:cs="Arial"/>
          <w:vertAlign w:val="superscript"/>
        </w:rPr>
        <w:t>a</w:t>
      </w:r>
      <w:r w:rsidRPr="00BE4779">
        <w:rPr>
          <w:rFonts w:ascii="Arial" w:hAnsi="Arial" w:cs="Arial"/>
        </w:rPr>
        <w:t xml:space="preserve">The study team expects 74 percent of recruited participants to distribute the family surveys to an average of two eligible families per provider. These assumptions are based on pilot study rates. </w:t>
      </w:r>
    </w:p>
    <w:p w:rsidR="001A6213" w:rsidRPr="001A59B6" w:rsidP="00B44FB3" w14:paraId="53A34214" w14:textId="4D9CBE34">
      <w:pPr>
        <w:autoSpaceDE w:val="0"/>
        <w:autoSpaceDN w:val="0"/>
        <w:adjustRightInd w:val="0"/>
        <w:spacing w:after="0" w:line="240" w:lineRule="atLeast"/>
        <w:rPr>
          <w:rFonts w:eastAsia="Times New Roman"/>
          <w:color w:val="000000"/>
        </w:rPr>
      </w:pPr>
    </w:p>
    <w:p w:rsidR="00A42C71" w:rsidRPr="001A59B6" w:rsidP="00A42C71" w14:paraId="7D020F8F"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E3050F" w:rsidP="00E03462" w14:paraId="2D7A3DA5" w14:textId="155AC694">
      <w:pPr>
        <w:pStyle w:val="ParagraphContinued"/>
        <w:spacing w:before="0" w:after="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As participants will not be randomly sampled and findings are not intended to be representative, non-response bias will not be calculated. Basic demographics of all potential respondents screened—including those who participate, are not eligible, or decline to participate—will be documented and reported in written materials associated with the data collection.</w:t>
      </w:r>
      <w:r>
        <w:rPr>
          <w:rStyle w:val="eop"/>
          <w:rFonts w:ascii="Calibri" w:hAnsi="Calibri" w:cs="Calibri"/>
          <w:color w:val="000000"/>
          <w:shd w:val="clear" w:color="auto" w:fill="FFFFFF"/>
        </w:rPr>
        <w:t> </w:t>
      </w:r>
    </w:p>
    <w:p w:rsidR="00E03462" w:rsidRPr="00BD15D4" w:rsidP="00BD15D4" w14:paraId="5680C640" w14:textId="77777777">
      <w:pPr>
        <w:pStyle w:val="Paragraph"/>
        <w:spacing w:after="0"/>
      </w:pPr>
    </w:p>
    <w:p w:rsidR="009C6FB1" w:rsidP="00E03462" w14:paraId="35E84DAE" w14:textId="5FC08447">
      <w:pPr>
        <w:pStyle w:val="ParagraphContinued"/>
        <w:spacing w:before="0" w:after="0"/>
        <w:rPr>
          <w:rFonts w:eastAsia="Times New Roman"/>
        </w:rPr>
      </w:pPr>
      <w:r>
        <w:rPr>
          <w:rFonts w:eastAsia="Times New Roman"/>
        </w:rPr>
        <w:t xml:space="preserve">The study team will collect </w:t>
      </w:r>
      <w:r w:rsidR="00C91792">
        <w:rPr>
          <w:rFonts w:eastAsia="Times New Roman"/>
        </w:rPr>
        <w:t>basic demographic and key</w:t>
      </w:r>
      <w:r>
        <w:rPr>
          <w:rFonts w:eastAsia="Times New Roman"/>
        </w:rPr>
        <w:t xml:space="preserve"> characteristics about providers and the families they care for </w:t>
      </w:r>
      <w:r w:rsidRPr="00E86582">
        <w:rPr>
          <w:rFonts w:eastAsia="Times New Roman"/>
        </w:rPr>
        <w:t xml:space="preserve">(Instrument </w:t>
      </w:r>
      <w:r w:rsidR="00C80CDD">
        <w:rPr>
          <w:rFonts w:eastAsia="Times New Roman"/>
        </w:rPr>
        <w:t>2</w:t>
      </w:r>
      <w:r w:rsidRPr="00E86582" w:rsidR="004C590B">
        <w:rPr>
          <w:rFonts w:eastAsia="Times New Roman"/>
        </w:rPr>
        <w:t xml:space="preserve"> or </w:t>
      </w:r>
      <w:r w:rsidR="00C80CDD">
        <w:rPr>
          <w:rFonts w:eastAsia="Times New Roman"/>
        </w:rPr>
        <w:t>3</w:t>
      </w:r>
      <w:r w:rsidRPr="00E86582" w:rsidR="005051EA">
        <w:rPr>
          <w:rFonts w:eastAsia="Times New Roman"/>
        </w:rPr>
        <w:t>,</w:t>
      </w:r>
      <w:r w:rsidRPr="00E86582" w:rsidR="004C590B">
        <w:rPr>
          <w:rFonts w:eastAsia="Times New Roman"/>
        </w:rPr>
        <w:t xml:space="preserve"> </w:t>
      </w:r>
      <w:r w:rsidRPr="00E86582">
        <w:rPr>
          <w:rFonts w:eastAsia="Times New Roman"/>
        </w:rPr>
        <w:t xml:space="preserve">Instrument </w:t>
      </w:r>
      <w:r w:rsidR="00C80CDD">
        <w:rPr>
          <w:rFonts w:eastAsia="Times New Roman"/>
        </w:rPr>
        <w:t>5</w:t>
      </w:r>
      <w:r w:rsidRPr="00E86582" w:rsidR="00DB7A9E">
        <w:rPr>
          <w:rFonts w:eastAsia="Times New Roman"/>
        </w:rPr>
        <w:t xml:space="preserve">, and Instrument </w:t>
      </w:r>
      <w:r w:rsidR="00C80CDD">
        <w:rPr>
          <w:rFonts w:eastAsia="Times New Roman"/>
        </w:rPr>
        <w:t>6</w:t>
      </w:r>
      <w:r w:rsidRPr="00E86582">
        <w:rPr>
          <w:rFonts w:eastAsia="Times New Roman"/>
        </w:rPr>
        <w:t xml:space="preserve">), </w:t>
      </w:r>
      <w:r w:rsidRPr="00E86582" w:rsidR="00D5445F">
        <w:rPr>
          <w:rFonts w:eastAsia="Times New Roman"/>
        </w:rPr>
        <w:t>including</w:t>
      </w:r>
      <w:r w:rsidRPr="00E86582">
        <w:rPr>
          <w:rFonts w:eastAsia="Times New Roman"/>
        </w:rPr>
        <w:t xml:space="preserve"> </w:t>
      </w:r>
      <w:r w:rsidRPr="00E86582" w:rsidR="00883ED2">
        <w:rPr>
          <w:rFonts w:eastAsia="Times New Roman"/>
        </w:rPr>
        <w:t>type of HBCC (FCC and FFN)</w:t>
      </w:r>
      <w:r w:rsidRPr="00E86582">
        <w:rPr>
          <w:rFonts w:eastAsia="Times New Roman"/>
        </w:rPr>
        <w:t xml:space="preserve"> and race</w:t>
      </w:r>
      <w:r w:rsidRPr="00E86582" w:rsidR="00314DB3">
        <w:rPr>
          <w:rFonts w:eastAsia="Times New Roman"/>
        </w:rPr>
        <w:t xml:space="preserve"> and </w:t>
      </w:r>
      <w:r w:rsidRPr="00E86582">
        <w:rPr>
          <w:rFonts w:eastAsia="Times New Roman"/>
        </w:rPr>
        <w:t>ethnicity</w:t>
      </w:r>
      <w:r w:rsidRPr="00E86582" w:rsidR="28A382E1">
        <w:rPr>
          <w:rFonts w:eastAsia="Times New Roman"/>
        </w:rPr>
        <w:t xml:space="preserve"> of providers</w:t>
      </w:r>
      <w:r w:rsidRPr="00E86582" w:rsidR="009C4CAA">
        <w:rPr>
          <w:rFonts w:eastAsia="Times New Roman"/>
        </w:rPr>
        <w:t xml:space="preserve"> and children in care</w:t>
      </w:r>
      <w:r w:rsidRPr="00E86582">
        <w:rPr>
          <w:rFonts w:eastAsia="Times New Roman"/>
        </w:rPr>
        <w:t xml:space="preserve">. The study team will assess whether non-response was more prevalent among particular types of providers, for example, </w:t>
      </w:r>
      <w:r w:rsidRPr="00E86582" w:rsidR="00883ED2">
        <w:rPr>
          <w:rFonts w:eastAsia="Times New Roman"/>
        </w:rPr>
        <w:t>FCC and FFN</w:t>
      </w:r>
      <w:r w:rsidRPr="00E86582">
        <w:rPr>
          <w:rFonts w:eastAsia="Times New Roman"/>
        </w:rPr>
        <w:t xml:space="preserve">. </w:t>
      </w:r>
      <w:r w:rsidRPr="00E86582" w:rsidR="006B5B4E">
        <w:rPr>
          <w:rFonts w:eastAsia="Times New Roman"/>
        </w:rPr>
        <w:t xml:space="preserve">In the HBCC-NSAC Toolkit </w:t>
      </w:r>
      <w:r w:rsidRPr="00E86582" w:rsidR="00004798">
        <w:rPr>
          <w:rFonts w:eastAsia="Times New Roman"/>
        </w:rPr>
        <w:t>pilot study</w:t>
      </w:r>
      <w:r w:rsidRPr="00E86582" w:rsidR="006B5B4E">
        <w:rPr>
          <w:rFonts w:eastAsia="Times New Roman"/>
        </w:rPr>
        <w:t xml:space="preserve">, </w:t>
      </w:r>
      <w:r w:rsidRPr="00E86582" w:rsidR="0065446B">
        <w:rPr>
          <w:rFonts w:eastAsia="Times New Roman"/>
        </w:rPr>
        <w:t xml:space="preserve">the team </w:t>
      </w:r>
      <w:r w:rsidRPr="00E86582" w:rsidR="008D249E">
        <w:rPr>
          <w:rFonts w:eastAsia="Times New Roman"/>
        </w:rPr>
        <w:t>examined</w:t>
      </w:r>
      <w:r w:rsidRPr="00E86582" w:rsidR="00004798">
        <w:rPr>
          <w:rFonts w:eastAsia="Times New Roman"/>
        </w:rPr>
        <w:t xml:space="preserve"> the provider questionnaire</w:t>
      </w:r>
      <w:r w:rsidRPr="00E86582" w:rsidR="008D249E">
        <w:rPr>
          <w:rFonts w:eastAsia="Times New Roman"/>
        </w:rPr>
        <w:t xml:space="preserve"> item level nonresponse </w:t>
      </w:r>
      <w:r w:rsidRPr="00E86582" w:rsidR="00BB7B8F">
        <w:rPr>
          <w:rFonts w:eastAsia="Times New Roman"/>
        </w:rPr>
        <w:t>and dropped items with the goal of minimizing item non-response in the instruments used in this study.</w:t>
      </w:r>
      <w:r w:rsidR="00BB7B8F">
        <w:rPr>
          <w:rFonts w:eastAsia="Times New Roman"/>
        </w:rPr>
        <w:t xml:space="preserve"> </w:t>
      </w:r>
      <w:r w:rsidRPr="00BB7B8F" w:rsidR="00BB7B8F">
        <w:t xml:space="preserve"> </w:t>
      </w:r>
      <w:r w:rsidR="00BB7B8F">
        <w:rPr>
          <w:rFonts w:eastAsia="Times New Roman"/>
        </w:rPr>
        <w:t>If</w:t>
      </w:r>
      <w:r w:rsidRPr="00BB7B8F" w:rsidR="00BB7B8F">
        <w:rPr>
          <w:rFonts w:eastAsia="Times New Roman"/>
        </w:rPr>
        <w:t xml:space="preserve"> item level nonresponse </w:t>
      </w:r>
      <w:r w:rsidR="00196069">
        <w:rPr>
          <w:rFonts w:eastAsia="Times New Roman"/>
        </w:rPr>
        <w:t>in the validation study responses</w:t>
      </w:r>
      <w:r w:rsidR="00A43477">
        <w:rPr>
          <w:rFonts w:eastAsia="Times New Roman"/>
        </w:rPr>
        <w:t xml:space="preserve"> </w:t>
      </w:r>
      <w:r w:rsidRPr="00BB7B8F" w:rsidR="00BB7B8F">
        <w:rPr>
          <w:rFonts w:eastAsia="Times New Roman"/>
        </w:rPr>
        <w:t>is greater than ten percent, the study team will examine the associations between nonresponse and provider characteristics, such as race or ethnicity of providers, race or ethnicity of children in care, provider experience levels, or the number of children cared for and their age groups. Examination of item level nonresponse will be used to inform the analyses of the items and dimensions</w:t>
      </w:r>
      <w:r w:rsidR="00BB7B8F">
        <w:rPr>
          <w:rFonts w:eastAsia="Times New Roman"/>
        </w:rPr>
        <w:t>.</w:t>
      </w:r>
    </w:p>
    <w:p w:rsidR="00E03462" w:rsidRPr="00BD15D4" w:rsidP="00BD15D4" w14:paraId="366D717C" w14:textId="77777777">
      <w:pPr>
        <w:pStyle w:val="Paragraph"/>
        <w:spacing w:after="0"/>
      </w:pPr>
    </w:p>
    <w:p w:rsidR="00FF117C" w:rsidP="00BD15D4" w14:paraId="73D5B07A" w14:textId="23ED8896">
      <w:pPr>
        <w:pStyle w:val="Paragraph"/>
        <w:spacing w:after="0"/>
      </w:pPr>
      <w:r w:rsidRPr="00BC5ACF">
        <w:t>The</w:t>
      </w:r>
      <w:r>
        <w:t xml:space="preserve"> study</w:t>
      </w:r>
      <w:r w:rsidRPr="00BC5ACF">
        <w:t xml:space="preserve"> team will follow up with </w:t>
      </w:r>
      <w:r w:rsidR="0099765C">
        <w:t xml:space="preserve">recruited </w:t>
      </w:r>
      <w:r w:rsidR="00D976DC">
        <w:t>providers</w:t>
      </w:r>
      <w:r w:rsidR="0099765C">
        <w:t xml:space="preserve"> who have not completed all data collection activities</w:t>
      </w:r>
      <w:r w:rsidRPr="00BC5ACF">
        <w:t xml:space="preserve"> </w:t>
      </w:r>
      <w:r>
        <w:t>regularly by email,</w:t>
      </w:r>
      <w:r w:rsidR="00886CC8">
        <w:t xml:space="preserve"> regular</w:t>
      </w:r>
      <w:r>
        <w:t xml:space="preserve"> mail, and</w:t>
      </w:r>
      <w:r w:rsidR="00886CC8">
        <w:t xml:space="preserve"> phone</w:t>
      </w:r>
      <w:r>
        <w:t xml:space="preserve"> text</w:t>
      </w:r>
      <w:r w:rsidR="00886CC8">
        <w:t>ing</w:t>
      </w:r>
      <w:r w:rsidRPr="00BC5ACF">
        <w:t xml:space="preserve"> to encourage </w:t>
      </w:r>
      <w:r w:rsidR="0099765C">
        <w:t>completion and troubleshoot any technology, mailing, or logistical challenges</w:t>
      </w:r>
      <w:r w:rsidR="00A44F2A">
        <w:t xml:space="preserve"> related to their own or their invited family data collection activities</w:t>
      </w:r>
      <w:r w:rsidRPr="00BC5ACF">
        <w:t xml:space="preserve">. </w:t>
      </w:r>
    </w:p>
    <w:p w:rsidR="00BE4779" w:rsidP="00E03462" w14:paraId="1EB9E54B" w14:textId="57EE4A05">
      <w:pPr>
        <w:spacing w:after="0" w:line="240" w:lineRule="auto"/>
        <w:rPr>
          <w:rFonts w:eastAsia="Times New Roman" w:cstheme="minorHAnsi"/>
          <w:b/>
          <w:bCs/>
        </w:rPr>
      </w:pPr>
    </w:p>
    <w:p w:rsidR="00E03462" w:rsidP="00BD15D4" w14:paraId="6B9A73A3" w14:textId="77777777">
      <w:pPr>
        <w:spacing w:after="0" w:line="240" w:lineRule="auto"/>
        <w:rPr>
          <w:rFonts w:eastAsia="Times New Roman" w:cstheme="minorHAnsi"/>
          <w:b/>
          <w:bCs/>
        </w:rPr>
      </w:pPr>
    </w:p>
    <w:p w:rsidR="00A42C71" w:rsidRPr="001A59B6" w:rsidP="00A42C71" w14:paraId="4E6826E7" w14:textId="4FD7A3F6">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A42C71" w:rsidRPr="001A59B6" w:rsidP="00BD15D4" w14:paraId="54D795CB" w14:textId="43DDE25D">
      <w:pPr>
        <w:pStyle w:val="ParagraphContinued"/>
        <w:spacing w:before="0" w:after="0"/>
        <w:rPr>
          <w:rFonts w:eastAsia="Times New Roman" w:cstheme="minorHAnsi"/>
        </w:rPr>
      </w:pPr>
      <w:r>
        <w:rPr>
          <w:rStyle w:val="normaltextrun"/>
          <w:rFonts w:ascii="Calibri" w:hAnsi="Calibri" w:cs="Calibri"/>
          <w:color w:val="000000"/>
          <w:shd w:val="clear" w:color="auto" w:fill="FFFFFF"/>
        </w:rPr>
        <w:t>The data will not be used to generate population estimates, either for internal use or dissemination. Information reported will clearly state that results are not meant to be generalizable.</w:t>
      </w:r>
      <w:r>
        <w:rPr>
          <w:rStyle w:val="eop"/>
          <w:rFonts w:ascii="Calibri" w:hAnsi="Calibri" w:cs="Calibri"/>
          <w:color w:val="000000"/>
          <w:shd w:val="clear" w:color="auto" w:fill="FFFFFF"/>
        </w:rPr>
        <w:t> </w:t>
      </w:r>
      <w:r w:rsidRPr="7814BE3E">
        <w:rPr>
          <w:rFonts w:eastAsia="Times New Roman"/>
        </w:rPr>
        <w:t xml:space="preserve"> </w:t>
      </w:r>
    </w:p>
    <w:p w:rsidR="00A42C71" w:rsidP="00A42C71" w14:paraId="6D9A7ABD" w14:textId="395381F6">
      <w:pPr>
        <w:spacing w:after="0" w:line="240" w:lineRule="auto"/>
        <w:rPr>
          <w:rFonts w:eastAsia="Times New Roman" w:cstheme="minorHAnsi"/>
        </w:rPr>
      </w:pPr>
    </w:p>
    <w:p w:rsidR="00E03462" w:rsidRPr="001A59B6" w:rsidP="00A42C71" w14:paraId="53AD9DF2" w14:textId="77777777">
      <w:pPr>
        <w:spacing w:after="0" w:line="240" w:lineRule="auto"/>
        <w:rPr>
          <w:rFonts w:eastAsia="Times New Roman" w:cstheme="minorHAnsi"/>
        </w:rPr>
      </w:pPr>
    </w:p>
    <w:p w:rsidR="00A42C71" w:rsidRPr="001A59B6" w:rsidP="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8B0687" w:rsidP="00E03462" w14:paraId="061F0D07" w14:textId="72B06E68">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Trained study team recruiters will enter d</w:t>
      </w:r>
      <w:r w:rsidRPr="00181E94" w:rsidR="00181E94">
        <w:rPr>
          <w:rFonts w:eastAsia="Times New Roman" w:cstheme="minorHAnsi"/>
          <w:bCs/>
          <w:iCs/>
          <w:color w:val="000000"/>
        </w:rPr>
        <w:t xml:space="preserve">ata collected during the recruitment call into a secure electronic database. The original recruitment call script used to collect data about provider characteristics and eligibility will be saved to a secure </w:t>
      </w:r>
      <w:r>
        <w:rPr>
          <w:rFonts w:eastAsia="Times New Roman" w:cstheme="minorHAnsi"/>
          <w:bCs/>
          <w:iCs/>
          <w:color w:val="000000"/>
        </w:rPr>
        <w:t xml:space="preserve">Mathematica </w:t>
      </w:r>
      <w:r w:rsidRPr="00181E94" w:rsidR="00181E94">
        <w:rPr>
          <w:rFonts w:eastAsia="Times New Roman" w:cstheme="minorHAnsi"/>
          <w:bCs/>
          <w:iCs/>
          <w:color w:val="000000"/>
        </w:rPr>
        <w:t>network folder. Data retrieved from the web-based instruments (including data collected by phone and paper that is entered into the web-based instruments) will be saved on a secure drive accessible only to Mathematica study team members. Direct export of the electronic data to the secure drive will result in minimal processing.</w:t>
      </w:r>
      <w:r w:rsidR="009424EC">
        <w:rPr>
          <w:rFonts w:eastAsia="Times New Roman" w:cstheme="minorHAnsi"/>
          <w:bCs/>
          <w:iCs/>
          <w:color w:val="000000"/>
        </w:rPr>
        <w:t xml:space="preserve"> See </w:t>
      </w:r>
      <w:r w:rsidRPr="009424EC" w:rsidR="009424EC">
        <w:rPr>
          <w:rFonts w:eastAsia="Times New Roman" w:cstheme="minorHAnsi"/>
          <w:bCs/>
          <w:iCs/>
          <w:color w:val="000000"/>
        </w:rPr>
        <w:t xml:space="preserve">Supporting Statement Part </w:t>
      </w:r>
      <w:r w:rsidR="009424EC">
        <w:rPr>
          <w:rFonts w:eastAsia="Times New Roman" w:cstheme="minorHAnsi"/>
          <w:bCs/>
          <w:iCs/>
          <w:color w:val="000000"/>
        </w:rPr>
        <w:t>A</w:t>
      </w:r>
      <w:r w:rsidRPr="009424EC" w:rsidR="009424EC">
        <w:rPr>
          <w:rFonts w:eastAsia="Times New Roman" w:cstheme="minorHAnsi"/>
          <w:bCs/>
          <w:iCs/>
          <w:color w:val="000000"/>
        </w:rPr>
        <w:t xml:space="preserve"> Section </w:t>
      </w:r>
      <w:r w:rsidR="007B7B30">
        <w:rPr>
          <w:rFonts w:eastAsia="Times New Roman" w:cstheme="minorHAnsi"/>
          <w:bCs/>
          <w:iCs/>
          <w:color w:val="000000"/>
        </w:rPr>
        <w:t xml:space="preserve">A10 for </w:t>
      </w:r>
      <w:r w:rsidR="004A48AF">
        <w:rPr>
          <w:rFonts w:eastAsia="Times New Roman" w:cstheme="minorHAnsi"/>
          <w:bCs/>
          <w:iCs/>
          <w:color w:val="000000"/>
        </w:rPr>
        <w:t>further discussion of data handling.</w:t>
      </w:r>
      <w:r w:rsidRPr="00181E94" w:rsidR="00181E94">
        <w:rPr>
          <w:rFonts w:eastAsia="Times New Roman" w:cstheme="minorHAnsi"/>
          <w:bCs/>
          <w:iCs/>
          <w:color w:val="000000"/>
        </w:rPr>
        <w:t xml:space="preserve"> </w:t>
      </w:r>
    </w:p>
    <w:p w:rsidR="00E03462" w:rsidP="00BD15D4" w14:paraId="35FECA4D" w14:textId="77777777">
      <w:pPr>
        <w:autoSpaceDE w:val="0"/>
        <w:autoSpaceDN w:val="0"/>
        <w:adjustRightInd w:val="0"/>
        <w:spacing w:after="0" w:line="240" w:lineRule="atLeast"/>
        <w:rPr>
          <w:rFonts w:eastAsia="Times New Roman" w:cstheme="minorHAnsi"/>
          <w:bCs/>
          <w:iCs/>
          <w:color w:val="000000"/>
        </w:rPr>
      </w:pPr>
    </w:p>
    <w:p w:rsidR="00A42C71" w:rsidRPr="001A59B6" w:rsidP="00181E94" w14:paraId="4DB1214F" w14:textId="3B304184">
      <w:pPr>
        <w:autoSpaceDE w:val="0"/>
        <w:autoSpaceDN w:val="0"/>
        <w:adjustRightInd w:val="0"/>
        <w:spacing w:after="60" w:line="240" w:lineRule="atLeast"/>
        <w:rPr>
          <w:rFonts w:eastAsia="Times New Roman"/>
          <w:color w:val="000000"/>
        </w:rPr>
      </w:pPr>
      <w:r w:rsidRPr="29798801">
        <w:rPr>
          <w:rFonts w:eastAsia="Times New Roman"/>
          <w:color w:val="000000" w:themeColor="text1"/>
        </w:rPr>
        <w:t xml:space="preserve">Providers will receive prepaid mailing materials to return completed paper </w:t>
      </w:r>
      <w:r w:rsidR="00781DCA">
        <w:rPr>
          <w:rFonts w:eastAsia="Times New Roman"/>
          <w:color w:val="000000" w:themeColor="text1"/>
        </w:rPr>
        <w:t xml:space="preserve">provider questionnaires (Instrument </w:t>
      </w:r>
      <w:r w:rsidR="000621C6">
        <w:rPr>
          <w:rFonts w:eastAsia="Times New Roman"/>
          <w:color w:val="000000" w:themeColor="text1"/>
        </w:rPr>
        <w:t>5</w:t>
      </w:r>
      <w:r w:rsidR="00781DCA">
        <w:rPr>
          <w:rFonts w:eastAsia="Times New Roman"/>
          <w:color w:val="000000" w:themeColor="text1"/>
        </w:rPr>
        <w:t xml:space="preserve">) </w:t>
      </w:r>
      <w:r w:rsidR="00857F80">
        <w:rPr>
          <w:rFonts w:eastAsia="Times New Roman"/>
          <w:color w:val="000000" w:themeColor="text1"/>
        </w:rPr>
        <w:t>and</w:t>
      </w:r>
      <w:r w:rsidR="00D92475">
        <w:rPr>
          <w:rFonts w:eastAsia="Times New Roman"/>
          <w:color w:val="000000" w:themeColor="text1"/>
        </w:rPr>
        <w:t xml:space="preserve">/or completed paper family surveys (Instrument </w:t>
      </w:r>
      <w:r w:rsidR="000621C6">
        <w:rPr>
          <w:rFonts w:eastAsia="Times New Roman"/>
          <w:color w:val="000000" w:themeColor="text1"/>
        </w:rPr>
        <w:t>6</w:t>
      </w:r>
      <w:r w:rsidR="00D92475">
        <w:rPr>
          <w:rFonts w:eastAsia="Times New Roman"/>
          <w:color w:val="000000" w:themeColor="text1"/>
        </w:rPr>
        <w:t xml:space="preserve">) </w:t>
      </w:r>
      <w:r w:rsidRPr="29798801">
        <w:rPr>
          <w:rFonts w:eastAsia="Times New Roman"/>
          <w:color w:val="000000" w:themeColor="text1"/>
        </w:rPr>
        <w:t xml:space="preserve">to Mathematica. </w:t>
      </w:r>
      <w:r w:rsidR="00F57DD9">
        <w:rPr>
          <w:rFonts w:eastAsia="Times New Roman"/>
          <w:color w:val="000000" w:themeColor="text1"/>
        </w:rPr>
        <w:t xml:space="preserve">Families may also receive </w:t>
      </w:r>
      <w:r w:rsidRPr="29798801" w:rsidR="00F57DD9">
        <w:rPr>
          <w:rFonts w:eastAsia="Times New Roman"/>
          <w:color w:val="000000" w:themeColor="text1"/>
        </w:rPr>
        <w:t xml:space="preserve">prepaid mailing materials to return </w:t>
      </w:r>
      <w:r w:rsidR="00F57DD9">
        <w:rPr>
          <w:rFonts w:eastAsia="Times New Roman"/>
          <w:color w:val="000000" w:themeColor="text1"/>
        </w:rPr>
        <w:t>their c</w:t>
      </w:r>
      <w:r w:rsidRPr="29798801" w:rsidR="00F57DD9">
        <w:rPr>
          <w:rFonts w:eastAsia="Times New Roman"/>
          <w:color w:val="000000" w:themeColor="text1"/>
        </w:rPr>
        <w:t>ompleted paper</w:t>
      </w:r>
      <w:r w:rsidR="00F57DD9">
        <w:rPr>
          <w:rFonts w:eastAsia="Times New Roman"/>
          <w:color w:val="000000" w:themeColor="text1"/>
        </w:rPr>
        <w:t xml:space="preserve"> family survey</w:t>
      </w:r>
      <w:r w:rsidR="00092ACE">
        <w:rPr>
          <w:rFonts w:eastAsia="Times New Roman"/>
          <w:color w:val="000000" w:themeColor="text1"/>
        </w:rPr>
        <w:t xml:space="preserve"> directly to Mathematica</w:t>
      </w:r>
      <w:r w:rsidR="00F57DD9">
        <w:rPr>
          <w:rFonts w:eastAsia="Times New Roman"/>
          <w:color w:val="000000" w:themeColor="text1"/>
        </w:rPr>
        <w:t xml:space="preserve"> </w:t>
      </w:r>
      <w:r w:rsidR="00092ACE">
        <w:rPr>
          <w:rFonts w:eastAsia="Times New Roman"/>
          <w:color w:val="000000" w:themeColor="text1"/>
        </w:rPr>
        <w:t>if</w:t>
      </w:r>
      <w:r w:rsidR="00F57DD9">
        <w:rPr>
          <w:rFonts w:eastAsia="Times New Roman"/>
          <w:color w:val="000000" w:themeColor="text1"/>
        </w:rPr>
        <w:t xml:space="preserve"> request</w:t>
      </w:r>
      <w:r w:rsidR="00092ACE">
        <w:rPr>
          <w:rFonts w:eastAsia="Times New Roman"/>
          <w:color w:val="000000" w:themeColor="text1"/>
        </w:rPr>
        <w:t xml:space="preserve">ed. </w:t>
      </w:r>
    </w:p>
    <w:p w:rsidR="00A42C71" w:rsidRPr="001A59B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1A59B6" w:rsidP="00A42C71" w14:paraId="029DADD1" w14:textId="70D53529">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012C87" w:rsidP="00BD15D4" w14:paraId="1BE09401" w14:textId="0E4275A2">
      <w:pPr>
        <w:pStyle w:val="ParagraphContinued"/>
        <w:spacing w:before="0"/>
      </w:pPr>
      <w:r>
        <w:t>The</w:t>
      </w:r>
      <w:r>
        <w:t xml:space="preserve"> analysis methods will use both classical and item response theory (IRT) approaches to examine the </w:t>
      </w:r>
      <w:r w:rsidR="00765D45">
        <w:t xml:space="preserve">domains and </w:t>
      </w:r>
      <w:r w:rsidR="00D2185E">
        <w:t xml:space="preserve">dimensions in the </w:t>
      </w:r>
      <w:r w:rsidR="00E059D1">
        <w:t>provider questionnaire</w:t>
      </w:r>
      <w:r>
        <w:t>, including:</w:t>
      </w:r>
    </w:p>
    <w:p w:rsidR="00012C87" w:rsidRPr="00B253BE" w:rsidP="00012C87" w14:paraId="119A9E11" w14:textId="26A77689">
      <w:pPr>
        <w:pStyle w:val="ListBullet"/>
      </w:pPr>
      <w:r w:rsidRPr="00F80794">
        <w:rPr>
          <w:b/>
          <w:bCs/>
        </w:rPr>
        <w:t>Descriptive statistics</w:t>
      </w:r>
      <w:r w:rsidRPr="00B253BE">
        <w:t xml:space="preserve"> </w:t>
      </w:r>
      <w:r>
        <w:t xml:space="preserve">(median, standard deviation, and frequencies) </w:t>
      </w:r>
      <w:r w:rsidRPr="00B253BE">
        <w:t xml:space="preserve">to examine the distribution of responses </w:t>
      </w:r>
      <w:r>
        <w:t xml:space="preserve">overall and by subgroup (i.e., </w:t>
      </w:r>
      <w:r w:rsidR="001339B0">
        <w:t>FCC and FFN</w:t>
      </w:r>
      <w:r w:rsidR="007A44D1">
        <w:t xml:space="preserve"> providers</w:t>
      </w:r>
      <w:r>
        <w:t xml:space="preserve">, </w:t>
      </w:r>
      <w:r w:rsidR="001339B0">
        <w:t>urban and rural</w:t>
      </w:r>
      <w:r w:rsidR="000916B2">
        <w:t xml:space="preserve">, </w:t>
      </w:r>
      <w:r w:rsidR="00286562">
        <w:t xml:space="preserve">and </w:t>
      </w:r>
      <w:r>
        <w:t>racial and ethnic groups).</w:t>
      </w:r>
    </w:p>
    <w:p w:rsidR="00012C87" w:rsidP="00012C87" w14:paraId="73AEB263" w14:textId="3F7800A2">
      <w:pPr>
        <w:pStyle w:val="ListBullet"/>
      </w:pPr>
      <w:r w:rsidRPr="00A378EB">
        <w:rPr>
          <w:b/>
          <w:bCs/>
        </w:rPr>
        <w:t xml:space="preserve">Reliability estimates. </w:t>
      </w:r>
      <w:r w:rsidRPr="0089208F">
        <w:t>To ensure the</w:t>
      </w:r>
      <w:r>
        <w:t xml:space="preserve"> </w:t>
      </w:r>
      <w:r w:rsidR="004221C6">
        <w:t>provider questionnaire</w:t>
      </w:r>
      <w:r w:rsidRPr="0089208F" w:rsidR="004221C6">
        <w:t xml:space="preserve"> </w:t>
      </w:r>
      <w:r w:rsidRPr="0089208F">
        <w:t>provide</w:t>
      </w:r>
      <w:r w:rsidR="004221C6">
        <w:t>s</w:t>
      </w:r>
      <w:r w:rsidRPr="0089208F">
        <w:t xml:space="preserve"> reliable measurement</w:t>
      </w:r>
      <w:r>
        <w:t>s</w:t>
      </w:r>
      <w:r w:rsidRPr="0089208F">
        <w:t xml:space="preserve"> of </w:t>
      </w:r>
      <w:r>
        <w:t>care for school-age and mixed-age groups of children in HBCC</w:t>
      </w:r>
      <w:r w:rsidRPr="0089208F">
        <w:t xml:space="preserve">, </w:t>
      </w:r>
      <w:r w:rsidR="004235B1">
        <w:t>the study team</w:t>
      </w:r>
      <w:r w:rsidRPr="0089208F" w:rsidR="004235B1">
        <w:t xml:space="preserve"> </w:t>
      </w:r>
      <w:r w:rsidRPr="0089208F">
        <w:t xml:space="preserve">will estimate </w:t>
      </w:r>
      <w:r>
        <w:t xml:space="preserve">internal consistency </w:t>
      </w:r>
      <w:r w:rsidRPr="0089208F">
        <w:t xml:space="preserve">reliability as measured by the </w:t>
      </w:r>
      <w:r>
        <w:t>Cronbach’s</w:t>
      </w:r>
      <w:r w:rsidRPr="0089208F">
        <w:t xml:space="preserve"> alpha </w:t>
      </w:r>
      <w:r>
        <w:t xml:space="preserve">(Cronbach 1951) </w:t>
      </w:r>
      <w:r w:rsidRPr="0089208F">
        <w:t xml:space="preserve">and </w:t>
      </w:r>
      <w:r>
        <w:t>examine</w:t>
      </w:r>
      <w:r w:rsidRPr="0089208F">
        <w:t xml:space="preserve"> item-total correlations. </w:t>
      </w:r>
    </w:p>
    <w:p w:rsidR="00012C87" w:rsidP="00E03462" w14:paraId="0FFE735C" w14:textId="454E31C1">
      <w:pPr>
        <w:pStyle w:val="ListBullet"/>
        <w:spacing w:after="0"/>
      </w:pPr>
      <w:r w:rsidRPr="00A378EB">
        <w:rPr>
          <w:b/>
          <w:bCs/>
        </w:rPr>
        <w:t xml:space="preserve">IRT analysis. </w:t>
      </w:r>
      <w:r w:rsidRPr="0089208F">
        <w:t xml:space="preserve">To examine item functioning within </w:t>
      </w:r>
      <w:r w:rsidR="004A048E">
        <w:t>dimensions</w:t>
      </w:r>
      <w:r w:rsidRPr="0089208F" w:rsidR="004A048E">
        <w:t xml:space="preserve"> </w:t>
      </w:r>
      <w:r w:rsidRPr="0089208F">
        <w:t xml:space="preserve">and evaluate </w:t>
      </w:r>
      <w:r>
        <w:t xml:space="preserve">domain </w:t>
      </w:r>
      <w:r w:rsidRPr="0089208F">
        <w:t xml:space="preserve">validity, </w:t>
      </w:r>
      <w:r w:rsidR="004235B1">
        <w:t>the study team</w:t>
      </w:r>
      <w:r w:rsidRPr="0089208F" w:rsidR="004235B1">
        <w:t xml:space="preserve"> </w:t>
      </w:r>
      <w:r w:rsidRPr="0089208F">
        <w:t>will conduct one-parameter IRT analys</w:t>
      </w:r>
      <w:r>
        <w:t>e</w:t>
      </w:r>
      <w:r w:rsidRPr="0089208F">
        <w:t xml:space="preserve">s </w:t>
      </w:r>
      <w:r>
        <w:t>(</w:t>
      </w:r>
      <w:r w:rsidRPr="0089208F">
        <w:t>Rasch model</w:t>
      </w:r>
      <w:r>
        <w:t>s</w:t>
      </w:r>
      <w:r w:rsidRPr="0089208F">
        <w:t>)</w:t>
      </w:r>
      <w:r>
        <w:t xml:space="preserve"> that are informed by results from </w:t>
      </w:r>
      <w:r w:rsidRPr="0089208F">
        <w:t xml:space="preserve">the pilot </w:t>
      </w:r>
      <w:r w:rsidR="0003436E">
        <w:t>study findings</w:t>
      </w:r>
      <w:r>
        <w:t xml:space="preserve">. </w:t>
      </w:r>
      <w:r w:rsidR="0077167A">
        <w:t xml:space="preserve">For example, the pilot study analysis indicated that the original response scale categories did not discriminate well among providers for most items, and the validation study analysis might </w:t>
      </w:r>
      <w:r w:rsidR="008E1A74">
        <w:t xml:space="preserve">indicate </w:t>
      </w:r>
      <w:r w:rsidR="0077167A">
        <w:t xml:space="preserve">a need to collapse two of the response categories in the </w:t>
      </w:r>
      <w:r w:rsidR="009D4F87">
        <w:t>revised</w:t>
      </w:r>
      <w:r w:rsidR="0077167A">
        <w:t xml:space="preserve"> response </w:t>
      </w:r>
      <w:r w:rsidR="008E1A74">
        <w:t>scale</w:t>
      </w:r>
      <w:r w:rsidR="00B13465">
        <w:t xml:space="preserve"> for better measurement </w:t>
      </w:r>
      <w:r w:rsidR="009D4F87">
        <w:t xml:space="preserve">(Instrument </w:t>
      </w:r>
      <w:r w:rsidR="000621C6">
        <w:t>5</w:t>
      </w:r>
      <w:r w:rsidR="009D4F87">
        <w:t>)</w:t>
      </w:r>
      <w:r w:rsidR="0077167A">
        <w:t xml:space="preserve">. </w:t>
      </w:r>
    </w:p>
    <w:p w:rsidR="00E03462" w:rsidP="00BD15D4" w14:paraId="140B7AFA" w14:textId="77777777">
      <w:pPr>
        <w:pStyle w:val="ListBullet"/>
        <w:numPr>
          <w:ilvl w:val="0"/>
          <w:numId w:val="0"/>
        </w:numPr>
        <w:spacing w:after="0"/>
        <w:ind w:left="360"/>
      </w:pPr>
    </w:p>
    <w:p w:rsidR="00012C87" w:rsidP="00E03462" w14:paraId="2F9C3969" w14:textId="188F0E4D">
      <w:pPr>
        <w:pStyle w:val="ParagraphContinued"/>
        <w:spacing w:before="0" w:after="0"/>
      </w:pPr>
      <w:r>
        <w:t>Additional analyses for the validation study will provide further evidence for construct, convergent, and discriminant validity</w:t>
      </w:r>
      <w:r w:rsidR="00286562">
        <w:t>, described below</w:t>
      </w:r>
      <w:r>
        <w:t>.</w:t>
      </w:r>
    </w:p>
    <w:p w:rsidR="00E03462" w:rsidRPr="00E03462" w:rsidP="00BD15D4" w14:paraId="43246369" w14:textId="77777777">
      <w:pPr>
        <w:pStyle w:val="Paragraph"/>
        <w:spacing w:after="0"/>
      </w:pPr>
    </w:p>
    <w:p w:rsidR="001435B4" w:rsidP="00E03462" w14:paraId="0538633F" w14:textId="772978E6">
      <w:pPr>
        <w:pStyle w:val="Paragraph"/>
        <w:spacing w:after="0"/>
      </w:pPr>
      <w:r w:rsidRPr="00FB16B1">
        <w:rPr>
          <w:b/>
          <w:bCs/>
        </w:rPr>
        <w:t>Construct validity evidence</w:t>
      </w:r>
      <w:r>
        <w:rPr>
          <w:b/>
          <w:bCs/>
        </w:rPr>
        <w:t>.</w:t>
      </w:r>
      <w:r>
        <w:t xml:space="preserve"> </w:t>
      </w:r>
      <w:r w:rsidR="004235B1">
        <w:t xml:space="preserve">The study team </w:t>
      </w:r>
      <w:r w:rsidR="00067B85">
        <w:t>will</w:t>
      </w:r>
      <w:r>
        <w:t xml:space="preserve"> examine whether the items in each dimension</w:t>
      </w:r>
      <w:r w:rsidR="00067B85">
        <w:t xml:space="preserve"> of the </w:t>
      </w:r>
      <w:r w:rsidR="00E812ED">
        <w:t xml:space="preserve">provider </w:t>
      </w:r>
      <w:r w:rsidR="00E15D7E">
        <w:t>questionnaire</w:t>
      </w:r>
      <w:r w:rsidR="00E812ED">
        <w:t xml:space="preserve"> </w:t>
      </w:r>
      <w:r>
        <w:t xml:space="preserve">provide similar evidence for that construct across subgroups of interest. </w:t>
      </w:r>
      <w:r w:rsidR="004235B1">
        <w:t xml:space="preserve">The team </w:t>
      </w:r>
      <w:r w:rsidRPr="0089208F">
        <w:t>will examine the</w:t>
      </w:r>
      <w:r>
        <w:t xml:space="preserve"> Rasch </w:t>
      </w:r>
      <w:r w:rsidR="00FA656F">
        <w:t xml:space="preserve">rating scale </w:t>
      </w:r>
      <w:r>
        <w:t>model</w:t>
      </w:r>
      <w:r>
        <w:rPr>
          <w:rStyle w:val="FootnoteReference"/>
        </w:rPr>
        <w:footnoteReference w:id="8"/>
      </w:r>
      <w:r>
        <w:t xml:space="preserve"> for each dimension </w:t>
      </w:r>
      <w:r w:rsidR="00FA656F">
        <w:t xml:space="preserve">(with the full sample) </w:t>
      </w:r>
      <w:r>
        <w:t>and the</w:t>
      </w:r>
      <w:r w:rsidRPr="0089208F">
        <w:t xml:space="preserve"> model’s replicability for specified subgroups of interest (for example, </w:t>
      </w:r>
      <w:r w:rsidR="007A44D1">
        <w:t>FCC and FFN</w:t>
      </w:r>
      <w:r>
        <w:t xml:space="preserve"> providers</w:t>
      </w:r>
      <w:r w:rsidR="005F4218">
        <w:t xml:space="preserve"> </w:t>
      </w:r>
      <w:r w:rsidRPr="00FC7001">
        <w:t>or urban and rural).</w:t>
      </w:r>
      <w:r>
        <w:t xml:space="preserve"> </w:t>
      </w:r>
      <w:r w:rsidR="004235B1">
        <w:t xml:space="preserve">The team </w:t>
      </w:r>
      <w:r>
        <w:t>will conduct analyses of potential</w:t>
      </w:r>
      <w:r w:rsidRPr="00094D49">
        <w:t xml:space="preserve"> </w:t>
      </w:r>
      <w:r w:rsidR="00D34064">
        <w:t>DIF</w:t>
      </w:r>
      <w:r w:rsidR="006A3A7B">
        <w:t xml:space="preserve"> </w:t>
      </w:r>
      <w:r w:rsidR="0089188D">
        <w:t>for</w:t>
      </w:r>
      <w:r w:rsidR="006A3A7B">
        <w:t xml:space="preserve"> subgroup</w:t>
      </w:r>
      <w:r w:rsidR="00FA656F">
        <w:t xml:space="preserve">s </w:t>
      </w:r>
      <w:r w:rsidR="0089188D">
        <w:t>with</w:t>
      </w:r>
      <w:r w:rsidR="006A3A7B">
        <w:t xml:space="preserve"> a minimum of </w:t>
      </w:r>
      <w:r w:rsidR="006425EB">
        <w:t>35</w:t>
      </w:r>
      <w:r w:rsidR="00FA656F">
        <w:t xml:space="preserve"> respondents</w:t>
      </w:r>
      <w:r w:rsidR="009744B9">
        <w:t xml:space="preserve"> (</w:t>
      </w:r>
      <w:r w:rsidRPr="00F63E3E" w:rsidR="00F63E3E">
        <w:t>see Table B.1 for the subgroups expected to reach this minimum)</w:t>
      </w:r>
      <w:r w:rsidR="006A3A7B">
        <w:t>.</w:t>
      </w:r>
      <w:r>
        <w:t xml:space="preserve"> </w:t>
      </w:r>
      <w:r w:rsidR="004235B1">
        <w:t>The team</w:t>
      </w:r>
      <w:r w:rsidRPr="001435B4" w:rsidR="004235B1">
        <w:t xml:space="preserve"> </w:t>
      </w:r>
      <w:r w:rsidRPr="001435B4">
        <w:t>will also examine interfactor correlations by subgroups</w:t>
      </w:r>
      <w:r w:rsidR="008F053A">
        <w:t xml:space="preserve"> with at least 35 respondents </w:t>
      </w:r>
      <w:r w:rsidRPr="001435B4">
        <w:t>to understand if the associations among factors (dimensions) are similar across subgroups.</w:t>
      </w:r>
      <w:r>
        <w:t xml:space="preserve"> </w:t>
      </w:r>
    </w:p>
    <w:p w:rsidR="00E03462" w:rsidP="00BD15D4" w14:paraId="0D100FAF" w14:textId="77777777">
      <w:pPr>
        <w:pStyle w:val="Paragraph"/>
        <w:spacing w:after="0"/>
      </w:pPr>
    </w:p>
    <w:p w:rsidR="001435B4" w:rsidP="00E03462" w14:paraId="46B64C1D" w14:textId="63D799EB">
      <w:pPr>
        <w:pStyle w:val="Paragraph"/>
        <w:spacing w:after="0"/>
      </w:pPr>
      <w:r>
        <w:t xml:space="preserve">The team </w:t>
      </w:r>
      <w:r w:rsidR="00012C87">
        <w:t xml:space="preserve">will </w:t>
      </w:r>
      <w:r w:rsidR="00F612AD">
        <w:t>also</w:t>
      </w:r>
      <w:r w:rsidR="00012C87">
        <w:t xml:space="preserve"> conduct confirmatory factor analyses </w:t>
      </w:r>
      <w:r w:rsidR="00C83DBB">
        <w:t xml:space="preserve">(CFA) </w:t>
      </w:r>
      <w:r w:rsidR="00012C87">
        <w:t xml:space="preserve">for the </w:t>
      </w:r>
      <w:r w:rsidR="00482A1E">
        <w:t xml:space="preserve">overall </w:t>
      </w:r>
      <w:r w:rsidR="00012C87">
        <w:t xml:space="preserve">sample for </w:t>
      </w:r>
      <w:r w:rsidR="006014FA">
        <w:t>each domain</w:t>
      </w:r>
      <w:r w:rsidR="007B7409">
        <w:t xml:space="preserve"> and combinations of the domains</w:t>
      </w:r>
      <w:r w:rsidR="00A20BCB">
        <w:t xml:space="preserve"> (for example, </w:t>
      </w:r>
      <w:r w:rsidR="00516328">
        <w:t>all items in t</w:t>
      </w:r>
      <w:r w:rsidR="00A20BCB">
        <w:t xml:space="preserve">he emotional </w:t>
      </w:r>
      <w:r w:rsidR="00516328">
        <w:t xml:space="preserve">and the </w:t>
      </w:r>
      <w:r w:rsidR="007C4E99">
        <w:t xml:space="preserve">positive behavior management </w:t>
      </w:r>
      <w:r w:rsidR="00A20BCB">
        <w:t>domains</w:t>
      </w:r>
      <w:r w:rsidR="00516328">
        <w:t>)</w:t>
      </w:r>
      <w:r w:rsidR="00856A85">
        <w:t xml:space="preserve">. </w:t>
      </w:r>
      <w:r w:rsidR="00EC4BB1">
        <w:t>The</w:t>
      </w:r>
      <w:r w:rsidRPr="00C83DBB" w:rsidR="00EC4BB1">
        <w:t xml:space="preserve"> sample size of </w:t>
      </w:r>
      <w:r w:rsidR="00685A7A">
        <w:t>150</w:t>
      </w:r>
      <w:r w:rsidRPr="00C83DBB" w:rsidR="00EC4BB1">
        <w:t xml:space="preserve"> is too small to examine</w:t>
      </w:r>
      <w:r w:rsidR="00204CD5">
        <w:t xml:space="preserve"> </w:t>
      </w:r>
      <w:r w:rsidR="004761A8">
        <w:t xml:space="preserve">all the items and dimensions in a single analysis. </w:t>
      </w:r>
      <w:r w:rsidR="00856A85">
        <w:t xml:space="preserve">Some dimensions have 15 or more items. </w:t>
      </w:r>
      <w:bookmarkStart w:id="5" w:name="_Hlk123123243"/>
      <w:r w:rsidR="00635350">
        <w:t xml:space="preserve">Given the sample sizes, </w:t>
      </w:r>
      <w:r w:rsidR="003106A6">
        <w:t xml:space="preserve">the team </w:t>
      </w:r>
      <w:r w:rsidR="00012C87">
        <w:t xml:space="preserve">will not conduct these analyses by </w:t>
      </w:r>
      <w:r w:rsidR="00EC4BB1">
        <w:t>subgroups</w:t>
      </w:r>
      <w:r w:rsidR="00012C87">
        <w:t xml:space="preserve">. </w:t>
      </w:r>
      <w:bookmarkEnd w:id="5"/>
    </w:p>
    <w:p w:rsidR="00E03462" w:rsidP="00BD15D4" w14:paraId="298E8DD2" w14:textId="77777777">
      <w:pPr>
        <w:pStyle w:val="Paragraph"/>
        <w:spacing w:after="0"/>
      </w:pPr>
    </w:p>
    <w:p w:rsidR="001435B4" w:rsidP="00E03462" w14:paraId="5DF0CD73" w14:textId="59358A48">
      <w:pPr>
        <w:pStyle w:val="Paragraph"/>
        <w:spacing w:after="0"/>
      </w:pPr>
      <w:r w:rsidRPr="00A378EB">
        <w:rPr>
          <w:b/>
          <w:bCs/>
        </w:rPr>
        <w:t>Convergent</w:t>
      </w:r>
      <w:r>
        <w:rPr>
          <w:b/>
          <w:bCs/>
        </w:rPr>
        <w:t xml:space="preserve"> and </w:t>
      </w:r>
      <w:r w:rsidRPr="00A378EB">
        <w:rPr>
          <w:b/>
          <w:bCs/>
        </w:rPr>
        <w:t xml:space="preserve">discriminant validity. </w:t>
      </w:r>
      <w:bookmarkStart w:id="6" w:name="_Hlk123125818"/>
      <w:r w:rsidR="003106A6">
        <w:t>The study team</w:t>
      </w:r>
      <w:r w:rsidRPr="0089208F" w:rsidR="003106A6">
        <w:t xml:space="preserve"> </w:t>
      </w:r>
      <w:r w:rsidRPr="0089208F">
        <w:t xml:space="preserve">will examine evidence of convergent validity of the </w:t>
      </w:r>
      <w:r w:rsidR="001D1994">
        <w:t>three</w:t>
      </w:r>
      <w:r w:rsidRPr="0089208F" w:rsidR="001D1994">
        <w:t xml:space="preserve"> </w:t>
      </w:r>
      <w:r>
        <w:t>validation measures</w:t>
      </w:r>
      <w:r w:rsidR="001D1994">
        <w:t xml:space="preserve">: 1) the MTCS in Instrument </w:t>
      </w:r>
      <w:r w:rsidR="000621C6">
        <w:t>5</w:t>
      </w:r>
      <w:r w:rsidR="001D1994">
        <w:t xml:space="preserve">, 2) the Emlen scales in Instrument </w:t>
      </w:r>
      <w:r w:rsidR="000621C6">
        <w:t>6</w:t>
      </w:r>
      <w:r w:rsidR="001D1994">
        <w:t>, and 3) the FCC PQA observational measure</w:t>
      </w:r>
      <w:r>
        <w:t xml:space="preserve">. </w:t>
      </w:r>
      <w:bookmarkEnd w:id="6"/>
      <w:r>
        <w:t xml:space="preserve">Each validation measure will be paired with dimensions in the provider questionnaire that most closely aligns with it. </w:t>
      </w:r>
    </w:p>
    <w:p w:rsidR="00E03462" w:rsidP="00BD15D4" w14:paraId="142EC8A6" w14:textId="77777777">
      <w:pPr>
        <w:pStyle w:val="Paragraph"/>
        <w:spacing w:after="0"/>
      </w:pPr>
    </w:p>
    <w:p w:rsidR="00012C87" w:rsidP="00E03462" w14:paraId="08657416" w14:textId="7C533414">
      <w:pPr>
        <w:pStyle w:val="Paragraph"/>
        <w:spacing w:after="0"/>
      </w:pPr>
      <w:r>
        <w:t xml:space="preserve">The team </w:t>
      </w:r>
      <w:r>
        <w:t xml:space="preserve">will also examine Pearson product-moment correlations with the validation measures for each of the dimensions. The expected positive moderate correlations will provide evidence of convergent validity. Low or negative correlations will provide evidence of discriminant validity. </w:t>
      </w:r>
    </w:p>
    <w:p w:rsidR="00E03462" w:rsidP="00BD15D4" w14:paraId="1F01D83B" w14:textId="77777777">
      <w:pPr>
        <w:pStyle w:val="Paragraph"/>
        <w:spacing w:after="0"/>
      </w:pPr>
    </w:p>
    <w:p w:rsidR="00A42C71" w:rsidRPr="001A59B6" w:rsidP="00A42C71" w14:paraId="502BA51B" w14:textId="7BC4C0F8">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A42C71" w:rsidRPr="001A59B6" w:rsidP="00A42C71" w14:paraId="3A679871" w14:textId="4989D838">
      <w:pPr>
        <w:spacing w:after="0" w:line="240" w:lineRule="auto"/>
        <w:rPr>
          <w:rFonts w:eastAsia="Times New Roman" w:cstheme="minorHAnsi"/>
        </w:rPr>
      </w:pPr>
      <w:r>
        <w:rPr>
          <w:rFonts w:eastAsia="Times New Roman" w:cstheme="minorHAnsi"/>
        </w:rPr>
        <w:t xml:space="preserve">The study team will prepare </w:t>
      </w:r>
      <w:r w:rsidR="002302BD">
        <w:rPr>
          <w:rFonts w:eastAsia="Times New Roman" w:cstheme="minorHAnsi"/>
        </w:rPr>
        <w:t xml:space="preserve">data file(s) </w:t>
      </w:r>
      <w:r w:rsidR="002C7187">
        <w:rPr>
          <w:rFonts w:eastAsia="Times New Roman" w:cstheme="minorHAnsi"/>
        </w:rPr>
        <w:t xml:space="preserve">with documentation for ACF. </w:t>
      </w:r>
      <w:r w:rsidRPr="00993F6E" w:rsidR="00993F6E">
        <w:rPr>
          <w:rFonts w:eastAsia="Times New Roman" w:cstheme="minorHAnsi"/>
        </w:rPr>
        <w:t xml:space="preserve">If ACF opts to archive the data from this </w:t>
      </w:r>
      <w:r w:rsidR="00144289">
        <w:rPr>
          <w:rFonts w:eastAsia="Times New Roman" w:cstheme="minorHAnsi"/>
        </w:rPr>
        <w:t>validation study</w:t>
      </w:r>
      <w:r w:rsidRPr="00993F6E" w:rsidR="00993F6E">
        <w:rPr>
          <w:rFonts w:eastAsia="Times New Roman" w:cstheme="minorHAnsi"/>
        </w:rPr>
        <w:t xml:space="preserve"> for secondary use, documentation will include information necessary to contextualize and assist in interpretation of the data.</w:t>
      </w:r>
      <w:r w:rsidR="00F22528">
        <w:rPr>
          <w:rFonts w:eastAsia="Times New Roman" w:cstheme="minorHAnsi"/>
        </w:rPr>
        <w:t xml:space="preserve"> In consultation with ACF, </w:t>
      </w:r>
      <w:r w:rsidR="00832599">
        <w:rPr>
          <w:rFonts w:eastAsia="Times New Roman" w:cstheme="minorHAnsi"/>
        </w:rPr>
        <w:t xml:space="preserve">the study team </w:t>
      </w:r>
      <w:r w:rsidR="00C5355C">
        <w:rPr>
          <w:rFonts w:eastAsia="Times New Roman" w:cstheme="minorHAnsi"/>
        </w:rPr>
        <w:t xml:space="preserve">will </w:t>
      </w:r>
      <w:r w:rsidR="00923A10">
        <w:rPr>
          <w:rFonts w:eastAsia="Times New Roman" w:cstheme="minorHAnsi"/>
        </w:rPr>
        <w:t xml:space="preserve">develop other deliverables presenting </w:t>
      </w:r>
      <w:r w:rsidRPr="29798801" w:rsidR="008930C6">
        <w:rPr>
          <w:rFonts w:eastAsia="Times New Roman"/>
        </w:rPr>
        <w:t>psychometric evidence found for the HBCC-NSAC Toolkit provider questionnaire</w:t>
      </w:r>
      <w:r w:rsidR="008930C6">
        <w:rPr>
          <w:rFonts w:eastAsia="Times New Roman"/>
        </w:rPr>
        <w:t xml:space="preserve"> and recommendations for future use.</w:t>
      </w:r>
      <w:r w:rsidR="00E8792C">
        <w:rPr>
          <w:rFonts w:eastAsia="Times New Roman"/>
        </w:rPr>
        <w:t xml:space="preserve"> This may include a report on study findings and the HBCC-NSAC Toolkit provider questionnaire. The agency also intends to make the HBCC-NSAC Toolkit provider questionnaire available to the public for professional development use and research purposes.</w:t>
      </w:r>
    </w:p>
    <w:p w:rsidR="00A42C71" w:rsidRPr="001A59B6" w:rsidP="00A42C71" w14:paraId="334FEB50" w14:textId="77777777">
      <w:pPr>
        <w:spacing w:after="0" w:line="240" w:lineRule="auto"/>
        <w:rPr>
          <w:rFonts w:eastAsia="Times New Roman" w:cstheme="minorHAnsi"/>
        </w:rPr>
      </w:pPr>
    </w:p>
    <w:p w:rsidR="00A42C71" w:rsidRPr="001A59B6" w:rsidP="00A42C71" w14:paraId="1C0321C0" w14:textId="333EF7EB">
      <w:pPr>
        <w:spacing w:after="120" w:line="240" w:lineRule="auto"/>
        <w:rPr>
          <w:rFonts w:eastAsia="Times New Roman" w:cstheme="minorHAnsi"/>
        </w:rPr>
      </w:pPr>
      <w:r w:rsidRPr="001A59B6">
        <w:rPr>
          <w:rFonts w:eastAsia="Times New Roman" w:cstheme="minorHAnsi"/>
          <w:b/>
          <w:bCs/>
        </w:rPr>
        <w:t>B8.  Contact Persons</w:t>
      </w:r>
    </w:p>
    <w:p w:rsidR="005740B8" w:rsidRPr="0037501E" w:rsidP="00BD15D4" w14:paraId="4D6F5A6E" w14:textId="4B033965">
      <w:pPr>
        <w:pStyle w:val="ParagraphContinued"/>
        <w:spacing w:before="0"/>
        <w:rPr>
          <w:rFonts w:eastAsia="Times New Roman"/>
        </w:rPr>
      </w:pPr>
      <w:r w:rsidRPr="0037501E">
        <w:rPr>
          <w:rFonts w:eastAsia="Times New Roman"/>
        </w:rPr>
        <w:t>Table B.</w:t>
      </w:r>
      <w:r w:rsidRPr="0037501E" w:rsidR="00930F96">
        <w:rPr>
          <w:rFonts w:eastAsia="Times New Roman"/>
        </w:rPr>
        <w:t>4</w:t>
      </w:r>
      <w:r w:rsidRPr="0037501E">
        <w:rPr>
          <w:rFonts w:eastAsia="Times New Roman"/>
        </w:rPr>
        <w:t xml:space="preserve"> lists the federal and contract staff responsible for the study, along with each individual’s affiliation and email address.</w:t>
      </w:r>
    </w:p>
    <w:p w:rsidR="005740B8" w:rsidRPr="00312A3E" w:rsidP="005740B8" w14:paraId="43ED070D" w14:textId="6B924615">
      <w:pPr>
        <w:pStyle w:val="TableTitle"/>
        <w:rPr>
          <w:rFonts w:ascii="Arial" w:eastAsia="Times New Roman" w:hAnsi="Arial" w:cs="Arial"/>
          <w:szCs w:val="20"/>
        </w:rPr>
      </w:pPr>
      <w:r w:rsidRPr="00312A3E">
        <w:rPr>
          <w:rFonts w:ascii="Arial" w:eastAsia="Times New Roman" w:hAnsi="Arial" w:cs="Arial"/>
          <w:szCs w:val="20"/>
        </w:rPr>
        <w:t>Table B.</w:t>
      </w:r>
      <w:r w:rsidRPr="00312A3E" w:rsidR="00930F96">
        <w:rPr>
          <w:rFonts w:ascii="Arial" w:eastAsia="Times New Roman" w:hAnsi="Arial" w:cs="Arial"/>
          <w:szCs w:val="20"/>
        </w:rPr>
        <w:t>4</w:t>
      </w:r>
      <w:r w:rsidRPr="00312A3E">
        <w:rPr>
          <w:rFonts w:ascii="Arial" w:eastAsia="Times New Roman" w:hAnsi="Arial" w:cs="Arial"/>
          <w:szCs w:val="20"/>
        </w:rPr>
        <w:t>. Individuals responsible for study</w:t>
      </w:r>
    </w:p>
    <w:tbl>
      <w:tblPr>
        <w:tblStyle w:val="BaseTable"/>
        <w:tblW w:w="9350" w:type="dxa"/>
        <w:tblLayout w:type="fixed"/>
        <w:tblLook w:val="04A0"/>
      </w:tblPr>
      <w:tblGrid>
        <w:gridCol w:w="2070"/>
        <w:gridCol w:w="3780"/>
        <w:gridCol w:w="3500"/>
      </w:tblGrid>
      <w:tr w14:paraId="48D59E3E" w14:textId="77777777" w:rsidTr="00773FA5">
        <w:tblPrEx>
          <w:tblW w:w="9350" w:type="dxa"/>
          <w:tblLayout w:type="fixed"/>
          <w:tblLook w:val="04A0"/>
        </w:tblPrEx>
        <w:trPr>
          <w:trHeight w:val="120"/>
          <w:tblHeader/>
        </w:trPr>
        <w:tc>
          <w:tcPr>
            <w:tcW w:w="2070" w:type="dxa"/>
          </w:tcPr>
          <w:p w:rsidR="005740B8" w:rsidRPr="00762D1A" w:rsidP="00773FA5" w14:paraId="7734566F" w14:textId="77777777">
            <w:pPr>
              <w:pStyle w:val="TableHeaderLeft"/>
              <w:rPr>
                <w:rFonts w:ascii="Arial" w:eastAsia="Times New Roman" w:hAnsi="Arial" w:cs="Arial"/>
                <w:b w:val="0"/>
                <w:sz w:val="20"/>
                <w:szCs w:val="20"/>
              </w:rPr>
            </w:pPr>
            <w:r w:rsidRPr="00762D1A">
              <w:rPr>
                <w:rFonts w:ascii="Arial" w:eastAsia="Times New Roman" w:hAnsi="Arial" w:cs="Arial"/>
                <w:sz w:val="20"/>
                <w:szCs w:val="20"/>
              </w:rPr>
              <w:t>Name</w:t>
            </w:r>
          </w:p>
        </w:tc>
        <w:tc>
          <w:tcPr>
            <w:tcW w:w="3780" w:type="dxa"/>
          </w:tcPr>
          <w:p w:rsidR="005740B8" w:rsidRPr="00762D1A" w:rsidP="00773FA5" w14:paraId="2DE4E2ED" w14:textId="77777777">
            <w:pPr>
              <w:pStyle w:val="TableHeaderCenter"/>
              <w:rPr>
                <w:rFonts w:ascii="Arial" w:eastAsia="Times New Roman" w:hAnsi="Arial" w:cs="Arial"/>
                <w:b w:val="0"/>
                <w:sz w:val="20"/>
                <w:szCs w:val="20"/>
              </w:rPr>
            </w:pPr>
            <w:r w:rsidRPr="00762D1A">
              <w:rPr>
                <w:rFonts w:ascii="Arial" w:eastAsia="Times New Roman" w:hAnsi="Arial" w:cs="Arial"/>
                <w:sz w:val="20"/>
                <w:szCs w:val="20"/>
              </w:rPr>
              <w:t>Affiliation</w:t>
            </w:r>
          </w:p>
        </w:tc>
        <w:tc>
          <w:tcPr>
            <w:tcW w:w="3500" w:type="dxa"/>
          </w:tcPr>
          <w:p w:rsidR="005740B8" w:rsidRPr="00762D1A" w:rsidP="00773FA5" w14:paraId="40E268A7" w14:textId="77777777">
            <w:pPr>
              <w:pStyle w:val="TableHeaderCenter"/>
              <w:rPr>
                <w:rFonts w:ascii="Arial" w:eastAsia="Times New Roman" w:hAnsi="Arial" w:cs="Arial"/>
                <w:b w:val="0"/>
                <w:sz w:val="20"/>
                <w:szCs w:val="20"/>
              </w:rPr>
            </w:pPr>
            <w:r w:rsidRPr="00762D1A">
              <w:rPr>
                <w:rFonts w:ascii="Arial" w:eastAsia="Times New Roman" w:hAnsi="Arial" w:cs="Arial"/>
                <w:sz w:val="20"/>
                <w:szCs w:val="20"/>
              </w:rPr>
              <w:t>Email address</w:t>
            </w:r>
          </w:p>
        </w:tc>
      </w:tr>
      <w:tr w14:paraId="2A7BC015" w14:textId="77777777" w:rsidTr="00773FA5">
        <w:tblPrEx>
          <w:tblW w:w="9350" w:type="dxa"/>
          <w:tblLayout w:type="fixed"/>
          <w:tblLook w:val="04A0"/>
        </w:tblPrEx>
        <w:trPr>
          <w:trHeight w:val="120"/>
        </w:trPr>
        <w:tc>
          <w:tcPr>
            <w:tcW w:w="2070" w:type="dxa"/>
          </w:tcPr>
          <w:p w:rsidR="005740B8" w:rsidRPr="00762D1A" w:rsidP="00773FA5" w14:paraId="4624869E" w14:textId="77777777">
            <w:pPr>
              <w:pStyle w:val="TableTextLeft"/>
              <w:rPr>
                <w:rFonts w:ascii="Arial" w:eastAsia="Times New Roman" w:hAnsi="Arial" w:cs="Arial"/>
              </w:rPr>
            </w:pPr>
            <w:r w:rsidRPr="00762D1A">
              <w:rPr>
                <w:rFonts w:ascii="Arial" w:eastAsia="Times New Roman" w:hAnsi="Arial" w:cs="Arial"/>
              </w:rPr>
              <w:t xml:space="preserve">Ann Rivera </w:t>
            </w:r>
          </w:p>
        </w:tc>
        <w:tc>
          <w:tcPr>
            <w:tcW w:w="3780" w:type="dxa"/>
          </w:tcPr>
          <w:p w:rsidR="005740B8" w:rsidRPr="00762D1A" w:rsidP="00773FA5" w14:paraId="024D29ED" w14:textId="77777777">
            <w:pPr>
              <w:pStyle w:val="TableTextLeft"/>
              <w:rPr>
                <w:rFonts w:ascii="Arial" w:eastAsia="Times New Roman" w:hAnsi="Arial" w:cs="Arial"/>
              </w:rPr>
            </w:pPr>
            <w:r w:rsidRPr="00762D1A">
              <w:rPr>
                <w:rFonts w:ascii="Arial" w:eastAsia="Times New Roman" w:hAnsi="Arial" w:cs="Arial"/>
              </w:rPr>
              <w:t>Office of Planning, Research, and Evaluation</w:t>
            </w:r>
          </w:p>
          <w:p w:rsidR="005740B8" w:rsidRPr="00762D1A" w:rsidP="00773FA5" w14:paraId="654E2A5C" w14:textId="77777777">
            <w:pPr>
              <w:pStyle w:val="TableTextLeft"/>
              <w:rPr>
                <w:rFonts w:ascii="Arial" w:eastAsia="Times New Roman" w:hAnsi="Arial" w:cs="Arial"/>
              </w:rPr>
            </w:pPr>
            <w:r w:rsidRPr="00762D1A">
              <w:rPr>
                <w:rFonts w:ascii="Arial" w:eastAsia="Times New Roman" w:hAnsi="Arial" w:cs="Arial"/>
              </w:rPr>
              <w:t>Administration for Children and Families</w:t>
            </w:r>
          </w:p>
        </w:tc>
        <w:tc>
          <w:tcPr>
            <w:tcW w:w="3500" w:type="dxa"/>
          </w:tcPr>
          <w:p w:rsidR="005740B8" w:rsidRPr="00762D1A" w:rsidP="00773FA5" w14:paraId="02BBED49" w14:textId="77777777">
            <w:pPr>
              <w:pStyle w:val="TableTextLeft"/>
              <w:rPr>
                <w:rFonts w:ascii="Arial" w:eastAsia="Times New Roman" w:hAnsi="Arial" w:cs="Arial"/>
              </w:rPr>
            </w:pPr>
            <w:r w:rsidRPr="00762D1A">
              <w:rPr>
                <w:rFonts w:ascii="Arial" w:eastAsia="Times New Roman" w:hAnsi="Arial" w:cs="Arial"/>
              </w:rPr>
              <w:t xml:space="preserve">Ann.Rivera@ACF.hhs.gov </w:t>
            </w:r>
          </w:p>
          <w:p w:rsidR="005740B8" w:rsidRPr="00762D1A" w:rsidP="00773FA5" w14:paraId="7E8AB62C" w14:textId="77777777">
            <w:pPr>
              <w:pStyle w:val="TableTextLeft"/>
              <w:rPr>
                <w:rFonts w:ascii="Arial" w:eastAsia="Times New Roman" w:hAnsi="Arial" w:cs="Arial"/>
              </w:rPr>
            </w:pPr>
          </w:p>
        </w:tc>
      </w:tr>
      <w:tr w14:paraId="57EBA55F" w14:textId="77777777" w:rsidTr="00773FA5">
        <w:tblPrEx>
          <w:tblW w:w="9350" w:type="dxa"/>
          <w:tblLayout w:type="fixed"/>
          <w:tblLook w:val="04A0"/>
        </w:tblPrEx>
        <w:trPr>
          <w:trHeight w:val="120"/>
        </w:trPr>
        <w:tc>
          <w:tcPr>
            <w:tcW w:w="2070" w:type="dxa"/>
          </w:tcPr>
          <w:p w:rsidR="005740B8" w:rsidRPr="00762D1A" w:rsidP="00773FA5" w14:paraId="6884A70A" w14:textId="77777777">
            <w:pPr>
              <w:pStyle w:val="TableTextLeft"/>
              <w:rPr>
                <w:rFonts w:ascii="Arial" w:eastAsia="Times New Roman" w:hAnsi="Arial" w:cs="Arial"/>
              </w:rPr>
            </w:pPr>
            <w:r w:rsidRPr="00762D1A">
              <w:rPr>
                <w:rFonts w:ascii="Arial" w:eastAsia="Times New Roman" w:hAnsi="Arial" w:cs="Arial"/>
              </w:rPr>
              <w:t>Bonnie Mackintosh</w:t>
            </w:r>
          </w:p>
        </w:tc>
        <w:tc>
          <w:tcPr>
            <w:tcW w:w="3780" w:type="dxa"/>
          </w:tcPr>
          <w:p w:rsidR="005740B8" w:rsidRPr="00762D1A" w:rsidP="00773FA5" w14:paraId="44091A6D" w14:textId="77777777">
            <w:pPr>
              <w:pStyle w:val="TableTextLeft"/>
              <w:rPr>
                <w:rFonts w:ascii="Arial" w:eastAsia="Times New Roman" w:hAnsi="Arial" w:cs="Arial"/>
              </w:rPr>
            </w:pPr>
            <w:r w:rsidRPr="00762D1A">
              <w:rPr>
                <w:rFonts w:ascii="Arial" w:eastAsia="Times New Roman" w:hAnsi="Arial" w:cs="Arial"/>
              </w:rPr>
              <w:t>Office of Planning, Research, and Evaluation</w:t>
            </w:r>
          </w:p>
          <w:p w:rsidR="005740B8" w:rsidRPr="00762D1A" w:rsidP="00773FA5" w14:paraId="2C47A1BD" w14:textId="77777777">
            <w:pPr>
              <w:pStyle w:val="TableTextLeft"/>
              <w:rPr>
                <w:rFonts w:ascii="Arial" w:eastAsia="Times New Roman" w:hAnsi="Arial" w:cs="Arial"/>
              </w:rPr>
            </w:pPr>
            <w:r w:rsidRPr="00762D1A">
              <w:rPr>
                <w:rFonts w:ascii="Arial" w:eastAsia="Times New Roman" w:hAnsi="Arial" w:cs="Arial"/>
              </w:rPr>
              <w:t>Administration for Children and Families</w:t>
            </w:r>
          </w:p>
        </w:tc>
        <w:tc>
          <w:tcPr>
            <w:tcW w:w="3500" w:type="dxa"/>
          </w:tcPr>
          <w:p w:rsidR="005740B8" w:rsidRPr="00762D1A" w:rsidP="00773FA5" w14:paraId="531496D7" w14:textId="77777777">
            <w:pPr>
              <w:pStyle w:val="TableTextLeft"/>
              <w:rPr>
                <w:rFonts w:ascii="Arial" w:eastAsia="Times New Roman" w:hAnsi="Arial" w:cs="Arial"/>
              </w:rPr>
            </w:pPr>
            <w:r w:rsidRPr="00762D1A">
              <w:rPr>
                <w:rFonts w:ascii="Arial" w:eastAsia="Times New Roman" w:hAnsi="Arial" w:cs="Arial"/>
              </w:rPr>
              <w:t>Bonnie.Mackintosh@acf.hhs.gov</w:t>
            </w:r>
          </w:p>
        </w:tc>
      </w:tr>
      <w:tr w14:paraId="0B9215AC" w14:textId="77777777" w:rsidTr="00773FA5">
        <w:tblPrEx>
          <w:tblW w:w="9350" w:type="dxa"/>
          <w:tblLayout w:type="fixed"/>
          <w:tblLook w:val="04A0"/>
        </w:tblPrEx>
        <w:trPr>
          <w:trHeight w:val="120"/>
        </w:trPr>
        <w:tc>
          <w:tcPr>
            <w:tcW w:w="2070" w:type="dxa"/>
          </w:tcPr>
          <w:p w:rsidR="005740B8" w:rsidRPr="00762D1A" w:rsidP="00773FA5" w14:paraId="6AE0AF49" w14:textId="77777777">
            <w:pPr>
              <w:pStyle w:val="TableTextLeft"/>
              <w:rPr>
                <w:rFonts w:ascii="Arial" w:eastAsia="Times New Roman" w:hAnsi="Arial" w:cs="Arial"/>
              </w:rPr>
            </w:pPr>
            <w:r w:rsidRPr="00762D1A">
              <w:rPr>
                <w:rFonts w:ascii="Arial" w:eastAsia="Times New Roman" w:hAnsi="Arial" w:cs="Arial"/>
              </w:rPr>
              <w:t>Ashley Kopack Klein</w:t>
            </w:r>
          </w:p>
        </w:tc>
        <w:tc>
          <w:tcPr>
            <w:tcW w:w="3780" w:type="dxa"/>
          </w:tcPr>
          <w:p w:rsidR="005740B8" w:rsidRPr="00762D1A" w:rsidP="00773FA5" w14:paraId="48B1630E" w14:textId="77777777">
            <w:pPr>
              <w:pStyle w:val="TableTextLeft"/>
              <w:rPr>
                <w:rFonts w:ascii="Arial" w:eastAsia="Times New Roman" w:hAnsi="Arial" w:cs="Arial"/>
              </w:rPr>
            </w:pPr>
            <w:r w:rsidRPr="00762D1A">
              <w:rPr>
                <w:rFonts w:ascii="Arial" w:eastAsia="Times New Roman" w:hAnsi="Arial" w:cs="Arial"/>
              </w:rPr>
              <w:t>Mathematica</w:t>
            </w:r>
          </w:p>
        </w:tc>
        <w:tc>
          <w:tcPr>
            <w:tcW w:w="3500" w:type="dxa"/>
          </w:tcPr>
          <w:p w:rsidR="005740B8" w:rsidRPr="00762D1A" w:rsidP="00773FA5" w14:paraId="5831DA57" w14:textId="77777777">
            <w:pPr>
              <w:pStyle w:val="TableTextLeft"/>
              <w:rPr>
                <w:rFonts w:ascii="Arial" w:eastAsia="Times New Roman" w:hAnsi="Arial" w:cs="Arial"/>
              </w:rPr>
            </w:pPr>
            <w:r w:rsidRPr="00762D1A">
              <w:rPr>
                <w:rFonts w:ascii="Arial" w:eastAsia="Times New Roman" w:hAnsi="Arial" w:cs="Arial"/>
              </w:rPr>
              <w:t xml:space="preserve">AKopackKlein@mathematica-mpr.com </w:t>
            </w:r>
          </w:p>
        </w:tc>
      </w:tr>
      <w:tr w14:paraId="045B34E1" w14:textId="77777777" w:rsidTr="00773FA5">
        <w:tblPrEx>
          <w:tblW w:w="9350" w:type="dxa"/>
          <w:tblLayout w:type="fixed"/>
          <w:tblLook w:val="04A0"/>
        </w:tblPrEx>
        <w:trPr>
          <w:trHeight w:val="120"/>
        </w:trPr>
        <w:tc>
          <w:tcPr>
            <w:tcW w:w="2070" w:type="dxa"/>
          </w:tcPr>
          <w:p w:rsidR="005740B8" w:rsidRPr="00762D1A" w:rsidP="00773FA5" w14:paraId="7E5627B2" w14:textId="77777777">
            <w:pPr>
              <w:pStyle w:val="TableTextLeft"/>
              <w:rPr>
                <w:rFonts w:ascii="Arial" w:eastAsia="Times New Roman" w:hAnsi="Arial" w:cs="Arial"/>
              </w:rPr>
            </w:pPr>
            <w:r w:rsidRPr="00762D1A">
              <w:rPr>
                <w:rFonts w:ascii="Arial" w:eastAsia="Times New Roman" w:hAnsi="Arial" w:cs="Arial"/>
              </w:rPr>
              <w:t xml:space="preserve">Sally Atkins-Burnett </w:t>
            </w:r>
          </w:p>
        </w:tc>
        <w:tc>
          <w:tcPr>
            <w:tcW w:w="3780" w:type="dxa"/>
          </w:tcPr>
          <w:p w:rsidR="005740B8" w:rsidRPr="00762D1A" w:rsidP="00773FA5" w14:paraId="4A3DCB0E" w14:textId="77777777">
            <w:pPr>
              <w:pStyle w:val="TableTextLeft"/>
              <w:rPr>
                <w:rFonts w:ascii="Arial" w:eastAsia="Times New Roman" w:hAnsi="Arial" w:cs="Arial"/>
                <w:szCs w:val="18"/>
              </w:rPr>
            </w:pPr>
            <w:r w:rsidRPr="00762D1A">
              <w:rPr>
                <w:rFonts w:ascii="Arial" w:eastAsia="Times New Roman" w:hAnsi="Arial" w:cs="Arial"/>
                <w:szCs w:val="18"/>
              </w:rPr>
              <w:t>Mathematica</w:t>
            </w:r>
          </w:p>
        </w:tc>
        <w:tc>
          <w:tcPr>
            <w:tcW w:w="3500" w:type="dxa"/>
          </w:tcPr>
          <w:p w:rsidR="005740B8" w:rsidRPr="00762D1A" w:rsidP="00773FA5" w14:paraId="3FA3A76F" w14:textId="77777777">
            <w:pPr>
              <w:pStyle w:val="TableTextLeft"/>
              <w:rPr>
                <w:rFonts w:ascii="Arial" w:hAnsi="Arial" w:cs="Arial"/>
                <w:szCs w:val="18"/>
              </w:rPr>
            </w:pPr>
            <w:r w:rsidRPr="00762D1A">
              <w:rPr>
                <w:rFonts w:ascii="Arial" w:hAnsi="Arial" w:cs="Arial"/>
                <w:szCs w:val="18"/>
              </w:rPr>
              <w:t>SAtkins-Burnett@Mathematica-mpr.com</w:t>
            </w:r>
          </w:p>
        </w:tc>
      </w:tr>
      <w:tr w14:paraId="02BB2298" w14:textId="77777777" w:rsidTr="00773FA5">
        <w:tblPrEx>
          <w:tblW w:w="9350" w:type="dxa"/>
          <w:tblLayout w:type="fixed"/>
          <w:tblLook w:val="04A0"/>
        </w:tblPrEx>
        <w:trPr>
          <w:trHeight w:val="120"/>
        </w:trPr>
        <w:tc>
          <w:tcPr>
            <w:tcW w:w="2070" w:type="dxa"/>
          </w:tcPr>
          <w:p w:rsidR="005740B8" w:rsidRPr="00762D1A" w:rsidP="00773FA5" w14:paraId="3A085044" w14:textId="77777777">
            <w:pPr>
              <w:pStyle w:val="TableTextLeft"/>
              <w:rPr>
                <w:rFonts w:ascii="Arial" w:eastAsia="Times New Roman" w:hAnsi="Arial" w:cs="Arial"/>
              </w:rPr>
            </w:pPr>
            <w:r w:rsidRPr="00762D1A">
              <w:rPr>
                <w:rFonts w:ascii="Arial" w:eastAsia="Times New Roman" w:hAnsi="Arial" w:cs="Arial"/>
              </w:rPr>
              <w:t>Annie Li</w:t>
            </w:r>
          </w:p>
        </w:tc>
        <w:tc>
          <w:tcPr>
            <w:tcW w:w="3780" w:type="dxa"/>
          </w:tcPr>
          <w:p w:rsidR="005740B8" w:rsidRPr="00762D1A" w:rsidP="00773FA5" w14:paraId="6BFC00D7" w14:textId="77777777">
            <w:pPr>
              <w:pStyle w:val="TableTextLeft"/>
              <w:rPr>
                <w:rFonts w:ascii="Arial" w:eastAsia="Times New Roman" w:hAnsi="Arial" w:cs="Arial"/>
              </w:rPr>
            </w:pPr>
            <w:r w:rsidRPr="00762D1A">
              <w:rPr>
                <w:rFonts w:ascii="Arial" w:eastAsia="Times New Roman" w:hAnsi="Arial" w:cs="Arial"/>
              </w:rPr>
              <w:t>Mathematica</w:t>
            </w:r>
          </w:p>
        </w:tc>
        <w:tc>
          <w:tcPr>
            <w:tcW w:w="3500" w:type="dxa"/>
          </w:tcPr>
          <w:p w:rsidR="005740B8" w:rsidRPr="00762D1A" w:rsidP="00773FA5" w14:paraId="3DB92487" w14:textId="77777777">
            <w:pPr>
              <w:pStyle w:val="TableTextLeft"/>
              <w:rPr>
                <w:rFonts w:ascii="Arial" w:hAnsi="Arial" w:cs="Arial"/>
              </w:rPr>
            </w:pPr>
            <w:r w:rsidRPr="00762D1A">
              <w:rPr>
                <w:rFonts w:ascii="Arial" w:eastAsia="Times New Roman" w:hAnsi="Arial" w:cs="Arial"/>
              </w:rPr>
              <w:t>ALi@mathematica-mpr.com</w:t>
            </w:r>
          </w:p>
        </w:tc>
      </w:tr>
      <w:tr w14:paraId="3C7F6A82" w14:textId="77777777" w:rsidTr="00773FA5">
        <w:tblPrEx>
          <w:tblW w:w="9350" w:type="dxa"/>
          <w:tblLayout w:type="fixed"/>
          <w:tblLook w:val="04A0"/>
        </w:tblPrEx>
        <w:trPr>
          <w:trHeight w:val="120"/>
        </w:trPr>
        <w:tc>
          <w:tcPr>
            <w:tcW w:w="2070" w:type="dxa"/>
          </w:tcPr>
          <w:p w:rsidR="005740B8" w:rsidRPr="00762D1A" w:rsidP="00773FA5" w14:paraId="602AC2A3" w14:textId="77777777">
            <w:pPr>
              <w:pStyle w:val="TableTextLeft"/>
              <w:rPr>
                <w:rFonts w:ascii="Arial" w:eastAsia="Times New Roman" w:hAnsi="Arial" w:cs="Arial"/>
              </w:rPr>
            </w:pPr>
            <w:r w:rsidRPr="00762D1A">
              <w:rPr>
                <w:rFonts w:ascii="Arial" w:eastAsia="Times New Roman" w:hAnsi="Arial" w:cs="Arial"/>
              </w:rPr>
              <w:t>Laura Kalb</w:t>
            </w:r>
          </w:p>
        </w:tc>
        <w:tc>
          <w:tcPr>
            <w:tcW w:w="3780" w:type="dxa"/>
          </w:tcPr>
          <w:p w:rsidR="005740B8" w:rsidRPr="00762D1A" w:rsidP="00773FA5" w14:paraId="6379C181" w14:textId="77777777">
            <w:pPr>
              <w:pStyle w:val="TableTextLeft"/>
              <w:rPr>
                <w:rFonts w:ascii="Arial" w:eastAsia="Times New Roman" w:hAnsi="Arial" w:cs="Arial"/>
              </w:rPr>
            </w:pPr>
            <w:r w:rsidRPr="00762D1A">
              <w:rPr>
                <w:rFonts w:ascii="Arial" w:eastAsia="Times New Roman" w:hAnsi="Arial" w:cs="Arial"/>
              </w:rPr>
              <w:t>Mathematica</w:t>
            </w:r>
          </w:p>
        </w:tc>
        <w:tc>
          <w:tcPr>
            <w:tcW w:w="3500" w:type="dxa"/>
          </w:tcPr>
          <w:p w:rsidR="005740B8" w:rsidRPr="00762D1A" w:rsidP="00773FA5" w14:paraId="51015DFC" w14:textId="77777777">
            <w:pPr>
              <w:pStyle w:val="TableTextLeft"/>
              <w:rPr>
                <w:rFonts w:ascii="Arial" w:eastAsia="Times New Roman" w:hAnsi="Arial" w:cs="Arial"/>
              </w:rPr>
            </w:pPr>
            <w:r w:rsidRPr="00762D1A">
              <w:rPr>
                <w:rFonts w:ascii="Arial" w:eastAsia="Times New Roman" w:hAnsi="Arial" w:cs="Arial"/>
              </w:rPr>
              <w:t>LKalb@mathematica-mpr.com</w:t>
            </w:r>
          </w:p>
        </w:tc>
      </w:tr>
      <w:tr w14:paraId="78F6FFD0" w14:textId="77777777" w:rsidTr="00773FA5">
        <w:tblPrEx>
          <w:tblW w:w="9350" w:type="dxa"/>
          <w:tblLayout w:type="fixed"/>
          <w:tblLook w:val="04A0"/>
        </w:tblPrEx>
        <w:trPr>
          <w:trHeight w:val="120"/>
        </w:trPr>
        <w:tc>
          <w:tcPr>
            <w:tcW w:w="2070" w:type="dxa"/>
          </w:tcPr>
          <w:p w:rsidR="005740B8" w:rsidRPr="00762D1A" w:rsidP="00773FA5" w14:paraId="7F25CE85" w14:textId="77777777">
            <w:pPr>
              <w:pStyle w:val="TableTextLeft"/>
              <w:rPr>
                <w:rFonts w:ascii="Arial" w:eastAsia="Times New Roman" w:hAnsi="Arial" w:cs="Arial"/>
              </w:rPr>
            </w:pPr>
            <w:r w:rsidRPr="00762D1A">
              <w:rPr>
                <w:rFonts w:ascii="Arial" w:eastAsia="Times New Roman" w:hAnsi="Arial" w:cs="Arial"/>
              </w:rPr>
              <w:t>Myah Scott</w:t>
            </w:r>
          </w:p>
        </w:tc>
        <w:tc>
          <w:tcPr>
            <w:tcW w:w="3780" w:type="dxa"/>
          </w:tcPr>
          <w:p w:rsidR="005740B8" w:rsidRPr="00762D1A" w:rsidP="00773FA5" w14:paraId="6870C797" w14:textId="77777777">
            <w:pPr>
              <w:pStyle w:val="TableTextLeft"/>
              <w:rPr>
                <w:rFonts w:ascii="Arial" w:eastAsia="Times New Roman" w:hAnsi="Arial" w:cs="Arial"/>
              </w:rPr>
            </w:pPr>
            <w:r w:rsidRPr="00762D1A">
              <w:rPr>
                <w:rFonts w:ascii="Arial" w:eastAsia="Times New Roman" w:hAnsi="Arial" w:cs="Arial"/>
              </w:rPr>
              <w:t>Mathematica</w:t>
            </w:r>
          </w:p>
        </w:tc>
        <w:tc>
          <w:tcPr>
            <w:tcW w:w="3500" w:type="dxa"/>
          </w:tcPr>
          <w:p w:rsidR="005740B8" w:rsidRPr="00762D1A" w:rsidP="00773FA5" w14:paraId="49A5CEB0" w14:textId="77777777">
            <w:pPr>
              <w:pStyle w:val="TableTextLeft"/>
              <w:rPr>
                <w:rFonts w:ascii="Arial" w:eastAsia="Times New Roman" w:hAnsi="Arial" w:cs="Arial"/>
              </w:rPr>
            </w:pPr>
            <w:r w:rsidRPr="00762D1A">
              <w:rPr>
                <w:rFonts w:ascii="Arial" w:eastAsia="Times New Roman" w:hAnsi="Arial" w:cs="Arial"/>
              </w:rPr>
              <w:t>MScott@mathematica-mpr.com</w:t>
            </w:r>
          </w:p>
        </w:tc>
      </w:tr>
    </w:tbl>
    <w:p w:rsidR="005740B8" w:rsidRPr="00EB6134" w:rsidP="005740B8" w14:paraId="36C0D283" w14:textId="77777777">
      <w:pPr>
        <w:pStyle w:val="ListParagraph"/>
        <w:spacing w:after="0" w:line="240" w:lineRule="auto"/>
        <w:ind w:left="0"/>
        <w:rPr>
          <w:rFonts w:cstheme="minorHAnsi"/>
          <w:b/>
        </w:rPr>
      </w:pPr>
    </w:p>
    <w:p w:rsidR="00A42C71" w:rsidRPr="001A59B6" w:rsidP="00A42C71" w14:paraId="2B00F308" w14:textId="5E051AB4">
      <w:pPr>
        <w:spacing w:after="120" w:line="240" w:lineRule="auto"/>
        <w:rPr>
          <w:rFonts w:cstheme="minorHAnsi"/>
          <w:b/>
        </w:rPr>
      </w:pPr>
      <w:r w:rsidRPr="001A59B6">
        <w:rPr>
          <w:rFonts w:cstheme="minorHAnsi"/>
          <w:b/>
        </w:rPr>
        <w:t>Attachments</w:t>
      </w:r>
    </w:p>
    <w:p w:rsidR="00983D77" w:rsidP="00983D77" w14:paraId="0B59F242" w14:textId="77777777">
      <w:pPr>
        <w:spacing w:after="120" w:line="240" w:lineRule="auto"/>
        <w:rPr>
          <w:bCs/>
        </w:rPr>
      </w:pPr>
      <w:r>
        <w:rPr>
          <w:bCs/>
        </w:rPr>
        <w:t>Instrument 1. Community organization onboarding call</w:t>
      </w:r>
    </w:p>
    <w:p w:rsidR="004268C5" w:rsidP="004268C5" w14:paraId="560669AE" w14:textId="4513654C">
      <w:pPr>
        <w:spacing w:after="120" w:line="240" w:lineRule="auto"/>
        <w:rPr>
          <w:bCs/>
        </w:rPr>
      </w:pPr>
      <w:r w:rsidRPr="004F2553">
        <w:rPr>
          <w:bCs/>
        </w:rPr>
        <w:t xml:space="preserve">Instrument </w:t>
      </w:r>
      <w:r w:rsidR="00D9040A">
        <w:rPr>
          <w:bCs/>
        </w:rPr>
        <w:t>2</w:t>
      </w:r>
      <w:r>
        <w:rPr>
          <w:bCs/>
        </w:rPr>
        <w:t xml:space="preserve">. </w:t>
      </w:r>
      <w:r w:rsidRPr="003C2977">
        <w:rPr>
          <w:bCs/>
        </w:rPr>
        <w:t>Provider telephone script and recruitment information collection, non-observation</w:t>
      </w:r>
    </w:p>
    <w:p w:rsidR="004268C5" w:rsidP="004268C5" w14:paraId="4F111C77" w14:textId="1421E310">
      <w:pPr>
        <w:spacing w:after="120" w:line="240" w:lineRule="auto"/>
        <w:rPr>
          <w:bCs/>
        </w:rPr>
      </w:pPr>
      <w:r>
        <w:rPr>
          <w:bCs/>
        </w:rPr>
        <w:t xml:space="preserve">Instrument </w:t>
      </w:r>
      <w:r w:rsidR="00D9040A">
        <w:rPr>
          <w:bCs/>
        </w:rPr>
        <w:t>3</w:t>
      </w:r>
      <w:r>
        <w:rPr>
          <w:bCs/>
        </w:rPr>
        <w:t xml:space="preserve">. </w:t>
      </w:r>
      <w:r w:rsidRPr="003C2977">
        <w:rPr>
          <w:bCs/>
        </w:rPr>
        <w:t>Provider telephone script and recruitment information collection including observations</w:t>
      </w:r>
    </w:p>
    <w:p w:rsidR="00D9040A" w:rsidP="00D9040A" w14:paraId="63AEF7E9" w14:textId="77777777">
      <w:pPr>
        <w:spacing w:after="120" w:line="240" w:lineRule="auto"/>
        <w:rPr>
          <w:bCs/>
        </w:rPr>
      </w:pPr>
      <w:r>
        <w:rPr>
          <w:bCs/>
        </w:rPr>
        <w:t>Instrument 4. Observation scheduling call</w:t>
      </w:r>
    </w:p>
    <w:p w:rsidR="004268C5" w:rsidP="004268C5" w14:paraId="5E7DDC6B" w14:textId="7310971B">
      <w:pPr>
        <w:spacing w:after="120" w:line="240" w:lineRule="auto"/>
        <w:rPr>
          <w:bCs/>
        </w:rPr>
      </w:pPr>
      <w:r>
        <w:rPr>
          <w:bCs/>
        </w:rPr>
        <w:t xml:space="preserve">Instrument </w:t>
      </w:r>
      <w:r w:rsidR="00D9040A">
        <w:rPr>
          <w:bCs/>
        </w:rPr>
        <w:t>5</w:t>
      </w:r>
      <w:r>
        <w:rPr>
          <w:bCs/>
        </w:rPr>
        <w:t xml:space="preserve">. </w:t>
      </w:r>
      <w:r w:rsidRPr="003C2977">
        <w:rPr>
          <w:bCs/>
        </w:rPr>
        <w:t>HBCC-NSAC Toolkit provider questionnaire</w:t>
      </w:r>
    </w:p>
    <w:p w:rsidR="004268C5" w:rsidP="004268C5" w14:paraId="1D7DD0E3" w14:textId="5E81CCC9">
      <w:pPr>
        <w:spacing w:after="120" w:line="240" w:lineRule="auto"/>
        <w:rPr>
          <w:bCs/>
        </w:rPr>
      </w:pPr>
      <w:r>
        <w:rPr>
          <w:bCs/>
        </w:rPr>
        <w:t xml:space="preserve">Instrument </w:t>
      </w:r>
      <w:r w:rsidR="00D9040A">
        <w:rPr>
          <w:bCs/>
        </w:rPr>
        <w:t>6</w:t>
      </w:r>
      <w:r>
        <w:rPr>
          <w:bCs/>
        </w:rPr>
        <w:t xml:space="preserve">. </w:t>
      </w:r>
      <w:r w:rsidR="002F1E76">
        <w:rPr>
          <w:bCs/>
        </w:rPr>
        <w:t>Family survey</w:t>
      </w:r>
    </w:p>
    <w:p w:rsidR="00A42209" w:rsidP="00A42209" w14:paraId="5A726962" w14:textId="77777777">
      <w:pPr>
        <w:spacing w:after="120" w:line="240" w:lineRule="auto"/>
        <w:rPr>
          <w:bCs/>
        </w:rPr>
      </w:pPr>
      <w:r>
        <w:rPr>
          <w:bCs/>
        </w:rPr>
        <w:t xml:space="preserve">Appendix </w:t>
      </w:r>
      <w:r w:rsidR="00FB5588">
        <w:rPr>
          <w:bCs/>
        </w:rPr>
        <w:t>A</w:t>
      </w:r>
      <w:r>
        <w:rPr>
          <w:bCs/>
        </w:rPr>
        <w:t xml:space="preserve">. </w:t>
      </w:r>
      <w:r>
        <w:rPr>
          <w:bCs/>
        </w:rPr>
        <w:t>Community organization outreach materials</w:t>
      </w:r>
    </w:p>
    <w:p w:rsidR="00A42209" w:rsidP="00A42209" w14:paraId="7241AC6A" w14:textId="77777777">
      <w:pPr>
        <w:spacing w:after="120" w:line="240" w:lineRule="auto"/>
        <w:rPr>
          <w:bCs/>
        </w:rPr>
      </w:pPr>
      <w:r>
        <w:rPr>
          <w:bCs/>
        </w:rPr>
        <w:t>Appendix B. Respondent outreach materials</w:t>
      </w:r>
    </w:p>
    <w:p w:rsidR="00A42209" w:rsidP="00A42209" w14:paraId="5C805A37" w14:textId="77777777">
      <w:pPr>
        <w:spacing w:after="120" w:line="240" w:lineRule="auto"/>
        <w:rPr>
          <w:bCs/>
        </w:rPr>
      </w:pPr>
      <w:r>
        <w:rPr>
          <w:bCs/>
        </w:rPr>
        <w:t>Appendix C. Respondent reminders</w:t>
      </w:r>
    </w:p>
    <w:p w:rsidR="00A42209" w:rsidP="00A42209" w14:paraId="4311C5A0" w14:textId="77777777">
      <w:pPr>
        <w:spacing w:after="120" w:line="240" w:lineRule="auto"/>
        <w:rPr>
          <w:bCs/>
        </w:rPr>
      </w:pPr>
      <w:r>
        <w:rPr>
          <w:bCs/>
        </w:rPr>
        <w:t>Appendix D. Observation materials</w:t>
      </w:r>
    </w:p>
    <w:p w:rsidR="00A42209" w:rsidP="00A42209" w14:paraId="1BD75635" w14:textId="31688A73">
      <w:pPr>
        <w:spacing w:after="120" w:line="240" w:lineRule="auto"/>
      </w:pPr>
      <w:r>
        <w:t xml:space="preserve">Appendix E. Consent </w:t>
      </w:r>
      <w:r w:rsidR="00782A87">
        <w:t>letters and forms</w:t>
      </w:r>
    </w:p>
    <w:p w:rsidR="00A42209" w:rsidP="00A42209" w14:paraId="2F12E2E2" w14:textId="77777777">
      <w:pPr>
        <w:spacing w:after="120" w:line="240" w:lineRule="auto"/>
        <w:rPr>
          <w:bCs/>
        </w:rPr>
      </w:pPr>
      <w:r>
        <w:rPr>
          <w:bCs/>
        </w:rPr>
        <w:t>Appendix F. Family data collection instructions</w:t>
      </w:r>
    </w:p>
    <w:p w:rsidR="00A42209" w:rsidP="00A42209" w14:paraId="0296B15A" w14:textId="77777777">
      <w:pPr>
        <w:spacing w:after="120" w:line="240" w:lineRule="auto"/>
        <w:rPr>
          <w:bCs/>
        </w:rPr>
      </w:pPr>
      <w:r>
        <w:rPr>
          <w:bCs/>
        </w:rPr>
        <w:t>Appendix G. Frequently asked questions</w:t>
      </w:r>
    </w:p>
    <w:p w:rsidR="004268C5" w:rsidP="004268C5" w14:paraId="61C4833D" w14:textId="3C6F5767">
      <w:pPr>
        <w:spacing w:after="120" w:line="240" w:lineRule="auto"/>
      </w:pPr>
      <w:r>
        <w:t xml:space="preserve">Appendix H. </w:t>
      </w:r>
      <w:r w:rsidR="00FC6706">
        <w:t>Respondent</w:t>
      </w:r>
      <w:r>
        <w:t xml:space="preserve"> thank you letters</w:t>
      </w:r>
    </w:p>
    <w:p w:rsidR="00083227" w:rsidP="00BC1931" w14:paraId="1E574BF6" w14:textId="77777777"/>
    <w:p w:rsidR="00BC1931" w:rsidRPr="006B53F1" w:rsidP="00BC1931" w14:paraId="5E815474" w14:textId="55AE3016"/>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7F3E" w:rsidP="0004063C" w14:paraId="30C57CB1" w14:textId="77777777">
      <w:pPr>
        <w:spacing w:after="0" w:line="240" w:lineRule="auto"/>
      </w:pPr>
      <w:r>
        <w:separator/>
      </w:r>
    </w:p>
  </w:footnote>
  <w:footnote w:type="continuationSeparator" w:id="1">
    <w:p w:rsidR="00E87F3E" w:rsidP="0004063C" w14:paraId="6B9979FD" w14:textId="77777777">
      <w:pPr>
        <w:spacing w:after="0" w:line="240" w:lineRule="auto"/>
      </w:pPr>
      <w:r>
        <w:continuationSeparator/>
      </w:r>
    </w:p>
  </w:footnote>
  <w:footnote w:type="continuationNotice" w:id="2">
    <w:p w:rsidR="00E87F3E" w14:paraId="1C26ED07" w14:textId="77777777">
      <w:pPr>
        <w:spacing w:after="0" w:line="240" w:lineRule="auto"/>
      </w:pPr>
    </w:p>
  </w:footnote>
  <w:footnote w:id="3">
    <w:p w:rsidR="004D49E3" w:rsidRPr="00BD15D4" w:rsidP="00FE39EE" w14:paraId="7125CC4F" w14:textId="77777777">
      <w:pPr>
        <w:pStyle w:val="paragraph0"/>
        <w:spacing w:before="0" w:beforeAutospacing="0" w:after="0" w:afterAutospacing="0"/>
        <w:ind w:left="187" w:hanging="187"/>
        <w:textAlignment w:val="baseline"/>
        <w:rPr>
          <w:rFonts w:ascii="Segoe UI" w:hAnsi="Segoe UI" w:cs="Segoe UI"/>
          <w:sz w:val="16"/>
          <w:szCs w:val="16"/>
        </w:rPr>
      </w:pPr>
      <w:r>
        <w:rPr>
          <w:rStyle w:val="FootnoteReference"/>
        </w:rPr>
        <w:footnoteRef/>
      </w:r>
      <w:r>
        <w:t xml:space="preserve"> </w:t>
      </w:r>
      <w:r w:rsidRPr="00BD15D4">
        <w:rPr>
          <w:rStyle w:val="normaltextrun"/>
          <w:rFonts w:ascii="Calibri" w:hAnsi="Calibri" w:cs="Calibri"/>
          <w:sz w:val="20"/>
          <w:szCs w:val="20"/>
        </w:rPr>
        <w:t>Bromer, Juliet, Toni Porter, Christopher Jones, Marina Ragonese-Barnes, and Jaimie Orland. “Quality in Home-Based Child Care: A Review of Selected Literature.” OPRE Report 2021-136. Washington, DC: Office of Planning, Research, and Evaluation, Administration for Children and Families, U.S. Department of Health and Human Services, 2021.</w:t>
      </w:r>
      <w:r w:rsidRPr="00BD15D4">
        <w:rPr>
          <w:rStyle w:val="eop"/>
          <w:rFonts w:ascii="Calibri" w:hAnsi="Calibri" w:cs="Calibri"/>
          <w:sz w:val="20"/>
          <w:szCs w:val="20"/>
        </w:rPr>
        <w:t> </w:t>
      </w:r>
    </w:p>
    <w:p w:rsidR="00FE39EE" w:rsidRPr="00BD15D4" w:rsidP="00FE39EE" w14:paraId="47A2112B" w14:textId="77777777">
      <w:pPr>
        <w:pStyle w:val="paragraph0"/>
        <w:spacing w:before="0" w:beforeAutospacing="0" w:after="0" w:afterAutospacing="0"/>
        <w:ind w:left="187" w:hanging="187"/>
        <w:textAlignment w:val="baseline"/>
        <w:rPr>
          <w:rStyle w:val="normaltextrun"/>
          <w:rFonts w:ascii="Calibri" w:hAnsi="Calibri" w:cs="Calibri"/>
          <w:sz w:val="20"/>
          <w:szCs w:val="20"/>
        </w:rPr>
      </w:pPr>
    </w:p>
    <w:p w:rsidR="004D49E3" w:rsidRPr="00762D1A" w:rsidP="00FE39EE" w14:paraId="281E45D9" w14:textId="1ED0B450">
      <w:pPr>
        <w:pStyle w:val="paragraph0"/>
        <w:spacing w:before="0" w:beforeAutospacing="0" w:after="0" w:afterAutospacing="0"/>
        <w:ind w:left="187" w:hanging="7"/>
        <w:textAlignment w:val="baseline"/>
        <w:rPr>
          <w:rFonts w:ascii="Segoe UI" w:hAnsi="Segoe UI" w:cs="Segoe UI"/>
          <w:sz w:val="18"/>
          <w:szCs w:val="18"/>
        </w:rPr>
      </w:pPr>
      <w:r w:rsidRPr="00BD15D4">
        <w:rPr>
          <w:rStyle w:val="normaltextrun"/>
          <w:rFonts w:ascii="Calibri" w:hAnsi="Calibri" w:cs="Calibri"/>
          <w:sz w:val="20"/>
          <w:szCs w:val="20"/>
        </w:rPr>
        <w:t>Del Grosso, Patricia, Juliet Bromer, Toni Porter, Christopher Jones, Ann Li, Sally Atkins-Burnett, and Nikki Aikens. “A Research Agenda for Home-Based Child Care.” OPRE Report 2021-218. Washington, DC: Office of Planning, Research, and Evaluation, Administration for Children and Families, U.S. Department of Health and Human Services, 2021.</w:t>
      </w:r>
      <w:r w:rsidRPr="00BD15D4">
        <w:rPr>
          <w:rStyle w:val="eop"/>
          <w:rFonts w:ascii="Calibri" w:hAnsi="Calibri" w:cs="Calibri"/>
          <w:sz w:val="20"/>
          <w:szCs w:val="20"/>
        </w:rPr>
        <w:t> </w:t>
      </w:r>
    </w:p>
  </w:footnote>
  <w:footnote w:id="4">
    <w:p w:rsidR="001A3787" w:rsidP="001A3787" w14:paraId="69C3269A" w14:textId="77777777">
      <w:pPr>
        <w:rPr>
          <w:sz w:val="20"/>
          <w:szCs w:val="20"/>
        </w:rPr>
      </w:pPr>
      <w:r>
        <w:rPr>
          <w:rStyle w:val="FootnoteReference"/>
        </w:rPr>
        <w:footnoteRef/>
      </w:r>
      <w:r>
        <w:t xml:space="preserve"> </w:t>
      </w:r>
      <w:r w:rsidRPr="001A3787">
        <w:rPr>
          <w:sz w:val="20"/>
          <w:szCs w:val="20"/>
        </w:rPr>
        <w:t>Schochet, O., Li, A., Del Grosso, P., Aikens, N., Atkins-Burnett, S., Porter, T., &amp; Bromer, J. (2022). A national portrait of unlisted home-based child care providers: Provider demographics, economic wellbeing, and health. OPRE Brief #2022-280. Washington, DC: Office of Planning, Research, and Evaluation, Administration for Children and Families, US. Department of Health and Human Services.</w:t>
      </w:r>
    </w:p>
    <w:p w:rsidR="001A3787" w:rsidP="00762D1A" w14:paraId="552AD6A3" w14:textId="55C01A58">
      <w:r w:rsidRPr="00200849">
        <w:rPr>
          <w:sz w:val="20"/>
          <w:szCs w:val="20"/>
        </w:rPr>
        <w:t>Schochet, O., Li, A., Del Grosso, P., Aikens, N., Atkins-Burnett, S., Porter, T., &amp; Bromer, J. (2022). A national portrait of unlisted home-based child care providers: Learning activities, caregiving services, and children served. OPRE Brief #2022-292. Washington, DC: Office of Planning, Research, and Evaluation, Administration for Children and Families, US. Department of Health and Human Services.</w:t>
      </w:r>
    </w:p>
  </w:footnote>
  <w:footnote w:id="5">
    <w:p w:rsidR="00A107DA" w14:paraId="5F0DA0EA" w14:textId="72BC99BB">
      <w:pPr>
        <w:pStyle w:val="FootnoteText"/>
      </w:pPr>
      <w:r>
        <w:rPr>
          <w:rStyle w:val="FootnoteReference"/>
        </w:rPr>
        <w:footnoteRef/>
      </w:r>
      <w:r>
        <w:t xml:space="preserve"> The study team recruited providers from the following 10 states in the pilot study</w:t>
      </w:r>
      <w:r w:rsidR="00335B14">
        <w:t xml:space="preserve"> (</w:t>
      </w:r>
      <w:r w:rsidR="00335B14">
        <w:rPr>
          <w:rFonts w:ascii="Calibri" w:hAnsi="Calibri" w:cs="Calibri"/>
          <w:color w:val="333333"/>
          <w:shd w:val="clear" w:color="auto" w:fill="FFFFFF"/>
        </w:rPr>
        <w:t xml:space="preserve">ACF’s generic clearance </w:t>
      </w:r>
      <w:r w:rsidRPr="006158BC" w:rsidR="00335B14">
        <w:rPr>
          <w:rFonts w:ascii="Calibri" w:hAnsi="Calibri" w:cs="Calibri"/>
          <w:color w:val="333333"/>
          <w:shd w:val="clear" w:color="auto" w:fill="FFFFFF"/>
        </w:rPr>
        <w:t>0970 – 0355</w:t>
      </w:r>
      <w:r w:rsidR="00335B14">
        <w:rPr>
          <w:rFonts w:ascii="Calibri" w:hAnsi="Calibri" w:cs="Calibri"/>
          <w:color w:val="333333"/>
          <w:shd w:val="clear" w:color="auto" w:fill="FFFFFF"/>
        </w:rPr>
        <w:t>)</w:t>
      </w:r>
      <w:r>
        <w:t>: </w:t>
      </w:r>
      <w:r w:rsidR="00200849">
        <w:t xml:space="preserve">Arizona, California, Connecticut, Georgia, Illinois, </w:t>
      </w:r>
      <w:r w:rsidR="000A721E">
        <w:t xml:space="preserve">Maryland, </w:t>
      </w:r>
      <w:r w:rsidR="00200849">
        <w:t xml:space="preserve">North Carolina, Nevada, New York, and Texas. </w:t>
      </w:r>
      <w:r>
        <w:rPr>
          <w:rFonts w:eastAsia="Times New Roman" w:cstheme="minorHAnsi"/>
        </w:rPr>
        <w:t xml:space="preserve"> </w:t>
      </w:r>
    </w:p>
  </w:footnote>
  <w:footnote w:id="6">
    <w:p w:rsidR="006040F0" w14:paraId="2139B542" w14:textId="01431BD7">
      <w:pPr>
        <w:pStyle w:val="FootnoteText"/>
      </w:pPr>
      <w:r>
        <w:rPr>
          <w:rStyle w:val="FootnoteReference"/>
        </w:rPr>
        <w:footnoteRef/>
      </w:r>
      <w:r>
        <w:t xml:space="preserve"> </w:t>
      </w:r>
      <w:r w:rsidRPr="007907A6" w:rsidR="007907A6">
        <w:t xml:space="preserve">HighScope Educational Research Foundation. </w:t>
      </w:r>
      <w:r w:rsidRPr="007907A6" w:rsidR="007907A6">
        <w:rPr>
          <w:i/>
          <w:iCs/>
        </w:rPr>
        <w:t>Family Child Care Program Quality Assessment (PQA) Administration Manual.</w:t>
      </w:r>
      <w:r w:rsidRPr="007907A6" w:rsidR="007907A6">
        <w:t xml:space="preserve"> Ypsilanti, MI: HighScope Press, 2009. </w:t>
      </w:r>
    </w:p>
  </w:footnote>
  <w:footnote w:id="7">
    <w:p w:rsidR="00477CA4" w14:paraId="634B056B" w14:textId="065CE821">
      <w:pPr>
        <w:pStyle w:val="FootnoteText"/>
      </w:pPr>
      <w:r>
        <w:rPr>
          <w:rStyle w:val="FootnoteReference"/>
        </w:rPr>
        <w:footnoteRef/>
      </w:r>
      <w:r>
        <w:t xml:space="preserve"> See section A.9 for more information about the </w:t>
      </w:r>
      <w:r w:rsidR="007250FE">
        <w:t xml:space="preserve">family </w:t>
      </w:r>
      <w:r>
        <w:t>pre-</w:t>
      </w:r>
      <w:r w:rsidR="00D93A96">
        <w:t>token of appreciation</w:t>
      </w:r>
      <w:r>
        <w:t>.</w:t>
      </w:r>
    </w:p>
  </w:footnote>
  <w:footnote w:id="8">
    <w:p w:rsidR="00012C87" w:rsidP="00012C87" w14:paraId="7C5CDF63" w14:textId="77777777">
      <w:pPr>
        <w:pStyle w:val="FootnoteText"/>
      </w:pPr>
      <w:r>
        <w:rPr>
          <w:rStyle w:val="FootnoteReference"/>
        </w:rPr>
        <w:footnoteRef/>
      </w:r>
      <w:r>
        <w:t xml:space="preserve"> </w:t>
      </w:r>
      <w:bookmarkStart w:id="4" w:name="_Hlk145079639"/>
      <w:r>
        <w:t xml:space="preserve">Rasch </w:t>
      </w:r>
      <w:bookmarkEnd w:id="4"/>
      <w:r>
        <w:t>models are unidimensional.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92AA17C"/>
    <w:lvl w:ilvl="0">
      <w:start w:val="1"/>
      <w:numFmt w:val="bullet"/>
      <w:pStyle w:val="ListBullet"/>
      <w:lvlText w:val=""/>
      <w:lvlJc w:val="left"/>
      <w:pPr>
        <w:tabs>
          <w:tab w:val="num" w:pos="360"/>
        </w:tabs>
        <w:ind w:left="360" w:hanging="360"/>
      </w:pPr>
      <w:rPr>
        <w:rFonts w:ascii="Symbol" w:hAnsi="Symbol" w:hint="default"/>
        <w:color w:val="000000" w:themeColor="text1"/>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FA4800"/>
    <w:multiLevelType w:val="hybridMultilevel"/>
    <w:tmpl w:val="B492D4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622C4E"/>
    <w:multiLevelType w:val="hybridMultilevel"/>
    <w:tmpl w:val="F0662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FC240E"/>
    <w:multiLevelType w:val="hybridMultilevel"/>
    <w:tmpl w:val="A88CB05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151941"/>
    <w:multiLevelType w:val="multilevel"/>
    <w:tmpl w:val="8AD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8539F5"/>
    <w:multiLevelType w:val="multilevel"/>
    <w:tmpl w:val="8ADE0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D7000A"/>
    <w:multiLevelType w:val="multilevel"/>
    <w:tmpl w:val="39BEBE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1F21955"/>
    <w:multiLevelType w:val="multilevel"/>
    <w:tmpl w:val="1C10F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D12791F"/>
    <w:multiLevelType w:val="multilevel"/>
    <w:tmpl w:val="8ADE0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6C473FE"/>
    <w:multiLevelType w:val="multilevel"/>
    <w:tmpl w:val="8ADE0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3143340"/>
    <w:multiLevelType w:val="multilevel"/>
    <w:tmpl w:val="9D28A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B11474B"/>
    <w:multiLevelType w:val="multilevel"/>
    <w:tmpl w:val="8ADE0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4996047">
    <w:abstractNumId w:val="7"/>
  </w:num>
  <w:num w:numId="2" w16cid:durableId="329139409">
    <w:abstractNumId w:val="25"/>
  </w:num>
  <w:num w:numId="3" w16cid:durableId="1502349782">
    <w:abstractNumId w:val="5"/>
  </w:num>
  <w:num w:numId="4" w16cid:durableId="636646882">
    <w:abstractNumId w:val="33"/>
  </w:num>
  <w:num w:numId="5" w16cid:durableId="154303507">
    <w:abstractNumId w:val="20"/>
  </w:num>
  <w:num w:numId="6" w16cid:durableId="1209957410">
    <w:abstractNumId w:val="40"/>
  </w:num>
  <w:num w:numId="7" w16cid:durableId="1795711195">
    <w:abstractNumId w:val="4"/>
  </w:num>
  <w:num w:numId="8" w16cid:durableId="152527817">
    <w:abstractNumId w:val="11"/>
  </w:num>
  <w:num w:numId="9" w16cid:durableId="2133283227">
    <w:abstractNumId w:val="19"/>
  </w:num>
  <w:num w:numId="10" w16cid:durableId="1294403272">
    <w:abstractNumId w:val="39"/>
  </w:num>
  <w:num w:numId="11" w16cid:durableId="696856914">
    <w:abstractNumId w:val="42"/>
  </w:num>
  <w:num w:numId="12" w16cid:durableId="1287003962">
    <w:abstractNumId w:val="37"/>
  </w:num>
  <w:num w:numId="13" w16cid:durableId="1787848459">
    <w:abstractNumId w:val="32"/>
  </w:num>
  <w:num w:numId="14" w16cid:durableId="967323898">
    <w:abstractNumId w:val="38"/>
  </w:num>
  <w:num w:numId="15" w16cid:durableId="628509648">
    <w:abstractNumId w:val="21"/>
  </w:num>
  <w:num w:numId="16" w16cid:durableId="37436794">
    <w:abstractNumId w:val="31"/>
  </w:num>
  <w:num w:numId="17" w16cid:durableId="261452723">
    <w:abstractNumId w:val="15"/>
  </w:num>
  <w:num w:numId="18" w16cid:durableId="1382824990">
    <w:abstractNumId w:val="10"/>
  </w:num>
  <w:num w:numId="19" w16cid:durableId="278416401">
    <w:abstractNumId w:val="9"/>
  </w:num>
  <w:num w:numId="20" w16cid:durableId="448202742">
    <w:abstractNumId w:val="28"/>
  </w:num>
  <w:num w:numId="21" w16cid:durableId="1405296243">
    <w:abstractNumId w:val="1"/>
  </w:num>
  <w:num w:numId="22" w16cid:durableId="1356155288">
    <w:abstractNumId w:val="2"/>
  </w:num>
  <w:num w:numId="23" w16cid:durableId="1202548653">
    <w:abstractNumId w:val="22"/>
  </w:num>
  <w:num w:numId="24" w16cid:durableId="175192836">
    <w:abstractNumId w:val="3"/>
  </w:num>
  <w:num w:numId="25" w16cid:durableId="315957327">
    <w:abstractNumId w:val="12"/>
  </w:num>
  <w:num w:numId="26" w16cid:durableId="1480611547">
    <w:abstractNumId w:val="27"/>
  </w:num>
  <w:num w:numId="27" w16cid:durableId="236406371">
    <w:abstractNumId w:val="41"/>
  </w:num>
  <w:num w:numId="28" w16cid:durableId="1809122933">
    <w:abstractNumId w:val="35"/>
  </w:num>
  <w:num w:numId="29" w16cid:durableId="573050911">
    <w:abstractNumId w:val="24"/>
  </w:num>
  <w:num w:numId="30" w16cid:durableId="54935066">
    <w:abstractNumId w:val="30"/>
  </w:num>
  <w:num w:numId="31" w16cid:durableId="1224831868">
    <w:abstractNumId w:val="0"/>
  </w:num>
  <w:num w:numId="32" w16cid:durableId="1644577089">
    <w:abstractNumId w:val="23"/>
  </w:num>
  <w:num w:numId="33" w16cid:durableId="763569274">
    <w:abstractNumId w:val="34"/>
  </w:num>
  <w:num w:numId="34" w16cid:durableId="267280611">
    <w:abstractNumId w:val="36"/>
  </w:num>
  <w:num w:numId="35" w16cid:durableId="933824784">
    <w:abstractNumId w:val="18"/>
  </w:num>
  <w:num w:numId="36" w16cid:durableId="1172792256">
    <w:abstractNumId w:val="16"/>
  </w:num>
  <w:num w:numId="37" w16cid:durableId="241112913">
    <w:abstractNumId w:val="26"/>
  </w:num>
  <w:num w:numId="38" w16cid:durableId="880938187">
    <w:abstractNumId w:val="17"/>
  </w:num>
  <w:num w:numId="39" w16cid:durableId="3821271">
    <w:abstractNumId w:val="29"/>
  </w:num>
  <w:num w:numId="40" w16cid:durableId="41906935">
    <w:abstractNumId w:val="8"/>
  </w:num>
  <w:num w:numId="41" w16cid:durableId="692070822">
    <w:abstractNumId w:val="14"/>
  </w:num>
  <w:num w:numId="42" w16cid:durableId="872962625">
    <w:abstractNumId w:val="13"/>
  </w:num>
  <w:num w:numId="43" w16cid:durableId="457068849">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16F"/>
    <w:rsid w:val="0000036F"/>
    <w:rsid w:val="000010AC"/>
    <w:rsid w:val="0000220E"/>
    <w:rsid w:val="00004798"/>
    <w:rsid w:val="000047FA"/>
    <w:rsid w:val="000072CA"/>
    <w:rsid w:val="0001255D"/>
    <w:rsid w:val="00012C87"/>
    <w:rsid w:val="00017E59"/>
    <w:rsid w:val="00020297"/>
    <w:rsid w:val="0002084C"/>
    <w:rsid w:val="000218DB"/>
    <w:rsid w:val="00023239"/>
    <w:rsid w:val="0002341F"/>
    <w:rsid w:val="00023B5B"/>
    <w:rsid w:val="00024E25"/>
    <w:rsid w:val="00026297"/>
    <w:rsid w:val="00027E79"/>
    <w:rsid w:val="00031206"/>
    <w:rsid w:val="00032228"/>
    <w:rsid w:val="000323F1"/>
    <w:rsid w:val="0003436E"/>
    <w:rsid w:val="00034695"/>
    <w:rsid w:val="0004063C"/>
    <w:rsid w:val="0004076B"/>
    <w:rsid w:val="000411E5"/>
    <w:rsid w:val="0004247F"/>
    <w:rsid w:val="00043E4B"/>
    <w:rsid w:val="00046409"/>
    <w:rsid w:val="00047E82"/>
    <w:rsid w:val="00050813"/>
    <w:rsid w:val="0005117C"/>
    <w:rsid w:val="000513BB"/>
    <w:rsid w:val="00051DEB"/>
    <w:rsid w:val="00056285"/>
    <w:rsid w:val="00056924"/>
    <w:rsid w:val="00056A57"/>
    <w:rsid w:val="00056E5C"/>
    <w:rsid w:val="00057316"/>
    <w:rsid w:val="0005780E"/>
    <w:rsid w:val="00060B2C"/>
    <w:rsid w:val="00061092"/>
    <w:rsid w:val="000621C6"/>
    <w:rsid w:val="0006256A"/>
    <w:rsid w:val="00062AFB"/>
    <w:rsid w:val="000643CE"/>
    <w:rsid w:val="00064537"/>
    <w:rsid w:val="00064A76"/>
    <w:rsid w:val="000655DD"/>
    <w:rsid w:val="0006611C"/>
    <w:rsid w:val="00067B85"/>
    <w:rsid w:val="000713EE"/>
    <w:rsid w:val="0007164E"/>
    <w:rsid w:val="00071F79"/>
    <w:rsid w:val="0007251B"/>
    <w:rsid w:val="00073369"/>
    <w:rsid w:val="000733A5"/>
    <w:rsid w:val="00074825"/>
    <w:rsid w:val="00075072"/>
    <w:rsid w:val="000762BF"/>
    <w:rsid w:val="0008226A"/>
    <w:rsid w:val="00082C5B"/>
    <w:rsid w:val="00083227"/>
    <w:rsid w:val="00084804"/>
    <w:rsid w:val="00086CBE"/>
    <w:rsid w:val="00087231"/>
    <w:rsid w:val="00087BDC"/>
    <w:rsid w:val="00087E87"/>
    <w:rsid w:val="00087E8C"/>
    <w:rsid w:val="0009066A"/>
    <w:rsid w:val="00090812"/>
    <w:rsid w:val="000916B2"/>
    <w:rsid w:val="000921F0"/>
    <w:rsid w:val="00092ACE"/>
    <w:rsid w:val="0009446B"/>
    <w:rsid w:val="00094D49"/>
    <w:rsid w:val="000965D8"/>
    <w:rsid w:val="00096F7A"/>
    <w:rsid w:val="00097560"/>
    <w:rsid w:val="00097B68"/>
    <w:rsid w:val="000A012A"/>
    <w:rsid w:val="000A0696"/>
    <w:rsid w:val="000A0B38"/>
    <w:rsid w:val="000A2E09"/>
    <w:rsid w:val="000A3F97"/>
    <w:rsid w:val="000A4DEE"/>
    <w:rsid w:val="000A6D65"/>
    <w:rsid w:val="000A721E"/>
    <w:rsid w:val="000A7B1D"/>
    <w:rsid w:val="000B357A"/>
    <w:rsid w:val="000B477E"/>
    <w:rsid w:val="000B4C78"/>
    <w:rsid w:val="000B5BE4"/>
    <w:rsid w:val="000B5F7C"/>
    <w:rsid w:val="000B760E"/>
    <w:rsid w:val="000C1F77"/>
    <w:rsid w:val="000C210E"/>
    <w:rsid w:val="000C326A"/>
    <w:rsid w:val="000C3EA6"/>
    <w:rsid w:val="000C42AA"/>
    <w:rsid w:val="000C50AA"/>
    <w:rsid w:val="000C58DB"/>
    <w:rsid w:val="000C7BFE"/>
    <w:rsid w:val="000D26B4"/>
    <w:rsid w:val="000D2C73"/>
    <w:rsid w:val="000D4E9A"/>
    <w:rsid w:val="000D54C9"/>
    <w:rsid w:val="000D648D"/>
    <w:rsid w:val="000D7D44"/>
    <w:rsid w:val="000E01EC"/>
    <w:rsid w:val="000E34EE"/>
    <w:rsid w:val="000E3AE9"/>
    <w:rsid w:val="000E5956"/>
    <w:rsid w:val="000E6377"/>
    <w:rsid w:val="000E6577"/>
    <w:rsid w:val="000E68EE"/>
    <w:rsid w:val="000E6948"/>
    <w:rsid w:val="000E74C6"/>
    <w:rsid w:val="000E7F2E"/>
    <w:rsid w:val="000F0BA3"/>
    <w:rsid w:val="000F1440"/>
    <w:rsid w:val="000F1BF1"/>
    <w:rsid w:val="000F1E4A"/>
    <w:rsid w:val="000F2A54"/>
    <w:rsid w:val="000F400C"/>
    <w:rsid w:val="000F4043"/>
    <w:rsid w:val="000F5CDE"/>
    <w:rsid w:val="000F7408"/>
    <w:rsid w:val="000F787D"/>
    <w:rsid w:val="000F7D03"/>
    <w:rsid w:val="001009F3"/>
    <w:rsid w:val="00100D34"/>
    <w:rsid w:val="001016B7"/>
    <w:rsid w:val="001031C0"/>
    <w:rsid w:val="00103221"/>
    <w:rsid w:val="00103EFD"/>
    <w:rsid w:val="0010494E"/>
    <w:rsid w:val="00104ADF"/>
    <w:rsid w:val="001051F8"/>
    <w:rsid w:val="00105F0A"/>
    <w:rsid w:val="00107B26"/>
    <w:rsid w:val="00107D87"/>
    <w:rsid w:val="00107F1E"/>
    <w:rsid w:val="00111B73"/>
    <w:rsid w:val="0012274D"/>
    <w:rsid w:val="001253F4"/>
    <w:rsid w:val="00125C40"/>
    <w:rsid w:val="00131B34"/>
    <w:rsid w:val="001339B0"/>
    <w:rsid w:val="00134039"/>
    <w:rsid w:val="00134C0A"/>
    <w:rsid w:val="00135FBC"/>
    <w:rsid w:val="001364AC"/>
    <w:rsid w:val="001408F4"/>
    <w:rsid w:val="0014109F"/>
    <w:rsid w:val="00142699"/>
    <w:rsid w:val="001435B4"/>
    <w:rsid w:val="00144289"/>
    <w:rsid w:val="001453DE"/>
    <w:rsid w:val="001467B4"/>
    <w:rsid w:val="001516C8"/>
    <w:rsid w:val="001525AF"/>
    <w:rsid w:val="001528A8"/>
    <w:rsid w:val="001562D2"/>
    <w:rsid w:val="001571F9"/>
    <w:rsid w:val="00157482"/>
    <w:rsid w:val="0016172A"/>
    <w:rsid w:val="0016281F"/>
    <w:rsid w:val="00162E09"/>
    <w:rsid w:val="00165E82"/>
    <w:rsid w:val="001707D8"/>
    <w:rsid w:val="0017243C"/>
    <w:rsid w:val="00173222"/>
    <w:rsid w:val="00180919"/>
    <w:rsid w:val="00181014"/>
    <w:rsid w:val="0018192A"/>
    <w:rsid w:val="00181E94"/>
    <w:rsid w:val="001824A7"/>
    <w:rsid w:val="00187D70"/>
    <w:rsid w:val="00187E74"/>
    <w:rsid w:val="001904CB"/>
    <w:rsid w:val="0019311F"/>
    <w:rsid w:val="00193B6F"/>
    <w:rsid w:val="00193C1F"/>
    <w:rsid w:val="00194897"/>
    <w:rsid w:val="00196069"/>
    <w:rsid w:val="00196A24"/>
    <w:rsid w:val="0019762D"/>
    <w:rsid w:val="001A1E1E"/>
    <w:rsid w:val="001A3787"/>
    <w:rsid w:val="001A48BD"/>
    <w:rsid w:val="001A59B6"/>
    <w:rsid w:val="001A5E1B"/>
    <w:rsid w:val="001A6213"/>
    <w:rsid w:val="001A67CA"/>
    <w:rsid w:val="001A6DE8"/>
    <w:rsid w:val="001A7103"/>
    <w:rsid w:val="001A76E9"/>
    <w:rsid w:val="001A7E08"/>
    <w:rsid w:val="001B0171"/>
    <w:rsid w:val="001B0A76"/>
    <w:rsid w:val="001B1B8E"/>
    <w:rsid w:val="001B2CC2"/>
    <w:rsid w:val="001B3136"/>
    <w:rsid w:val="001B319D"/>
    <w:rsid w:val="001B3359"/>
    <w:rsid w:val="001B3CB9"/>
    <w:rsid w:val="001B43C4"/>
    <w:rsid w:val="001B4D7A"/>
    <w:rsid w:val="001C2E4C"/>
    <w:rsid w:val="001C2F49"/>
    <w:rsid w:val="001C3084"/>
    <w:rsid w:val="001C3F27"/>
    <w:rsid w:val="001C4958"/>
    <w:rsid w:val="001C538F"/>
    <w:rsid w:val="001C59E7"/>
    <w:rsid w:val="001C6356"/>
    <w:rsid w:val="001C6FB4"/>
    <w:rsid w:val="001D007E"/>
    <w:rsid w:val="001D1994"/>
    <w:rsid w:val="001D19EF"/>
    <w:rsid w:val="001D2596"/>
    <w:rsid w:val="001D26B9"/>
    <w:rsid w:val="001D2F8B"/>
    <w:rsid w:val="001D7581"/>
    <w:rsid w:val="001E4DEA"/>
    <w:rsid w:val="001E5C4F"/>
    <w:rsid w:val="001E6B08"/>
    <w:rsid w:val="001E75AE"/>
    <w:rsid w:val="001F0DF1"/>
    <w:rsid w:val="001F155D"/>
    <w:rsid w:val="001F2966"/>
    <w:rsid w:val="001F2C43"/>
    <w:rsid w:val="001F3FF8"/>
    <w:rsid w:val="001F4DA8"/>
    <w:rsid w:val="001F57F5"/>
    <w:rsid w:val="001F5BA4"/>
    <w:rsid w:val="00200849"/>
    <w:rsid w:val="00202FC8"/>
    <w:rsid w:val="00203942"/>
    <w:rsid w:val="0020401C"/>
    <w:rsid w:val="00204414"/>
    <w:rsid w:val="00204CD5"/>
    <w:rsid w:val="002056CC"/>
    <w:rsid w:val="0020629A"/>
    <w:rsid w:val="00206329"/>
    <w:rsid w:val="00206E11"/>
    <w:rsid w:val="00206FE3"/>
    <w:rsid w:val="00207554"/>
    <w:rsid w:val="00210602"/>
    <w:rsid w:val="00210A14"/>
    <w:rsid w:val="00211060"/>
    <w:rsid w:val="00211261"/>
    <w:rsid w:val="00211A53"/>
    <w:rsid w:val="00211A92"/>
    <w:rsid w:val="002138B4"/>
    <w:rsid w:val="00217243"/>
    <w:rsid w:val="00217C82"/>
    <w:rsid w:val="00217D97"/>
    <w:rsid w:val="002201E8"/>
    <w:rsid w:val="0022063C"/>
    <w:rsid w:val="00220691"/>
    <w:rsid w:val="0022212C"/>
    <w:rsid w:val="0022259B"/>
    <w:rsid w:val="00222B4C"/>
    <w:rsid w:val="00223383"/>
    <w:rsid w:val="002248E4"/>
    <w:rsid w:val="00224CE0"/>
    <w:rsid w:val="0022622B"/>
    <w:rsid w:val="002265BB"/>
    <w:rsid w:val="002302BD"/>
    <w:rsid w:val="00230973"/>
    <w:rsid w:val="00232B07"/>
    <w:rsid w:val="0023592D"/>
    <w:rsid w:val="00236463"/>
    <w:rsid w:val="002372B4"/>
    <w:rsid w:val="00237ACB"/>
    <w:rsid w:val="00237F04"/>
    <w:rsid w:val="00240A13"/>
    <w:rsid w:val="00241200"/>
    <w:rsid w:val="00243DDA"/>
    <w:rsid w:val="00246780"/>
    <w:rsid w:val="002507AF"/>
    <w:rsid w:val="002517BB"/>
    <w:rsid w:val="00252583"/>
    <w:rsid w:val="00256BFC"/>
    <w:rsid w:val="00256C71"/>
    <w:rsid w:val="00256DED"/>
    <w:rsid w:val="00256E24"/>
    <w:rsid w:val="00256EEE"/>
    <w:rsid w:val="002575C4"/>
    <w:rsid w:val="00257CBA"/>
    <w:rsid w:val="00263D5F"/>
    <w:rsid w:val="002641B4"/>
    <w:rsid w:val="00264297"/>
    <w:rsid w:val="0026477D"/>
    <w:rsid w:val="00264940"/>
    <w:rsid w:val="00264DF2"/>
    <w:rsid w:val="00265491"/>
    <w:rsid w:val="00266DED"/>
    <w:rsid w:val="002712D3"/>
    <w:rsid w:val="00274451"/>
    <w:rsid w:val="00274E39"/>
    <w:rsid w:val="00275E0B"/>
    <w:rsid w:val="0027641A"/>
    <w:rsid w:val="0027697F"/>
    <w:rsid w:val="00276CE2"/>
    <w:rsid w:val="00277552"/>
    <w:rsid w:val="00277EC4"/>
    <w:rsid w:val="0028270B"/>
    <w:rsid w:val="00282893"/>
    <w:rsid w:val="00282F37"/>
    <w:rsid w:val="002839EF"/>
    <w:rsid w:val="00283B58"/>
    <w:rsid w:val="00283E13"/>
    <w:rsid w:val="002852E7"/>
    <w:rsid w:val="00285C5B"/>
    <w:rsid w:val="00286562"/>
    <w:rsid w:val="00287AF1"/>
    <w:rsid w:val="00294074"/>
    <w:rsid w:val="00294779"/>
    <w:rsid w:val="00295F7D"/>
    <w:rsid w:val="002A18BF"/>
    <w:rsid w:val="002A1934"/>
    <w:rsid w:val="002A3BE4"/>
    <w:rsid w:val="002A41C6"/>
    <w:rsid w:val="002A58BD"/>
    <w:rsid w:val="002A61F4"/>
    <w:rsid w:val="002A68BC"/>
    <w:rsid w:val="002A6AA5"/>
    <w:rsid w:val="002A6DAC"/>
    <w:rsid w:val="002A6F7D"/>
    <w:rsid w:val="002B317D"/>
    <w:rsid w:val="002B3AB4"/>
    <w:rsid w:val="002B785B"/>
    <w:rsid w:val="002B787C"/>
    <w:rsid w:val="002C322A"/>
    <w:rsid w:val="002C4212"/>
    <w:rsid w:val="002C4D2E"/>
    <w:rsid w:val="002C665F"/>
    <w:rsid w:val="002C6ECC"/>
    <w:rsid w:val="002C7187"/>
    <w:rsid w:val="002C7397"/>
    <w:rsid w:val="002C7700"/>
    <w:rsid w:val="002C7BD8"/>
    <w:rsid w:val="002D2ABD"/>
    <w:rsid w:val="002D5C91"/>
    <w:rsid w:val="002D655B"/>
    <w:rsid w:val="002D78F7"/>
    <w:rsid w:val="002D7BA5"/>
    <w:rsid w:val="002E0042"/>
    <w:rsid w:val="002E1A1E"/>
    <w:rsid w:val="002E46E4"/>
    <w:rsid w:val="002E6CCF"/>
    <w:rsid w:val="002E6D4A"/>
    <w:rsid w:val="002F1E76"/>
    <w:rsid w:val="002F23CC"/>
    <w:rsid w:val="002F33D0"/>
    <w:rsid w:val="002F601A"/>
    <w:rsid w:val="002F6117"/>
    <w:rsid w:val="002F61FD"/>
    <w:rsid w:val="002F6551"/>
    <w:rsid w:val="002F7980"/>
    <w:rsid w:val="00300722"/>
    <w:rsid w:val="00301B92"/>
    <w:rsid w:val="00301ECD"/>
    <w:rsid w:val="0030316D"/>
    <w:rsid w:val="00304A91"/>
    <w:rsid w:val="003052DE"/>
    <w:rsid w:val="00305DD2"/>
    <w:rsid w:val="003061AB"/>
    <w:rsid w:val="00306B42"/>
    <w:rsid w:val="0030784C"/>
    <w:rsid w:val="00307BD5"/>
    <w:rsid w:val="003106A6"/>
    <w:rsid w:val="00310AA1"/>
    <w:rsid w:val="00312A3E"/>
    <w:rsid w:val="00313F4C"/>
    <w:rsid w:val="003144C4"/>
    <w:rsid w:val="00314DB3"/>
    <w:rsid w:val="00316D62"/>
    <w:rsid w:val="00320683"/>
    <w:rsid w:val="00320D8D"/>
    <w:rsid w:val="003226BE"/>
    <w:rsid w:val="00322F9B"/>
    <w:rsid w:val="0032371A"/>
    <w:rsid w:val="0032452C"/>
    <w:rsid w:val="00324867"/>
    <w:rsid w:val="00324BB9"/>
    <w:rsid w:val="00330847"/>
    <w:rsid w:val="0033145B"/>
    <w:rsid w:val="0033280F"/>
    <w:rsid w:val="0033325E"/>
    <w:rsid w:val="00333BE7"/>
    <w:rsid w:val="00334C70"/>
    <w:rsid w:val="003355D8"/>
    <w:rsid w:val="00335B14"/>
    <w:rsid w:val="003366CE"/>
    <w:rsid w:val="00336C66"/>
    <w:rsid w:val="00340501"/>
    <w:rsid w:val="003410AE"/>
    <w:rsid w:val="003412BA"/>
    <w:rsid w:val="003439D8"/>
    <w:rsid w:val="00343D62"/>
    <w:rsid w:val="00344E13"/>
    <w:rsid w:val="003512A7"/>
    <w:rsid w:val="003552F1"/>
    <w:rsid w:val="003558FB"/>
    <w:rsid w:val="003559BC"/>
    <w:rsid w:val="003562B5"/>
    <w:rsid w:val="00360C94"/>
    <w:rsid w:val="0036141A"/>
    <w:rsid w:val="00361C51"/>
    <w:rsid w:val="00361F13"/>
    <w:rsid w:val="0036232B"/>
    <w:rsid w:val="003624DE"/>
    <w:rsid w:val="00362984"/>
    <w:rsid w:val="00363443"/>
    <w:rsid w:val="00363C01"/>
    <w:rsid w:val="00363DBA"/>
    <w:rsid w:val="003653E6"/>
    <w:rsid w:val="0036761D"/>
    <w:rsid w:val="003676EB"/>
    <w:rsid w:val="00367963"/>
    <w:rsid w:val="00372323"/>
    <w:rsid w:val="00372D66"/>
    <w:rsid w:val="00373D2F"/>
    <w:rsid w:val="003749CC"/>
    <w:rsid w:val="0037501E"/>
    <w:rsid w:val="00375582"/>
    <w:rsid w:val="00376FDD"/>
    <w:rsid w:val="00377B25"/>
    <w:rsid w:val="003806B9"/>
    <w:rsid w:val="0038146A"/>
    <w:rsid w:val="00382094"/>
    <w:rsid w:val="00382656"/>
    <w:rsid w:val="003835CD"/>
    <w:rsid w:val="00384ECA"/>
    <w:rsid w:val="0038651B"/>
    <w:rsid w:val="00387DF0"/>
    <w:rsid w:val="00390F85"/>
    <w:rsid w:val="00391106"/>
    <w:rsid w:val="00392EFD"/>
    <w:rsid w:val="0039345A"/>
    <w:rsid w:val="00393606"/>
    <w:rsid w:val="003A1255"/>
    <w:rsid w:val="003A385B"/>
    <w:rsid w:val="003A472C"/>
    <w:rsid w:val="003A7774"/>
    <w:rsid w:val="003B0FB2"/>
    <w:rsid w:val="003B12A2"/>
    <w:rsid w:val="003B12E7"/>
    <w:rsid w:val="003B3013"/>
    <w:rsid w:val="003B3529"/>
    <w:rsid w:val="003B49AA"/>
    <w:rsid w:val="003B5061"/>
    <w:rsid w:val="003B7DF0"/>
    <w:rsid w:val="003B7EB4"/>
    <w:rsid w:val="003C0483"/>
    <w:rsid w:val="003C2602"/>
    <w:rsid w:val="003C2977"/>
    <w:rsid w:val="003C4D29"/>
    <w:rsid w:val="003C5398"/>
    <w:rsid w:val="003C65CF"/>
    <w:rsid w:val="003C69BF"/>
    <w:rsid w:val="003C72ED"/>
    <w:rsid w:val="003C7358"/>
    <w:rsid w:val="003C74F2"/>
    <w:rsid w:val="003D2AE2"/>
    <w:rsid w:val="003D48D0"/>
    <w:rsid w:val="003D568B"/>
    <w:rsid w:val="003D5EEA"/>
    <w:rsid w:val="003D6E6C"/>
    <w:rsid w:val="003D6FD2"/>
    <w:rsid w:val="003E0C9D"/>
    <w:rsid w:val="003E13DF"/>
    <w:rsid w:val="003E1D47"/>
    <w:rsid w:val="003E2598"/>
    <w:rsid w:val="003E61F6"/>
    <w:rsid w:val="003E6B7E"/>
    <w:rsid w:val="003F0BF0"/>
    <w:rsid w:val="003F19F3"/>
    <w:rsid w:val="003F277D"/>
    <w:rsid w:val="003F48A6"/>
    <w:rsid w:val="003F6E58"/>
    <w:rsid w:val="003F7099"/>
    <w:rsid w:val="00400378"/>
    <w:rsid w:val="00400FB7"/>
    <w:rsid w:val="00401B73"/>
    <w:rsid w:val="00402038"/>
    <w:rsid w:val="00402447"/>
    <w:rsid w:val="0040357E"/>
    <w:rsid w:val="0040371B"/>
    <w:rsid w:val="004053E3"/>
    <w:rsid w:val="004064C9"/>
    <w:rsid w:val="00407208"/>
    <w:rsid w:val="00407537"/>
    <w:rsid w:val="00410066"/>
    <w:rsid w:val="0041082D"/>
    <w:rsid w:val="004112F3"/>
    <w:rsid w:val="00414ABF"/>
    <w:rsid w:val="00415BD7"/>
    <w:rsid w:val="0041654A"/>
    <w:rsid w:val="004165BD"/>
    <w:rsid w:val="00417CF9"/>
    <w:rsid w:val="00420CCF"/>
    <w:rsid w:val="004211F5"/>
    <w:rsid w:val="004221C6"/>
    <w:rsid w:val="0042220D"/>
    <w:rsid w:val="00422C40"/>
    <w:rsid w:val="004233A6"/>
    <w:rsid w:val="004235B1"/>
    <w:rsid w:val="004263AC"/>
    <w:rsid w:val="004268C5"/>
    <w:rsid w:val="00426E45"/>
    <w:rsid w:val="00427F79"/>
    <w:rsid w:val="00430238"/>
    <w:rsid w:val="00430C55"/>
    <w:rsid w:val="00431088"/>
    <w:rsid w:val="00433559"/>
    <w:rsid w:val="0043377A"/>
    <w:rsid w:val="00434362"/>
    <w:rsid w:val="00436DA3"/>
    <w:rsid w:val="00437489"/>
    <w:rsid w:val="004379B6"/>
    <w:rsid w:val="0044171E"/>
    <w:rsid w:val="00443D9E"/>
    <w:rsid w:val="0044428E"/>
    <w:rsid w:val="00444EF6"/>
    <w:rsid w:val="00446465"/>
    <w:rsid w:val="0044683E"/>
    <w:rsid w:val="004500CE"/>
    <w:rsid w:val="0045120C"/>
    <w:rsid w:val="00451CE7"/>
    <w:rsid w:val="00451F43"/>
    <w:rsid w:val="0045298E"/>
    <w:rsid w:val="004531F7"/>
    <w:rsid w:val="00454533"/>
    <w:rsid w:val="00454988"/>
    <w:rsid w:val="004552F8"/>
    <w:rsid w:val="00455AD8"/>
    <w:rsid w:val="00457613"/>
    <w:rsid w:val="00457B56"/>
    <w:rsid w:val="004604B2"/>
    <w:rsid w:val="00460522"/>
    <w:rsid w:val="00460C69"/>
    <w:rsid w:val="00460D54"/>
    <w:rsid w:val="00461D3E"/>
    <w:rsid w:val="00464AFE"/>
    <w:rsid w:val="004652C5"/>
    <w:rsid w:val="004706CC"/>
    <w:rsid w:val="004720F4"/>
    <w:rsid w:val="004747A8"/>
    <w:rsid w:val="00474CFC"/>
    <w:rsid w:val="004761A8"/>
    <w:rsid w:val="00477A81"/>
    <w:rsid w:val="00477CA4"/>
    <w:rsid w:val="00477D88"/>
    <w:rsid w:val="004810D7"/>
    <w:rsid w:val="00481692"/>
    <w:rsid w:val="004821EA"/>
    <w:rsid w:val="00482A1E"/>
    <w:rsid w:val="00484387"/>
    <w:rsid w:val="00484BA8"/>
    <w:rsid w:val="00487A73"/>
    <w:rsid w:val="004904DC"/>
    <w:rsid w:val="004916C3"/>
    <w:rsid w:val="004916E2"/>
    <w:rsid w:val="00492AA9"/>
    <w:rsid w:val="004937C1"/>
    <w:rsid w:val="004947EB"/>
    <w:rsid w:val="004965FF"/>
    <w:rsid w:val="00497E33"/>
    <w:rsid w:val="004A048E"/>
    <w:rsid w:val="004A1644"/>
    <w:rsid w:val="004A3C28"/>
    <w:rsid w:val="004A40BC"/>
    <w:rsid w:val="004A48AF"/>
    <w:rsid w:val="004A4AC1"/>
    <w:rsid w:val="004A5A3D"/>
    <w:rsid w:val="004A7A16"/>
    <w:rsid w:val="004B0634"/>
    <w:rsid w:val="004B1D8D"/>
    <w:rsid w:val="004B1FED"/>
    <w:rsid w:val="004B20B6"/>
    <w:rsid w:val="004B26F4"/>
    <w:rsid w:val="004B2D38"/>
    <w:rsid w:val="004B50AC"/>
    <w:rsid w:val="004B75AC"/>
    <w:rsid w:val="004B76BC"/>
    <w:rsid w:val="004B772A"/>
    <w:rsid w:val="004C0618"/>
    <w:rsid w:val="004C0D76"/>
    <w:rsid w:val="004C1924"/>
    <w:rsid w:val="004C3137"/>
    <w:rsid w:val="004C3644"/>
    <w:rsid w:val="004C51C6"/>
    <w:rsid w:val="004C590B"/>
    <w:rsid w:val="004C66FC"/>
    <w:rsid w:val="004C6DD6"/>
    <w:rsid w:val="004D12DD"/>
    <w:rsid w:val="004D4631"/>
    <w:rsid w:val="004D49E3"/>
    <w:rsid w:val="004D5356"/>
    <w:rsid w:val="004D550B"/>
    <w:rsid w:val="004D5C18"/>
    <w:rsid w:val="004D6ECB"/>
    <w:rsid w:val="004E1619"/>
    <w:rsid w:val="004E27BD"/>
    <w:rsid w:val="004E34A0"/>
    <w:rsid w:val="004E5778"/>
    <w:rsid w:val="004E5F30"/>
    <w:rsid w:val="004E640E"/>
    <w:rsid w:val="004E771D"/>
    <w:rsid w:val="004E7ED8"/>
    <w:rsid w:val="004F2553"/>
    <w:rsid w:val="004F2735"/>
    <w:rsid w:val="004F4608"/>
    <w:rsid w:val="004F4ABF"/>
    <w:rsid w:val="004F4C9F"/>
    <w:rsid w:val="004F616B"/>
    <w:rsid w:val="004F63D8"/>
    <w:rsid w:val="00500258"/>
    <w:rsid w:val="0050109E"/>
    <w:rsid w:val="0050376D"/>
    <w:rsid w:val="00504844"/>
    <w:rsid w:val="00504B16"/>
    <w:rsid w:val="005051EA"/>
    <w:rsid w:val="00507B68"/>
    <w:rsid w:val="00507ED7"/>
    <w:rsid w:val="0051008B"/>
    <w:rsid w:val="0051037E"/>
    <w:rsid w:val="005116FD"/>
    <w:rsid w:val="00511EB8"/>
    <w:rsid w:val="005128B3"/>
    <w:rsid w:val="00512C25"/>
    <w:rsid w:val="00512DAA"/>
    <w:rsid w:val="00513604"/>
    <w:rsid w:val="00514855"/>
    <w:rsid w:val="0051601B"/>
    <w:rsid w:val="00516328"/>
    <w:rsid w:val="00517AE8"/>
    <w:rsid w:val="005227B1"/>
    <w:rsid w:val="0052557E"/>
    <w:rsid w:val="005302CB"/>
    <w:rsid w:val="00532A12"/>
    <w:rsid w:val="00533FDB"/>
    <w:rsid w:val="00534EE4"/>
    <w:rsid w:val="00535509"/>
    <w:rsid w:val="00535AA0"/>
    <w:rsid w:val="00536C98"/>
    <w:rsid w:val="00537C46"/>
    <w:rsid w:val="005408C5"/>
    <w:rsid w:val="00543174"/>
    <w:rsid w:val="00543289"/>
    <w:rsid w:val="00543789"/>
    <w:rsid w:val="00544075"/>
    <w:rsid w:val="005458CD"/>
    <w:rsid w:val="00545D70"/>
    <w:rsid w:val="00547DCB"/>
    <w:rsid w:val="00547FF4"/>
    <w:rsid w:val="00550A8D"/>
    <w:rsid w:val="00551813"/>
    <w:rsid w:val="005522B1"/>
    <w:rsid w:val="00552AE2"/>
    <w:rsid w:val="00553974"/>
    <w:rsid w:val="0055434C"/>
    <w:rsid w:val="00554F04"/>
    <w:rsid w:val="0055612B"/>
    <w:rsid w:val="0055621A"/>
    <w:rsid w:val="00557BE7"/>
    <w:rsid w:val="0056184A"/>
    <w:rsid w:val="0056238E"/>
    <w:rsid w:val="005627AA"/>
    <w:rsid w:val="00562F96"/>
    <w:rsid w:val="0056313E"/>
    <w:rsid w:val="00565F10"/>
    <w:rsid w:val="00570614"/>
    <w:rsid w:val="0057189D"/>
    <w:rsid w:val="00573F60"/>
    <w:rsid w:val="005740B8"/>
    <w:rsid w:val="00574DD3"/>
    <w:rsid w:val="00575037"/>
    <w:rsid w:val="0057544A"/>
    <w:rsid w:val="00577D05"/>
    <w:rsid w:val="00577F6E"/>
    <w:rsid w:val="00577FF5"/>
    <w:rsid w:val="00581633"/>
    <w:rsid w:val="0058227E"/>
    <w:rsid w:val="00582AF4"/>
    <w:rsid w:val="005856CF"/>
    <w:rsid w:val="00587E4F"/>
    <w:rsid w:val="00587FBA"/>
    <w:rsid w:val="005907A0"/>
    <w:rsid w:val="00591283"/>
    <w:rsid w:val="00593D9F"/>
    <w:rsid w:val="005940E4"/>
    <w:rsid w:val="00594DA5"/>
    <w:rsid w:val="00594ED1"/>
    <w:rsid w:val="005950E0"/>
    <w:rsid w:val="00595C76"/>
    <w:rsid w:val="00595FD7"/>
    <w:rsid w:val="00596581"/>
    <w:rsid w:val="00597463"/>
    <w:rsid w:val="00597D77"/>
    <w:rsid w:val="005A00E1"/>
    <w:rsid w:val="005A4106"/>
    <w:rsid w:val="005A4F01"/>
    <w:rsid w:val="005A61CE"/>
    <w:rsid w:val="005A6EC0"/>
    <w:rsid w:val="005A7E5A"/>
    <w:rsid w:val="005B1285"/>
    <w:rsid w:val="005B1410"/>
    <w:rsid w:val="005B235B"/>
    <w:rsid w:val="005B3547"/>
    <w:rsid w:val="005B3E55"/>
    <w:rsid w:val="005B662C"/>
    <w:rsid w:val="005B6C44"/>
    <w:rsid w:val="005C1AEA"/>
    <w:rsid w:val="005C2F1A"/>
    <w:rsid w:val="005C37B2"/>
    <w:rsid w:val="005C511E"/>
    <w:rsid w:val="005D009F"/>
    <w:rsid w:val="005D04FF"/>
    <w:rsid w:val="005D05A2"/>
    <w:rsid w:val="005D1FB5"/>
    <w:rsid w:val="005D241D"/>
    <w:rsid w:val="005D30BA"/>
    <w:rsid w:val="005D38A3"/>
    <w:rsid w:val="005D4A40"/>
    <w:rsid w:val="005D68FA"/>
    <w:rsid w:val="005D7226"/>
    <w:rsid w:val="005E29FA"/>
    <w:rsid w:val="005E2FD0"/>
    <w:rsid w:val="005E4281"/>
    <w:rsid w:val="005E493B"/>
    <w:rsid w:val="005E5611"/>
    <w:rsid w:val="005E6061"/>
    <w:rsid w:val="005E69E3"/>
    <w:rsid w:val="005E72B3"/>
    <w:rsid w:val="005E7474"/>
    <w:rsid w:val="005F0292"/>
    <w:rsid w:val="005F14D6"/>
    <w:rsid w:val="005F2951"/>
    <w:rsid w:val="005F4218"/>
    <w:rsid w:val="005F47D4"/>
    <w:rsid w:val="00600862"/>
    <w:rsid w:val="006014FA"/>
    <w:rsid w:val="00602077"/>
    <w:rsid w:val="00603B8D"/>
    <w:rsid w:val="006040F0"/>
    <w:rsid w:val="00604DF4"/>
    <w:rsid w:val="00605CF7"/>
    <w:rsid w:val="00605E0B"/>
    <w:rsid w:val="00605EBB"/>
    <w:rsid w:val="006064D7"/>
    <w:rsid w:val="00606857"/>
    <w:rsid w:val="00606B27"/>
    <w:rsid w:val="00610BB3"/>
    <w:rsid w:val="00610CA6"/>
    <w:rsid w:val="006124D8"/>
    <w:rsid w:val="006147EE"/>
    <w:rsid w:val="00614E91"/>
    <w:rsid w:val="006156C7"/>
    <w:rsid w:val="006156D6"/>
    <w:rsid w:val="006158BC"/>
    <w:rsid w:val="00616013"/>
    <w:rsid w:val="0062301E"/>
    <w:rsid w:val="006233B8"/>
    <w:rsid w:val="0062340F"/>
    <w:rsid w:val="00624211"/>
    <w:rsid w:val="00624DDC"/>
    <w:rsid w:val="006253B6"/>
    <w:rsid w:val="00625540"/>
    <w:rsid w:val="00625784"/>
    <w:rsid w:val="006257ED"/>
    <w:rsid w:val="0062590B"/>
    <w:rsid w:val="0062686E"/>
    <w:rsid w:val="00630B30"/>
    <w:rsid w:val="00630F4F"/>
    <w:rsid w:val="00632EC4"/>
    <w:rsid w:val="00633482"/>
    <w:rsid w:val="00634736"/>
    <w:rsid w:val="00634F50"/>
    <w:rsid w:val="00635350"/>
    <w:rsid w:val="006364CE"/>
    <w:rsid w:val="0064092B"/>
    <w:rsid w:val="006416D9"/>
    <w:rsid w:val="00641B0B"/>
    <w:rsid w:val="006425EB"/>
    <w:rsid w:val="0064280A"/>
    <w:rsid w:val="00642C25"/>
    <w:rsid w:val="00647F04"/>
    <w:rsid w:val="00650EE4"/>
    <w:rsid w:val="00651FF6"/>
    <w:rsid w:val="0065446B"/>
    <w:rsid w:val="0065450A"/>
    <w:rsid w:val="00655062"/>
    <w:rsid w:val="00656232"/>
    <w:rsid w:val="00657D3A"/>
    <w:rsid w:val="00660E2F"/>
    <w:rsid w:val="00662B44"/>
    <w:rsid w:val="00665190"/>
    <w:rsid w:val="0066537A"/>
    <w:rsid w:val="00666143"/>
    <w:rsid w:val="00666908"/>
    <w:rsid w:val="0067435F"/>
    <w:rsid w:val="00674FE1"/>
    <w:rsid w:val="0067549E"/>
    <w:rsid w:val="00676955"/>
    <w:rsid w:val="006778C6"/>
    <w:rsid w:val="00677EEB"/>
    <w:rsid w:val="00681914"/>
    <w:rsid w:val="00682146"/>
    <w:rsid w:val="0068280B"/>
    <w:rsid w:val="00682811"/>
    <w:rsid w:val="00682C79"/>
    <w:rsid w:val="0068303E"/>
    <w:rsid w:val="00683185"/>
    <w:rsid w:val="0068383E"/>
    <w:rsid w:val="00684093"/>
    <w:rsid w:val="00685A7A"/>
    <w:rsid w:val="006905BA"/>
    <w:rsid w:val="00690E74"/>
    <w:rsid w:val="006911E8"/>
    <w:rsid w:val="0069215A"/>
    <w:rsid w:val="006940E3"/>
    <w:rsid w:val="0069482A"/>
    <w:rsid w:val="00695159"/>
    <w:rsid w:val="00697CD2"/>
    <w:rsid w:val="00697D5C"/>
    <w:rsid w:val="006A168A"/>
    <w:rsid w:val="006A216F"/>
    <w:rsid w:val="006A3A7B"/>
    <w:rsid w:val="006A4D02"/>
    <w:rsid w:val="006A51E4"/>
    <w:rsid w:val="006A793D"/>
    <w:rsid w:val="006B026B"/>
    <w:rsid w:val="006B1515"/>
    <w:rsid w:val="006B1BF9"/>
    <w:rsid w:val="006B1DFB"/>
    <w:rsid w:val="006B2011"/>
    <w:rsid w:val="006B2531"/>
    <w:rsid w:val="006B31DA"/>
    <w:rsid w:val="006B4287"/>
    <w:rsid w:val="006B53F1"/>
    <w:rsid w:val="006B564B"/>
    <w:rsid w:val="006B571F"/>
    <w:rsid w:val="006B5B4E"/>
    <w:rsid w:val="006B6037"/>
    <w:rsid w:val="006B63DB"/>
    <w:rsid w:val="006B6E12"/>
    <w:rsid w:val="006C0E56"/>
    <w:rsid w:val="006C2569"/>
    <w:rsid w:val="006C300E"/>
    <w:rsid w:val="006C6C35"/>
    <w:rsid w:val="006C72C0"/>
    <w:rsid w:val="006C72EF"/>
    <w:rsid w:val="006D0939"/>
    <w:rsid w:val="006D1791"/>
    <w:rsid w:val="006D1AFE"/>
    <w:rsid w:val="006D1B8B"/>
    <w:rsid w:val="006D415A"/>
    <w:rsid w:val="006D4DBF"/>
    <w:rsid w:val="006D51F8"/>
    <w:rsid w:val="006D60C4"/>
    <w:rsid w:val="006D65BF"/>
    <w:rsid w:val="006D683C"/>
    <w:rsid w:val="006D6AEB"/>
    <w:rsid w:val="006D758C"/>
    <w:rsid w:val="006E1192"/>
    <w:rsid w:val="006E1D03"/>
    <w:rsid w:val="006E3E37"/>
    <w:rsid w:val="006E4F82"/>
    <w:rsid w:val="006E5250"/>
    <w:rsid w:val="006E530D"/>
    <w:rsid w:val="006E54A3"/>
    <w:rsid w:val="006E56A4"/>
    <w:rsid w:val="006E738B"/>
    <w:rsid w:val="006F091A"/>
    <w:rsid w:val="006F11C4"/>
    <w:rsid w:val="006F317D"/>
    <w:rsid w:val="006F4571"/>
    <w:rsid w:val="006F50AB"/>
    <w:rsid w:val="006F7B72"/>
    <w:rsid w:val="006F7DAB"/>
    <w:rsid w:val="007000F0"/>
    <w:rsid w:val="00700786"/>
    <w:rsid w:val="007019B8"/>
    <w:rsid w:val="00704C67"/>
    <w:rsid w:val="00704EEC"/>
    <w:rsid w:val="00707D37"/>
    <w:rsid w:val="00712304"/>
    <w:rsid w:val="00712413"/>
    <w:rsid w:val="00716419"/>
    <w:rsid w:val="00716986"/>
    <w:rsid w:val="00716CD9"/>
    <w:rsid w:val="00717BDC"/>
    <w:rsid w:val="0072074F"/>
    <w:rsid w:val="007212AC"/>
    <w:rsid w:val="00722549"/>
    <w:rsid w:val="007228E4"/>
    <w:rsid w:val="0072365A"/>
    <w:rsid w:val="00723A28"/>
    <w:rsid w:val="00724EEA"/>
    <w:rsid w:val="007250FE"/>
    <w:rsid w:val="0072616C"/>
    <w:rsid w:val="007264E8"/>
    <w:rsid w:val="00730499"/>
    <w:rsid w:val="0073276E"/>
    <w:rsid w:val="007329B1"/>
    <w:rsid w:val="0073351E"/>
    <w:rsid w:val="007358A0"/>
    <w:rsid w:val="00736B62"/>
    <w:rsid w:val="0073746C"/>
    <w:rsid w:val="0074028C"/>
    <w:rsid w:val="00740B09"/>
    <w:rsid w:val="0074272E"/>
    <w:rsid w:val="00743A20"/>
    <w:rsid w:val="00745D8A"/>
    <w:rsid w:val="00746D8D"/>
    <w:rsid w:val="00747BB8"/>
    <w:rsid w:val="007537AB"/>
    <w:rsid w:val="00755219"/>
    <w:rsid w:val="00761D59"/>
    <w:rsid w:val="007623EE"/>
    <w:rsid w:val="00762C3B"/>
    <w:rsid w:val="00762D1A"/>
    <w:rsid w:val="0076318B"/>
    <w:rsid w:val="0076326C"/>
    <w:rsid w:val="0076478F"/>
    <w:rsid w:val="00764C85"/>
    <w:rsid w:val="00765859"/>
    <w:rsid w:val="00765D45"/>
    <w:rsid w:val="00767B2F"/>
    <w:rsid w:val="00770631"/>
    <w:rsid w:val="0077167A"/>
    <w:rsid w:val="00771C43"/>
    <w:rsid w:val="00772775"/>
    <w:rsid w:val="007733D5"/>
    <w:rsid w:val="00773FA5"/>
    <w:rsid w:val="00781DCA"/>
    <w:rsid w:val="00782596"/>
    <w:rsid w:val="00782A87"/>
    <w:rsid w:val="007853A2"/>
    <w:rsid w:val="0079036D"/>
    <w:rsid w:val="007907A6"/>
    <w:rsid w:val="00792AFE"/>
    <w:rsid w:val="00793952"/>
    <w:rsid w:val="00793E3E"/>
    <w:rsid w:val="00794CFF"/>
    <w:rsid w:val="007955CA"/>
    <w:rsid w:val="007962F5"/>
    <w:rsid w:val="00797031"/>
    <w:rsid w:val="007A03B1"/>
    <w:rsid w:val="007A11E3"/>
    <w:rsid w:val="007A22FB"/>
    <w:rsid w:val="007A29C5"/>
    <w:rsid w:val="007A2AB4"/>
    <w:rsid w:val="007A44D1"/>
    <w:rsid w:val="007A4944"/>
    <w:rsid w:val="007A534A"/>
    <w:rsid w:val="007A69D4"/>
    <w:rsid w:val="007A6D0E"/>
    <w:rsid w:val="007B092C"/>
    <w:rsid w:val="007B2629"/>
    <w:rsid w:val="007B2AB0"/>
    <w:rsid w:val="007B3108"/>
    <w:rsid w:val="007B3ED8"/>
    <w:rsid w:val="007B6BB4"/>
    <w:rsid w:val="007B7409"/>
    <w:rsid w:val="007B7B30"/>
    <w:rsid w:val="007C1264"/>
    <w:rsid w:val="007C1994"/>
    <w:rsid w:val="007C1E3E"/>
    <w:rsid w:val="007C1E45"/>
    <w:rsid w:val="007C335C"/>
    <w:rsid w:val="007C39AE"/>
    <w:rsid w:val="007C4B1B"/>
    <w:rsid w:val="007C4E99"/>
    <w:rsid w:val="007C7B4B"/>
    <w:rsid w:val="007D1454"/>
    <w:rsid w:val="007D1D01"/>
    <w:rsid w:val="007D2CAD"/>
    <w:rsid w:val="007D55F1"/>
    <w:rsid w:val="007D613A"/>
    <w:rsid w:val="007D78CC"/>
    <w:rsid w:val="007E10C1"/>
    <w:rsid w:val="007E2AA4"/>
    <w:rsid w:val="007E5741"/>
    <w:rsid w:val="007E60A0"/>
    <w:rsid w:val="007F0049"/>
    <w:rsid w:val="007F0B27"/>
    <w:rsid w:val="007F0B80"/>
    <w:rsid w:val="007F1C7E"/>
    <w:rsid w:val="007F2FDC"/>
    <w:rsid w:val="007F3BE3"/>
    <w:rsid w:val="007F4222"/>
    <w:rsid w:val="007F4402"/>
    <w:rsid w:val="007F5E2E"/>
    <w:rsid w:val="0080214A"/>
    <w:rsid w:val="00802F3F"/>
    <w:rsid w:val="0080351A"/>
    <w:rsid w:val="00803A3D"/>
    <w:rsid w:val="00803D3B"/>
    <w:rsid w:val="00806C8D"/>
    <w:rsid w:val="00807DE5"/>
    <w:rsid w:val="008106C5"/>
    <w:rsid w:val="00811057"/>
    <w:rsid w:val="00811133"/>
    <w:rsid w:val="00811C8C"/>
    <w:rsid w:val="00811D4B"/>
    <w:rsid w:val="008121FD"/>
    <w:rsid w:val="00812605"/>
    <w:rsid w:val="0081285D"/>
    <w:rsid w:val="00812DB3"/>
    <w:rsid w:val="00813B25"/>
    <w:rsid w:val="00814514"/>
    <w:rsid w:val="008152A6"/>
    <w:rsid w:val="00817AB1"/>
    <w:rsid w:val="00820199"/>
    <w:rsid w:val="00821048"/>
    <w:rsid w:val="00823428"/>
    <w:rsid w:val="00824CBC"/>
    <w:rsid w:val="00825A3B"/>
    <w:rsid w:val="00825C3C"/>
    <w:rsid w:val="008262A4"/>
    <w:rsid w:val="00830013"/>
    <w:rsid w:val="00830B9E"/>
    <w:rsid w:val="00832599"/>
    <w:rsid w:val="008369BA"/>
    <w:rsid w:val="00837325"/>
    <w:rsid w:val="008377BD"/>
    <w:rsid w:val="00840D32"/>
    <w:rsid w:val="00840DE7"/>
    <w:rsid w:val="00840FEB"/>
    <w:rsid w:val="00841C91"/>
    <w:rsid w:val="00843650"/>
    <w:rsid w:val="0084376B"/>
    <w:rsid w:val="00843933"/>
    <w:rsid w:val="00844CDD"/>
    <w:rsid w:val="00844EA6"/>
    <w:rsid w:val="00846657"/>
    <w:rsid w:val="0084670F"/>
    <w:rsid w:val="00847938"/>
    <w:rsid w:val="00851E9C"/>
    <w:rsid w:val="008521B5"/>
    <w:rsid w:val="00852829"/>
    <w:rsid w:val="00852E5C"/>
    <w:rsid w:val="00854797"/>
    <w:rsid w:val="00854FEF"/>
    <w:rsid w:val="00856A85"/>
    <w:rsid w:val="00856BBB"/>
    <w:rsid w:val="00856C17"/>
    <w:rsid w:val="00857D5A"/>
    <w:rsid w:val="00857F80"/>
    <w:rsid w:val="008613E9"/>
    <w:rsid w:val="008618F4"/>
    <w:rsid w:val="008619C9"/>
    <w:rsid w:val="00861B07"/>
    <w:rsid w:val="0086298E"/>
    <w:rsid w:val="008639CC"/>
    <w:rsid w:val="00864748"/>
    <w:rsid w:val="00864C1F"/>
    <w:rsid w:val="008651FB"/>
    <w:rsid w:val="008659E0"/>
    <w:rsid w:val="00865BD8"/>
    <w:rsid w:val="00867389"/>
    <w:rsid w:val="00867E02"/>
    <w:rsid w:val="00870FA1"/>
    <w:rsid w:val="008711F0"/>
    <w:rsid w:val="0087166C"/>
    <w:rsid w:val="008727BD"/>
    <w:rsid w:val="00872CC3"/>
    <w:rsid w:val="00873004"/>
    <w:rsid w:val="00873E9A"/>
    <w:rsid w:val="00875220"/>
    <w:rsid w:val="008764DA"/>
    <w:rsid w:val="00877E87"/>
    <w:rsid w:val="00877E90"/>
    <w:rsid w:val="00880A10"/>
    <w:rsid w:val="00882319"/>
    <w:rsid w:val="00883ED2"/>
    <w:rsid w:val="00886CC8"/>
    <w:rsid w:val="00890EA6"/>
    <w:rsid w:val="00890F43"/>
    <w:rsid w:val="00891772"/>
    <w:rsid w:val="0089188D"/>
    <w:rsid w:val="00891CD9"/>
    <w:rsid w:val="00891FDF"/>
    <w:rsid w:val="0089208F"/>
    <w:rsid w:val="00892C3F"/>
    <w:rsid w:val="008930C6"/>
    <w:rsid w:val="008944CA"/>
    <w:rsid w:val="008951C7"/>
    <w:rsid w:val="00895A96"/>
    <w:rsid w:val="008962DD"/>
    <w:rsid w:val="008964B5"/>
    <w:rsid w:val="00896C49"/>
    <w:rsid w:val="00897113"/>
    <w:rsid w:val="008A4E3D"/>
    <w:rsid w:val="008A5CB3"/>
    <w:rsid w:val="008A6524"/>
    <w:rsid w:val="008B0687"/>
    <w:rsid w:val="008B09BB"/>
    <w:rsid w:val="008B6F27"/>
    <w:rsid w:val="008C03DF"/>
    <w:rsid w:val="008C07AA"/>
    <w:rsid w:val="008C2483"/>
    <w:rsid w:val="008C4209"/>
    <w:rsid w:val="008C608B"/>
    <w:rsid w:val="008C7A95"/>
    <w:rsid w:val="008D05E9"/>
    <w:rsid w:val="008D14F3"/>
    <w:rsid w:val="008D249E"/>
    <w:rsid w:val="008D4809"/>
    <w:rsid w:val="008D5769"/>
    <w:rsid w:val="008E0239"/>
    <w:rsid w:val="008E1A74"/>
    <w:rsid w:val="008E2FD7"/>
    <w:rsid w:val="008E4718"/>
    <w:rsid w:val="008E5A29"/>
    <w:rsid w:val="008F04C9"/>
    <w:rsid w:val="008F053A"/>
    <w:rsid w:val="008F0D9B"/>
    <w:rsid w:val="008F2068"/>
    <w:rsid w:val="008F2446"/>
    <w:rsid w:val="008F2A33"/>
    <w:rsid w:val="008F321F"/>
    <w:rsid w:val="008F3E0D"/>
    <w:rsid w:val="008F4330"/>
    <w:rsid w:val="008F5B38"/>
    <w:rsid w:val="008F6753"/>
    <w:rsid w:val="008F770F"/>
    <w:rsid w:val="00900403"/>
    <w:rsid w:val="00901040"/>
    <w:rsid w:val="0090128A"/>
    <w:rsid w:val="009014F4"/>
    <w:rsid w:val="0090329F"/>
    <w:rsid w:val="009033E3"/>
    <w:rsid w:val="00906BA9"/>
    <w:rsid w:val="00906FF7"/>
    <w:rsid w:val="009071DC"/>
    <w:rsid w:val="00910E2B"/>
    <w:rsid w:val="009118C8"/>
    <w:rsid w:val="00911E54"/>
    <w:rsid w:val="00912A79"/>
    <w:rsid w:val="009134E8"/>
    <w:rsid w:val="009139B3"/>
    <w:rsid w:val="00913BA3"/>
    <w:rsid w:val="00913C7C"/>
    <w:rsid w:val="00913DDF"/>
    <w:rsid w:val="00914AE0"/>
    <w:rsid w:val="009160A5"/>
    <w:rsid w:val="009172E9"/>
    <w:rsid w:val="0091774A"/>
    <w:rsid w:val="00920085"/>
    <w:rsid w:val="009202C4"/>
    <w:rsid w:val="009227BD"/>
    <w:rsid w:val="00923A10"/>
    <w:rsid w:val="00923F25"/>
    <w:rsid w:val="009253E3"/>
    <w:rsid w:val="00925D02"/>
    <w:rsid w:val="009265C5"/>
    <w:rsid w:val="00927378"/>
    <w:rsid w:val="00930110"/>
    <w:rsid w:val="00930F96"/>
    <w:rsid w:val="00932CB6"/>
    <w:rsid w:val="009351CD"/>
    <w:rsid w:val="0093578C"/>
    <w:rsid w:val="00935CCD"/>
    <w:rsid w:val="009364AD"/>
    <w:rsid w:val="00937073"/>
    <w:rsid w:val="0094030B"/>
    <w:rsid w:val="00940B57"/>
    <w:rsid w:val="00941276"/>
    <w:rsid w:val="00941AC3"/>
    <w:rsid w:val="00941F61"/>
    <w:rsid w:val="009424EC"/>
    <w:rsid w:val="009426C6"/>
    <w:rsid w:val="009441DC"/>
    <w:rsid w:val="00946829"/>
    <w:rsid w:val="009508F3"/>
    <w:rsid w:val="00952A15"/>
    <w:rsid w:val="00952B5E"/>
    <w:rsid w:val="00952F91"/>
    <w:rsid w:val="00953002"/>
    <w:rsid w:val="00953781"/>
    <w:rsid w:val="009564CF"/>
    <w:rsid w:val="00956C26"/>
    <w:rsid w:val="00961769"/>
    <w:rsid w:val="00962040"/>
    <w:rsid w:val="0096268B"/>
    <w:rsid w:val="009629F8"/>
    <w:rsid w:val="00963503"/>
    <w:rsid w:val="00965DBD"/>
    <w:rsid w:val="00965F52"/>
    <w:rsid w:val="00971944"/>
    <w:rsid w:val="00971A2B"/>
    <w:rsid w:val="00972D31"/>
    <w:rsid w:val="00972FE1"/>
    <w:rsid w:val="00973352"/>
    <w:rsid w:val="009744B9"/>
    <w:rsid w:val="009756A4"/>
    <w:rsid w:val="00975BEB"/>
    <w:rsid w:val="00977770"/>
    <w:rsid w:val="0097799D"/>
    <w:rsid w:val="0098088B"/>
    <w:rsid w:val="009815C6"/>
    <w:rsid w:val="00983D77"/>
    <w:rsid w:val="00984E90"/>
    <w:rsid w:val="009858E3"/>
    <w:rsid w:val="00985A83"/>
    <w:rsid w:val="00985FF7"/>
    <w:rsid w:val="00986B32"/>
    <w:rsid w:val="009879AE"/>
    <w:rsid w:val="009912A0"/>
    <w:rsid w:val="00992121"/>
    <w:rsid w:val="00993C25"/>
    <w:rsid w:val="00993D9E"/>
    <w:rsid w:val="00993F6E"/>
    <w:rsid w:val="00996201"/>
    <w:rsid w:val="0099659F"/>
    <w:rsid w:val="00996A83"/>
    <w:rsid w:val="0099765C"/>
    <w:rsid w:val="009A08BC"/>
    <w:rsid w:val="009A2F8B"/>
    <w:rsid w:val="009A2FAF"/>
    <w:rsid w:val="009A39E1"/>
    <w:rsid w:val="009A3AD8"/>
    <w:rsid w:val="009A4B9E"/>
    <w:rsid w:val="009A4FF9"/>
    <w:rsid w:val="009A6EE8"/>
    <w:rsid w:val="009B0F58"/>
    <w:rsid w:val="009B148B"/>
    <w:rsid w:val="009B1DA3"/>
    <w:rsid w:val="009B2AB5"/>
    <w:rsid w:val="009B4483"/>
    <w:rsid w:val="009B559B"/>
    <w:rsid w:val="009B5AAC"/>
    <w:rsid w:val="009B77D0"/>
    <w:rsid w:val="009C3380"/>
    <w:rsid w:val="009C4CAA"/>
    <w:rsid w:val="009C576B"/>
    <w:rsid w:val="009C6FB1"/>
    <w:rsid w:val="009D3574"/>
    <w:rsid w:val="009D4129"/>
    <w:rsid w:val="009D41AA"/>
    <w:rsid w:val="009D4F87"/>
    <w:rsid w:val="009D7662"/>
    <w:rsid w:val="009D78C1"/>
    <w:rsid w:val="009D7D38"/>
    <w:rsid w:val="009E0597"/>
    <w:rsid w:val="009E0A7E"/>
    <w:rsid w:val="009E25A9"/>
    <w:rsid w:val="009E2935"/>
    <w:rsid w:val="009E4D9B"/>
    <w:rsid w:val="009E7C31"/>
    <w:rsid w:val="009E7E38"/>
    <w:rsid w:val="009F014F"/>
    <w:rsid w:val="009F265B"/>
    <w:rsid w:val="009F3D0E"/>
    <w:rsid w:val="009F482C"/>
    <w:rsid w:val="009F6423"/>
    <w:rsid w:val="009F686E"/>
    <w:rsid w:val="009F68DB"/>
    <w:rsid w:val="00A012F1"/>
    <w:rsid w:val="00A02868"/>
    <w:rsid w:val="00A02AE2"/>
    <w:rsid w:val="00A03E3F"/>
    <w:rsid w:val="00A042F2"/>
    <w:rsid w:val="00A04E9E"/>
    <w:rsid w:val="00A050DD"/>
    <w:rsid w:val="00A05C98"/>
    <w:rsid w:val="00A06FC1"/>
    <w:rsid w:val="00A107DA"/>
    <w:rsid w:val="00A10B78"/>
    <w:rsid w:val="00A10BA9"/>
    <w:rsid w:val="00A1108E"/>
    <w:rsid w:val="00A1272C"/>
    <w:rsid w:val="00A1360B"/>
    <w:rsid w:val="00A13930"/>
    <w:rsid w:val="00A1427D"/>
    <w:rsid w:val="00A14F78"/>
    <w:rsid w:val="00A154F4"/>
    <w:rsid w:val="00A15681"/>
    <w:rsid w:val="00A17E72"/>
    <w:rsid w:val="00A20729"/>
    <w:rsid w:val="00A20BCB"/>
    <w:rsid w:val="00A21DDF"/>
    <w:rsid w:val="00A22695"/>
    <w:rsid w:val="00A27CD0"/>
    <w:rsid w:val="00A30BF7"/>
    <w:rsid w:val="00A31182"/>
    <w:rsid w:val="00A333E2"/>
    <w:rsid w:val="00A333EF"/>
    <w:rsid w:val="00A33A25"/>
    <w:rsid w:val="00A33F15"/>
    <w:rsid w:val="00A362B6"/>
    <w:rsid w:val="00A378EB"/>
    <w:rsid w:val="00A40180"/>
    <w:rsid w:val="00A40DD0"/>
    <w:rsid w:val="00A42209"/>
    <w:rsid w:val="00A42C71"/>
    <w:rsid w:val="00A43477"/>
    <w:rsid w:val="00A44F2A"/>
    <w:rsid w:val="00A500C6"/>
    <w:rsid w:val="00A50C1A"/>
    <w:rsid w:val="00A51A53"/>
    <w:rsid w:val="00A536DF"/>
    <w:rsid w:val="00A53ABA"/>
    <w:rsid w:val="00A54D45"/>
    <w:rsid w:val="00A55421"/>
    <w:rsid w:val="00A603F1"/>
    <w:rsid w:val="00A65D63"/>
    <w:rsid w:val="00A66F9E"/>
    <w:rsid w:val="00A67DFF"/>
    <w:rsid w:val="00A71475"/>
    <w:rsid w:val="00A714DC"/>
    <w:rsid w:val="00A7179C"/>
    <w:rsid w:val="00A7207C"/>
    <w:rsid w:val="00A72444"/>
    <w:rsid w:val="00A752AE"/>
    <w:rsid w:val="00A75C0F"/>
    <w:rsid w:val="00A761CB"/>
    <w:rsid w:val="00A773B1"/>
    <w:rsid w:val="00A8429E"/>
    <w:rsid w:val="00A85701"/>
    <w:rsid w:val="00A865D3"/>
    <w:rsid w:val="00A8781F"/>
    <w:rsid w:val="00A90A83"/>
    <w:rsid w:val="00A921FB"/>
    <w:rsid w:val="00A9284C"/>
    <w:rsid w:val="00A93022"/>
    <w:rsid w:val="00A94627"/>
    <w:rsid w:val="00A95B7F"/>
    <w:rsid w:val="00A96519"/>
    <w:rsid w:val="00A96F09"/>
    <w:rsid w:val="00A97C79"/>
    <w:rsid w:val="00AA2808"/>
    <w:rsid w:val="00AA2D24"/>
    <w:rsid w:val="00AA3402"/>
    <w:rsid w:val="00AA5C08"/>
    <w:rsid w:val="00AA5D88"/>
    <w:rsid w:val="00AA60BB"/>
    <w:rsid w:val="00AA620F"/>
    <w:rsid w:val="00AA7678"/>
    <w:rsid w:val="00AA7878"/>
    <w:rsid w:val="00AB1134"/>
    <w:rsid w:val="00AB269C"/>
    <w:rsid w:val="00AB4F51"/>
    <w:rsid w:val="00AB68EF"/>
    <w:rsid w:val="00AC0F00"/>
    <w:rsid w:val="00AD02B6"/>
    <w:rsid w:val="00AD04A5"/>
    <w:rsid w:val="00AD0960"/>
    <w:rsid w:val="00AD0D43"/>
    <w:rsid w:val="00AD1A2E"/>
    <w:rsid w:val="00AD28A3"/>
    <w:rsid w:val="00AD2DBA"/>
    <w:rsid w:val="00AD3108"/>
    <w:rsid w:val="00AD3261"/>
    <w:rsid w:val="00AD4355"/>
    <w:rsid w:val="00AD550F"/>
    <w:rsid w:val="00AD589A"/>
    <w:rsid w:val="00AD62B0"/>
    <w:rsid w:val="00AD69F3"/>
    <w:rsid w:val="00AD74A8"/>
    <w:rsid w:val="00AD78CF"/>
    <w:rsid w:val="00AE00F7"/>
    <w:rsid w:val="00AE0145"/>
    <w:rsid w:val="00AE0A4E"/>
    <w:rsid w:val="00AE1E6F"/>
    <w:rsid w:val="00AE2006"/>
    <w:rsid w:val="00AE312B"/>
    <w:rsid w:val="00AE3F5F"/>
    <w:rsid w:val="00AE4C7E"/>
    <w:rsid w:val="00AF005D"/>
    <w:rsid w:val="00AF0822"/>
    <w:rsid w:val="00AF3CAA"/>
    <w:rsid w:val="00AF3DD0"/>
    <w:rsid w:val="00AF56B3"/>
    <w:rsid w:val="00AF570E"/>
    <w:rsid w:val="00AF5A7E"/>
    <w:rsid w:val="00AF651C"/>
    <w:rsid w:val="00B003F6"/>
    <w:rsid w:val="00B0164A"/>
    <w:rsid w:val="00B02039"/>
    <w:rsid w:val="00B02442"/>
    <w:rsid w:val="00B028AB"/>
    <w:rsid w:val="00B031F2"/>
    <w:rsid w:val="00B05223"/>
    <w:rsid w:val="00B057B7"/>
    <w:rsid w:val="00B058E9"/>
    <w:rsid w:val="00B1035F"/>
    <w:rsid w:val="00B123F3"/>
    <w:rsid w:val="00B12B98"/>
    <w:rsid w:val="00B13465"/>
    <w:rsid w:val="00B135AA"/>
    <w:rsid w:val="00B13DC4"/>
    <w:rsid w:val="00B142E9"/>
    <w:rsid w:val="00B15D9D"/>
    <w:rsid w:val="00B17B7C"/>
    <w:rsid w:val="00B20A1D"/>
    <w:rsid w:val="00B23032"/>
    <w:rsid w:val="00B23277"/>
    <w:rsid w:val="00B245AD"/>
    <w:rsid w:val="00B253BE"/>
    <w:rsid w:val="00B25B4F"/>
    <w:rsid w:val="00B2612E"/>
    <w:rsid w:val="00B3234E"/>
    <w:rsid w:val="00B36137"/>
    <w:rsid w:val="00B372DB"/>
    <w:rsid w:val="00B408E6"/>
    <w:rsid w:val="00B40EF8"/>
    <w:rsid w:val="00B4182B"/>
    <w:rsid w:val="00B42AC1"/>
    <w:rsid w:val="00B43C66"/>
    <w:rsid w:val="00B44FB3"/>
    <w:rsid w:val="00B46784"/>
    <w:rsid w:val="00B46910"/>
    <w:rsid w:val="00B500E3"/>
    <w:rsid w:val="00B50478"/>
    <w:rsid w:val="00B51BAF"/>
    <w:rsid w:val="00B5268A"/>
    <w:rsid w:val="00B5569A"/>
    <w:rsid w:val="00B5583C"/>
    <w:rsid w:val="00B558E4"/>
    <w:rsid w:val="00B55E54"/>
    <w:rsid w:val="00B56589"/>
    <w:rsid w:val="00B57E2B"/>
    <w:rsid w:val="00B60EEC"/>
    <w:rsid w:val="00B6127E"/>
    <w:rsid w:val="00B6352A"/>
    <w:rsid w:val="00B646A0"/>
    <w:rsid w:val="00B64A17"/>
    <w:rsid w:val="00B64D05"/>
    <w:rsid w:val="00B65DEE"/>
    <w:rsid w:val="00B66DFF"/>
    <w:rsid w:val="00B671A4"/>
    <w:rsid w:val="00B70261"/>
    <w:rsid w:val="00B70460"/>
    <w:rsid w:val="00B70DB3"/>
    <w:rsid w:val="00B7178E"/>
    <w:rsid w:val="00B7287C"/>
    <w:rsid w:val="00B72C64"/>
    <w:rsid w:val="00B7309B"/>
    <w:rsid w:val="00B73D83"/>
    <w:rsid w:val="00B76C7A"/>
    <w:rsid w:val="00B76DD7"/>
    <w:rsid w:val="00B804C4"/>
    <w:rsid w:val="00B8113C"/>
    <w:rsid w:val="00B834C4"/>
    <w:rsid w:val="00B84E1B"/>
    <w:rsid w:val="00B8510C"/>
    <w:rsid w:val="00B85829"/>
    <w:rsid w:val="00B900CD"/>
    <w:rsid w:val="00B92118"/>
    <w:rsid w:val="00B92397"/>
    <w:rsid w:val="00B9441B"/>
    <w:rsid w:val="00B94997"/>
    <w:rsid w:val="00B94ECF"/>
    <w:rsid w:val="00B95ADD"/>
    <w:rsid w:val="00BA1F39"/>
    <w:rsid w:val="00BA4B90"/>
    <w:rsid w:val="00BA4CEC"/>
    <w:rsid w:val="00BA5034"/>
    <w:rsid w:val="00BA539F"/>
    <w:rsid w:val="00BA78A3"/>
    <w:rsid w:val="00BB29BB"/>
    <w:rsid w:val="00BB36A1"/>
    <w:rsid w:val="00BB3B4A"/>
    <w:rsid w:val="00BB3B88"/>
    <w:rsid w:val="00BB4BF8"/>
    <w:rsid w:val="00BB705B"/>
    <w:rsid w:val="00BB7B8F"/>
    <w:rsid w:val="00BC1931"/>
    <w:rsid w:val="00BC247D"/>
    <w:rsid w:val="00BC2570"/>
    <w:rsid w:val="00BC5511"/>
    <w:rsid w:val="00BC58EE"/>
    <w:rsid w:val="00BC5ACF"/>
    <w:rsid w:val="00BC5B03"/>
    <w:rsid w:val="00BC6E1A"/>
    <w:rsid w:val="00BD0684"/>
    <w:rsid w:val="00BD15D4"/>
    <w:rsid w:val="00BD1910"/>
    <w:rsid w:val="00BD20C1"/>
    <w:rsid w:val="00BD2684"/>
    <w:rsid w:val="00BD29DD"/>
    <w:rsid w:val="00BD2C3C"/>
    <w:rsid w:val="00BD444E"/>
    <w:rsid w:val="00BD6750"/>
    <w:rsid w:val="00BD6B11"/>
    <w:rsid w:val="00BD6CDD"/>
    <w:rsid w:val="00BD702B"/>
    <w:rsid w:val="00BD765E"/>
    <w:rsid w:val="00BD778C"/>
    <w:rsid w:val="00BD7B78"/>
    <w:rsid w:val="00BE3CF6"/>
    <w:rsid w:val="00BE45BC"/>
    <w:rsid w:val="00BE4779"/>
    <w:rsid w:val="00BE64DF"/>
    <w:rsid w:val="00BE678C"/>
    <w:rsid w:val="00BE773B"/>
    <w:rsid w:val="00BF0E87"/>
    <w:rsid w:val="00BF0FC9"/>
    <w:rsid w:val="00BF23C5"/>
    <w:rsid w:val="00BF2CD9"/>
    <w:rsid w:val="00BF3D00"/>
    <w:rsid w:val="00BF6C23"/>
    <w:rsid w:val="00C00092"/>
    <w:rsid w:val="00C0036A"/>
    <w:rsid w:val="00C00AE5"/>
    <w:rsid w:val="00C02534"/>
    <w:rsid w:val="00C02AA9"/>
    <w:rsid w:val="00C03961"/>
    <w:rsid w:val="00C05352"/>
    <w:rsid w:val="00C109FF"/>
    <w:rsid w:val="00C115BF"/>
    <w:rsid w:val="00C13C5C"/>
    <w:rsid w:val="00C17079"/>
    <w:rsid w:val="00C17630"/>
    <w:rsid w:val="00C20BCF"/>
    <w:rsid w:val="00C213D3"/>
    <w:rsid w:val="00C21BDF"/>
    <w:rsid w:val="00C21DE3"/>
    <w:rsid w:val="00C23B21"/>
    <w:rsid w:val="00C25959"/>
    <w:rsid w:val="00C32404"/>
    <w:rsid w:val="00C32C8A"/>
    <w:rsid w:val="00C35FAA"/>
    <w:rsid w:val="00C40A70"/>
    <w:rsid w:val="00C41A46"/>
    <w:rsid w:val="00C41F4B"/>
    <w:rsid w:val="00C46E59"/>
    <w:rsid w:val="00C479CB"/>
    <w:rsid w:val="00C509EE"/>
    <w:rsid w:val="00C50F2A"/>
    <w:rsid w:val="00C51DB8"/>
    <w:rsid w:val="00C5204E"/>
    <w:rsid w:val="00C529B8"/>
    <w:rsid w:val="00C534FA"/>
    <w:rsid w:val="00C5355C"/>
    <w:rsid w:val="00C54163"/>
    <w:rsid w:val="00C54E0A"/>
    <w:rsid w:val="00C55822"/>
    <w:rsid w:val="00C57ADE"/>
    <w:rsid w:val="00C57B90"/>
    <w:rsid w:val="00C604A1"/>
    <w:rsid w:val="00C61D05"/>
    <w:rsid w:val="00C62498"/>
    <w:rsid w:val="00C664FF"/>
    <w:rsid w:val="00C73360"/>
    <w:rsid w:val="00C73C8A"/>
    <w:rsid w:val="00C743F3"/>
    <w:rsid w:val="00C74D66"/>
    <w:rsid w:val="00C75B08"/>
    <w:rsid w:val="00C77AC6"/>
    <w:rsid w:val="00C80660"/>
    <w:rsid w:val="00C8087C"/>
    <w:rsid w:val="00C80CDD"/>
    <w:rsid w:val="00C8176F"/>
    <w:rsid w:val="00C82C19"/>
    <w:rsid w:val="00C83DBB"/>
    <w:rsid w:val="00C84AB4"/>
    <w:rsid w:val="00C86CB2"/>
    <w:rsid w:val="00C87E7A"/>
    <w:rsid w:val="00C90A98"/>
    <w:rsid w:val="00C91792"/>
    <w:rsid w:val="00C919B2"/>
    <w:rsid w:val="00C91C71"/>
    <w:rsid w:val="00C91DC8"/>
    <w:rsid w:val="00C941C6"/>
    <w:rsid w:val="00C942C5"/>
    <w:rsid w:val="00C95126"/>
    <w:rsid w:val="00C970A9"/>
    <w:rsid w:val="00CA013F"/>
    <w:rsid w:val="00CA0836"/>
    <w:rsid w:val="00CA1CB3"/>
    <w:rsid w:val="00CA2904"/>
    <w:rsid w:val="00CA2D73"/>
    <w:rsid w:val="00CA3771"/>
    <w:rsid w:val="00CA3F7A"/>
    <w:rsid w:val="00CA3FE6"/>
    <w:rsid w:val="00CA526E"/>
    <w:rsid w:val="00CA7230"/>
    <w:rsid w:val="00CA72A5"/>
    <w:rsid w:val="00CB02D8"/>
    <w:rsid w:val="00CB1A97"/>
    <w:rsid w:val="00CB375E"/>
    <w:rsid w:val="00CB5A82"/>
    <w:rsid w:val="00CB5D2C"/>
    <w:rsid w:val="00CB5E2A"/>
    <w:rsid w:val="00CB5F0F"/>
    <w:rsid w:val="00CB6A27"/>
    <w:rsid w:val="00CB7A1B"/>
    <w:rsid w:val="00CB7B0C"/>
    <w:rsid w:val="00CC002F"/>
    <w:rsid w:val="00CC07BF"/>
    <w:rsid w:val="00CC1A6E"/>
    <w:rsid w:val="00CC4651"/>
    <w:rsid w:val="00CC4BF1"/>
    <w:rsid w:val="00CC6120"/>
    <w:rsid w:val="00CC6253"/>
    <w:rsid w:val="00CD1295"/>
    <w:rsid w:val="00CD4292"/>
    <w:rsid w:val="00CD42E2"/>
    <w:rsid w:val="00CD438F"/>
    <w:rsid w:val="00CD4572"/>
    <w:rsid w:val="00CD6CFE"/>
    <w:rsid w:val="00CD7EDE"/>
    <w:rsid w:val="00CE018E"/>
    <w:rsid w:val="00CE1F9A"/>
    <w:rsid w:val="00CE2CE2"/>
    <w:rsid w:val="00CE40CD"/>
    <w:rsid w:val="00CE552F"/>
    <w:rsid w:val="00CE7A4A"/>
    <w:rsid w:val="00CF441E"/>
    <w:rsid w:val="00CF4D4F"/>
    <w:rsid w:val="00CF6A5F"/>
    <w:rsid w:val="00D00E55"/>
    <w:rsid w:val="00D02FDA"/>
    <w:rsid w:val="00D03087"/>
    <w:rsid w:val="00D032E9"/>
    <w:rsid w:val="00D03D9D"/>
    <w:rsid w:val="00D04C57"/>
    <w:rsid w:val="00D05A9D"/>
    <w:rsid w:val="00D070F1"/>
    <w:rsid w:val="00D07D44"/>
    <w:rsid w:val="00D07F35"/>
    <w:rsid w:val="00D10701"/>
    <w:rsid w:val="00D12B38"/>
    <w:rsid w:val="00D12D89"/>
    <w:rsid w:val="00D12F0C"/>
    <w:rsid w:val="00D1343F"/>
    <w:rsid w:val="00D1380E"/>
    <w:rsid w:val="00D13AA8"/>
    <w:rsid w:val="00D146A1"/>
    <w:rsid w:val="00D15BB3"/>
    <w:rsid w:val="00D163DA"/>
    <w:rsid w:val="00D17282"/>
    <w:rsid w:val="00D174CF"/>
    <w:rsid w:val="00D20ACD"/>
    <w:rsid w:val="00D216EF"/>
    <w:rsid w:val="00D2185E"/>
    <w:rsid w:val="00D239B5"/>
    <w:rsid w:val="00D25129"/>
    <w:rsid w:val="00D2778B"/>
    <w:rsid w:val="00D3037F"/>
    <w:rsid w:val="00D30639"/>
    <w:rsid w:val="00D30D28"/>
    <w:rsid w:val="00D32B72"/>
    <w:rsid w:val="00D33450"/>
    <w:rsid w:val="00D34064"/>
    <w:rsid w:val="00D358CC"/>
    <w:rsid w:val="00D3596B"/>
    <w:rsid w:val="00D36A24"/>
    <w:rsid w:val="00D36DE7"/>
    <w:rsid w:val="00D37B89"/>
    <w:rsid w:val="00D4033C"/>
    <w:rsid w:val="00D40F07"/>
    <w:rsid w:val="00D41BBB"/>
    <w:rsid w:val="00D41C41"/>
    <w:rsid w:val="00D42DA2"/>
    <w:rsid w:val="00D45504"/>
    <w:rsid w:val="00D514F9"/>
    <w:rsid w:val="00D521EB"/>
    <w:rsid w:val="00D5346A"/>
    <w:rsid w:val="00D5445F"/>
    <w:rsid w:val="00D55767"/>
    <w:rsid w:val="00D560BA"/>
    <w:rsid w:val="00D57C69"/>
    <w:rsid w:val="00D604AB"/>
    <w:rsid w:val="00D60C3A"/>
    <w:rsid w:val="00D60F2F"/>
    <w:rsid w:val="00D6453D"/>
    <w:rsid w:val="00D64E10"/>
    <w:rsid w:val="00D65EF8"/>
    <w:rsid w:val="00D66C37"/>
    <w:rsid w:val="00D678B2"/>
    <w:rsid w:val="00D71BA0"/>
    <w:rsid w:val="00D728CF"/>
    <w:rsid w:val="00D749DF"/>
    <w:rsid w:val="00D75876"/>
    <w:rsid w:val="00D81DE6"/>
    <w:rsid w:val="00D82104"/>
    <w:rsid w:val="00D82457"/>
    <w:rsid w:val="00D82755"/>
    <w:rsid w:val="00D82E67"/>
    <w:rsid w:val="00D831AC"/>
    <w:rsid w:val="00D847C2"/>
    <w:rsid w:val="00D85628"/>
    <w:rsid w:val="00D85E75"/>
    <w:rsid w:val="00D85F11"/>
    <w:rsid w:val="00D87E56"/>
    <w:rsid w:val="00D9040A"/>
    <w:rsid w:val="00D9147C"/>
    <w:rsid w:val="00D92475"/>
    <w:rsid w:val="00D934FF"/>
    <w:rsid w:val="00D93A96"/>
    <w:rsid w:val="00D94500"/>
    <w:rsid w:val="00D95E35"/>
    <w:rsid w:val="00D96691"/>
    <w:rsid w:val="00D971F1"/>
    <w:rsid w:val="00D976DC"/>
    <w:rsid w:val="00D97926"/>
    <w:rsid w:val="00D97D64"/>
    <w:rsid w:val="00DA1BBA"/>
    <w:rsid w:val="00DA2D4F"/>
    <w:rsid w:val="00DA2EF7"/>
    <w:rsid w:val="00DA3557"/>
    <w:rsid w:val="00DA3FCA"/>
    <w:rsid w:val="00DA4701"/>
    <w:rsid w:val="00DA476A"/>
    <w:rsid w:val="00DA509B"/>
    <w:rsid w:val="00DA6E98"/>
    <w:rsid w:val="00DB0511"/>
    <w:rsid w:val="00DB0AB3"/>
    <w:rsid w:val="00DB380D"/>
    <w:rsid w:val="00DB3AEA"/>
    <w:rsid w:val="00DB6265"/>
    <w:rsid w:val="00DB6624"/>
    <w:rsid w:val="00DB6E82"/>
    <w:rsid w:val="00DB7A9E"/>
    <w:rsid w:val="00DC2AB0"/>
    <w:rsid w:val="00DC3BE9"/>
    <w:rsid w:val="00DC65F2"/>
    <w:rsid w:val="00DC6686"/>
    <w:rsid w:val="00DC6A3E"/>
    <w:rsid w:val="00DC71CA"/>
    <w:rsid w:val="00DC7876"/>
    <w:rsid w:val="00DC7DD5"/>
    <w:rsid w:val="00DC7F6E"/>
    <w:rsid w:val="00DD0B78"/>
    <w:rsid w:val="00DD5CE1"/>
    <w:rsid w:val="00DD6D89"/>
    <w:rsid w:val="00DD7A8A"/>
    <w:rsid w:val="00DE1ECC"/>
    <w:rsid w:val="00DE29D7"/>
    <w:rsid w:val="00DE2D2D"/>
    <w:rsid w:val="00DE3AE3"/>
    <w:rsid w:val="00DE3ED7"/>
    <w:rsid w:val="00DE41B0"/>
    <w:rsid w:val="00DE7592"/>
    <w:rsid w:val="00DE7826"/>
    <w:rsid w:val="00DF0A47"/>
    <w:rsid w:val="00DF1291"/>
    <w:rsid w:val="00DF1FB6"/>
    <w:rsid w:val="00DF5A22"/>
    <w:rsid w:val="00DF5A9E"/>
    <w:rsid w:val="00E00B30"/>
    <w:rsid w:val="00E03462"/>
    <w:rsid w:val="00E04339"/>
    <w:rsid w:val="00E048E7"/>
    <w:rsid w:val="00E0588D"/>
    <w:rsid w:val="00E059D1"/>
    <w:rsid w:val="00E06ACC"/>
    <w:rsid w:val="00E0758F"/>
    <w:rsid w:val="00E12E4D"/>
    <w:rsid w:val="00E1392C"/>
    <w:rsid w:val="00E15D7E"/>
    <w:rsid w:val="00E1713A"/>
    <w:rsid w:val="00E22AC6"/>
    <w:rsid w:val="00E22E4F"/>
    <w:rsid w:val="00E24830"/>
    <w:rsid w:val="00E26781"/>
    <w:rsid w:val="00E304D9"/>
    <w:rsid w:val="00E3050F"/>
    <w:rsid w:val="00E30E0A"/>
    <w:rsid w:val="00E30FB2"/>
    <w:rsid w:val="00E31878"/>
    <w:rsid w:val="00E318A6"/>
    <w:rsid w:val="00E34C54"/>
    <w:rsid w:val="00E34CF3"/>
    <w:rsid w:val="00E35E8B"/>
    <w:rsid w:val="00E35F90"/>
    <w:rsid w:val="00E413A3"/>
    <w:rsid w:val="00E41C62"/>
    <w:rsid w:val="00E41EE9"/>
    <w:rsid w:val="00E43AF4"/>
    <w:rsid w:val="00E44C53"/>
    <w:rsid w:val="00E45143"/>
    <w:rsid w:val="00E45414"/>
    <w:rsid w:val="00E461D4"/>
    <w:rsid w:val="00E46457"/>
    <w:rsid w:val="00E51448"/>
    <w:rsid w:val="00E555BE"/>
    <w:rsid w:val="00E5615B"/>
    <w:rsid w:val="00E56AE9"/>
    <w:rsid w:val="00E56F1B"/>
    <w:rsid w:val="00E5739B"/>
    <w:rsid w:val="00E576B9"/>
    <w:rsid w:val="00E57800"/>
    <w:rsid w:val="00E57FD9"/>
    <w:rsid w:val="00E614C7"/>
    <w:rsid w:val="00E61707"/>
    <w:rsid w:val="00E621D1"/>
    <w:rsid w:val="00E62285"/>
    <w:rsid w:val="00E6264D"/>
    <w:rsid w:val="00E62819"/>
    <w:rsid w:val="00E64A0A"/>
    <w:rsid w:val="00E651F6"/>
    <w:rsid w:val="00E66919"/>
    <w:rsid w:val="00E67775"/>
    <w:rsid w:val="00E71E25"/>
    <w:rsid w:val="00E72A29"/>
    <w:rsid w:val="00E73025"/>
    <w:rsid w:val="00E75C2D"/>
    <w:rsid w:val="00E761D5"/>
    <w:rsid w:val="00E76936"/>
    <w:rsid w:val="00E7752F"/>
    <w:rsid w:val="00E808F1"/>
    <w:rsid w:val="00E812ED"/>
    <w:rsid w:val="00E816ED"/>
    <w:rsid w:val="00E83B58"/>
    <w:rsid w:val="00E85950"/>
    <w:rsid w:val="00E86582"/>
    <w:rsid w:val="00E86774"/>
    <w:rsid w:val="00E86C6E"/>
    <w:rsid w:val="00E8792C"/>
    <w:rsid w:val="00E87F3E"/>
    <w:rsid w:val="00E9045F"/>
    <w:rsid w:val="00E9053A"/>
    <w:rsid w:val="00EA012D"/>
    <w:rsid w:val="00EA0D4F"/>
    <w:rsid w:val="00EA3607"/>
    <w:rsid w:val="00EA405B"/>
    <w:rsid w:val="00EA4149"/>
    <w:rsid w:val="00EA760E"/>
    <w:rsid w:val="00EB0954"/>
    <w:rsid w:val="00EB2005"/>
    <w:rsid w:val="00EB4C26"/>
    <w:rsid w:val="00EB5254"/>
    <w:rsid w:val="00EB6134"/>
    <w:rsid w:val="00EC16E4"/>
    <w:rsid w:val="00EC1A6C"/>
    <w:rsid w:val="00EC2ED2"/>
    <w:rsid w:val="00EC30B4"/>
    <w:rsid w:val="00EC42F0"/>
    <w:rsid w:val="00EC4A12"/>
    <w:rsid w:val="00EC4BB1"/>
    <w:rsid w:val="00EC589A"/>
    <w:rsid w:val="00EC6DB7"/>
    <w:rsid w:val="00EC7C17"/>
    <w:rsid w:val="00ED0452"/>
    <w:rsid w:val="00ED2C8B"/>
    <w:rsid w:val="00ED31C0"/>
    <w:rsid w:val="00ED5A4D"/>
    <w:rsid w:val="00ED7509"/>
    <w:rsid w:val="00ED7B3B"/>
    <w:rsid w:val="00EE267B"/>
    <w:rsid w:val="00EE2745"/>
    <w:rsid w:val="00EE37E1"/>
    <w:rsid w:val="00EE38AF"/>
    <w:rsid w:val="00EE3CE0"/>
    <w:rsid w:val="00EE66B5"/>
    <w:rsid w:val="00EE739F"/>
    <w:rsid w:val="00EE76A9"/>
    <w:rsid w:val="00EE7F1F"/>
    <w:rsid w:val="00EF094B"/>
    <w:rsid w:val="00EF0C80"/>
    <w:rsid w:val="00EF254B"/>
    <w:rsid w:val="00EF4FF2"/>
    <w:rsid w:val="00EF5F8E"/>
    <w:rsid w:val="00EF6DF5"/>
    <w:rsid w:val="00EF7B0A"/>
    <w:rsid w:val="00EF7CD3"/>
    <w:rsid w:val="00F001D7"/>
    <w:rsid w:val="00F00512"/>
    <w:rsid w:val="00F01CD7"/>
    <w:rsid w:val="00F03C0A"/>
    <w:rsid w:val="00F03D5A"/>
    <w:rsid w:val="00F046D9"/>
    <w:rsid w:val="00F04C12"/>
    <w:rsid w:val="00F06879"/>
    <w:rsid w:val="00F06B70"/>
    <w:rsid w:val="00F071DE"/>
    <w:rsid w:val="00F13973"/>
    <w:rsid w:val="00F16A22"/>
    <w:rsid w:val="00F16C81"/>
    <w:rsid w:val="00F17A6A"/>
    <w:rsid w:val="00F17B13"/>
    <w:rsid w:val="00F215FE"/>
    <w:rsid w:val="00F22528"/>
    <w:rsid w:val="00F22849"/>
    <w:rsid w:val="00F22B55"/>
    <w:rsid w:val="00F239BB"/>
    <w:rsid w:val="00F23AC7"/>
    <w:rsid w:val="00F24FD5"/>
    <w:rsid w:val="00F2726B"/>
    <w:rsid w:val="00F303E6"/>
    <w:rsid w:val="00F31EE1"/>
    <w:rsid w:val="00F322E7"/>
    <w:rsid w:val="00F34810"/>
    <w:rsid w:val="00F34E52"/>
    <w:rsid w:val="00F40979"/>
    <w:rsid w:val="00F40F51"/>
    <w:rsid w:val="00F4192D"/>
    <w:rsid w:val="00F42246"/>
    <w:rsid w:val="00F423CA"/>
    <w:rsid w:val="00F4428F"/>
    <w:rsid w:val="00F442A7"/>
    <w:rsid w:val="00F4553E"/>
    <w:rsid w:val="00F4666E"/>
    <w:rsid w:val="00F46AA1"/>
    <w:rsid w:val="00F47319"/>
    <w:rsid w:val="00F51552"/>
    <w:rsid w:val="00F51EEF"/>
    <w:rsid w:val="00F52BFC"/>
    <w:rsid w:val="00F53BAF"/>
    <w:rsid w:val="00F53BDC"/>
    <w:rsid w:val="00F54295"/>
    <w:rsid w:val="00F55A28"/>
    <w:rsid w:val="00F5725C"/>
    <w:rsid w:val="00F57DD9"/>
    <w:rsid w:val="00F60810"/>
    <w:rsid w:val="00F612AD"/>
    <w:rsid w:val="00F61529"/>
    <w:rsid w:val="00F623D4"/>
    <w:rsid w:val="00F63726"/>
    <w:rsid w:val="00F63E3E"/>
    <w:rsid w:val="00F643F2"/>
    <w:rsid w:val="00F6525D"/>
    <w:rsid w:val="00F65404"/>
    <w:rsid w:val="00F669D0"/>
    <w:rsid w:val="00F672E4"/>
    <w:rsid w:val="00F6749C"/>
    <w:rsid w:val="00F70F08"/>
    <w:rsid w:val="00F736C1"/>
    <w:rsid w:val="00F73A11"/>
    <w:rsid w:val="00F73CDD"/>
    <w:rsid w:val="00F74630"/>
    <w:rsid w:val="00F77301"/>
    <w:rsid w:val="00F77860"/>
    <w:rsid w:val="00F80794"/>
    <w:rsid w:val="00F83817"/>
    <w:rsid w:val="00F844DB"/>
    <w:rsid w:val="00F84700"/>
    <w:rsid w:val="00F9122A"/>
    <w:rsid w:val="00F91461"/>
    <w:rsid w:val="00F91840"/>
    <w:rsid w:val="00F91B1F"/>
    <w:rsid w:val="00F9202F"/>
    <w:rsid w:val="00F92DD0"/>
    <w:rsid w:val="00F95379"/>
    <w:rsid w:val="00F97E21"/>
    <w:rsid w:val="00FA091F"/>
    <w:rsid w:val="00FA0AFC"/>
    <w:rsid w:val="00FA2903"/>
    <w:rsid w:val="00FA3228"/>
    <w:rsid w:val="00FA3CC2"/>
    <w:rsid w:val="00FA59A5"/>
    <w:rsid w:val="00FA656F"/>
    <w:rsid w:val="00FA6D2C"/>
    <w:rsid w:val="00FA7BF6"/>
    <w:rsid w:val="00FB1023"/>
    <w:rsid w:val="00FB16B1"/>
    <w:rsid w:val="00FB5588"/>
    <w:rsid w:val="00FB5BF6"/>
    <w:rsid w:val="00FB5D3D"/>
    <w:rsid w:val="00FB5D7A"/>
    <w:rsid w:val="00FB5F3E"/>
    <w:rsid w:val="00FB7918"/>
    <w:rsid w:val="00FB79DA"/>
    <w:rsid w:val="00FC432F"/>
    <w:rsid w:val="00FC5A4A"/>
    <w:rsid w:val="00FC6706"/>
    <w:rsid w:val="00FC6780"/>
    <w:rsid w:val="00FC67D4"/>
    <w:rsid w:val="00FC6E24"/>
    <w:rsid w:val="00FC7001"/>
    <w:rsid w:val="00FC7692"/>
    <w:rsid w:val="00FC779A"/>
    <w:rsid w:val="00FC7D4C"/>
    <w:rsid w:val="00FD125A"/>
    <w:rsid w:val="00FD2288"/>
    <w:rsid w:val="00FD3017"/>
    <w:rsid w:val="00FD3717"/>
    <w:rsid w:val="00FD674B"/>
    <w:rsid w:val="00FD6951"/>
    <w:rsid w:val="00FE08AB"/>
    <w:rsid w:val="00FE131F"/>
    <w:rsid w:val="00FE2D83"/>
    <w:rsid w:val="00FE39EE"/>
    <w:rsid w:val="00FE724D"/>
    <w:rsid w:val="00FE7350"/>
    <w:rsid w:val="00FE7F20"/>
    <w:rsid w:val="00FF117C"/>
    <w:rsid w:val="00FF20B1"/>
    <w:rsid w:val="00FF22B7"/>
    <w:rsid w:val="00FF480C"/>
    <w:rsid w:val="00FF4E52"/>
    <w:rsid w:val="00FF5C51"/>
    <w:rsid w:val="00FF777C"/>
    <w:rsid w:val="00FF7E83"/>
    <w:rsid w:val="02D47DCC"/>
    <w:rsid w:val="03779407"/>
    <w:rsid w:val="06A46EBE"/>
    <w:rsid w:val="07280A0C"/>
    <w:rsid w:val="09A1E396"/>
    <w:rsid w:val="0C834D98"/>
    <w:rsid w:val="0DF1235D"/>
    <w:rsid w:val="0F0E4ED0"/>
    <w:rsid w:val="111A6F06"/>
    <w:rsid w:val="1241559E"/>
    <w:rsid w:val="13101734"/>
    <w:rsid w:val="13DD25FF"/>
    <w:rsid w:val="16B71FF2"/>
    <w:rsid w:val="1869C0F9"/>
    <w:rsid w:val="189CEE2E"/>
    <w:rsid w:val="18A113D9"/>
    <w:rsid w:val="1961D0A0"/>
    <w:rsid w:val="1AA828EF"/>
    <w:rsid w:val="1C3630C7"/>
    <w:rsid w:val="1EA1A68E"/>
    <w:rsid w:val="1F038492"/>
    <w:rsid w:val="21B9BA2F"/>
    <w:rsid w:val="22477D1B"/>
    <w:rsid w:val="25164AD6"/>
    <w:rsid w:val="262F18D1"/>
    <w:rsid w:val="271AEE3E"/>
    <w:rsid w:val="28029C6F"/>
    <w:rsid w:val="28A382E1"/>
    <w:rsid w:val="28B6BE9F"/>
    <w:rsid w:val="29798801"/>
    <w:rsid w:val="2BEE5F61"/>
    <w:rsid w:val="2C3618D7"/>
    <w:rsid w:val="2D8A2FC2"/>
    <w:rsid w:val="2DD1E938"/>
    <w:rsid w:val="2F260023"/>
    <w:rsid w:val="329156B4"/>
    <w:rsid w:val="32D28AF8"/>
    <w:rsid w:val="3424341F"/>
    <w:rsid w:val="3601A672"/>
    <w:rsid w:val="36E450CA"/>
    <w:rsid w:val="375BD4E1"/>
    <w:rsid w:val="3880212B"/>
    <w:rsid w:val="3A9375A3"/>
    <w:rsid w:val="3AE3FE4A"/>
    <w:rsid w:val="3E92D7F5"/>
    <w:rsid w:val="3EA87382"/>
    <w:rsid w:val="3F11EADB"/>
    <w:rsid w:val="3FE9C039"/>
    <w:rsid w:val="404C3169"/>
    <w:rsid w:val="405827C5"/>
    <w:rsid w:val="41406C18"/>
    <w:rsid w:val="483E1AF1"/>
    <w:rsid w:val="4CF5418B"/>
    <w:rsid w:val="4E98FF72"/>
    <w:rsid w:val="5047F0C2"/>
    <w:rsid w:val="51D0A034"/>
    <w:rsid w:val="5447354D"/>
    <w:rsid w:val="55B16FAC"/>
    <w:rsid w:val="56087366"/>
    <w:rsid w:val="560A4199"/>
    <w:rsid w:val="565E1B62"/>
    <w:rsid w:val="572611AF"/>
    <w:rsid w:val="579EE6F2"/>
    <w:rsid w:val="57AC314D"/>
    <w:rsid w:val="583FE1B8"/>
    <w:rsid w:val="59FC2EA7"/>
    <w:rsid w:val="5AD687B4"/>
    <w:rsid w:val="5CB26444"/>
    <w:rsid w:val="5CC5C446"/>
    <w:rsid w:val="605E9F60"/>
    <w:rsid w:val="6408BAE8"/>
    <w:rsid w:val="6580D11F"/>
    <w:rsid w:val="66E4F7FA"/>
    <w:rsid w:val="707AF3A2"/>
    <w:rsid w:val="717F9D33"/>
    <w:rsid w:val="71BDB255"/>
    <w:rsid w:val="735982B6"/>
    <w:rsid w:val="74B12AE7"/>
    <w:rsid w:val="77DA5A8D"/>
    <w:rsid w:val="77F38671"/>
    <w:rsid w:val="7814BE3E"/>
    <w:rsid w:val="7AA9BC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6C4C8A10-EFD5-43ED-90CC-4774D83D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aliases w:val="fr"/>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qFormat/>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table" w:customStyle="1" w:styleId="BaseTable">
    <w:name w:val="Base Table"/>
    <w:basedOn w:val="TableNormal"/>
    <w:rsid w:val="007D78CC"/>
    <w:pPr>
      <w:spacing w:before="40" w:after="20" w:line="240" w:lineRule="auto"/>
    </w:pPr>
    <w:rPr>
      <w:rFonts w:ascii="Arial" w:hAnsi="Arial"/>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paragraph" w:styleId="ListBullet">
    <w:name w:val="List Bullet"/>
    <w:basedOn w:val="Normal"/>
    <w:unhideWhenUsed/>
    <w:qFormat/>
    <w:rsid w:val="00AE312B"/>
    <w:pPr>
      <w:numPr>
        <w:numId w:val="31"/>
      </w:numPr>
      <w:spacing w:after="80" w:line="264" w:lineRule="auto"/>
    </w:pPr>
  </w:style>
  <w:style w:type="paragraph" w:customStyle="1" w:styleId="TableTextLeft">
    <w:name w:val="Table Text Left"/>
    <w:qFormat/>
    <w:rsid w:val="00AE312B"/>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AE312B"/>
    <w:pPr>
      <w:spacing w:after="160" w:line="264" w:lineRule="auto"/>
    </w:pPr>
  </w:style>
  <w:style w:type="paragraph" w:customStyle="1" w:styleId="ParagraphContinued">
    <w:name w:val="Paragraph Continued"/>
    <w:basedOn w:val="Paragraph"/>
    <w:next w:val="Paragraph"/>
    <w:qFormat/>
    <w:rsid w:val="00AE312B"/>
    <w:pPr>
      <w:spacing w:before="160"/>
    </w:pPr>
  </w:style>
  <w:style w:type="paragraph" w:customStyle="1" w:styleId="ExhibitFootnote">
    <w:name w:val="Exhibit Footnote"/>
    <w:basedOn w:val="TableTextLeft"/>
    <w:qFormat/>
    <w:rsid w:val="00AE312B"/>
    <w:pPr>
      <w:spacing w:after="60"/>
    </w:pPr>
  </w:style>
  <w:style w:type="paragraph" w:customStyle="1" w:styleId="TableHeaderCenter">
    <w:name w:val="Table Header Center"/>
    <w:basedOn w:val="TableTextLeft"/>
    <w:qFormat/>
    <w:rsid w:val="00AE312B"/>
    <w:pPr>
      <w:keepNext/>
      <w:jc w:val="center"/>
    </w:pPr>
    <w:rPr>
      <w:color w:val="FFFFFF" w:themeColor="background1"/>
    </w:rPr>
  </w:style>
  <w:style w:type="paragraph" w:customStyle="1" w:styleId="TableHeaderLeft">
    <w:name w:val="Table Header Left"/>
    <w:basedOn w:val="TableTextLeft"/>
    <w:qFormat/>
    <w:rsid w:val="00AE312B"/>
    <w:pPr>
      <w:keepNext/>
    </w:pPr>
    <w:rPr>
      <w:color w:val="FFFFFF" w:themeColor="background1"/>
    </w:rPr>
  </w:style>
  <w:style w:type="paragraph" w:customStyle="1" w:styleId="TableTitle">
    <w:name w:val="Table Title"/>
    <w:basedOn w:val="Normal"/>
    <w:qFormat/>
    <w:rsid w:val="00AE312B"/>
    <w:pPr>
      <w:keepNext/>
      <w:keepLines/>
      <w:spacing w:before="40" w:after="40" w:line="264" w:lineRule="auto"/>
    </w:pPr>
    <w:rPr>
      <w:rFonts w:asciiTheme="majorHAnsi" w:hAnsiTheme="majorHAnsi"/>
      <w:b/>
      <w:color w:val="000000" w:themeColor="text1"/>
      <w:sz w:val="20"/>
    </w:rPr>
  </w:style>
  <w:style w:type="paragraph" w:customStyle="1" w:styleId="TableTextCentered">
    <w:name w:val="Table Text Centered"/>
    <w:basedOn w:val="TableTextLeft"/>
    <w:qFormat/>
    <w:rsid w:val="00AE312B"/>
    <w:pPr>
      <w:jc w:val="center"/>
    </w:pPr>
  </w:style>
  <w:style w:type="character" w:customStyle="1" w:styleId="normaltextrun">
    <w:name w:val="normaltextrun"/>
    <w:basedOn w:val="DefaultParagraphFont"/>
    <w:rsid w:val="008964B5"/>
  </w:style>
  <w:style w:type="character" w:customStyle="1" w:styleId="eop">
    <w:name w:val="eop"/>
    <w:basedOn w:val="DefaultParagraphFont"/>
    <w:rsid w:val="00E3050F"/>
  </w:style>
  <w:style w:type="paragraph" w:customStyle="1" w:styleId="paragraph0">
    <w:name w:val="paragraph"/>
    <w:basedOn w:val="Normal"/>
    <w:rsid w:val="00BC1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ListBullet">
    <w:name w:val="Table List Bullet"/>
    <w:basedOn w:val="TableTextLeft"/>
    <w:qFormat/>
    <w:rsid w:val="00C91DC8"/>
    <w:pPr>
      <w:numPr>
        <w:numId w:val="40"/>
      </w:numPr>
    </w:pPr>
  </w:style>
  <w:style w:type="character" w:styleId="UnresolvedMention">
    <w:name w:val="Unresolved Mention"/>
    <w:basedOn w:val="DefaultParagraphFont"/>
    <w:uiPriority w:val="99"/>
    <w:unhideWhenUsed/>
    <w:rsid w:val="0022259B"/>
    <w:rPr>
      <w:color w:val="605E5C"/>
      <w:shd w:val="clear" w:color="auto" w:fill="E1DFDD"/>
    </w:rPr>
  </w:style>
  <w:style w:type="paragraph" w:customStyle="1" w:styleId="NormalSS">
    <w:name w:val="NormalSS"/>
    <w:basedOn w:val="Normal"/>
    <w:link w:val="NormalSSChar"/>
    <w:qFormat/>
    <w:rsid w:val="00CD6CFE"/>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CD6CFE"/>
    <w:rPr>
      <w:rFonts w:ascii="Times New Roman" w:eastAsia="Times New Roman" w:hAnsi="Times New Roman" w:cs="Times New Roman"/>
      <w:sz w:val="24"/>
      <w:szCs w:val="20"/>
    </w:rPr>
  </w:style>
  <w:style w:type="character" w:styleId="Mention">
    <w:name w:val="Mention"/>
    <w:basedOn w:val="DefaultParagraphFont"/>
    <w:uiPriority w:val="99"/>
    <w:unhideWhenUsed/>
    <w:rsid w:val="000D2C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3" ma:contentTypeDescription="Create a new document." ma:contentTypeScope="" ma:versionID="c38f675b13491dba010a0693c97e2b78">
  <xsd:schema xmlns:xsd="http://www.w3.org/2001/XMLSchema" xmlns:xs="http://www.w3.org/2001/XMLSchema" xmlns:p="http://schemas.microsoft.com/office/2006/metadata/properties" xmlns:ns2="d7423c9d-eb0c-4af6-9481-6d335a110103" targetNamespace="http://schemas.microsoft.com/office/2006/metadata/properties" ma:root="true" ma:fieldsID="24f1a3307d70b59325e438effff2c507" ns2:_="">
    <xsd:import namespace="d7423c9d-eb0c-4af6-9481-6d335a1101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763707E1-BE99-4BC9-AFA3-E402835AD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5938</Words>
  <Characters>33849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Skidmore</dc:creator>
  <cp:lastModifiedBy>ACF PRA</cp:lastModifiedBy>
  <cp:revision>57</cp:revision>
  <dcterms:created xsi:type="dcterms:W3CDTF">2023-10-20T19:45:00Z</dcterms:created>
  <dcterms:modified xsi:type="dcterms:W3CDTF">2024-01-04T14:22:00Z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ies>
</file>