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FC6684" w:rsidP="00CE5AA9" w14:paraId="22E2A2ED" w14:textId="77777777">
      <w:pPr>
        <w:tabs>
          <w:tab w:val="center" w:pos="4680"/>
        </w:tabs>
        <w:spacing w:before="120"/>
        <w:jc w:val="center"/>
        <w:rPr>
          <w:b/>
          <w:bCs/>
          <w:sz w:val="32"/>
          <w:szCs w:val="32"/>
        </w:rPr>
      </w:pPr>
      <w:r w:rsidRPr="00FC6684">
        <w:rPr>
          <w:b/>
          <w:bCs/>
          <w:sz w:val="32"/>
          <w:szCs w:val="32"/>
        </w:rPr>
        <w:t xml:space="preserve">Supporting </w:t>
      </w:r>
      <w:r w:rsidRPr="00FC6684">
        <w:rPr>
          <w:b/>
          <w:bCs/>
          <w:sz w:val="32"/>
          <w:szCs w:val="32"/>
        </w:rPr>
        <w:t>Statement</w:t>
      </w:r>
      <w:r w:rsidRPr="00FC6684">
        <w:rPr>
          <w:b/>
          <w:bCs/>
          <w:sz w:val="32"/>
          <w:szCs w:val="32"/>
        </w:rPr>
        <w:t xml:space="preserve"> </w:t>
      </w:r>
      <w:r w:rsidRPr="00FC6684">
        <w:rPr>
          <w:b/>
          <w:bCs/>
          <w:sz w:val="32"/>
          <w:szCs w:val="32"/>
        </w:rPr>
        <w:t>A</w:t>
      </w:r>
    </w:p>
    <w:p w:rsidR="00BA1A0C" w:rsidRPr="00FC6684" w:rsidP="00CE5AA9" w14:paraId="22E2A2EE" w14:textId="77777777">
      <w:pPr>
        <w:tabs>
          <w:tab w:val="center" w:pos="4680"/>
        </w:tabs>
        <w:spacing w:before="120"/>
        <w:jc w:val="center"/>
        <w:rPr>
          <w:b/>
          <w:bCs/>
          <w:sz w:val="32"/>
          <w:szCs w:val="32"/>
        </w:rPr>
      </w:pPr>
    </w:p>
    <w:p w:rsidR="009B3794" w:rsidRPr="00FC6684" w:rsidP="00CE5AA9" w14:paraId="22E2A2EF" w14:textId="65E98194">
      <w:pPr>
        <w:tabs>
          <w:tab w:val="center" w:pos="4680"/>
        </w:tabs>
        <w:spacing w:before="120"/>
        <w:jc w:val="center"/>
        <w:rPr>
          <w:b/>
          <w:bCs/>
          <w:sz w:val="32"/>
          <w:szCs w:val="32"/>
        </w:rPr>
      </w:pPr>
      <w:r w:rsidRPr="00FC6684">
        <w:rPr>
          <w:b/>
          <w:bCs/>
          <w:sz w:val="32"/>
          <w:szCs w:val="32"/>
        </w:rPr>
        <w:t xml:space="preserve">Alliance for Innovation on Maternal Health (AIM) Biannual </w:t>
      </w:r>
      <w:r w:rsidRPr="00FC6684" w:rsidR="00792885">
        <w:rPr>
          <w:b/>
          <w:bCs/>
          <w:sz w:val="32"/>
          <w:szCs w:val="32"/>
        </w:rPr>
        <w:t>Report</w:t>
      </w:r>
    </w:p>
    <w:p w:rsidR="00BA1A0C" w:rsidRPr="00FC6684" w:rsidP="00CE5AA9" w14:paraId="22E2A2F0" w14:textId="77777777">
      <w:pPr>
        <w:tabs>
          <w:tab w:val="center" w:pos="4680"/>
        </w:tabs>
        <w:spacing w:before="120"/>
        <w:jc w:val="center"/>
        <w:rPr>
          <w:b/>
          <w:bCs/>
          <w:sz w:val="32"/>
          <w:szCs w:val="32"/>
        </w:rPr>
      </w:pPr>
    </w:p>
    <w:p w:rsidR="00BA1A0C" w:rsidRPr="00FC6684" w:rsidP="00CE5AA9" w14:paraId="22E2A2F1" w14:textId="77777777">
      <w:pPr>
        <w:tabs>
          <w:tab w:val="center" w:pos="4680"/>
        </w:tabs>
        <w:spacing w:before="120"/>
        <w:jc w:val="center"/>
        <w:rPr>
          <w:b/>
          <w:bCs/>
          <w:sz w:val="32"/>
          <w:szCs w:val="32"/>
        </w:rPr>
      </w:pPr>
      <w:r w:rsidRPr="00FC6684">
        <w:rPr>
          <w:b/>
          <w:bCs/>
          <w:sz w:val="32"/>
          <w:szCs w:val="32"/>
        </w:rPr>
        <w:t>OMB Control No. 09</w:t>
      </w:r>
      <w:r w:rsidRPr="00FC6684" w:rsidR="00E34A1F">
        <w:rPr>
          <w:b/>
          <w:bCs/>
          <w:sz w:val="32"/>
          <w:szCs w:val="32"/>
        </w:rPr>
        <w:t>15</w:t>
      </w:r>
      <w:r w:rsidRPr="00FC6684">
        <w:rPr>
          <w:b/>
          <w:bCs/>
          <w:sz w:val="32"/>
          <w:szCs w:val="32"/>
        </w:rPr>
        <w:t>-XXXX</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FC6684" w:rsidP="00CE5AA9" w14:paraId="22E2A2F4" w14:textId="11B54A8A">
      <w:pPr>
        <w:spacing w:before="120"/>
        <w:rPr>
          <w:b/>
          <w:sz w:val="24"/>
        </w:rPr>
      </w:pPr>
      <w:r w:rsidRPr="00FC6684">
        <w:rPr>
          <w:b/>
          <w:sz w:val="24"/>
        </w:rPr>
        <w:t>Terms of Clearance</w:t>
      </w:r>
      <w:r w:rsidRPr="00FC6684" w:rsidR="00BA1A0C">
        <w:rPr>
          <w:b/>
          <w:sz w:val="24"/>
        </w:rPr>
        <w:t>:</w:t>
      </w:r>
      <w:r w:rsidRPr="00FC6684" w:rsidR="00BA1A0C">
        <w:rPr>
          <w:sz w:val="24"/>
        </w:rPr>
        <w:t xml:space="preserve">  </w:t>
      </w:r>
      <w:r w:rsidRPr="00FC6684" w:rsidR="00134A41">
        <w:rPr>
          <w:sz w:val="24"/>
        </w:rPr>
        <w:t>None</w:t>
      </w:r>
      <w:r w:rsidRPr="00FC6684" w:rsidR="00BA1A0C">
        <w:rPr>
          <w:b/>
          <w:sz w:val="24"/>
        </w:rPr>
        <w:t xml:space="preserve"> </w:t>
      </w:r>
    </w:p>
    <w:p w:rsidR="009B3794" w:rsidRPr="00FC6684" w:rsidP="00CA3DA6" w14:paraId="22E2A2F5" w14:textId="77777777">
      <w:pPr>
        <w:spacing w:before="120"/>
        <w:rPr>
          <w:b/>
          <w:bCs/>
          <w:sz w:val="24"/>
        </w:rPr>
      </w:pPr>
      <w:r w:rsidRPr="00FC6684">
        <w:rPr>
          <w:b/>
          <w:bCs/>
          <w:sz w:val="24"/>
        </w:rPr>
        <w:t>A.</w:t>
      </w:r>
      <w:r w:rsidRPr="00FC6684">
        <w:rPr>
          <w:b/>
          <w:bCs/>
          <w:sz w:val="24"/>
        </w:rPr>
        <w:tab/>
        <w:t>Justification</w:t>
      </w:r>
    </w:p>
    <w:p w:rsidR="009B3794" w:rsidRPr="00FC6684" w:rsidP="00CA3DA6" w14:paraId="22E2A2F6" w14:textId="77777777">
      <w:pPr>
        <w:numPr>
          <w:ilvl w:val="0"/>
          <w:numId w:val="2"/>
        </w:numPr>
        <w:tabs>
          <w:tab w:val="num" w:pos="360"/>
        </w:tabs>
        <w:spacing w:before="240"/>
        <w:ind w:left="360"/>
        <w:rPr>
          <w:b/>
          <w:sz w:val="24"/>
        </w:rPr>
      </w:pPr>
      <w:r w:rsidRPr="00FC6684">
        <w:rPr>
          <w:b/>
          <w:sz w:val="24"/>
          <w:u w:val="single"/>
        </w:rPr>
        <w:t>Circumstances Making the Collection of Information Necessary</w:t>
      </w:r>
    </w:p>
    <w:p w:rsidR="0032431B" w:rsidRPr="00FC6684" w:rsidP="00054BDE" w14:paraId="44F9C8B5" w14:textId="117A1B8C">
      <w:pPr>
        <w:spacing w:before="120"/>
        <w:rPr>
          <w:sz w:val="24"/>
        </w:rPr>
      </w:pPr>
      <w:r w:rsidRPr="00FC6684">
        <w:rPr>
          <w:sz w:val="24"/>
        </w:rPr>
        <w:t xml:space="preserve">HRSA is requesting OMB approval for a new information collection request, the Alliance for Innovation on Maternal Health (AIM) Biannual </w:t>
      </w:r>
      <w:r w:rsidRPr="00FC6684" w:rsidR="00792885">
        <w:rPr>
          <w:sz w:val="24"/>
        </w:rPr>
        <w:t>Report</w:t>
      </w:r>
      <w:r w:rsidRPr="00FC6684" w:rsidR="007F46FC">
        <w:rPr>
          <w:sz w:val="24"/>
        </w:rPr>
        <w:t xml:space="preserve"> (Attachment A)</w:t>
      </w:r>
      <w:r w:rsidRPr="00FC6684" w:rsidR="00CB073D">
        <w:rPr>
          <w:sz w:val="24"/>
        </w:rPr>
        <w:t xml:space="preserve">, which will collect information on the </w:t>
      </w:r>
      <w:r w:rsidRPr="00FC6684" w:rsidR="005D0F50">
        <w:rPr>
          <w:sz w:val="24"/>
        </w:rPr>
        <w:t xml:space="preserve">program </w:t>
      </w:r>
      <w:r w:rsidRPr="00FC6684" w:rsidR="00CB073D">
        <w:rPr>
          <w:sz w:val="24"/>
        </w:rPr>
        <w:t>reach and technical assistance needs of the program</w:t>
      </w:r>
      <w:r w:rsidRPr="00FC6684" w:rsidR="00A02382">
        <w:rPr>
          <w:sz w:val="24"/>
        </w:rPr>
        <w:t xml:space="preserve"> participants</w:t>
      </w:r>
      <w:r w:rsidRPr="00FC6684" w:rsidR="00CB073D">
        <w:rPr>
          <w:sz w:val="24"/>
        </w:rPr>
        <w:t>.</w:t>
      </w:r>
      <w:r w:rsidRPr="00FC6684" w:rsidR="00663070">
        <w:rPr>
          <w:sz w:val="24"/>
        </w:rPr>
        <w:t xml:space="preserve"> </w:t>
      </w:r>
      <w:r w:rsidRPr="00FC6684" w:rsidR="003102D0">
        <w:rPr>
          <w:sz w:val="24"/>
        </w:rPr>
        <w:t xml:space="preserve">The AIM program is the national, cross-sector commitment designed to lead in the identification, development, implementation, and dissemination of maternal (patient) safety bundles for the promotion of safe care for every U.S. birth and assist with addressing the complex problem of high maternal mortality and severe maternal morbidity rates within the United States. The mission of AIM is to support best practices that make birth safer, improve the quality of maternal health care and outcomes, and save lives. Maternal </w:t>
      </w:r>
      <w:r w:rsidRPr="00FC6684" w:rsidR="006D3505">
        <w:rPr>
          <w:sz w:val="24"/>
        </w:rPr>
        <w:t xml:space="preserve">patient </w:t>
      </w:r>
      <w:r w:rsidRPr="00FC6684" w:rsidR="003102D0">
        <w:rPr>
          <w:sz w:val="24"/>
        </w:rPr>
        <w:t xml:space="preserve">safety bundles address topics commonly associated with health complications or risks related to prenatal, labor and delivery, and postpartum care. </w:t>
      </w:r>
      <w:r w:rsidRPr="00FC6684" w:rsidR="00663070">
        <w:rPr>
          <w:sz w:val="24"/>
        </w:rPr>
        <w:t xml:space="preserve">The AIM program is authorized by </w:t>
      </w:r>
      <w:hyperlink r:id="rId10" w:history="1">
        <w:r w:rsidRPr="00FC6684" w:rsidR="00D1007D">
          <w:rPr>
            <w:rStyle w:val="Hyperlink"/>
            <w:color w:val="auto"/>
            <w:sz w:val="24"/>
            <w:u w:val="none"/>
          </w:rPr>
          <w:t>Public Health Service Act, Title III Section 330O</w:t>
        </w:r>
      </w:hyperlink>
      <w:r w:rsidRPr="00FC6684" w:rsidR="00D1007D">
        <w:rPr>
          <w:sz w:val="24"/>
        </w:rPr>
        <w:t xml:space="preserve"> (</w:t>
      </w:r>
      <w:hyperlink r:id="rId11" w:history="1">
        <w:r w:rsidRPr="00FC6684" w:rsidR="00D1007D">
          <w:rPr>
            <w:rStyle w:val="Hyperlink"/>
            <w:color w:val="auto"/>
            <w:sz w:val="24"/>
            <w:u w:val="none"/>
          </w:rPr>
          <w:t>42 U.S.C. 254c-21</w:t>
        </w:r>
      </w:hyperlink>
      <w:r w:rsidRPr="00FC6684" w:rsidR="00D1007D">
        <w:rPr>
          <w:sz w:val="24"/>
        </w:rPr>
        <w:t xml:space="preserve">) </w:t>
      </w:r>
      <w:r w:rsidRPr="00FC6684" w:rsidR="00867BE2">
        <w:rPr>
          <w:sz w:val="24"/>
        </w:rPr>
        <w:t xml:space="preserve">as added by </w:t>
      </w:r>
      <w:hyperlink r:id="rId12" w:history="1">
        <w:r w:rsidRPr="00FC6684" w:rsidR="00867BE2">
          <w:rPr>
            <w:rStyle w:val="Hyperlink"/>
            <w:color w:val="auto"/>
            <w:sz w:val="24"/>
            <w:u w:val="none"/>
          </w:rPr>
          <w:t>P.L: 117-103</w:t>
        </w:r>
      </w:hyperlink>
      <w:r w:rsidRPr="00FC6684" w:rsidR="00867BE2">
        <w:rPr>
          <w:sz w:val="24"/>
        </w:rPr>
        <w:t xml:space="preserve"> - Consolidated Appropriations Act, 2022</w:t>
      </w:r>
      <w:r w:rsidRPr="00FC6684" w:rsidR="00663070">
        <w:rPr>
          <w:sz w:val="24"/>
        </w:rPr>
        <w:t>.</w:t>
      </w:r>
      <w:r w:rsidRPr="00FC6684" w:rsidR="00330D7F">
        <w:rPr>
          <w:sz w:val="24"/>
        </w:rPr>
        <w:t xml:space="preserve"> </w:t>
      </w:r>
      <w:r w:rsidRPr="00FC6684" w:rsidR="00060083">
        <w:rPr>
          <w:sz w:val="24"/>
        </w:rPr>
        <w:t xml:space="preserve">Beginning in FY 23, HRSA </w:t>
      </w:r>
      <w:r w:rsidRPr="00FC6684" w:rsidR="003A2B63">
        <w:rPr>
          <w:sz w:val="24"/>
        </w:rPr>
        <w:t>is</w:t>
      </w:r>
      <w:r w:rsidRPr="00FC6684" w:rsidR="00060083">
        <w:rPr>
          <w:sz w:val="24"/>
        </w:rPr>
        <w:t xml:space="preserve"> </w:t>
      </w:r>
      <w:r w:rsidRPr="00FC6684" w:rsidR="006D49CF">
        <w:rPr>
          <w:sz w:val="24"/>
        </w:rPr>
        <w:t xml:space="preserve">directly </w:t>
      </w:r>
      <w:r w:rsidRPr="00FC6684" w:rsidR="00060083">
        <w:rPr>
          <w:sz w:val="24"/>
        </w:rPr>
        <w:t xml:space="preserve">funding </w:t>
      </w:r>
      <w:r w:rsidRPr="00FC6684" w:rsidR="00CC20CE">
        <w:rPr>
          <w:sz w:val="24"/>
        </w:rPr>
        <w:t>28</w:t>
      </w:r>
      <w:r w:rsidRPr="00FC6684" w:rsidR="006D49CF">
        <w:rPr>
          <w:sz w:val="24"/>
        </w:rPr>
        <w:t xml:space="preserve"> </w:t>
      </w:r>
      <w:r w:rsidR="00FC72C3">
        <w:rPr>
          <w:sz w:val="24"/>
        </w:rPr>
        <w:t>S</w:t>
      </w:r>
      <w:r w:rsidRPr="00FC6684" w:rsidR="00D85151">
        <w:rPr>
          <w:sz w:val="24"/>
        </w:rPr>
        <w:t xml:space="preserve">tates </w:t>
      </w:r>
      <w:r w:rsidRPr="00FC6684" w:rsidR="00756AD1">
        <w:rPr>
          <w:sz w:val="24"/>
        </w:rPr>
        <w:t xml:space="preserve">and jurisdictions </w:t>
      </w:r>
      <w:r w:rsidRPr="00FC6684" w:rsidR="00CC20CE">
        <w:rPr>
          <w:sz w:val="24"/>
        </w:rPr>
        <w:t xml:space="preserve">(such as territories and the District of Columbia) </w:t>
      </w:r>
      <w:r w:rsidRPr="00FC6684" w:rsidR="00D85151">
        <w:rPr>
          <w:sz w:val="24"/>
        </w:rPr>
        <w:t>to implement AIM</w:t>
      </w:r>
      <w:r w:rsidRPr="00FC6684" w:rsidR="000E7093">
        <w:rPr>
          <w:sz w:val="24"/>
        </w:rPr>
        <w:t xml:space="preserve"> patient safety bundles through AIM Capacity awa</w:t>
      </w:r>
      <w:r w:rsidRPr="00FC6684" w:rsidR="00D6254A">
        <w:rPr>
          <w:sz w:val="24"/>
        </w:rPr>
        <w:t>rds</w:t>
      </w:r>
      <w:r w:rsidRPr="00FC6684" w:rsidR="008E7AD6">
        <w:rPr>
          <w:sz w:val="24"/>
        </w:rPr>
        <w:t xml:space="preserve">, in addition to </w:t>
      </w:r>
      <w:r w:rsidRPr="00FC6684" w:rsidR="00C72678">
        <w:rPr>
          <w:sz w:val="24"/>
        </w:rPr>
        <w:t>funding</w:t>
      </w:r>
      <w:r w:rsidRPr="00FC6684" w:rsidR="00D12832">
        <w:rPr>
          <w:sz w:val="24"/>
        </w:rPr>
        <w:t xml:space="preserve"> the A</w:t>
      </w:r>
      <w:r w:rsidRPr="00FC6684" w:rsidR="00424580">
        <w:rPr>
          <w:sz w:val="24"/>
        </w:rPr>
        <w:t>merican College of Obstetricians and Gynecologists (ACOG)</w:t>
      </w:r>
      <w:r w:rsidRPr="00FC6684" w:rsidR="00C72678">
        <w:rPr>
          <w:sz w:val="24"/>
        </w:rPr>
        <w:t xml:space="preserve"> to provide </w:t>
      </w:r>
      <w:r w:rsidRPr="00FC6684" w:rsidR="00D6254A">
        <w:rPr>
          <w:sz w:val="24"/>
        </w:rPr>
        <w:t xml:space="preserve">AIM </w:t>
      </w:r>
      <w:r w:rsidRPr="00FC6684" w:rsidR="00C72678">
        <w:rPr>
          <w:sz w:val="24"/>
        </w:rPr>
        <w:t>technical assistance</w:t>
      </w:r>
      <w:r w:rsidRPr="00FC6684" w:rsidR="006D49CF">
        <w:rPr>
          <w:sz w:val="24"/>
        </w:rPr>
        <w:t>. Previously</w:t>
      </w:r>
      <w:r w:rsidRPr="00FC6684" w:rsidR="00C72678">
        <w:rPr>
          <w:sz w:val="24"/>
        </w:rPr>
        <w:t xml:space="preserve">, HRSA only provided funding to </w:t>
      </w:r>
      <w:r w:rsidRPr="00FC6684" w:rsidR="00D6254A">
        <w:rPr>
          <w:sz w:val="24"/>
        </w:rPr>
        <w:t>the</w:t>
      </w:r>
      <w:r w:rsidRPr="00FC6684" w:rsidR="00C72678">
        <w:rPr>
          <w:sz w:val="24"/>
        </w:rPr>
        <w:t xml:space="preserve"> technical assistance provider</w:t>
      </w:r>
      <w:r w:rsidRPr="00FC6684" w:rsidR="00405E49">
        <w:rPr>
          <w:sz w:val="24"/>
        </w:rPr>
        <w:t xml:space="preserve"> (</w:t>
      </w:r>
      <w:r w:rsidRPr="00FC6684" w:rsidR="00C72678">
        <w:rPr>
          <w:sz w:val="24"/>
        </w:rPr>
        <w:t>ACOG</w:t>
      </w:r>
      <w:r w:rsidRPr="00FC6684" w:rsidR="00405E49">
        <w:rPr>
          <w:sz w:val="24"/>
        </w:rPr>
        <w:t>)</w:t>
      </w:r>
      <w:r w:rsidRPr="00FC6684" w:rsidR="00C72678">
        <w:rPr>
          <w:sz w:val="24"/>
        </w:rPr>
        <w:t xml:space="preserve"> </w:t>
      </w:r>
      <w:r w:rsidRPr="00FC6684" w:rsidR="000D0722">
        <w:rPr>
          <w:sz w:val="24"/>
        </w:rPr>
        <w:t xml:space="preserve">and did not directly fund </w:t>
      </w:r>
      <w:r w:rsidR="00FC72C3">
        <w:rPr>
          <w:sz w:val="24"/>
        </w:rPr>
        <w:t>State</w:t>
      </w:r>
      <w:r w:rsidRPr="00FC6684" w:rsidR="000D0722">
        <w:rPr>
          <w:sz w:val="24"/>
        </w:rPr>
        <w:t>s</w:t>
      </w:r>
      <w:r w:rsidRPr="00FC6684" w:rsidR="00C8679C">
        <w:rPr>
          <w:sz w:val="24"/>
        </w:rPr>
        <w:t>.</w:t>
      </w:r>
    </w:p>
    <w:p w:rsidR="00577A69" w:rsidP="00CA3DA6" w14:paraId="47C5FE14" w14:textId="61177A86">
      <w:pPr>
        <w:spacing w:before="120"/>
        <w:rPr>
          <w:rFonts w:ascii="Arial" w:hAnsi="Arial" w:cs="Arial"/>
          <w:sz w:val="24"/>
        </w:rPr>
      </w:pPr>
      <w:r w:rsidRPr="00FC6684">
        <w:rPr>
          <w:sz w:val="24"/>
        </w:rPr>
        <w:t xml:space="preserve">The </w:t>
      </w:r>
      <w:r w:rsidRPr="00FC6684" w:rsidR="00044842">
        <w:rPr>
          <w:sz w:val="24"/>
        </w:rPr>
        <w:t xml:space="preserve">increase in funding provided for this program and </w:t>
      </w:r>
      <w:r w:rsidRPr="00FC6684" w:rsidR="001B16EA">
        <w:rPr>
          <w:sz w:val="24"/>
        </w:rPr>
        <w:t xml:space="preserve">shift to directly funding </w:t>
      </w:r>
      <w:r w:rsidR="00FC72C3">
        <w:rPr>
          <w:sz w:val="24"/>
        </w:rPr>
        <w:t>State</w:t>
      </w:r>
      <w:r w:rsidRPr="00FC6684" w:rsidR="001B16EA">
        <w:rPr>
          <w:sz w:val="24"/>
        </w:rPr>
        <w:t>s and jurisdictions for the work</w:t>
      </w:r>
      <w:r w:rsidRPr="00FC6684" w:rsidR="0005478C">
        <w:rPr>
          <w:sz w:val="24"/>
        </w:rPr>
        <w:t xml:space="preserve"> make the collection of information about the reach of the program, participation by birthing facilities, and </w:t>
      </w:r>
      <w:r w:rsidRPr="00FC6684" w:rsidR="0031671B">
        <w:rPr>
          <w:sz w:val="24"/>
        </w:rPr>
        <w:t xml:space="preserve">technical assistance needs necessary. </w:t>
      </w:r>
      <w:r w:rsidRPr="00FC6684" w:rsidR="00EA30D9">
        <w:rPr>
          <w:sz w:val="24"/>
        </w:rPr>
        <w:t xml:space="preserve">States </w:t>
      </w:r>
      <w:r w:rsidRPr="00FC6684" w:rsidR="008C379E">
        <w:rPr>
          <w:sz w:val="24"/>
        </w:rPr>
        <w:t>and jurisdiction</w:t>
      </w:r>
      <w:r w:rsidRPr="00FC6684" w:rsidR="00756AD1">
        <w:rPr>
          <w:sz w:val="24"/>
        </w:rPr>
        <w:t>-based teams</w:t>
      </w:r>
      <w:r w:rsidRPr="00FC6684" w:rsidR="008C379E">
        <w:rPr>
          <w:sz w:val="24"/>
        </w:rPr>
        <w:t xml:space="preserve"> </w:t>
      </w:r>
      <w:r w:rsidRPr="00FC6684" w:rsidR="00EA30D9">
        <w:rPr>
          <w:sz w:val="24"/>
        </w:rPr>
        <w:t xml:space="preserve">make their own decisions about which safety bundles to implement and how many to implement at a time. </w:t>
      </w:r>
      <w:r w:rsidRPr="00FC6684" w:rsidR="00220772">
        <w:rPr>
          <w:sz w:val="24"/>
        </w:rPr>
        <w:t>Birthing f</w:t>
      </w:r>
      <w:r w:rsidRPr="00FC6684" w:rsidR="00EA30D9">
        <w:rPr>
          <w:sz w:val="24"/>
        </w:rPr>
        <w:t xml:space="preserve">acilities </w:t>
      </w:r>
      <w:r w:rsidRPr="00FC6684" w:rsidR="00220772">
        <w:rPr>
          <w:sz w:val="24"/>
        </w:rPr>
        <w:t xml:space="preserve">(hospitals that provide labor and delivery services and freestanding birth centers) </w:t>
      </w:r>
      <w:r w:rsidRPr="00FC6684" w:rsidR="00EA30D9">
        <w:rPr>
          <w:sz w:val="24"/>
        </w:rPr>
        <w:t xml:space="preserve">decide whether to participate in </w:t>
      </w:r>
      <w:r w:rsidR="00FC72C3">
        <w:rPr>
          <w:sz w:val="24"/>
        </w:rPr>
        <w:t>State</w:t>
      </w:r>
      <w:r w:rsidRPr="00FC6684" w:rsidR="003B5E6B">
        <w:rPr>
          <w:sz w:val="24"/>
        </w:rPr>
        <w:t>/jurisdiction</w:t>
      </w:r>
      <w:r w:rsidRPr="00FC6684" w:rsidR="00A259B8">
        <w:rPr>
          <w:sz w:val="24"/>
        </w:rPr>
        <w:t xml:space="preserve">-level </w:t>
      </w:r>
      <w:r w:rsidRPr="00FC6684" w:rsidR="00EA30D9">
        <w:rPr>
          <w:sz w:val="24"/>
        </w:rPr>
        <w:t>bundle implementation</w:t>
      </w:r>
      <w:r w:rsidRPr="00FC6684" w:rsidR="00A259B8">
        <w:rPr>
          <w:sz w:val="24"/>
        </w:rPr>
        <w:t xml:space="preserve"> cycles</w:t>
      </w:r>
      <w:r w:rsidRPr="00FC6684" w:rsidR="003A52B8">
        <w:rPr>
          <w:sz w:val="24"/>
        </w:rPr>
        <w:t>, and participation by facilities changes over time</w:t>
      </w:r>
      <w:r w:rsidRPr="00FC6684" w:rsidR="00A259B8">
        <w:rPr>
          <w:sz w:val="24"/>
        </w:rPr>
        <w:t>.</w:t>
      </w:r>
      <w:r w:rsidRPr="00FC6684" w:rsidR="00EA30D9">
        <w:rPr>
          <w:sz w:val="24"/>
        </w:rPr>
        <w:t xml:space="preserve"> </w:t>
      </w:r>
      <w:r w:rsidRPr="00FC6684" w:rsidR="00ED251C">
        <w:rPr>
          <w:sz w:val="24"/>
        </w:rPr>
        <w:t xml:space="preserve">The AIM Biannual </w:t>
      </w:r>
      <w:r w:rsidRPr="00FC6684" w:rsidR="00792885">
        <w:rPr>
          <w:sz w:val="24"/>
        </w:rPr>
        <w:t>Report</w:t>
      </w:r>
      <w:r w:rsidRPr="00FC6684" w:rsidR="00ED251C">
        <w:rPr>
          <w:sz w:val="24"/>
        </w:rPr>
        <w:t xml:space="preserve"> will be administered to all </w:t>
      </w:r>
      <w:r w:rsidR="00FC72C3">
        <w:rPr>
          <w:sz w:val="24"/>
        </w:rPr>
        <w:t>State</w:t>
      </w:r>
      <w:r w:rsidRPr="00FC6684" w:rsidR="00ED251C">
        <w:rPr>
          <w:sz w:val="24"/>
        </w:rPr>
        <w:t xml:space="preserve">s and jurisdictions participating in AIM, including those that do not receive HRSA funding to implement AIM. </w:t>
      </w:r>
      <w:r w:rsidRPr="00FC6684" w:rsidR="00C8679C">
        <w:rPr>
          <w:sz w:val="24"/>
        </w:rPr>
        <w:t>HRSA will</w:t>
      </w:r>
      <w:r w:rsidRPr="00FC6684" w:rsidR="00444488">
        <w:rPr>
          <w:sz w:val="24"/>
        </w:rPr>
        <w:t xml:space="preserve"> requir</w:t>
      </w:r>
      <w:r w:rsidRPr="00FC6684" w:rsidR="00ED251C">
        <w:rPr>
          <w:sz w:val="24"/>
        </w:rPr>
        <w:t>e</w:t>
      </w:r>
      <w:r w:rsidRPr="00FC6684" w:rsidR="00444488">
        <w:rPr>
          <w:sz w:val="24"/>
        </w:rPr>
        <w:t xml:space="preserve"> funded </w:t>
      </w:r>
      <w:r w:rsidR="00FC72C3">
        <w:rPr>
          <w:sz w:val="24"/>
        </w:rPr>
        <w:t>State</w:t>
      </w:r>
      <w:r w:rsidRPr="00FC6684" w:rsidR="00444488">
        <w:rPr>
          <w:sz w:val="24"/>
        </w:rPr>
        <w:t xml:space="preserve">s to complete the </w:t>
      </w:r>
      <w:r w:rsidRPr="00FC6684" w:rsidR="0099082E">
        <w:rPr>
          <w:sz w:val="24"/>
        </w:rPr>
        <w:t>B</w:t>
      </w:r>
      <w:r w:rsidRPr="00FC6684" w:rsidR="00444488">
        <w:rPr>
          <w:sz w:val="24"/>
        </w:rPr>
        <w:t xml:space="preserve">iannual </w:t>
      </w:r>
      <w:r w:rsidRPr="00FC6684" w:rsidR="0099082E">
        <w:rPr>
          <w:sz w:val="24"/>
        </w:rPr>
        <w:t>Report</w:t>
      </w:r>
      <w:r w:rsidRPr="00FC6684" w:rsidR="00444488">
        <w:rPr>
          <w:sz w:val="24"/>
        </w:rPr>
        <w:t xml:space="preserve">. The technical assistance provider will request that unfunded </w:t>
      </w:r>
      <w:r w:rsidR="00FC72C3">
        <w:rPr>
          <w:sz w:val="24"/>
        </w:rPr>
        <w:t>State</w:t>
      </w:r>
      <w:r w:rsidRPr="00FC6684" w:rsidR="00444488">
        <w:rPr>
          <w:sz w:val="24"/>
        </w:rPr>
        <w:t xml:space="preserve">s </w:t>
      </w:r>
      <w:r w:rsidRPr="00FC6684" w:rsidR="00E006C0">
        <w:rPr>
          <w:sz w:val="24"/>
        </w:rPr>
        <w:t>participat</w:t>
      </w:r>
      <w:r w:rsidRPr="00FC6684" w:rsidR="008834D3">
        <w:rPr>
          <w:sz w:val="24"/>
        </w:rPr>
        <w:t xml:space="preserve">ing in AIM </w:t>
      </w:r>
      <w:r w:rsidRPr="00FC6684" w:rsidR="006A3741">
        <w:rPr>
          <w:sz w:val="24"/>
        </w:rPr>
        <w:t xml:space="preserve">also </w:t>
      </w:r>
      <w:r w:rsidRPr="00FC6684" w:rsidR="00444488">
        <w:rPr>
          <w:sz w:val="24"/>
        </w:rPr>
        <w:t xml:space="preserve">complete the </w:t>
      </w:r>
      <w:r w:rsidRPr="00FC6684" w:rsidR="0099082E">
        <w:rPr>
          <w:sz w:val="24"/>
        </w:rPr>
        <w:t>report</w:t>
      </w:r>
      <w:r w:rsidRPr="00FC6684" w:rsidR="006A3741">
        <w:rPr>
          <w:sz w:val="24"/>
        </w:rPr>
        <w:t xml:space="preserve"> </w:t>
      </w:r>
      <w:r w:rsidRPr="00FC6684" w:rsidR="006A3741">
        <w:rPr>
          <w:sz w:val="24"/>
        </w:rPr>
        <w:t>in order to</w:t>
      </w:r>
      <w:r w:rsidRPr="00FC6684" w:rsidR="006A3741">
        <w:rPr>
          <w:sz w:val="24"/>
        </w:rPr>
        <w:t xml:space="preserve"> gauge the full extent of participation.</w:t>
      </w:r>
      <w:r w:rsidRPr="00FC6684" w:rsidR="00D3312F">
        <w:rPr>
          <w:sz w:val="24"/>
        </w:rPr>
        <w:t xml:space="preserve"> </w:t>
      </w:r>
      <w:r w:rsidRPr="00FC6684" w:rsidR="00AE61B2">
        <w:rPr>
          <w:sz w:val="24"/>
        </w:rPr>
        <w:t xml:space="preserve">The information collected as part of the </w:t>
      </w:r>
      <w:r w:rsidRPr="00FC6684" w:rsidR="00792885">
        <w:rPr>
          <w:sz w:val="24"/>
        </w:rPr>
        <w:t>B</w:t>
      </w:r>
      <w:r w:rsidRPr="00FC6684" w:rsidR="009F28F6">
        <w:rPr>
          <w:sz w:val="24"/>
        </w:rPr>
        <w:t xml:space="preserve">iannual </w:t>
      </w:r>
      <w:r w:rsidRPr="00FC6684" w:rsidR="00792885">
        <w:rPr>
          <w:sz w:val="24"/>
        </w:rPr>
        <w:t>Report</w:t>
      </w:r>
      <w:r w:rsidRPr="00FC6684" w:rsidR="009F28F6">
        <w:rPr>
          <w:sz w:val="24"/>
        </w:rPr>
        <w:t xml:space="preserve"> </w:t>
      </w:r>
      <w:r w:rsidRPr="00FC6684" w:rsidR="003151AA">
        <w:rPr>
          <w:sz w:val="24"/>
        </w:rPr>
        <w:t xml:space="preserve">provides essential information </w:t>
      </w:r>
      <w:r w:rsidRPr="00FC6684" w:rsidR="00191F51">
        <w:rPr>
          <w:sz w:val="24"/>
        </w:rPr>
        <w:t xml:space="preserve">on program functioning and needs not available from other data sources. It </w:t>
      </w:r>
      <w:r w:rsidRPr="00FC6684" w:rsidR="009F28F6">
        <w:rPr>
          <w:sz w:val="24"/>
        </w:rPr>
        <w:t xml:space="preserve">will allow HRSA to </w:t>
      </w:r>
      <w:r w:rsidRPr="00FC6684" w:rsidR="007C4156">
        <w:rPr>
          <w:sz w:val="24"/>
        </w:rPr>
        <w:t xml:space="preserve">measure and track </w:t>
      </w:r>
      <w:r w:rsidR="00FC72C3">
        <w:rPr>
          <w:sz w:val="24"/>
        </w:rPr>
        <w:t>State</w:t>
      </w:r>
      <w:r w:rsidRPr="00FC6684" w:rsidR="009F28F6">
        <w:rPr>
          <w:sz w:val="24"/>
        </w:rPr>
        <w:t xml:space="preserve"> and facility participation in the program a</w:t>
      </w:r>
      <w:r w:rsidRPr="00FC6684" w:rsidR="00397C37">
        <w:rPr>
          <w:sz w:val="24"/>
        </w:rPr>
        <w:t>nd</w:t>
      </w:r>
      <w:r w:rsidRPr="00FC6684" w:rsidR="009F28F6">
        <w:rPr>
          <w:sz w:val="24"/>
        </w:rPr>
        <w:t xml:space="preserve"> </w:t>
      </w:r>
      <w:r w:rsidRPr="00FC6684" w:rsidR="0077598B">
        <w:rPr>
          <w:sz w:val="24"/>
        </w:rPr>
        <w:t xml:space="preserve">identify </w:t>
      </w:r>
      <w:r w:rsidRPr="00FC6684" w:rsidR="009F28F6">
        <w:rPr>
          <w:sz w:val="24"/>
        </w:rPr>
        <w:t xml:space="preserve">technical assistance </w:t>
      </w:r>
      <w:r w:rsidRPr="00FC6684" w:rsidR="00E74761">
        <w:rPr>
          <w:sz w:val="24"/>
        </w:rPr>
        <w:t>needed to</w:t>
      </w:r>
      <w:r w:rsidRPr="00FC6684" w:rsidR="0077598B">
        <w:rPr>
          <w:sz w:val="24"/>
        </w:rPr>
        <w:t xml:space="preserve"> support the continued participation</w:t>
      </w:r>
      <w:r w:rsidRPr="00FC6684" w:rsidR="00E74761">
        <w:rPr>
          <w:sz w:val="24"/>
        </w:rPr>
        <w:t xml:space="preserve"> of </w:t>
      </w:r>
      <w:r w:rsidR="00FC72C3">
        <w:rPr>
          <w:sz w:val="24"/>
        </w:rPr>
        <w:t>State</w:t>
      </w:r>
      <w:r w:rsidRPr="00FC6684" w:rsidR="00E74761">
        <w:rPr>
          <w:sz w:val="24"/>
        </w:rPr>
        <w:t>s and facilities in AIM</w:t>
      </w:r>
      <w:r w:rsidRPr="00FC6684" w:rsidR="00C06253">
        <w:rPr>
          <w:sz w:val="24"/>
        </w:rPr>
        <w:t xml:space="preserve"> and meet the expectations in the legislation</w:t>
      </w:r>
      <w:r w:rsidR="00C06253">
        <w:rPr>
          <w:rFonts w:ascii="Arial" w:hAnsi="Arial" w:cs="Arial"/>
          <w:sz w:val="24"/>
        </w:rPr>
        <w:t>.</w:t>
      </w:r>
    </w:p>
    <w:p w:rsidR="00DE4C00" w:rsidRPr="003B4E54" w:rsidP="00CA3DA6" w14:paraId="38BD075C" w14:textId="77777777">
      <w:pPr>
        <w:spacing w:before="120"/>
        <w:rPr>
          <w:rFonts w:ascii="Arial" w:hAnsi="Arial" w:cs="Arial"/>
          <w:sz w:val="24"/>
          <w:highlight w:val="yellow"/>
        </w:rPr>
      </w:pPr>
    </w:p>
    <w:p w:rsidR="009B3794" w:rsidRPr="00FC6684" w:rsidP="00CA3DA6" w14:paraId="22E2A2FB" w14:textId="77777777">
      <w:pPr>
        <w:numPr>
          <w:ilvl w:val="0"/>
          <w:numId w:val="2"/>
        </w:numPr>
        <w:tabs>
          <w:tab w:val="num" w:pos="360"/>
        </w:tabs>
        <w:spacing w:before="240"/>
        <w:ind w:left="360"/>
        <w:rPr>
          <w:b/>
          <w:sz w:val="24"/>
        </w:rPr>
      </w:pPr>
      <w:r w:rsidRPr="00FC6684">
        <w:rPr>
          <w:b/>
          <w:sz w:val="24"/>
          <w:u w:val="single"/>
        </w:rPr>
        <w:t>Purpose and Use of Information Collection</w:t>
      </w:r>
    </w:p>
    <w:p w:rsidR="0002419D" w:rsidRPr="00FC6684" w:rsidP="00CA3DA6" w14:paraId="4D782B9E" w14:textId="2CE33D69">
      <w:pPr>
        <w:spacing w:before="120"/>
        <w:rPr>
          <w:sz w:val="24"/>
        </w:rPr>
      </w:pPr>
      <w:r w:rsidRPr="00FC6684">
        <w:rPr>
          <w:sz w:val="24"/>
        </w:rPr>
        <w:t xml:space="preserve">The information </w:t>
      </w:r>
      <w:r w:rsidRPr="00FC6684" w:rsidR="00093825">
        <w:rPr>
          <w:sz w:val="24"/>
        </w:rPr>
        <w:t>will be</w:t>
      </w:r>
      <w:r w:rsidRPr="00FC6684">
        <w:rPr>
          <w:sz w:val="24"/>
        </w:rPr>
        <w:t xml:space="preserve"> used by the </w:t>
      </w:r>
      <w:r w:rsidRPr="00FC6684" w:rsidR="001152AE">
        <w:rPr>
          <w:sz w:val="24"/>
        </w:rPr>
        <w:t xml:space="preserve">HRSA program team to understand </w:t>
      </w:r>
      <w:r w:rsidRPr="00FC6684" w:rsidR="00204929">
        <w:rPr>
          <w:sz w:val="24"/>
        </w:rPr>
        <w:t xml:space="preserve">and report on </w:t>
      </w:r>
      <w:r w:rsidRPr="00FC6684" w:rsidR="001152AE">
        <w:rPr>
          <w:sz w:val="24"/>
        </w:rPr>
        <w:t xml:space="preserve">program reach and potential growth, inform </w:t>
      </w:r>
      <w:r w:rsidRPr="00FC6684" w:rsidR="00915302">
        <w:rPr>
          <w:sz w:val="24"/>
        </w:rPr>
        <w:t xml:space="preserve">development of resources and </w:t>
      </w:r>
      <w:r w:rsidRPr="00FC6684" w:rsidR="002748DA">
        <w:rPr>
          <w:sz w:val="24"/>
        </w:rPr>
        <w:t xml:space="preserve">types of </w:t>
      </w:r>
      <w:r w:rsidRPr="00FC6684" w:rsidR="009E5CDE">
        <w:rPr>
          <w:sz w:val="24"/>
        </w:rPr>
        <w:t>technical assistance</w:t>
      </w:r>
      <w:r w:rsidRPr="00FC6684" w:rsidR="002748DA">
        <w:rPr>
          <w:sz w:val="24"/>
        </w:rPr>
        <w:t xml:space="preserve"> offered</w:t>
      </w:r>
      <w:r w:rsidRPr="00FC6684" w:rsidR="001152AE">
        <w:rPr>
          <w:sz w:val="24"/>
        </w:rPr>
        <w:t xml:space="preserve">, </w:t>
      </w:r>
      <w:r w:rsidRPr="00FC6684" w:rsidR="00204929">
        <w:rPr>
          <w:sz w:val="24"/>
        </w:rPr>
        <w:t>and develop program targets.</w:t>
      </w:r>
      <w:r w:rsidRPr="00FC6684" w:rsidR="0038433D">
        <w:rPr>
          <w:sz w:val="24"/>
        </w:rPr>
        <w:t xml:space="preserve"> </w:t>
      </w:r>
      <w:r w:rsidRPr="00FC6684" w:rsidR="000275E9">
        <w:rPr>
          <w:sz w:val="24"/>
          <w:shd w:val="clear" w:color="auto" w:fill="FFFFFF"/>
        </w:rPr>
        <w:t>The Biannual Report will provide the data to report on</w:t>
      </w:r>
      <w:r w:rsidRPr="00FC6684" w:rsidR="000275E9">
        <w:rPr>
          <w:sz w:val="24"/>
        </w:rPr>
        <w:t xml:space="preserve"> </w:t>
      </w:r>
      <w:r w:rsidRPr="00FC6684" w:rsidR="0045168A">
        <w:rPr>
          <w:sz w:val="24"/>
        </w:rPr>
        <w:t>the</w:t>
      </w:r>
      <w:r w:rsidRPr="00FC6684" w:rsidR="007E09B1">
        <w:rPr>
          <w:sz w:val="24"/>
        </w:rPr>
        <w:t xml:space="preserve"> measure of </w:t>
      </w:r>
      <w:r w:rsidRPr="00FC6684" w:rsidR="00406C40">
        <w:rPr>
          <w:sz w:val="24"/>
        </w:rPr>
        <w:t xml:space="preserve">AIM </w:t>
      </w:r>
      <w:r w:rsidRPr="00FC6684" w:rsidR="00900473">
        <w:rPr>
          <w:sz w:val="24"/>
        </w:rPr>
        <w:t xml:space="preserve">program reach </w:t>
      </w:r>
      <w:r w:rsidRPr="00FC6684" w:rsidR="007E09B1">
        <w:rPr>
          <w:sz w:val="24"/>
        </w:rPr>
        <w:t xml:space="preserve">in </w:t>
      </w:r>
      <w:r w:rsidRPr="00FC6684" w:rsidR="00900473">
        <w:rPr>
          <w:sz w:val="24"/>
        </w:rPr>
        <w:t xml:space="preserve">the </w:t>
      </w:r>
      <w:r w:rsidRPr="00FC6684" w:rsidR="00406C40">
        <w:rPr>
          <w:sz w:val="24"/>
        </w:rPr>
        <w:t xml:space="preserve">FY 25 </w:t>
      </w:r>
      <w:r w:rsidRPr="00FC6684" w:rsidR="00080DFE">
        <w:rPr>
          <w:sz w:val="24"/>
        </w:rPr>
        <w:t>congressional justification</w:t>
      </w:r>
      <w:r w:rsidRPr="00FC6684" w:rsidR="00032F19">
        <w:rPr>
          <w:sz w:val="24"/>
        </w:rPr>
        <w:t xml:space="preserve"> “</w:t>
      </w:r>
      <w:r w:rsidRPr="00FC6684" w:rsidR="00F0464B">
        <w:rPr>
          <w:sz w:val="24"/>
          <w:shd w:val="clear" w:color="auto" w:fill="FFFFFF"/>
        </w:rPr>
        <w:t>Number of participating birthing facilities implementing AIM patient safety bundles”</w:t>
      </w:r>
      <w:r w:rsidRPr="00FC6684" w:rsidR="009E5CDE">
        <w:rPr>
          <w:sz w:val="24"/>
          <w:shd w:val="clear" w:color="auto" w:fill="FFFFFF"/>
        </w:rPr>
        <w:t xml:space="preserve"> </w:t>
      </w:r>
      <w:r w:rsidRPr="00FC6684" w:rsidR="003F4C7A">
        <w:rPr>
          <w:sz w:val="24"/>
          <w:shd w:val="clear" w:color="auto" w:fill="FFFFFF"/>
        </w:rPr>
        <w:t xml:space="preserve">and </w:t>
      </w:r>
      <w:r w:rsidRPr="00FC6684" w:rsidR="006B2B26">
        <w:rPr>
          <w:sz w:val="24"/>
          <w:shd w:val="clear" w:color="auto" w:fill="FFFFFF"/>
        </w:rPr>
        <w:t>to meet the reporting requirements in the appropriation legislation related to the AIM program (</w:t>
      </w:r>
      <w:hyperlink r:id="rId12" w:history="1">
        <w:r w:rsidRPr="00FC6684" w:rsidR="006B2B26">
          <w:rPr>
            <w:rStyle w:val="Hyperlink"/>
            <w:color w:val="auto"/>
            <w:sz w:val="24"/>
            <w:u w:val="none"/>
          </w:rPr>
          <w:t>P.L: 117-103</w:t>
        </w:r>
      </w:hyperlink>
      <w:r w:rsidRPr="00FC6684" w:rsidR="006B2B26">
        <w:rPr>
          <w:sz w:val="24"/>
        </w:rPr>
        <w:t xml:space="preserve"> - Consolidated Appropriations Act, 2022</w:t>
      </w:r>
      <w:r w:rsidRPr="00FC6684" w:rsidR="006B2B26">
        <w:rPr>
          <w:sz w:val="24"/>
          <w:shd w:val="clear" w:color="auto" w:fill="FFFFFF"/>
        </w:rPr>
        <w:t xml:space="preserve">. </w:t>
      </w:r>
      <w:r w:rsidRPr="00FC6684" w:rsidR="009E5CDE">
        <w:rPr>
          <w:sz w:val="24"/>
          <w:shd w:val="clear" w:color="auto" w:fill="FFFFFF"/>
        </w:rPr>
        <w:t>I</w:t>
      </w:r>
      <w:r w:rsidRPr="00FC6684" w:rsidR="000F0624">
        <w:rPr>
          <w:sz w:val="24"/>
          <w:shd w:val="clear" w:color="auto" w:fill="FFFFFF"/>
        </w:rPr>
        <w:t>n addition, i</w:t>
      </w:r>
      <w:r w:rsidRPr="00FC6684" w:rsidR="009E5CDE">
        <w:rPr>
          <w:sz w:val="24"/>
          <w:shd w:val="clear" w:color="auto" w:fill="FFFFFF"/>
        </w:rPr>
        <w:t xml:space="preserve">nformation on </w:t>
      </w:r>
      <w:r w:rsidRPr="00FC6684" w:rsidR="003E6405">
        <w:rPr>
          <w:sz w:val="24"/>
          <w:shd w:val="clear" w:color="auto" w:fill="FFFFFF"/>
        </w:rPr>
        <w:t>the number of participating birthing facilities</w:t>
      </w:r>
      <w:r w:rsidRPr="00FC6684" w:rsidR="00281620">
        <w:rPr>
          <w:sz w:val="24"/>
          <w:shd w:val="clear" w:color="auto" w:fill="FFFFFF"/>
        </w:rPr>
        <w:t xml:space="preserve"> </w:t>
      </w:r>
      <w:r w:rsidRPr="00FC6684" w:rsidR="000F0624">
        <w:rPr>
          <w:sz w:val="24"/>
          <w:shd w:val="clear" w:color="auto" w:fill="FFFFFF"/>
        </w:rPr>
        <w:t xml:space="preserve">and patient safety bundles being implemented </w:t>
      </w:r>
      <w:r w:rsidRPr="00FC6684" w:rsidR="00281620">
        <w:rPr>
          <w:sz w:val="24"/>
          <w:shd w:val="clear" w:color="auto" w:fill="FFFFFF"/>
        </w:rPr>
        <w:t xml:space="preserve">is shared on the HRSA and </w:t>
      </w:r>
      <w:r w:rsidRPr="00FC6684" w:rsidR="00671ED7">
        <w:rPr>
          <w:sz w:val="24"/>
          <w:shd w:val="clear" w:color="auto" w:fill="FFFFFF"/>
        </w:rPr>
        <w:t xml:space="preserve">ACOG </w:t>
      </w:r>
      <w:r w:rsidRPr="00FC6684" w:rsidR="00281620">
        <w:rPr>
          <w:sz w:val="24"/>
          <w:shd w:val="clear" w:color="auto" w:fill="FFFFFF"/>
        </w:rPr>
        <w:t>AIM websites</w:t>
      </w:r>
      <w:r w:rsidRPr="00FC6684" w:rsidR="000F0624">
        <w:rPr>
          <w:sz w:val="24"/>
          <w:shd w:val="clear" w:color="auto" w:fill="FFFFFF"/>
        </w:rPr>
        <w:t>.</w:t>
      </w:r>
      <w:r w:rsidRPr="00FC6684" w:rsidR="00EC5812">
        <w:rPr>
          <w:sz w:val="24"/>
          <w:shd w:val="clear" w:color="auto" w:fill="FFFFFF"/>
        </w:rPr>
        <w:t xml:space="preserve"> The </w:t>
      </w:r>
      <w:r w:rsidRPr="00FC6684" w:rsidR="002A444A">
        <w:rPr>
          <w:sz w:val="24"/>
          <w:shd w:val="clear" w:color="auto" w:fill="FFFFFF"/>
        </w:rPr>
        <w:t>B</w:t>
      </w:r>
      <w:r w:rsidRPr="00FC6684" w:rsidR="00EC5812">
        <w:rPr>
          <w:sz w:val="24"/>
          <w:shd w:val="clear" w:color="auto" w:fill="FFFFFF"/>
        </w:rPr>
        <w:t xml:space="preserve">iannual </w:t>
      </w:r>
      <w:r w:rsidRPr="00FC6684" w:rsidR="002A444A">
        <w:rPr>
          <w:sz w:val="24"/>
          <w:shd w:val="clear" w:color="auto" w:fill="FFFFFF"/>
        </w:rPr>
        <w:t>Report</w:t>
      </w:r>
      <w:r w:rsidRPr="00FC6684" w:rsidR="00EC5812">
        <w:rPr>
          <w:sz w:val="24"/>
          <w:shd w:val="clear" w:color="auto" w:fill="FFFFFF"/>
        </w:rPr>
        <w:t xml:space="preserve"> is the only place </w:t>
      </w:r>
      <w:r w:rsidRPr="00FC6684" w:rsidR="00EC1706">
        <w:rPr>
          <w:sz w:val="24"/>
          <w:shd w:val="clear" w:color="auto" w:fill="FFFFFF"/>
        </w:rPr>
        <w:t>information on program reach and technical assistance needs</w:t>
      </w:r>
      <w:r w:rsidRPr="00FC6684" w:rsidR="00EC5812">
        <w:rPr>
          <w:sz w:val="24"/>
          <w:shd w:val="clear" w:color="auto" w:fill="FFFFFF"/>
        </w:rPr>
        <w:t xml:space="preserve"> is collected.</w:t>
      </w:r>
      <w:r w:rsidRPr="00FC6684" w:rsidR="003B6822">
        <w:rPr>
          <w:sz w:val="24"/>
          <w:shd w:val="clear" w:color="auto" w:fill="FFFFFF"/>
        </w:rPr>
        <w:t xml:space="preserve"> If the data are not collected, the program will not be able to measure and </w:t>
      </w:r>
      <w:r w:rsidRPr="00FC6684" w:rsidR="00CD574B">
        <w:rPr>
          <w:sz w:val="24"/>
          <w:shd w:val="clear" w:color="auto" w:fill="FFFFFF"/>
        </w:rPr>
        <w:t>track</w:t>
      </w:r>
      <w:r w:rsidRPr="00FC6684" w:rsidR="003B6822">
        <w:rPr>
          <w:sz w:val="24"/>
          <w:shd w:val="clear" w:color="auto" w:fill="FFFFFF"/>
        </w:rPr>
        <w:t xml:space="preserve"> participation of birthing facilities in AIM </w:t>
      </w:r>
      <w:r w:rsidRPr="00FC6684" w:rsidR="00CD574B">
        <w:rPr>
          <w:sz w:val="24"/>
          <w:shd w:val="clear" w:color="auto" w:fill="FFFFFF"/>
        </w:rPr>
        <w:t>and patient safety bundles implemented</w:t>
      </w:r>
      <w:r w:rsidRPr="00FC6684" w:rsidR="00EC1706">
        <w:rPr>
          <w:sz w:val="24"/>
          <w:shd w:val="clear" w:color="auto" w:fill="FFFFFF"/>
        </w:rPr>
        <w:t xml:space="preserve"> or </w:t>
      </w:r>
      <w:r w:rsidRPr="00FC6684" w:rsidR="003463BD">
        <w:rPr>
          <w:sz w:val="24"/>
          <w:shd w:val="clear" w:color="auto" w:fill="FFFFFF"/>
        </w:rPr>
        <w:t>plan technical assistance activities based on actual needs</w:t>
      </w:r>
      <w:r w:rsidRPr="00FC6684" w:rsidR="00CD574B">
        <w:rPr>
          <w:sz w:val="24"/>
          <w:shd w:val="clear" w:color="auto" w:fill="FFFFFF"/>
        </w:rPr>
        <w:t>.</w:t>
      </w:r>
    </w:p>
    <w:p w:rsidR="00A75029" w:rsidP="00CA3DA6" w14:paraId="5831A312" w14:textId="77777777">
      <w:pPr>
        <w:spacing w:before="120"/>
        <w:rPr>
          <w:rFonts w:ascii="Arial" w:hAnsi="Arial" w:cs="Arial"/>
          <w:sz w:val="24"/>
        </w:rPr>
      </w:pPr>
    </w:p>
    <w:p w:rsidR="009B3794" w:rsidRPr="00FC6684" w:rsidP="00CA3DA6" w14:paraId="22E2A300" w14:textId="77777777">
      <w:pPr>
        <w:numPr>
          <w:ilvl w:val="0"/>
          <w:numId w:val="2"/>
        </w:numPr>
        <w:tabs>
          <w:tab w:val="num" w:pos="360"/>
        </w:tabs>
        <w:spacing w:before="240"/>
        <w:ind w:left="360"/>
        <w:rPr>
          <w:sz w:val="24"/>
        </w:rPr>
      </w:pPr>
      <w:r w:rsidRPr="00FC6684">
        <w:rPr>
          <w:b/>
          <w:sz w:val="24"/>
          <w:u w:val="single"/>
        </w:rPr>
        <w:t>Use of Improved Information Technology and Burden Reduction</w:t>
      </w:r>
    </w:p>
    <w:p w:rsidR="0033269D" w:rsidRPr="00FC6684" w:rsidP="001B643E" w14:paraId="3FA28DBA" w14:textId="74C2E83F">
      <w:pPr>
        <w:spacing w:before="120"/>
        <w:rPr>
          <w:sz w:val="24"/>
        </w:rPr>
      </w:pPr>
      <w:r w:rsidRPr="00FC6684">
        <w:rPr>
          <w:sz w:val="24"/>
        </w:rPr>
        <w:t xml:space="preserve">To </w:t>
      </w:r>
      <w:r w:rsidRPr="00FC6684" w:rsidR="00C2284C">
        <w:rPr>
          <w:sz w:val="24"/>
        </w:rPr>
        <w:t>minimize</w:t>
      </w:r>
      <w:r w:rsidRPr="00FC6684">
        <w:rPr>
          <w:sz w:val="24"/>
        </w:rPr>
        <w:t xml:space="preserve"> the burden</w:t>
      </w:r>
      <w:r w:rsidRPr="00FC6684" w:rsidR="00C2284C">
        <w:rPr>
          <w:sz w:val="24"/>
        </w:rPr>
        <w:t xml:space="preserve"> on respondents</w:t>
      </w:r>
      <w:r w:rsidRPr="00FC6684">
        <w:rPr>
          <w:sz w:val="24"/>
        </w:rPr>
        <w:t xml:space="preserve">, </w:t>
      </w:r>
      <w:r w:rsidRPr="00FC6684" w:rsidR="006F2DE6">
        <w:rPr>
          <w:sz w:val="24"/>
        </w:rPr>
        <w:t xml:space="preserve">all </w:t>
      </w:r>
      <w:r w:rsidRPr="00FC6684">
        <w:rPr>
          <w:sz w:val="24"/>
        </w:rPr>
        <w:t xml:space="preserve">data collection will be done </w:t>
      </w:r>
      <w:r w:rsidRPr="00FC6684" w:rsidR="0028598F">
        <w:rPr>
          <w:sz w:val="24"/>
        </w:rPr>
        <w:t xml:space="preserve">electronically </w:t>
      </w:r>
      <w:r w:rsidRPr="00FC6684">
        <w:rPr>
          <w:sz w:val="24"/>
        </w:rPr>
        <w:t>by the technical assistance provider (ACOG)</w:t>
      </w:r>
      <w:r w:rsidRPr="00FC6684" w:rsidR="00F453AA">
        <w:rPr>
          <w:sz w:val="24"/>
        </w:rPr>
        <w:t xml:space="preserve"> through Qualtrics.</w:t>
      </w:r>
      <w:r w:rsidRPr="00FC6684" w:rsidR="006613B9">
        <w:rPr>
          <w:sz w:val="24"/>
        </w:rPr>
        <w:t xml:space="preserve"> The</w:t>
      </w:r>
      <w:r w:rsidRPr="00FC6684" w:rsidR="00687C50">
        <w:rPr>
          <w:sz w:val="24"/>
        </w:rPr>
        <w:t xml:space="preserve"> </w:t>
      </w:r>
      <w:r w:rsidRPr="00FC6684" w:rsidR="008B3DEF">
        <w:rPr>
          <w:sz w:val="24"/>
        </w:rPr>
        <w:t xml:space="preserve">data collection </w:t>
      </w:r>
      <w:r w:rsidRPr="00FC6684" w:rsidR="00687C50">
        <w:rPr>
          <w:sz w:val="24"/>
        </w:rPr>
        <w:t>tool</w:t>
      </w:r>
      <w:r w:rsidRPr="00FC6684" w:rsidR="006613B9">
        <w:rPr>
          <w:sz w:val="24"/>
        </w:rPr>
        <w:t xml:space="preserve"> includes skip patterns to allow </w:t>
      </w:r>
      <w:r w:rsidRPr="00FC6684" w:rsidR="00C2284C">
        <w:rPr>
          <w:sz w:val="24"/>
        </w:rPr>
        <w:t>respondents</w:t>
      </w:r>
      <w:r w:rsidRPr="00FC6684" w:rsidR="006613B9">
        <w:rPr>
          <w:sz w:val="24"/>
        </w:rPr>
        <w:t xml:space="preserve"> to skip questions that do not apply to them. The approach will be similar to </w:t>
      </w:r>
      <w:r w:rsidRPr="00FC6684" w:rsidR="00687C50">
        <w:rPr>
          <w:sz w:val="24"/>
        </w:rPr>
        <w:t>information collection strategies</w:t>
      </w:r>
      <w:r w:rsidRPr="00FC6684" w:rsidR="006613B9">
        <w:rPr>
          <w:sz w:val="24"/>
        </w:rPr>
        <w:t xml:space="preserve"> the technical assistance provider has used in the past </w:t>
      </w:r>
      <w:r w:rsidRPr="00FC6684" w:rsidR="0059493C">
        <w:rPr>
          <w:sz w:val="24"/>
        </w:rPr>
        <w:t xml:space="preserve">so that the mechanism is familiar to </w:t>
      </w:r>
      <w:r w:rsidRPr="00FC6684" w:rsidR="00C2284C">
        <w:rPr>
          <w:sz w:val="24"/>
        </w:rPr>
        <w:t>respondents</w:t>
      </w:r>
      <w:r w:rsidRPr="00FC6684" w:rsidR="0059493C">
        <w:rPr>
          <w:sz w:val="24"/>
        </w:rPr>
        <w:t>.</w:t>
      </w:r>
      <w:r w:rsidRPr="00FC6684" w:rsidR="000E3113">
        <w:rPr>
          <w:sz w:val="24"/>
        </w:rPr>
        <w:t xml:space="preserve"> </w:t>
      </w:r>
      <w:r w:rsidRPr="00FC6684" w:rsidR="009A74C9">
        <w:rPr>
          <w:sz w:val="24"/>
        </w:rPr>
        <w:t xml:space="preserve">The data are collected at the </w:t>
      </w:r>
      <w:r w:rsidR="00FC72C3">
        <w:rPr>
          <w:sz w:val="24"/>
        </w:rPr>
        <w:t>State</w:t>
      </w:r>
      <w:r w:rsidRPr="00FC6684" w:rsidR="009A74C9">
        <w:rPr>
          <w:sz w:val="24"/>
        </w:rPr>
        <w:t xml:space="preserve"> or jurisdiction level</w:t>
      </w:r>
      <w:r w:rsidRPr="00FC6684" w:rsidR="000B519A">
        <w:rPr>
          <w:sz w:val="24"/>
        </w:rPr>
        <w:t xml:space="preserve"> and</w:t>
      </w:r>
      <w:r w:rsidRPr="00FC6684" w:rsidR="009A74C9">
        <w:rPr>
          <w:sz w:val="24"/>
        </w:rPr>
        <w:t xml:space="preserve"> o</w:t>
      </w:r>
      <w:r w:rsidRPr="00FC6684" w:rsidR="000E3113">
        <w:rPr>
          <w:sz w:val="24"/>
        </w:rPr>
        <w:t>nly on</w:t>
      </w:r>
      <w:r w:rsidRPr="00FC6684" w:rsidR="00C2284C">
        <w:rPr>
          <w:sz w:val="24"/>
        </w:rPr>
        <w:t>e</w:t>
      </w:r>
      <w:r w:rsidRPr="00FC6684" w:rsidR="000E3113">
        <w:rPr>
          <w:sz w:val="24"/>
        </w:rPr>
        <w:t xml:space="preserve"> response </w:t>
      </w:r>
      <w:r w:rsidRPr="00FC6684" w:rsidR="00C2284C">
        <w:rPr>
          <w:sz w:val="24"/>
        </w:rPr>
        <w:t xml:space="preserve">is requested for each </w:t>
      </w:r>
      <w:r w:rsidR="00FC72C3">
        <w:rPr>
          <w:sz w:val="24"/>
        </w:rPr>
        <w:t>State</w:t>
      </w:r>
      <w:r w:rsidRPr="00FC6684" w:rsidR="00C2284C">
        <w:rPr>
          <w:sz w:val="24"/>
        </w:rPr>
        <w:t xml:space="preserve"> </w:t>
      </w:r>
      <w:r w:rsidRPr="00FC6684" w:rsidR="00541D41">
        <w:rPr>
          <w:sz w:val="24"/>
        </w:rPr>
        <w:t>or jurisdiction.</w:t>
      </w:r>
    </w:p>
    <w:p w:rsidR="00AB6AA4" w:rsidP="0033269D" w14:paraId="309D8B1A" w14:textId="77777777">
      <w:pPr>
        <w:spacing w:before="120"/>
        <w:ind w:left="360"/>
        <w:rPr>
          <w:rFonts w:ascii="Arial" w:hAnsi="Arial" w:cs="Arial"/>
          <w:sz w:val="24"/>
        </w:rPr>
      </w:pPr>
    </w:p>
    <w:p w:rsidR="009B3794" w:rsidRPr="00FC6684" w:rsidP="00CA3DA6" w14:paraId="22E2A305" w14:textId="01CB0E78">
      <w:pPr>
        <w:numPr>
          <w:ilvl w:val="0"/>
          <w:numId w:val="2"/>
        </w:numPr>
        <w:tabs>
          <w:tab w:val="num" w:pos="360"/>
        </w:tabs>
        <w:spacing w:before="240"/>
        <w:ind w:left="360"/>
        <w:rPr>
          <w:b/>
          <w:sz w:val="24"/>
        </w:rPr>
      </w:pPr>
      <w:r w:rsidRPr="00FC6684">
        <w:rPr>
          <w:b/>
          <w:sz w:val="24"/>
          <w:u w:val="single"/>
        </w:rPr>
        <w:t>Efforts to Identify Duplication and Use of Similar Information</w:t>
      </w:r>
    </w:p>
    <w:p w:rsidR="006F2DE6" w:rsidRPr="00FC6684" w:rsidP="001B643E" w14:paraId="619502B9" w14:textId="5589D4BE">
      <w:pPr>
        <w:spacing w:before="120"/>
        <w:rPr>
          <w:sz w:val="24"/>
        </w:rPr>
      </w:pPr>
      <w:r w:rsidRPr="00FC6684">
        <w:rPr>
          <w:sz w:val="24"/>
        </w:rPr>
        <w:t xml:space="preserve">The information is not collected </w:t>
      </w:r>
      <w:r w:rsidRPr="00FC6684" w:rsidR="00C43281">
        <w:rPr>
          <w:sz w:val="24"/>
        </w:rPr>
        <w:t>through any other means. The information is specific to the AIM program</w:t>
      </w:r>
      <w:r w:rsidRPr="00FC6684" w:rsidR="0097335C">
        <w:rPr>
          <w:sz w:val="24"/>
        </w:rPr>
        <w:t xml:space="preserve"> and </w:t>
      </w:r>
      <w:r w:rsidRPr="00FC6684" w:rsidR="009A74C9">
        <w:rPr>
          <w:sz w:val="24"/>
        </w:rPr>
        <w:t>is</w:t>
      </w:r>
      <w:r w:rsidRPr="00FC6684" w:rsidR="0097335C">
        <w:rPr>
          <w:sz w:val="24"/>
        </w:rPr>
        <w:t xml:space="preserve"> not </w:t>
      </w:r>
      <w:r w:rsidRPr="00FC6684" w:rsidR="00127408">
        <w:rPr>
          <w:sz w:val="24"/>
        </w:rPr>
        <w:t>included in</w:t>
      </w:r>
      <w:r w:rsidRPr="00FC6684" w:rsidR="0097335C">
        <w:rPr>
          <w:sz w:val="24"/>
        </w:rPr>
        <w:t xml:space="preserve"> other information collection efforts.</w:t>
      </w:r>
    </w:p>
    <w:p w:rsidR="001B643E" w:rsidRPr="00FC6684" w:rsidP="001B643E" w14:paraId="08ADF137" w14:textId="77777777">
      <w:pPr>
        <w:spacing w:before="120"/>
        <w:rPr>
          <w:sz w:val="24"/>
        </w:rPr>
      </w:pPr>
    </w:p>
    <w:p w:rsidR="009B3794" w:rsidRPr="00FC6684" w:rsidP="00CA3DA6" w14:paraId="22E2A307" w14:textId="77777777">
      <w:pPr>
        <w:numPr>
          <w:ilvl w:val="0"/>
          <w:numId w:val="2"/>
        </w:numPr>
        <w:tabs>
          <w:tab w:val="num" w:pos="360"/>
        </w:tabs>
        <w:spacing w:before="240"/>
        <w:ind w:left="360"/>
        <w:rPr>
          <w:color w:val="000000"/>
          <w:sz w:val="24"/>
        </w:rPr>
      </w:pPr>
      <w:r w:rsidRPr="00FC6684">
        <w:rPr>
          <w:b/>
          <w:sz w:val="24"/>
          <w:u w:val="single"/>
        </w:rPr>
        <w:t>Impact on Small Businesses or Other Small Entities</w:t>
      </w:r>
    </w:p>
    <w:p w:rsidR="008B3B46" w:rsidRPr="00FC6684" w:rsidP="001B643E" w14:paraId="3B8E9732" w14:textId="7F17C186">
      <w:pPr>
        <w:spacing w:before="120"/>
        <w:rPr>
          <w:sz w:val="24"/>
        </w:rPr>
      </w:pPr>
      <w:r w:rsidRPr="00FC6684">
        <w:rPr>
          <w:sz w:val="24"/>
        </w:rPr>
        <w:t xml:space="preserve">This data collection will not </w:t>
      </w:r>
      <w:r w:rsidRPr="00FC6684" w:rsidR="00B31E51">
        <w:rPr>
          <w:sz w:val="24"/>
        </w:rPr>
        <w:t>impact small businesses or other small entities.</w:t>
      </w:r>
    </w:p>
    <w:p w:rsidR="009B3794" w:rsidRPr="00C45431" w:rsidP="00B31E51" w14:paraId="22E2A308" w14:textId="711E48FB">
      <w:pPr>
        <w:spacing w:before="120"/>
        <w:ind w:left="360"/>
        <w:rPr>
          <w:rFonts w:ascii="Arial" w:hAnsi="Arial" w:cs="Arial"/>
          <w:sz w:val="24"/>
        </w:rPr>
      </w:pPr>
    </w:p>
    <w:p w:rsidR="009B3794" w:rsidRPr="00FC6684" w:rsidP="00CA3DA6" w14:paraId="22E2A30D" w14:textId="77777777">
      <w:pPr>
        <w:numPr>
          <w:ilvl w:val="0"/>
          <w:numId w:val="2"/>
        </w:numPr>
        <w:tabs>
          <w:tab w:val="num" w:pos="360"/>
        </w:tabs>
        <w:spacing w:before="240"/>
        <w:ind w:left="360"/>
        <w:rPr>
          <w:b/>
          <w:sz w:val="24"/>
        </w:rPr>
      </w:pPr>
      <w:r w:rsidRPr="00FC6684">
        <w:rPr>
          <w:b/>
          <w:sz w:val="24"/>
          <w:u w:val="single"/>
        </w:rPr>
        <w:t>Consequences of Collecting the Information Less Frequent</w:t>
      </w:r>
      <w:r w:rsidRPr="00FC6684" w:rsidR="001325B2">
        <w:rPr>
          <w:b/>
          <w:sz w:val="24"/>
          <w:u w:val="single"/>
        </w:rPr>
        <w:t>ly</w:t>
      </w:r>
    </w:p>
    <w:p w:rsidR="00BA2CD8" w:rsidRPr="00FC6684" w:rsidP="00BA2CD8" w14:paraId="56A1468B" w14:textId="7454AD2C">
      <w:pPr>
        <w:widowControl/>
        <w:autoSpaceDE/>
        <w:autoSpaceDN/>
        <w:adjustRightInd/>
        <w:spacing w:before="120"/>
        <w:rPr>
          <w:sz w:val="24"/>
        </w:rPr>
      </w:pPr>
      <w:r w:rsidRPr="00FC6684">
        <w:rPr>
          <w:sz w:val="24"/>
        </w:rPr>
        <w:t xml:space="preserve">Respondents will respond to the data collection </w:t>
      </w:r>
      <w:r w:rsidRPr="00FC6684" w:rsidR="007B7679">
        <w:rPr>
          <w:sz w:val="24"/>
        </w:rPr>
        <w:t xml:space="preserve">request </w:t>
      </w:r>
      <w:r w:rsidRPr="00FC6684">
        <w:rPr>
          <w:sz w:val="24"/>
        </w:rPr>
        <w:t>twice a year</w:t>
      </w:r>
      <w:r w:rsidRPr="00FC6684" w:rsidR="008713F9">
        <w:rPr>
          <w:sz w:val="24"/>
        </w:rPr>
        <w:t xml:space="preserve">. </w:t>
      </w:r>
      <w:r w:rsidRPr="00FC6684" w:rsidR="003D7B32">
        <w:rPr>
          <w:sz w:val="24"/>
        </w:rPr>
        <w:t xml:space="preserve">The number of participating facilities and bundles being implemented changes frequently. </w:t>
      </w:r>
      <w:r w:rsidRPr="00FC6684" w:rsidR="00776454">
        <w:rPr>
          <w:sz w:val="24"/>
        </w:rPr>
        <w:t xml:space="preserve">Jurisdictions start </w:t>
      </w:r>
      <w:r w:rsidRPr="00FC6684" w:rsidR="007478CF">
        <w:rPr>
          <w:sz w:val="24"/>
        </w:rPr>
        <w:t>implementing new patient safety bundles</w:t>
      </w:r>
      <w:r w:rsidRPr="00FC6684" w:rsidR="00776454">
        <w:rPr>
          <w:sz w:val="24"/>
        </w:rPr>
        <w:t xml:space="preserve"> on their own schedules</w:t>
      </w:r>
      <w:r w:rsidRPr="00FC6684" w:rsidR="007478CF">
        <w:rPr>
          <w:sz w:val="24"/>
        </w:rPr>
        <w:t xml:space="preserve">. </w:t>
      </w:r>
      <w:r w:rsidRPr="00FC6684" w:rsidR="003D7B32">
        <w:rPr>
          <w:sz w:val="24"/>
        </w:rPr>
        <w:t xml:space="preserve">Collecting participation data </w:t>
      </w:r>
      <w:r w:rsidRPr="00FC6684" w:rsidR="00205E33">
        <w:rPr>
          <w:sz w:val="24"/>
        </w:rPr>
        <w:t xml:space="preserve">less frequently </w:t>
      </w:r>
      <w:r w:rsidRPr="00FC6684" w:rsidR="002B5628">
        <w:rPr>
          <w:sz w:val="24"/>
        </w:rPr>
        <w:t xml:space="preserve">than twice a year </w:t>
      </w:r>
      <w:r w:rsidRPr="00FC6684" w:rsidR="00205E33">
        <w:rPr>
          <w:sz w:val="24"/>
        </w:rPr>
        <w:t xml:space="preserve">would </w:t>
      </w:r>
      <w:r w:rsidRPr="00FC6684" w:rsidR="00193DC5">
        <w:rPr>
          <w:sz w:val="24"/>
        </w:rPr>
        <w:t>result in</w:t>
      </w:r>
      <w:r w:rsidRPr="00FC6684" w:rsidR="007501DA">
        <w:rPr>
          <w:sz w:val="24"/>
        </w:rPr>
        <w:t xml:space="preserve"> insufficient data</w:t>
      </w:r>
      <w:r w:rsidRPr="00FC6684" w:rsidR="00833E0F">
        <w:rPr>
          <w:sz w:val="24"/>
        </w:rPr>
        <w:t xml:space="preserve"> for the program to</w:t>
      </w:r>
      <w:r w:rsidRPr="00FC6684" w:rsidR="00193DC5">
        <w:rPr>
          <w:sz w:val="24"/>
        </w:rPr>
        <w:t xml:space="preserve"> </w:t>
      </w:r>
      <w:r w:rsidRPr="00FC6684" w:rsidR="00061DA3">
        <w:rPr>
          <w:sz w:val="24"/>
        </w:rPr>
        <w:t xml:space="preserve">track changes in facility participation </w:t>
      </w:r>
      <w:r w:rsidRPr="00FC6684" w:rsidR="00193DC5">
        <w:rPr>
          <w:sz w:val="24"/>
        </w:rPr>
        <w:t xml:space="preserve">and </w:t>
      </w:r>
      <w:r w:rsidRPr="00FC6684" w:rsidR="00833E0F">
        <w:rPr>
          <w:sz w:val="24"/>
        </w:rPr>
        <w:t>respond to</w:t>
      </w:r>
      <w:r w:rsidRPr="00FC6684" w:rsidR="00193DC5">
        <w:rPr>
          <w:sz w:val="24"/>
        </w:rPr>
        <w:t xml:space="preserve"> technical assistance </w:t>
      </w:r>
      <w:r w:rsidRPr="00FC6684" w:rsidR="00833E0F">
        <w:rPr>
          <w:sz w:val="24"/>
        </w:rPr>
        <w:t>needs</w:t>
      </w:r>
      <w:r w:rsidRPr="00FC6684" w:rsidR="00193DC5">
        <w:rPr>
          <w:sz w:val="24"/>
        </w:rPr>
        <w:t xml:space="preserve">. </w:t>
      </w:r>
      <w:r w:rsidRPr="00FC6684" w:rsidR="00061DA3">
        <w:rPr>
          <w:sz w:val="24"/>
        </w:rPr>
        <w:t xml:space="preserve">The frequency of data collection was determined based on </w:t>
      </w:r>
      <w:r w:rsidRPr="00FC6684" w:rsidR="003201CB">
        <w:rPr>
          <w:sz w:val="24"/>
        </w:rPr>
        <w:t xml:space="preserve">consultation with the AIM technical assistance provider regarding how </w:t>
      </w:r>
      <w:r w:rsidRPr="00FC6684" w:rsidR="00EE02B6">
        <w:rPr>
          <w:sz w:val="24"/>
        </w:rPr>
        <w:t>frequently participation numbers change</w:t>
      </w:r>
      <w:r w:rsidRPr="00FC6684" w:rsidR="00C91A1A">
        <w:rPr>
          <w:sz w:val="24"/>
        </w:rPr>
        <w:t xml:space="preserve"> and how often updated data are needed. </w:t>
      </w:r>
      <w:r w:rsidRPr="00FC6684" w:rsidR="007478CF">
        <w:rPr>
          <w:sz w:val="24"/>
        </w:rPr>
        <w:t xml:space="preserve">Technical assistance offerings are </w:t>
      </w:r>
      <w:r w:rsidRPr="00FC6684" w:rsidR="00D80DB4">
        <w:rPr>
          <w:sz w:val="24"/>
        </w:rPr>
        <w:t xml:space="preserve">scaled to the number of </w:t>
      </w:r>
      <w:r w:rsidR="00FC72C3">
        <w:rPr>
          <w:sz w:val="24"/>
        </w:rPr>
        <w:t>State</w:t>
      </w:r>
      <w:r w:rsidRPr="00FC6684" w:rsidR="00D80DB4">
        <w:rPr>
          <w:sz w:val="24"/>
        </w:rPr>
        <w:t>s/jurisdictions and birthing facilities participating in the program</w:t>
      </w:r>
      <w:r w:rsidRPr="00FC6684" w:rsidR="00696325">
        <w:rPr>
          <w:sz w:val="24"/>
        </w:rPr>
        <w:t xml:space="preserve"> and adapted to changes in program participant priorities</w:t>
      </w:r>
      <w:r w:rsidRPr="00FC6684" w:rsidR="00D80DB4">
        <w:rPr>
          <w:sz w:val="24"/>
        </w:rPr>
        <w:t xml:space="preserve">. </w:t>
      </w:r>
      <w:r w:rsidRPr="00FC6684" w:rsidR="00583C2F">
        <w:rPr>
          <w:sz w:val="24"/>
        </w:rPr>
        <w:t>Where possible, questions covering information that does not change often</w:t>
      </w:r>
      <w:r w:rsidRPr="00FC6684" w:rsidR="008713F9">
        <w:rPr>
          <w:sz w:val="24"/>
        </w:rPr>
        <w:t xml:space="preserve"> will be asked annually or every other year to minimize the burden on respondents.</w:t>
      </w:r>
    </w:p>
    <w:p w:rsidR="009B3794" w:rsidRPr="00BA2CD8" w:rsidP="00BA2CD8" w14:paraId="22E2A311" w14:textId="4C7599FC">
      <w:pPr>
        <w:widowControl/>
        <w:autoSpaceDE/>
        <w:autoSpaceDN/>
        <w:adjustRightInd/>
        <w:spacing w:before="120"/>
        <w:rPr>
          <w:rFonts w:ascii="Arial" w:hAnsi="Arial" w:cs="Arial"/>
          <w:color w:val="000000"/>
          <w:sz w:val="24"/>
        </w:rPr>
      </w:pPr>
      <w:r w:rsidRPr="00C45431">
        <w:rPr>
          <w:rFonts w:ascii="Arial" w:hAnsi="Arial" w:cs="Arial"/>
          <w:sz w:val="24"/>
        </w:rPr>
        <w:tab/>
      </w:r>
    </w:p>
    <w:p w:rsidR="009B3794" w:rsidRPr="00FC6684" w:rsidP="00CA3DA6" w14:paraId="22E2A312" w14:textId="0107155A">
      <w:pPr>
        <w:numPr>
          <w:ilvl w:val="0"/>
          <w:numId w:val="2"/>
        </w:numPr>
        <w:tabs>
          <w:tab w:val="num" w:pos="360"/>
        </w:tabs>
        <w:spacing w:before="240"/>
        <w:ind w:left="360"/>
        <w:rPr>
          <w:b/>
          <w:sz w:val="24"/>
        </w:rPr>
      </w:pPr>
      <w:r w:rsidRPr="00FC6684">
        <w:rPr>
          <w:b/>
          <w:sz w:val="24"/>
          <w:u w:val="single"/>
        </w:rPr>
        <w:t>Special Circumstances Relating to the Guidelines of 5 CFR 1320.5</w:t>
      </w:r>
    </w:p>
    <w:p w:rsidR="009B3794" w:rsidRPr="00FC6684" w:rsidP="006B096B" w14:paraId="22E2A31B" w14:textId="3049D5C4">
      <w:pPr>
        <w:widowControl/>
        <w:spacing w:before="120"/>
        <w:rPr>
          <w:bCs/>
          <w:sz w:val="24"/>
        </w:rPr>
      </w:pPr>
      <w:r w:rsidRPr="00FC6684">
        <w:rPr>
          <w:bCs/>
          <w:sz w:val="24"/>
        </w:rPr>
        <w:t>T</w:t>
      </w:r>
      <w:r w:rsidRPr="00FC6684">
        <w:rPr>
          <w:bCs/>
          <w:sz w:val="24"/>
        </w:rPr>
        <w:t>he request fully complies with the regulation.</w:t>
      </w:r>
    </w:p>
    <w:p w:rsidR="003A1A7F" w:rsidRPr="003A1A7F" w:rsidP="003A1A7F" w14:paraId="1B9A7BC6" w14:textId="77777777">
      <w:pPr>
        <w:widowControl/>
        <w:spacing w:before="120"/>
        <w:ind w:left="360"/>
        <w:rPr>
          <w:rFonts w:ascii="Arial" w:hAnsi="Arial" w:cs="Arial"/>
          <w:bCs/>
          <w:sz w:val="24"/>
        </w:rPr>
      </w:pPr>
    </w:p>
    <w:p w:rsidR="009B3794" w:rsidRPr="00FC6684" w:rsidP="00CA3DA6" w14:paraId="22E2A31C" w14:textId="77777777">
      <w:pPr>
        <w:numPr>
          <w:ilvl w:val="0"/>
          <w:numId w:val="2"/>
        </w:numPr>
        <w:tabs>
          <w:tab w:val="num" w:pos="360"/>
        </w:tabs>
        <w:spacing w:before="240"/>
        <w:ind w:left="360"/>
        <w:rPr>
          <w:b/>
          <w:sz w:val="24"/>
        </w:rPr>
      </w:pPr>
      <w:r w:rsidRPr="00FC6684">
        <w:rPr>
          <w:b/>
          <w:iCs/>
          <w:sz w:val="24"/>
          <w:u w:val="single"/>
        </w:rPr>
        <w:t>Comments in Response to the Federal Register</w:t>
      </w:r>
      <w:r w:rsidRPr="00FC6684">
        <w:rPr>
          <w:b/>
          <w:sz w:val="24"/>
          <w:u w:val="single"/>
        </w:rPr>
        <w:t xml:space="preserve"> Notice/Outside Consultation</w:t>
      </w:r>
    </w:p>
    <w:p w:rsidR="00F67C90" w:rsidRPr="00FC6684" w:rsidP="00F67C90" w14:paraId="3D4C53BB" w14:textId="77777777">
      <w:pPr>
        <w:spacing w:before="120"/>
        <w:rPr>
          <w:b/>
          <w:sz w:val="28"/>
          <w:szCs w:val="28"/>
        </w:rPr>
      </w:pPr>
    </w:p>
    <w:p w:rsidR="00F67C90" w:rsidRPr="00FC6684" w:rsidP="00F67C90" w14:paraId="1FCF58A7" w14:textId="21E730EA">
      <w:pPr>
        <w:spacing w:before="120"/>
        <w:rPr>
          <w:b/>
          <w:sz w:val="28"/>
          <w:szCs w:val="28"/>
        </w:rPr>
      </w:pPr>
      <w:r w:rsidRPr="00FC6684">
        <w:rPr>
          <w:b/>
          <w:sz w:val="28"/>
          <w:szCs w:val="28"/>
        </w:rPr>
        <w:t>Section 8A:</w:t>
      </w:r>
    </w:p>
    <w:p w:rsidR="009B3794" w:rsidRPr="00191E90" w:rsidP="00191E90" w14:paraId="22E2A320" w14:textId="2E42AA57">
      <w:pPr>
        <w:spacing w:before="120"/>
        <w:rPr>
          <w:bCs/>
          <w:sz w:val="24"/>
        </w:rPr>
      </w:pPr>
      <w:r w:rsidRPr="00191E90">
        <w:rPr>
          <w:bCs/>
          <w:sz w:val="24"/>
        </w:rPr>
        <w:t xml:space="preserve">A 60-day Federal Register Notice was published in the </w:t>
      </w:r>
      <w:r w:rsidRPr="00191E90">
        <w:rPr>
          <w:bCs/>
          <w:i/>
          <w:iCs/>
          <w:sz w:val="24"/>
        </w:rPr>
        <w:t xml:space="preserve">Federal Register </w:t>
      </w:r>
      <w:r w:rsidRPr="00191E90">
        <w:rPr>
          <w:bCs/>
          <w:sz w:val="24"/>
        </w:rPr>
        <w:t xml:space="preserve">on </w:t>
      </w:r>
      <w:r w:rsidRPr="00191E90" w:rsidR="00451D8E">
        <w:rPr>
          <w:bCs/>
          <w:sz w:val="24"/>
        </w:rPr>
        <w:t>December 7</w:t>
      </w:r>
      <w:r w:rsidRPr="00191E90">
        <w:rPr>
          <w:bCs/>
          <w:sz w:val="24"/>
        </w:rPr>
        <w:t xml:space="preserve">, </w:t>
      </w:r>
      <w:r w:rsidRPr="00191E90" w:rsidR="00191E90">
        <w:rPr>
          <w:bCs/>
          <w:sz w:val="24"/>
        </w:rPr>
        <w:t>2023</w:t>
      </w:r>
      <w:r w:rsidRPr="00191E90">
        <w:rPr>
          <w:bCs/>
          <w:sz w:val="24"/>
        </w:rPr>
        <w:t xml:space="preserve">, vol. </w:t>
      </w:r>
      <w:r w:rsidRPr="00191E90" w:rsidR="00451D8E">
        <w:rPr>
          <w:bCs/>
          <w:sz w:val="24"/>
        </w:rPr>
        <w:t>88</w:t>
      </w:r>
      <w:r w:rsidRPr="00191E90">
        <w:rPr>
          <w:bCs/>
          <w:sz w:val="24"/>
        </w:rPr>
        <w:t>, No.</w:t>
      </w:r>
      <w:r w:rsidRPr="00191E90" w:rsidR="00CE5AA9">
        <w:rPr>
          <w:bCs/>
          <w:sz w:val="24"/>
        </w:rPr>
        <w:t xml:space="preserve"> </w:t>
      </w:r>
      <w:r w:rsidRPr="00191E90" w:rsidR="00451D8E">
        <w:rPr>
          <w:bCs/>
          <w:sz w:val="24"/>
        </w:rPr>
        <w:t>234</w:t>
      </w:r>
      <w:r w:rsidRPr="00191E90">
        <w:rPr>
          <w:bCs/>
          <w:sz w:val="24"/>
        </w:rPr>
        <w:t xml:space="preserve">; pp. </w:t>
      </w:r>
      <w:r w:rsidRPr="00191E90" w:rsidR="00451D8E">
        <w:rPr>
          <w:bCs/>
          <w:sz w:val="24"/>
        </w:rPr>
        <w:t>85298</w:t>
      </w:r>
      <w:r w:rsidRPr="00191E90" w:rsidR="00191E90">
        <w:rPr>
          <w:bCs/>
          <w:sz w:val="24"/>
        </w:rPr>
        <w:t xml:space="preserve"> (</w:t>
      </w:r>
      <w:hyperlink r:id="rId13" w:history="1">
        <w:r w:rsidRPr="00191E90" w:rsidR="00191E90">
          <w:rPr>
            <w:rStyle w:val="Hyperlink"/>
            <w:sz w:val="24"/>
          </w:rPr>
          <w:t>88 FR 85298</w:t>
        </w:r>
      </w:hyperlink>
      <w:r w:rsidRPr="00191E90" w:rsidR="00191E90">
        <w:rPr>
          <w:sz w:val="24"/>
        </w:rPr>
        <w:t>)</w:t>
      </w:r>
      <w:r w:rsidRPr="00191E90" w:rsidR="00FC72C3">
        <w:rPr>
          <w:bCs/>
          <w:sz w:val="24"/>
        </w:rPr>
        <w:t xml:space="preserve">. </w:t>
      </w:r>
      <w:r w:rsidRPr="00191E90">
        <w:rPr>
          <w:bCs/>
          <w:sz w:val="24"/>
        </w:rPr>
        <w:t>There were public comments.</w:t>
      </w:r>
      <w:r w:rsidRPr="00191E90" w:rsidR="00FC72C3">
        <w:rPr>
          <w:bCs/>
          <w:sz w:val="24"/>
        </w:rPr>
        <w:t xml:space="preserve"> </w:t>
      </w:r>
      <w:r w:rsidRPr="00191E90" w:rsidR="00744772">
        <w:rPr>
          <w:sz w:val="24"/>
        </w:rPr>
        <w:t xml:space="preserve">Two comments suggested changes that were incorporated into the instrument, one comment was a request for materials, and one comment was out-of-scope and no changes to the proposed data collection were made. </w:t>
      </w:r>
      <w:r w:rsidRPr="00191E90" w:rsidR="00FC72C3">
        <w:rPr>
          <w:bCs/>
          <w:sz w:val="24"/>
        </w:rPr>
        <w:t xml:space="preserve">A 30-day Federal Register Notice was published in the </w:t>
      </w:r>
      <w:r w:rsidRPr="00191E90" w:rsidR="00FC72C3">
        <w:rPr>
          <w:bCs/>
          <w:i/>
          <w:iCs/>
          <w:sz w:val="24"/>
        </w:rPr>
        <w:t xml:space="preserve">Federal Register </w:t>
      </w:r>
      <w:r w:rsidRPr="00191E90" w:rsidR="00FC72C3">
        <w:rPr>
          <w:bCs/>
          <w:sz w:val="24"/>
        </w:rPr>
        <w:t xml:space="preserve">on </w:t>
      </w:r>
      <w:r w:rsidRPr="00191E90" w:rsidR="00191E90">
        <w:rPr>
          <w:bCs/>
          <w:sz w:val="24"/>
        </w:rPr>
        <w:t>April 3</w:t>
      </w:r>
      <w:r w:rsidRPr="00191E90" w:rsidR="00FC72C3">
        <w:rPr>
          <w:bCs/>
          <w:sz w:val="24"/>
        </w:rPr>
        <w:t>, 2024, vol. 89, No. 65; pp. 23023-24</w:t>
      </w:r>
      <w:r w:rsidRPr="00191E90" w:rsidR="00191E90">
        <w:rPr>
          <w:bCs/>
          <w:sz w:val="24"/>
        </w:rPr>
        <w:t xml:space="preserve"> (</w:t>
      </w:r>
      <w:r w:rsidRPr="00191E90" w:rsidR="00191E90">
        <w:rPr>
          <w:sz w:val="24"/>
        </w:rPr>
        <w:t>89 FR 23024)</w:t>
      </w:r>
      <w:r w:rsidRPr="00191E90" w:rsidR="00FC72C3">
        <w:rPr>
          <w:bCs/>
          <w:sz w:val="24"/>
        </w:rPr>
        <w:t xml:space="preserve">. </w:t>
      </w:r>
    </w:p>
    <w:p w:rsidR="00F67C90" w:rsidRPr="00FC6684" w:rsidP="00CA3DA6" w14:paraId="6E9FCAA3" w14:textId="77777777">
      <w:pPr>
        <w:spacing w:before="120"/>
        <w:rPr>
          <w:b/>
          <w:sz w:val="28"/>
          <w:szCs w:val="28"/>
        </w:rPr>
      </w:pPr>
    </w:p>
    <w:p w:rsidR="00DE3A45" w:rsidRPr="00FC6684" w:rsidP="00CA3DA6" w14:paraId="22E2A321" w14:textId="3434F4CA">
      <w:pPr>
        <w:spacing w:before="120"/>
        <w:rPr>
          <w:b/>
          <w:sz w:val="28"/>
          <w:szCs w:val="28"/>
        </w:rPr>
      </w:pPr>
      <w:r w:rsidRPr="00FC6684">
        <w:rPr>
          <w:b/>
          <w:sz w:val="28"/>
          <w:szCs w:val="28"/>
        </w:rPr>
        <w:t>Section 8B:</w:t>
      </w:r>
    </w:p>
    <w:p w:rsidR="00FA4167" w:rsidRPr="00FC6684" w:rsidP="00FA4167" w14:paraId="12D1B14E" w14:textId="3A8BDCEB">
      <w:pPr>
        <w:spacing w:before="120"/>
        <w:rPr>
          <w:sz w:val="24"/>
        </w:rPr>
      </w:pPr>
      <w:r w:rsidRPr="00FC6684">
        <w:rPr>
          <w:sz w:val="24"/>
        </w:rPr>
        <w:t xml:space="preserve">HRSA consulted with </w:t>
      </w:r>
      <w:r w:rsidRPr="00FC6684" w:rsidR="00D247F6">
        <w:rPr>
          <w:sz w:val="24"/>
        </w:rPr>
        <w:t>I</w:t>
      </w:r>
      <w:r w:rsidRPr="00FC6684" w:rsidR="00170D34">
        <w:rPr>
          <w:sz w:val="24"/>
        </w:rPr>
        <w:t>sabel</w:t>
      </w:r>
      <w:r w:rsidRPr="00FC6684" w:rsidR="00D247F6">
        <w:rPr>
          <w:sz w:val="24"/>
        </w:rPr>
        <w:t xml:space="preserve"> Taylor </w:t>
      </w:r>
      <w:r w:rsidRPr="00FC6684" w:rsidR="00CC6993">
        <w:rPr>
          <w:sz w:val="24"/>
        </w:rPr>
        <w:t>(AIM Senior Data Program Manager</w:t>
      </w:r>
      <w:r w:rsidRPr="00FC6684" w:rsidR="00FF4D99">
        <w:rPr>
          <w:sz w:val="24"/>
        </w:rPr>
        <w:t xml:space="preserve">, </w:t>
      </w:r>
      <w:hyperlink r:id="rId14" w:history="1">
        <w:r w:rsidRPr="00FC6684" w:rsidR="002964D2">
          <w:rPr>
            <w:rStyle w:val="Hyperlink"/>
            <w:color w:val="auto"/>
            <w:sz w:val="24"/>
          </w:rPr>
          <w:t>itaylor@acog.org</w:t>
        </w:r>
      </w:hyperlink>
      <w:r w:rsidRPr="00FC6684" w:rsidR="002964D2">
        <w:rPr>
          <w:sz w:val="24"/>
        </w:rPr>
        <w:t>,</w:t>
      </w:r>
      <w:r w:rsidRPr="00FC6684" w:rsidR="00F0280B">
        <w:rPr>
          <w:sz w:val="24"/>
        </w:rPr>
        <w:t xml:space="preserve"> </w:t>
      </w:r>
      <w:r w:rsidRPr="00FC6684" w:rsidR="00CC6993">
        <w:rPr>
          <w:sz w:val="24"/>
        </w:rPr>
        <w:t xml:space="preserve">) </w:t>
      </w:r>
      <w:r w:rsidRPr="00FC6684" w:rsidR="00D247F6">
        <w:rPr>
          <w:sz w:val="24"/>
        </w:rPr>
        <w:t xml:space="preserve">and Christie Allen </w:t>
      </w:r>
      <w:r w:rsidRPr="00FC6684" w:rsidR="009D39F2">
        <w:rPr>
          <w:sz w:val="24"/>
        </w:rPr>
        <w:t>(</w:t>
      </w:r>
      <w:r w:rsidRPr="00FC6684" w:rsidR="002459CF">
        <w:rPr>
          <w:sz w:val="24"/>
        </w:rPr>
        <w:t>Senior Director, Quality Improvement and Programs</w:t>
      </w:r>
      <w:r w:rsidRPr="00FC6684" w:rsidR="00897C61">
        <w:rPr>
          <w:sz w:val="24"/>
        </w:rPr>
        <w:t xml:space="preserve">, </w:t>
      </w:r>
      <w:hyperlink r:id="rId15" w:history="1">
        <w:r w:rsidRPr="00FC6684" w:rsidR="00897C61">
          <w:rPr>
            <w:rStyle w:val="Hyperlink"/>
            <w:color w:val="auto"/>
            <w:sz w:val="24"/>
          </w:rPr>
          <w:t>callen@acog.org</w:t>
        </w:r>
      </w:hyperlink>
      <w:r w:rsidRPr="00FC6684" w:rsidR="00897C61">
        <w:rPr>
          <w:sz w:val="24"/>
        </w:rPr>
        <w:t xml:space="preserve">,  </w:t>
      </w:r>
      <w:r w:rsidRPr="00FC6684" w:rsidR="00CC6993">
        <w:rPr>
          <w:sz w:val="24"/>
        </w:rPr>
        <w:t xml:space="preserve">with </w:t>
      </w:r>
      <w:r w:rsidRPr="00FC6684">
        <w:rPr>
          <w:sz w:val="24"/>
        </w:rPr>
        <w:t>the American College of Obstetricians and Gynecologists</w:t>
      </w:r>
      <w:r w:rsidRPr="00FC6684" w:rsidR="00926776">
        <w:rPr>
          <w:sz w:val="24"/>
        </w:rPr>
        <w:t xml:space="preserve">, </w:t>
      </w:r>
      <w:r w:rsidRPr="00FC6684">
        <w:rPr>
          <w:sz w:val="24"/>
        </w:rPr>
        <w:t>the</w:t>
      </w:r>
      <w:r w:rsidRPr="00FC6684" w:rsidR="00D62937">
        <w:rPr>
          <w:sz w:val="24"/>
        </w:rPr>
        <w:t xml:space="preserve"> AIM technical assistance provider</w:t>
      </w:r>
      <w:r w:rsidRPr="00FC6684" w:rsidR="00926776">
        <w:rPr>
          <w:sz w:val="24"/>
        </w:rPr>
        <w:t>,</w:t>
      </w:r>
      <w:r w:rsidRPr="00FC6684" w:rsidR="00D62937">
        <w:rPr>
          <w:sz w:val="24"/>
        </w:rPr>
        <w:t xml:space="preserve"> </w:t>
      </w:r>
      <w:r w:rsidRPr="00FC6684" w:rsidR="00F4637B">
        <w:rPr>
          <w:sz w:val="24"/>
        </w:rPr>
        <w:t xml:space="preserve">in 2023 </w:t>
      </w:r>
      <w:r w:rsidRPr="00FC6684" w:rsidR="00D62937">
        <w:rPr>
          <w:sz w:val="24"/>
        </w:rPr>
        <w:t>regarding th</w:t>
      </w:r>
      <w:r w:rsidRPr="00FC6684" w:rsidR="00B32563">
        <w:rPr>
          <w:sz w:val="24"/>
        </w:rPr>
        <w:t xml:space="preserve">e </w:t>
      </w:r>
      <w:r w:rsidRPr="00FC6684" w:rsidR="0054606B">
        <w:rPr>
          <w:sz w:val="24"/>
        </w:rPr>
        <w:t xml:space="preserve">content of the report, </w:t>
      </w:r>
      <w:r w:rsidRPr="00FC6684" w:rsidR="00B32563">
        <w:rPr>
          <w:sz w:val="24"/>
        </w:rPr>
        <w:t>time involved</w:t>
      </w:r>
      <w:r w:rsidRPr="00FC6684" w:rsidR="006943FD">
        <w:rPr>
          <w:sz w:val="24"/>
        </w:rPr>
        <w:t xml:space="preserve"> in completing the report</w:t>
      </w:r>
      <w:r w:rsidRPr="00FC6684" w:rsidR="00B32563">
        <w:rPr>
          <w:sz w:val="24"/>
        </w:rPr>
        <w:t xml:space="preserve">, availability of data, </w:t>
      </w:r>
      <w:r w:rsidRPr="00FC6684" w:rsidR="0054606B">
        <w:rPr>
          <w:sz w:val="24"/>
        </w:rPr>
        <w:t xml:space="preserve">and </w:t>
      </w:r>
      <w:r w:rsidRPr="00FC6684" w:rsidR="00B32563">
        <w:rPr>
          <w:sz w:val="24"/>
        </w:rPr>
        <w:t>frequency of data collection</w:t>
      </w:r>
      <w:r w:rsidRPr="00FC6684" w:rsidR="0054606B">
        <w:rPr>
          <w:sz w:val="24"/>
        </w:rPr>
        <w:t>.</w:t>
      </w:r>
    </w:p>
    <w:p w:rsidR="009B3794" w:rsidRPr="002B4FB4" w:rsidP="008F40D2" w14:paraId="22E2A329" w14:textId="10F2247D">
      <w:pPr>
        <w:spacing w:before="120"/>
        <w:rPr>
          <w:rFonts w:ascii="Arial" w:hAnsi="Arial" w:cs="Arial"/>
          <w:sz w:val="24"/>
        </w:rPr>
      </w:pPr>
    </w:p>
    <w:p w:rsidR="009B3794" w:rsidRPr="00FC6684" w:rsidP="00CA3DA6" w14:paraId="22E2A32A" w14:textId="77777777">
      <w:pPr>
        <w:numPr>
          <w:ilvl w:val="0"/>
          <w:numId w:val="2"/>
        </w:numPr>
        <w:tabs>
          <w:tab w:val="num" w:pos="360"/>
        </w:tabs>
        <w:spacing w:before="240"/>
        <w:ind w:left="360"/>
        <w:rPr>
          <w:b/>
          <w:sz w:val="24"/>
        </w:rPr>
      </w:pPr>
      <w:r w:rsidRPr="00FC6684">
        <w:rPr>
          <w:b/>
          <w:sz w:val="24"/>
          <w:u w:val="single"/>
        </w:rPr>
        <w:t>Explanation of any Payment/Gift to Respondents</w:t>
      </w:r>
    </w:p>
    <w:p w:rsidR="00935E77" w:rsidRPr="00FC6684" w:rsidP="005903A3" w14:paraId="22E2A32D" w14:textId="24E7E979">
      <w:pPr>
        <w:spacing w:before="120"/>
        <w:rPr>
          <w:bCs/>
          <w:sz w:val="24"/>
        </w:rPr>
      </w:pPr>
      <w:r w:rsidRPr="00FC6684">
        <w:rPr>
          <w:bCs/>
          <w:sz w:val="24"/>
        </w:rPr>
        <w:t xml:space="preserve">Respondents will not receive </w:t>
      </w:r>
      <w:r w:rsidRPr="00FC6684" w:rsidR="008B04CA">
        <w:rPr>
          <w:bCs/>
          <w:sz w:val="24"/>
        </w:rPr>
        <w:t xml:space="preserve">any </w:t>
      </w:r>
      <w:r w:rsidRPr="00FC6684">
        <w:rPr>
          <w:bCs/>
          <w:sz w:val="24"/>
        </w:rPr>
        <w:t>payment</w:t>
      </w:r>
      <w:r w:rsidRPr="00FC6684" w:rsidR="008B04CA">
        <w:rPr>
          <w:bCs/>
          <w:sz w:val="24"/>
        </w:rPr>
        <w:t>s</w:t>
      </w:r>
      <w:r w:rsidRPr="00FC6684">
        <w:rPr>
          <w:bCs/>
          <w:sz w:val="24"/>
        </w:rPr>
        <w:t xml:space="preserve"> or gifts.</w:t>
      </w:r>
    </w:p>
    <w:p w:rsidR="005903A3" w:rsidRPr="005903A3" w:rsidP="005903A3" w14:paraId="6FF47BDB" w14:textId="77777777">
      <w:pPr>
        <w:spacing w:before="120"/>
        <w:rPr>
          <w:rFonts w:ascii="Arial" w:hAnsi="Arial" w:cs="Arial"/>
          <w:bCs/>
          <w:sz w:val="24"/>
        </w:rPr>
      </w:pPr>
    </w:p>
    <w:p w:rsidR="009B3794" w:rsidRPr="00FC6684" w:rsidP="00CA3DA6" w14:paraId="22E2A32E" w14:textId="77777777">
      <w:pPr>
        <w:numPr>
          <w:ilvl w:val="0"/>
          <w:numId w:val="2"/>
        </w:numPr>
        <w:tabs>
          <w:tab w:val="num" w:pos="360"/>
        </w:tabs>
        <w:spacing w:before="240"/>
        <w:ind w:left="360"/>
        <w:rPr>
          <w:b/>
          <w:sz w:val="24"/>
        </w:rPr>
      </w:pPr>
      <w:r w:rsidRPr="00FC6684">
        <w:rPr>
          <w:b/>
          <w:sz w:val="24"/>
          <w:u w:val="single"/>
        </w:rPr>
        <w:t>Assurance of Confidentiality Provided to Respondents</w:t>
      </w:r>
    </w:p>
    <w:p w:rsidR="006A08A7" w:rsidRPr="00FC6684" w:rsidP="00CA3DA6" w14:paraId="0CAF3FBD" w14:textId="59999852">
      <w:pPr>
        <w:spacing w:before="120"/>
        <w:rPr>
          <w:sz w:val="24"/>
        </w:rPr>
      </w:pPr>
      <w:r w:rsidRPr="00FC6684">
        <w:rPr>
          <w:sz w:val="24"/>
        </w:rPr>
        <w:t>Data will be kept private to the extent allowed by law.</w:t>
      </w:r>
      <w:r w:rsidRPr="00FC6684" w:rsidR="000D16D7">
        <w:rPr>
          <w:sz w:val="24"/>
        </w:rPr>
        <w:t xml:space="preserve"> Data collected will be grantee-level information and will not include personal identifiers.</w:t>
      </w:r>
    </w:p>
    <w:p w:rsidR="006A08A7" w:rsidP="00CA3DA6" w14:paraId="67633C1C" w14:textId="77777777">
      <w:pPr>
        <w:spacing w:before="120"/>
        <w:rPr>
          <w:rFonts w:ascii="Arial" w:hAnsi="Arial" w:cs="Arial"/>
          <w:sz w:val="24"/>
        </w:rPr>
      </w:pPr>
    </w:p>
    <w:p w:rsidR="009B3794" w:rsidRPr="00FC6684" w:rsidP="00CA3DA6" w14:paraId="22E2A336" w14:textId="77777777">
      <w:pPr>
        <w:numPr>
          <w:ilvl w:val="0"/>
          <w:numId w:val="2"/>
        </w:numPr>
        <w:tabs>
          <w:tab w:val="num" w:pos="360"/>
        </w:tabs>
        <w:spacing w:before="240"/>
        <w:ind w:left="360"/>
        <w:rPr>
          <w:b/>
          <w:sz w:val="24"/>
        </w:rPr>
      </w:pPr>
      <w:r w:rsidRPr="00FC6684">
        <w:rPr>
          <w:b/>
          <w:sz w:val="24"/>
          <w:u w:val="single"/>
        </w:rPr>
        <w:t>Justification for Sensitive Questions</w:t>
      </w:r>
    </w:p>
    <w:p w:rsidR="00987643" w:rsidRPr="00FC6684" w:rsidP="00987643" w14:paraId="093F4A01" w14:textId="4C68E0AA">
      <w:pPr>
        <w:widowControl/>
        <w:spacing w:before="120"/>
        <w:rPr>
          <w:sz w:val="24"/>
        </w:rPr>
      </w:pPr>
      <w:r w:rsidRPr="00FC6684">
        <w:rPr>
          <w:sz w:val="24"/>
        </w:rPr>
        <w:t xml:space="preserve">The </w:t>
      </w:r>
      <w:r w:rsidRPr="00FC6684" w:rsidR="00687C50">
        <w:rPr>
          <w:sz w:val="24"/>
        </w:rPr>
        <w:t>Biannual Report</w:t>
      </w:r>
      <w:r w:rsidRPr="00FC6684">
        <w:rPr>
          <w:sz w:val="24"/>
        </w:rPr>
        <w:t xml:space="preserve"> does not include sensitive questions.</w:t>
      </w:r>
      <w:r w:rsidRPr="00FC6684" w:rsidR="00942FC5">
        <w:rPr>
          <w:sz w:val="24"/>
        </w:rPr>
        <w:t xml:space="preserve"> No personally identifiable information will be collected from respondents. Individual-level data will be not obtained from the grantees.</w:t>
      </w:r>
    </w:p>
    <w:p w:rsidR="00987643" w:rsidRPr="00FC6684" w:rsidP="00987643" w14:paraId="7BFA697D" w14:textId="77777777">
      <w:pPr>
        <w:widowControl/>
        <w:spacing w:before="120"/>
        <w:rPr>
          <w:sz w:val="24"/>
        </w:rPr>
      </w:pPr>
    </w:p>
    <w:p w:rsidR="009B3794" w:rsidRPr="00FC6684" w:rsidP="00CA3DA6" w14:paraId="22E2A33C" w14:textId="77777777">
      <w:pPr>
        <w:numPr>
          <w:ilvl w:val="0"/>
          <w:numId w:val="2"/>
        </w:numPr>
        <w:tabs>
          <w:tab w:val="num" w:pos="360"/>
        </w:tabs>
        <w:spacing w:before="240"/>
        <w:ind w:left="360"/>
        <w:rPr>
          <w:sz w:val="24"/>
        </w:rPr>
      </w:pPr>
      <w:r w:rsidRPr="00FC6684">
        <w:rPr>
          <w:b/>
          <w:sz w:val="24"/>
          <w:u w:val="single"/>
        </w:rPr>
        <w:t xml:space="preserve">Estimates of Annualized Hour and Cost Burden  </w:t>
      </w:r>
    </w:p>
    <w:p w:rsidR="00712E31" w:rsidRPr="00FC6684" w:rsidP="00CA3DA6" w14:paraId="7E046EC3" w14:textId="17A0A4C9">
      <w:pPr>
        <w:spacing w:before="120"/>
        <w:rPr>
          <w:sz w:val="24"/>
        </w:rPr>
      </w:pPr>
      <w:r w:rsidRPr="00FC6684">
        <w:rPr>
          <w:sz w:val="24"/>
        </w:rPr>
        <w:t xml:space="preserve">The respondents will be representatives of </w:t>
      </w:r>
      <w:r w:rsidR="00FC72C3">
        <w:rPr>
          <w:sz w:val="24"/>
        </w:rPr>
        <w:t>State</w:t>
      </w:r>
      <w:r w:rsidRPr="00FC6684" w:rsidR="004E26B3">
        <w:rPr>
          <w:sz w:val="24"/>
        </w:rPr>
        <w:t>-</w:t>
      </w:r>
      <w:r w:rsidRPr="00FC6684" w:rsidR="00F3479E">
        <w:rPr>
          <w:sz w:val="24"/>
        </w:rPr>
        <w:t xml:space="preserve"> and jurisdiction</w:t>
      </w:r>
      <w:r w:rsidRPr="00FC6684" w:rsidR="004E26B3">
        <w:rPr>
          <w:sz w:val="24"/>
        </w:rPr>
        <w:t>-based</w:t>
      </w:r>
      <w:r w:rsidRPr="00FC6684" w:rsidR="00F3479E">
        <w:rPr>
          <w:sz w:val="24"/>
        </w:rPr>
        <w:t xml:space="preserve"> AIM implementation teams. They will include the 28 </w:t>
      </w:r>
      <w:r w:rsidR="00FC72C3">
        <w:rPr>
          <w:sz w:val="24"/>
        </w:rPr>
        <w:t>State</w:t>
      </w:r>
      <w:r w:rsidRPr="00FC6684" w:rsidR="00F3479E">
        <w:rPr>
          <w:sz w:val="24"/>
        </w:rPr>
        <w:t xml:space="preserve">s and jurisdictions receiving AIM Capacity grants, as well as </w:t>
      </w:r>
      <w:r w:rsidR="00FC72C3">
        <w:rPr>
          <w:sz w:val="24"/>
        </w:rPr>
        <w:t>State</w:t>
      </w:r>
      <w:r w:rsidRPr="00FC6684" w:rsidR="004E26B3">
        <w:rPr>
          <w:sz w:val="24"/>
        </w:rPr>
        <w:t xml:space="preserve">s and jurisdictions implementing AIM that </w:t>
      </w:r>
      <w:r w:rsidRPr="00FC6684" w:rsidR="00870C9E">
        <w:rPr>
          <w:sz w:val="24"/>
        </w:rPr>
        <w:t>do not have</w:t>
      </w:r>
      <w:r w:rsidRPr="00FC6684" w:rsidR="004E26B3">
        <w:rPr>
          <w:sz w:val="24"/>
        </w:rPr>
        <w:t xml:space="preserve"> </w:t>
      </w:r>
      <w:r w:rsidRPr="00FC6684" w:rsidR="00870C9E">
        <w:rPr>
          <w:sz w:val="24"/>
        </w:rPr>
        <w:t xml:space="preserve">AIM Capacity grants. </w:t>
      </w:r>
      <w:r w:rsidRPr="00FC6684" w:rsidR="00FE2E3E">
        <w:rPr>
          <w:sz w:val="24"/>
        </w:rPr>
        <w:t xml:space="preserve">A total of 52 respondents are expected. </w:t>
      </w:r>
      <w:r w:rsidRPr="00FC6684" w:rsidR="0011115E">
        <w:rPr>
          <w:sz w:val="24"/>
        </w:rPr>
        <w:t>These include the</w:t>
      </w:r>
      <w:r w:rsidRPr="00FC6684" w:rsidR="00870C9E">
        <w:rPr>
          <w:sz w:val="24"/>
        </w:rPr>
        <w:t xml:space="preserve"> </w:t>
      </w:r>
      <w:r w:rsidRPr="00FC6684" w:rsidR="00D32DFE">
        <w:rPr>
          <w:sz w:val="24"/>
        </w:rPr>
        <w:t>50</w:t>
      </w:r>
      <w:r w:rsidRPr="00FC6684" w:rsidR="002277D8">
        <w:rPr>
          <w:sz w:val="24"/>
        </w:rPr>
        <w:t xml:space="preserve"> </w:t>
      </w:r>
      <w:r w:rsidR="00FC72C3">
        <w:rPr>
          <w:sz w:val="24"/>
        </w:rPr>
        <w:t>State</w:t>
      </w:r>
      <w:r w:rsidRPr="00FC6684" w:rsidR="002277D8">
        <w:rPr>
          <w:sz w:val="24"/>
        </w:rPr>
        <w:t xml:space="preserve">s and </w:t>
      </w:r>
      <w:r w:rsidRPr="00FC6684" w:rsidR="0011115E">
        <w:rPr>
          <w:sz w:val="24"/>
        </w:rPr>
        <w:t xml:space="preserve">jurisdictions currently </w:t>
      </w:r>
      <w:r w:rsidRPr="00FC6684" w:rsidR="002277D8">
        <w:rPr>
          <w:sz w:val="24"/>
        </w:rPr>
        <w:t>implement</w:t>
      </w:r>
      <w:r w:rsidRPr="00FC6684" w:rsidR="0011115E">
        <w:rPr>
          <w:sz w:val="24"/>
        </w:rPr>
        <w:t>ing</w:t>
      </w:r>
      <w:r w:rsidRPr="00FC6684" w:rsidR="002277D8">
        <w:rPr>
          <w:sz w:val="24"/>
        </w:rPr>
        <w:t xml:space="preserve"> AIM</w:t>
      </w:r>
      <w:r w:rsidRPr="00FC6684" w:rsidR="0011115E">
        <w:rPr>
          <w:sz w:val="24"/>
        </w:rPr>
        <w:t xml:space="preserve"> as well as t</w:t>
      </w:r>
      <w:r w:rsidRPr="00FC6684" w:rsidR="00287804">
        <w:rPr>
          <w:sz w:val="24"/>
        </w:rPr>
        <w:t xml:space="preserve">wo additional </w:t>
      </w:r>
      <w:r w:rsidRPr="00FC6684" w:rsidR="00F11325">
        <w:rPr>
          <w:sz w:val="24"/>
        </w:rPr>
        <w:t xml:space="preserve">jurisdictions </w:t>
      </w:r>
      <w:r w:rsidRPr="00FC6684" w:rsidR="0011115E">
        <w:rPr>
          <w:sz w:val="24"/>
        </w:rPr>
        <w:t xml:space="preserve">that </w:t>
      </w:r>
      <w:r w:rsidRPr="00FC6684" w:rsidR="00F11325">
        <w:rPr>
          <w:sz w:val="24"/>
        </w:rPr>
        <w:t>have expressed interest in beginning</w:t>
      </w:r>
      <w:r w:rsidRPr="00FC6684" w:rsidR="004C4C28">
        <w:rPr>
          <w:sz w:val="24"/>
        </w:rPr>
        <w:t xml:space="preserve"> to implement</w:t>
      </w:r>
      <w:r w:rsidRPr="00FC6684" w:rsidR="00F11325">
        <w:rPr>
          <w:sz w:val="24"/>
        </w:rPr>
        <w:t xml:space="preserve"> AIM </w:t>
      </w:r>
      <w:r w:rsidRPr="00FC6684" w:rsidR="004C4C28">
        <w:rPr>
          <w:sz w:val="24"/>
        </w:rPr>
        <w:t>patient safety bundles</w:t>
      </w:r>
      <w:r w:rsidRPr="00FC6684" w:rsidR="00F11325">
        <w:rPr>
          <w:sz w:val="24"/>
        </w:rPr>
        <w:t xml:space="preserve"> </w:t>
      </w:r>
      <w:r w:rsidRPr="00FC6684" w:rsidR="0011115E">
        <w:rPr>
          <w:sz w:val="24"/>
        </w:rPr>
        <w:t>in the near future</w:t>
      </w:r>
      <w:r w:rsidRPr="00FC6684" w:rsidR="0011115E">
        <w:rPr>
          <w:sz w:val="24"/>
        </w:rPr>
        <w:t>.</w:t>
      </w:r>
    </w:p>
    <w:p w:rsidR="00671414" w:rsidRPr="00FC6684" w:rsidP="00CA3DA6" w14:paraId="5D960451" w14:textId="77777777">
      <w:pPr>
        <w:spacing w:before="120"/>
        <w:rPr>
          <w:sz w:val="24"/>
        </w:rPr>
      </w:pPr>
    </w:p>
    <w:p w:rsidR="009B3794" w:rsidRPr="00FC6684" w:rsidP="00CA3DA6" w14:paraId="22E2A33F" w14:textId="22A70275">
      <w:pPr>
        <w:widowControl/>
        <w:tabs>
          <w:tab w:val="num" w:pos="720"/>
        </w:tabs>
        <w:spacing w:before="120"/>
        <w:rPr>
          <w:b/>
          <w:sz w:val="24"/>
          <w:u w:val="single"/>
        </w:rPr>
      </w:pPr>
      <w:r w:rsidRPr="00FC6684">
        <w:rPr>
          <w:b/>
          <w:sz w:val="28"/>
          <w:szCs w:val="28"/>
          <w:u w:val="single"/>
        </w:rPr>
        <w:t>12A.</w:t>
      </w:r>
      <w:r w:rsidRPr="00FC6684">
        <w:rPr>
          <w:sz w:val="24"/>
          <w:u w:val="single"/>
        </w:rPr>
        <w:t xml:space="preserve"> </w:t>
      </w:r>
      <w:r w:rsidRPr="00FC6684">
        <w:rPr>
          <w:b/>
          <w:sz w:val="24"/>
          <w:u w:val="single"/>
        </w:rPr>
        <w:t>Estimated Annualized Burden Hours</w:t>
      </w:r>
    </w:p>
    <w:p w:rsidR="008D5727" w:rsidRPr="00FC6684" w:rsidP="00CA3DA6" w14:paraId="2F2711C6" w14:textId="08DE5EEE">
      <w:pPr>
        <w:widowControl/>
        <w:tabs>
          <w:tab w:val="num" w:pos="720"/>
        </w:tabs>
        <w:spacing w:before="120"/>
        <w:rPr>
          <w:bCs/>
          <w:sz w:val="24"/>
        </w:rPr>
      </w:pPr>
      <w:r w:rsidRPr="00FC6684">
        <w:rPr>
          <w:bCs/>
          <w:sz w:val="24"/>
        </w:rPr>
        <w:t>Hour burden e</w:t>
      </w:r>
      <w:r w:rsidRPr="00FC6684">
        <w:rPr>
          <w:bCs/>
          <w:sz w:val="24"/>
        </w:rPr>
        <w:t xml:space="preserve">stimates were </w:t>
      </w:r>
      <w:r w:rsidRPr="00FC6684">
        <w:rPr>
          <w:bCs/>
          <w:sz w:val="24"/>
        </w:rPr>
        <w:t xml:space="preserve">developed </w:t>
      </w:r>
      <w:r w:rsidRPr="00FC6684" w:rsidR="00FB209A">
        <w:rPr>
          <w:bCs/>
          <w:sz w:val="24"/>
        </w:rPr>
        <w:t>in</w:t>
      </w:r>
      <w:r w:rsidRPr="00FC6684">
        <w:rPr>
          <w:bCs/>
          <w:sz w:val="24"/>
        </w:rPr>
        <w:t xml:space="preserve"> </w:t>
      </w:r>
      <w:r w:rsidRPr="00FC6684" w:rsidR="00FB209A">
        <w:rPr>
          <w:bCs/>
          <w:sz w:val="24"/>
        </w:rPr>
        <w:t xml:space="preserve">consultation with the previous AIM technical assistance </w:t>
      </w:r>
      <w:r w:rsidR="00F73B60">
        <w:rPr>
          <w:bCs/>
          <w:sz w:val="24"/>
        </w:rPr>
        <w:t xml:space="preserve">(TA) </w:t>
      </w:r>
      <w:r w:rsidRPr="00FC6684" w:rsidR="00FB209A">
        <w:rPr>
          <w:bCs/>
          <w:sz w:val="24"/>
        </w:rPr>
        <w:t>provider</w:t>
      </w:r>
      <w:r w:rsidRPr="00FC6684" w:rsidR="00A351BA">
        <w:rPr>
          <w:bCs/>
          <w:sz w:val="24"/>
        </w:rPr>
        <w:t xml:space="preserve"> based on </w:t>
      </w:r>
      <w:r w:rsidRPr="00FC6684" w:rsidR="00DD797A">
        <w:rPr>
          <w:bCs/>
          <w:sz w:val="24"/>
        </w:rPr>
        <w:t>reported estimates</w:t>
      </w:r>
      <w:r w:rsidRPr="00FC6684" w:rsidR="00352367">
        <w:rPr>
          <w:bCs/>
          <w:sz w:val="24"/>
        </w:rPr>
        <w:t xml:space="preserve"> from potential respondents.</w:t>
      </w:r>
      <w:r w:rsidR="00AE79E3">
        <w:rPr>
          <w:bCs/>
          <w:sz w:val="24"/>
        </w:rPr>
        <w:t xml:space="preserve"> The number</w:t>
      </w:r>
      <w:r w:rsidR="00781E25">
        <w:rPr>
          <w:bCs/>
          <w:sz w:val="24"/>
        </w:rPr>
        <w:t xml:space="preserve"> of respondents is based on the number of </w:t>
      </w:r>
      <w:r w:rsidR="00FC72C3">
        <w:rPr>
          <w:bCs/>
          <w:sz w:val="24"/>
        </w:rPr>
        <w:t>State</w:t>
      </w:r>
      <w:r w:rsidR="00781E25">
        <w:rPr>
          <w:bCs/>
          <w:sz w:val="24"/>
        </w:rPr>
        <w:t xml:space="preserve"> and jurisdiction teams currently implementing </w:t>
      </w:r>
      <w:r w:rsidR="000719B3">
        <w:rPr>
          <w:bCs/>
          <w:sz w:val="24"/>
        </w:rPr>
        <w:t xml:space="preserve">or about to start implementing </w:t>
      </w:r>
      <w:r w:rsidR="00781E25">
        <w:rPr>
          <w:bCs/>
          <w:sz w:val="24"/>
        </w:rPr>
        <w:t xml:space="preserve">AIM </w:t>
      </w:r>
      <w:r w:rsidR="000719B3">
        <w:rPr>
          <w:bCs/>
          <w:sz w:val="24"/>
        </w:rPr>
        <w:t xml:space="preserve">patient safety </w:t>
      </w:r>
      <w:r w:rsidR="00781E25">
        <w:rPr>
          <w:bCs/>
          <w:sz w:val="24"/>
        </w:rPr>
        <w:t>bundle</w:t>
      </w:r>
      <w:r w:rsidR="000719B3">
        <w:rPr>
          <w:bCs/>
          <w:sz w:val="24"/>
        </w:rPr>
        <w:t>s</w:t>
      </w:r>
      <w:r w:rsidR="00165582">
        <w:rPr>
          <w:bCs/>
          <w:sz w:val="24"/>
        </w:rPr>
        <w:t xml:space="preserve">, </w:t>
      </w:r>
      <w:r w:rsidR="00B9251F">
        <w:rPr>
          <w:bCs/>
          <w:sz w:val="24"/>
        </w:rPr>
        <w:t>as reported by</w:t>
      </w:r>
      <w:r w:rsidR="00165582">
        <w:rPr>
          <w:bCs/>
          <w:sz w:val="24"/>
        </w:rPr>
        <w:t xml:space="preserve"> </w:t>
      </w:r>
      <w:r w:rsidR="00B9251F">
        <w:rPr>
          <w:bCs/>
          <w:sz w:val="24"/>
        </w:rPr>
        <w:t xml:space="preserve">the </w:t>
      </w:r>
      <w:r w:rsidR="00165582">
        <w:rPr>
          <w:bCs/>
          <w:sz w:val="24"/>
        </w:rPr>
        <w:t xml:space="preserve">AIM TA </w:t>
      </w:r>
      <w:r w:rsidR="00F73B60">
        <w:rPr>
          <w:bCs/>
          <w:sz w:val="24"/>
        </w:rPr>
        <w:t>provider</w:t>
      </w:r>
      <w:r w:rsidR="00165582">
        <w:rPr>
          <w:bCs/>
          <w:sz w:val="24"/>
        </w:rPr>
        <w:t>.</w:t>
      </w:r>
      <w:r w:rsidR="007D1162">
        <w:rPr>
          <w:bCs/>
          <w:sz w:val="24"/>
        </w:rPr>
        <w:t xml:space="preserve"> The number of responses is based on the number of times each year </w:t>
      </w:r>
      <w:r w:rsidR="00D24583">
        <w:rPr>
          <w:bCs/>
          <w:sz w:val="24"/>
        </w:rPr>
        <w:t xml:space="preserve">AIM State and Jurisdiction Teams will be asked to complete the survey (two times). The average burden per response is based on consultation with the AIM technical assistance provider regarding </w:t>
      </w:r>
      <w:r w:rsidR="00BB671A">
        <w:rPr>
          <w:bCs/>
          <w:sz w:val="24"/>
        </w:rPr>
        <w:t xml:space="preserve">the length of time </w:t>
      </w:r>
      <w:r w:rsidR="00116941">
        <w:rPr>
          <w:bCs/>
          <w:sz w:val="24"/>
        </w:rPr>
        <w:t>it took respondents to provide similar information in the past.</w:t>
      </w:r>
    </w:p>
    <w:p w:rsidR="008D5727" w:rsidRPr="00FC6684" w:rsidP="00CA3DA6" w14:paraId="5429D188" w14:textId="77777777">
      <w:pPr>
        <w:widowControl/>
        <w:tabs>
          <w:tab w:val="num" w:pos="720"/>
        </w:tabs>
        <w:spacing w:before="120"/>
        <w:rPr>
          <w:sz w:val="24"/>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7"/>
        <w:gridCol w:w="1083"/>
        <w:gridCol w:w="1737"/>
        <w:gridCol w:w="1603"/>
        <w:gridCol w:w="1364"/>
        <w:gridCol w:w="1061"/>
      </w:tblGrid>
      <w:tr w14:paraId="22E2A351" w14:textId="77777777" w:rsidTr="00A9033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937" w:type="dxa"/>
          </w:tcPr>
          <w:p w:rsidR="00CA3DA6" w:rsidRPr="00FC6684" w:rsidP="00CA3DA6" w14:paraId="22E2A340" w14:textId="77777777">
            <w:pPr>
              <w:widowControl/>
              <w:tabs>
                <w:tab w:val="num" w:pos="1080"/>
              </w:tabs>
              <w:spacing w:before="120"/>
              <w:rPr>
                <w:b/>
                <w:bCs/>
                <w:sz w:val="24"/>
              </w:rPr>
            </w:pPr>
            <w:r w:rsidRPr="00FC6684">
              <w:rPr>
                <w:b/>
                <w:bCs/>
                <w:sz w:val="24"/>
              </w:rPr>
              <w:t>Type of</w:t>
            </w:r>
          </w:p>
          <w:p w:rsidR="00CA3DA6" w:rsidRPr="00FC6684" w:rsidP="00CA3DA6" w14:paraId="22E2A341" w14:textId="77777777">
            <w:pPr>
              <w:widowControl/>
              <w:tabs>
                <w:tab w:val="num" w:pos="1080"/>
              </w:tabs>
              <w:spacing w:before="120"/>
              <w:rPr>
                <w:b/>
                <w:bCs/>
                <w:sz w:val="24"/>
              </w:rPr>
            </w:pPr>
            <w:r w:rsidRPr="00FC6684">
              <w:rPr>
                <w:b/>
                <w:bCs/>
                <w:sz w:val="24"/>
              </w:rPr>
              <w:t>Respondent</w:t>
            </w:r>
          </w:p>
          <w:p w:rsidR="00CA3DA6" w:rsidRPr="00FC6684" w:rsidP="00CA3DA6" w14:paraId="22E2A342" w14:textId="77777777">
            <w:pPr>
              <w:widowControl/>
              <w:tabs>
                <w:tab w:val="num" w:pos="1080"/>
              </w:tabs>
              <w:spacing w:before="120"/>
              <w:rPr>
                <w:b/>
                <w:bCs/>
                <w:sz w:val="24"/>
              </w:rPr>
            </w:pPr>
          </w:p>
        </w:tc>
        <w:tc>
          <w:tcPr>
            <w:tcW w:w="874" w:type="dxa"/>
          </w:tcPr>
          <w:p w:rsidR="00CA3DA6" w:rsidRPr="00FC6684" w:rsidP="00CA3DA6" w14:paraId="22E2A343" w14:textId="77777777">
            <w:pPr>
              <w:widowControl/>
              <w:tabs>
                <w:tab w:val="num" w:pos="1080"/>
              </w:tabs>
              <w:spacing w:before="120"/>
              <w:rPr>
                <w:b/>
                <w:bCs/>
                <w:sz w:val="24"/>
              </w:rPr>
            </w:pPr>
            <w:r w:rsidRPr="00FC6684">
              <w:rPr>
                <w:b/>
                <w:bCs/>
                <w:sz w:val="24"/>
              </w:rPr>
              <w:t>Form</w:t>
            </w:r>
          </w:p>
          <w:p w:rsidR="00CA3DA6" w:rsidRPr="00FC6684" w:rsidP="00CA3DA6" w14:paraId="22E2A344" w14:textId="77777777">
            <w:pPr>
              <w:widowControl/>
              <w:tabs>
                <w:tab w:val="num" w:pos="1080"/>
              </w:tabs>
              <w:spacing w:before="120"/>
              <w:rPr>
                <w:b/>
                <w:bCs/>
                <w:sz w:val="24"/>
              </w:rPr>
            </w:pPr>
            <w:r w:rsidRPr="00FC6684">
              <w:rPr>
                <w:b/>
                <w:bCs/>
                <w:sz w:val="24"/>
              </w:rPr>
              <w:t>Name</w:t>
            </w:r>
          </w:p>
          <w:p w:rsidR="00CA3DA6" w:rsidRPr="00FC6684" w:rsidP="00CA3DA6" w14:paraId="22E2A345" w14:textId="77777777">
            <w:pPr>
              <w:widowControl/>
              <w:tabs>
                <w:tab w:val="num" w:pos="1080"/>
              </w:tabs>
              <w:spacing w:before="120"/>
              <w:rPr>
                <w:b/>
                <w:bCs/>
                <w:sz w:val="24"/>
              </w:rPr>
            </w:pPr>
          </w:p>
        </w:tc>
        <w:tc>
          <w:tcPr>
            <w:tcW w:w="1737" w:type="dxa"/>
          </w:tcPr>
          <w:p w:rsidR="00CA3DA6" w:rsidRPr="00FC6684" w:rsidP="00CA3DA6" w14:paraId="22E2A346" w14:textId="77777777">
            <w:pPr>
              <w:widowControl/>
              <w:tabs>
                <w:tab w:val="num" w:pos="1080"/>
              </w:tabs>
              <w:spacing w:before="120"/>
              <w:rPr>
                <w:b/>
                <w:bCs/>
                <w:sz w:val="24"/>
              </w:rPr>
            </w:pPr>
            <w:r w:rsidRPr="00FC6684">
              <w:rPr>
                <w:b/>
                <w:bCs/>
                <w:sz w:val="24"/>
              </w:rPr>
              <w:t>No. of</w:t>
            </w:r>
          </w:p>
          <w:p w:rsidR="00CA3DA6" w:rsidRPr="00FC6684" w:rsidP="00CA3DA6" w14:paraId="22E2A347" w14:textId="77777777">
            <w:pPr>
              <w:widowControl/>
              <w:tabs>
                <w:tab w:val="num" w:pos="1080"/>
              </w:tabs>
              <w:spacing w:before="120"/>
              <w:rPr>
                <w:b/>
                <w:bCs/>
                <w:sz w:val="24"/>
              </w:rPr>
            </w:pPr>
            <w:r w:rsidRPr="00FC6684">
              <w:rPr>
                <w:b/>
                <w:bCs/>
                <w:sz w:val="24"/>
              </w:rPr>
              <w:t>Respondents</w:t>
            </w:r>
          </w:p>
        </w:tc>
        <w:tc>
          <w:tcPr>
            <w:tcW w:w="1603" w:type="dxa"/>
          </w:tcPr>
          <w:p w:rsidR="00CA3DA6" w:rsidRPr="00FC6684" w:rsidP="00CA3DA6" w14:paraId="22E2A348" w14:textId="77777777">
            <w:pPr>
              <w:widowControl/>
              <w:tabs>
                <w:tab w:val="num" w:pos="1080"/>
              </w:tabs>
              <w:spacing w:before="120"/>
              <w:rPr>
                <w:b/>
                <w:bCs/>
                <w:sz w:val="24"/>
              </w:rPr>
            </w:pPr>
            <w:r w:rsidRPr="00FC6684">
              <w:rPr>
                <w:b/>
                <w:bCs/>
                <w:sz w:val="24"/>
              </w:rPr>
              <w:t>No.</w:t>
            </w:r>
          </w:p>
          <w:p w:rsidR="00CA3DA6" w:rsidRPr="00FC6684" w:rsidP="00CA3DA6" w14:paraId="22E2A349" w14:textId="77777777">
            <w:pPr>
              <w:widowControl/>
              <w:tabs>
                <w:tab w:val="num" w:pos="1080"/>
              </w:tabs>
              <w:spacing w:before="120"/>
              <w:rPr>
                <w:b/>
                <w:bCs/>
                <w:sz w:val="24"/>
              </w:rPr>
            </w:pPr>
            <w:r w:rsidRPr="00FC6684">
              <w:rPr>
                <w:b/>
                <w:bCs/>
                <w:sz w:val="24"/>
              </w:rPr>
              <w:t>Responses</w:t>
            </w:r>
          </w:p>
          <w:p w:rsidR="00CA3DA6" w:rsidRPr="00FC6684" w:rsidP="00CA3DA6" w14:paraId="22E2A34A" w14:textId="77777777">
            <w:pPr>
              <w:widowControl/>
              <w:tabs>
                <w:tab w:val="num" w:pos="1080"/>
              </w:tabs>
              <w:spacing w:before="120"/>
              <w:rPr>
                <w:b/>
                <w:bCs/>
                <w:sz w:val="24"/>
              </w:rPr>
            </w:pPr>
            <w:r w:rsidRPr="00FC6684">
              <w:rPr>
                <w:b/>
                <w:bCs/>
                <w:sz w:val="24"/>
              </w:rPr>
              <w:t>per</w:t>
            </w:r>
          </w:p>
          <w:p w:rsidR="00CA3DA6" w:rsidRPr="00FC6684" w:rsidP="00CA3DA6" w14:paraId="22E2A34B" w14:textId="77777777">
            <w:pPr>
              <w:widowControl/>
              <w:tabs>
                <w:tab w:val="num" w:pos="1080"/>
              </w:tabs>
              <w:spacing w:before="120"/>
              <w:rPr>
                <w:b/>
                <w:bCs/>
                <w:sz w:val="24"/>
              </w:rPr>
            </w:pPr>
            <w:r w:rsidRPr="00FC6684">
              <w:rPr>
                <w:b/>
                <w:bCs/>
                <w:sz w:val="24"/>
              </w:rPr>
              <w:t>Respondent</w:t>
            </w:r>
          </w:p>
        </w:tc>
        <w:tc>
          <w:tcPr>
            <w:tcW w:w="1364" w:type="dxa"/>
          </w:tcPr>
          <w:p w:rsidR="00CA3DA6" w:rsidRPr="00FC6684" w:rsidP="00CA3DA6" w14:paraId="22E2A34C" w14:textId="77777777">
            <w:pPr>
              <w:widowControl/>
              <w:tabs>
                <w:tab w:val="num" w:pos="1080"/>
              </w:tabs>
              <w:spacing w:before="120"/>
              <w:rPr>
                <w:b/>
                <w:bCs/>
                <w:sz w:val="24"/>
              </w:rPr>
            </w:pPr>
            <w:r w:rsidRPr="00FC6684">
              <w:rPr>
                <w:b/>
                <w:bCs/>
                <w:sz w:val="24"/>
              </w:rPr>
              <w:t>Average</w:t>
            </w:r>
          </w:p>
          <w:p w:rsidR="00CA3DA6" w:rsidRPr="00FC6684" w:rsidP="00CA3DA6" w14:paraId="22E2A34D" w14:textId="77777777">
            <w:pPr>
              <w:widowControl/>
              <w:tabs>
                <w:tab w:val="num" w:pos="1080"/>
              </w:tabs>
              <w:spacing w:before="120"/>
              <w:rPr>
                <w:b/>
                <w:bCs/>
                <w:sz w:val="24"/>
              </w:rPr>
            </w:pPr>
            <w:r w:rsidRPr="00FC6684">
              <w:rPr>
                <w:b/>
                <w:bCs/>
                <w:sz w:val="24"/>
              </w:rPr>
              <w:t>Burden per</w:t>
            </w:r>
          </w:p>
          <w:p w:rsidR="00CA3DA6" w:rsidRPr="00FC6684" w:rsidP="00CA3DA6" w14:paraId="22E2A34E" w14:textId="77777777">
            <w:pPr>
              <w:widowControl/>
              <w:tabs>
                <w:tab w:val="num" w:pos="1080"/>
              </w:tabs>
              <w:spacing w:before="120"/>
              <w:rPr>
                <w:b/>
                <w:bCs/>
                <w:sz w:val="24"/>
              </w:rPr>
            </w:pPr>
            <w:r w:rsidRPr="00FC6684">
              <w:rPr>
                <w:b/>
                <w:bCs/>
                <w:sz w:val="24"/>
              </w:rPr>
              <w:t>Response</w:t>
            </w:r>
          </w:p>
          <w:p w:rsidR="00CA3DA6" w:rsidRPr="00FC6684" w:rsidP="00CA3DA6" w14:paraId="22E2A34F" w14:textId="77777777">
            <w:pPr>
              <w:widowControl/>
              <w:tabs>
                <w:tab w:val="num" w:pos="1080"/>
              </w:tabs>
              <w:spacing w:before="120"/>
              <w:rPr>
                <w:b/>
                <w:bCs/>
                <w:sz w:val="24"/>
              </w:rPr>
            </w:pPr>
            <w:r w:rsidRPr="00FC6684">
              <w:rPr>
                <w:b/>
                <w:bCs/>
                <w:sz w:val="24"/>
              </w:rPr>
              <w:t>(</w:t>
            </w:r>
            <w:r w:rsidRPr="00FC6684">
              <w:rPr>
                <w:b/>
                <w:bCs/>
                <w:sz w:val="24"/>
              </w:rPr>
              <w:t>in</w:t>
            </w:r>
            <w:r w:rsidRPr="00FC6684">
              <w:rPr>
                <w:b/>
                <w:bCs/>
                <w:sz w:val="24"/>
              </w:rPr>
              <w:t xml:space="preserve"> hours)</w:t>
            </w:r>
          </w:p>
        </w:tc>
        <w:tc>
          <w:tcPr>
            <w:tcW w:w="1061" w:type="dxa"/>
          </w:tcPr>
          <w:p w:rsidR="00CA3DA6" w:rsidRPr="00FC6684" w:rsidP="00CA3DA6" w14:paraId="22E2A350" w14:textId="77777777">
            <w:pPr>
              <w:widowControl/>
              <w:tabs>
                <w:tab w:val="num" w:pos="1080"/>
              </w:tabs>
              <w:spacing w:before="120"/>
              <w:rPr>
                <w:b/>
                <w:bCs/>
                <w:sz w:val="24"/>
              </w:rPr>
            </w:pPr>
            <w:r w:rsidRPr="00FC6684">
              <w:rPr>
                <w:b/>
                <w:bCs/>
                <w:sz w:val="24"/>
              </w:rPr>
              <w:t>Total Burden Hours</w:t>
            </w:r>
          </w:p>
        </w:tc>
      </w:tr>
      <w:tr w14:paraId="22E2A358" w14:textId="77777777" w:rsidTr="00A9033A">
        <w:tblPrEx>
          <w:tblW w:w="0" w:type="auto"/>
          <w:tblLook w:val="01E0"/>
        </w:tblPrEx>
        <w:trPr>
          <w:trHeight w:val="679"/>
        </w:trPr>
        <w:tc>
          <w:tcPr>
            <w:tcW w:w="1937" w:type="dxa"/>
          </w:tcPr>
          <w:p w:rsidR="00CA3DA6" w:rsidRPr="00FC6684" w:rsidP="00CA3DA6" w14:paraId="22E2A352" w14:textId="496F4C03">
            <w:pPr>
              <w:widowControl/>
              <w:tabs>
                <w:tab w:val="num" w:pos="1080"/>
              </w:tabs>
              <w:spacing w:before="120"/>
              <w:rPr>
                <w:sz w:val="24"/>
              </w:rPr>
            </w:pPr>
            <w:r w:rsidRPr="00FC6684">
              <w:rPr>
                <w:sz w:val="24"/>
              </w:rPr>
              <w:t>AIM State</w:t>
            </w:r>
            <w:r w:rsidRPr="00FC6684" w:rsidR="005468CA">
              <w:rPr>
                <w:sz w:val="24"/>
              </w:rPr>
              <w:t>/Jurisdiction</w:t>
            </w:r>
            <w:r w:rsidRPr="00FC6684">
              <w:rPr>
                <w:sz w:val="24"/>
              </w:rPr>
              <w:t xml:space="preserve"> Team Representative</w:t>
            </w:r>
            <w:r w:rsidRPr="00FC6684" w:rsidR="00C919A7">
              <w:rPr>
                <w:sz w:val="24"/>
              </w:rPr>
              <w:t>s</w:t>
            </w:r>
          </w:p>
        </w:tc>
        <w:tc>
          <w:tcPr>
            <w:tcW w:w="874" w:type="dxa"/>
          </w:tcPr>
          <w:p w:rsidR="00CA3DA6" w:rsidRPr="00FC6684" w:rsidP="00CA3DA6" w14:paraId="22E2A353" w14:textId="2369ACFA">
            <w:pPr>
              <w:widowControl/>
              <w:tabs>
                <w:tab w:val="num" w:pos="1080"/>
              </w:tabs>
              <w:spacing w:before="120"/>
              <w:rPr>
                <w:sz w:val="24"/>
              </w:rPr>
            </w:pPr>
            <w:r w:rsidRPr="00FC6684">
              <w:rPr>
                <w:sz w:val="24"/>
              </w:rPr>
              <w:t xml:space="preserve">Biannual </w:t>
            </w:r>
            <w:r w:rsidRPr="00FC6684" w:rsidR="00687C50">
              <w:rPr>
                <w:sz w:val="24"/>
              </w:rPr>
              <w:t>Report</w:t>
            </w:r>
          </w:p>
        </w:tc>
        <w:tc>
          <w:tcPr>
            <w:tcW w:w="1737" w:type="dxa"/>
          </w:tcPr>
          <w:p w:rsidR="00CA3DA6" w:rsidRPr="00FC6684" w:rsidP="00CA3DA6" w14:paraId="22E2A354" w14:textId="0AFC7FC4">
            <w:pPr>
              <w:widowControl/>
              <w:tabs>
                <w:tab w:val="num" w:pos="1080"/>
              </w:tabs>
              <w:spacing w:before="120"/>
              <w:rPr>
                <w:sz w:val="24"/>
              </w:rPr>
            </w:pPr>
            <w:r w:rsidRPr="00FC6684">
              <w:rPr>
                <w:sz w:val="24"/>
              </w:rPr>
              <w:t>52</w:t>
            </w:r>
            <w:r w:rsidRPr="00FC6684">
              <w:rPr>
                <w:sz w:val="24"/>
              </w:rPr>
              <w:t xml:space="preserve">  </w:t>
            </w:r>
          </w:p>
        </w:tc>
        <w:tc>
          <w:tcPr>
            <w:tcW w:w="1603" w:type="dxa"/>
          </w:tcPr>
          <w:p w:rsidR="00CA3DA6" w:rsidRPr="00FC6684" w:rsidP="00CA3DA6" w14:paraId="22E2A355" w14:textId="1D4D5D99">
            <w:pPr>
              <w:widowControl/>
              <w:tabs>
                <w:tab w:val="num" w:pos="1080"/>
              </w:tabs>
              <w:spacing w:before="120"/>
              <w:rPr>
                <w:sz w:val="24"/>
              </w:rPr>
            </w:pPr>
            <w:r w:rsidRPr="00FC6684">
              <w:rPr>
                <w:sz w:val="24"/>
              </w:rPr>
              <w:t>1</w:t>
            </w:r>
            <w:r w:rsidRPr="00FC6684" w:rsidR="00E37935">
              <w:rPr>
                <w:sz w:val="24"/>
              </w:rPr>
              <w:t xml:space="preserve"> per survey; 2 surveys per year</w:t>
            </w:r>
          </w:p>
        </w:tc>
        <w:tc>
          <w:tcPr>
            <w:tcW w:w="1364" w:type="dxa"/>
          </w:tcPr>
          <w:p w:rsidR="00CA3DA6" w:rsidRPr="00FC6684" w:rsidP="00CA3DA6" w14:paraId="22E2A356" w14:textId="2B99EA69">
            <w:pPr>
              <w:widowControl/>
              <w:tabs>
                <w:tab w:val="num" w:pos="1080"/>
              </w:tabs>
              <w:spacing w:before="120"/>
              <w:rPr>
                <w:sz w:val="24"/>
              </w:rPr>
            </w:pPr>
            <w:r w:rsidRPr="00FC6684">
              <w:rPr>
                <w:sz w:val="24"/>
              </w:rPr>
              <w:t>1</w:t>
            </w:r>
          </w:p>
        </w:tc>
        <w:tc>
          <w:tcPr>
            <w:tcW w:w="1061" w:type="dxa"/>
          </w:tcPr>
          <w:p w:rsidR="00CA3DA6" w:rsidRPr="00FC6684" w:rsidP="00CA3DA6" w14:paraId="22E2A357" w14:textId="24B7A6C9">
            <w:pPr>
              <w:widowControl/>
              <w:tabs>
                <w:tab w:val="num" w:pos="1080"/>
              </w:tabs>
              <w:spacing w:before="120"/>
              <w:rPr>
                <w:sz w:val="24"/>
              </w:rPr>
            </w:pPr>
            <w:r w:rsidRPr="00FC6684">
              <w:rPr>
                <w:sz w:val="24"/>
              </w:rPr>
              <w:t>104</w:t>
            </w:r>
          </w:p>
        </w:tc>
      </w:tr>
      <w:tr w14:paraId="22E2A368" w14:textId="77777777" w:rsidTr="00A9033A">
        <w:tblPrEx>
          <w:tblW w:w="0" w:type="auto"/>
          <w:tblLook w:val="01E0"/>
        </w:tblPrEx>
        <w:trPr>
          <w:trHeight w:val="815"/>
        </w:trPr>
        <w:tc>
          <w:tcPr>
            <w:tcW w:w="1937" w:type="dxa"/>
          </w:tcPr>
          <w:p w:rsidR="00CA3DA6" w:rsidRPr="00FC6684" w:rsidP="00CA3DA6" w14:paraId="22E2A361" w14:textId="77777777">
            <w:pPr>
              <w:widowControl/>
              <w:tabs>
                <w:tab w:val="num" w:pos="1080"/>
              </w:tabs>
              <w:spacing w:before="120"/>
              <w:rPr>
                <w:sz w:val="24"/>
              </w:rPr>
            </w:pPr>
            <w:r w:rsidRPr="00FC6684">
              <w:rPr>
                <w:sz w:val="24"/>
              </w:rPr>
              <w:t>Total</w:t>
            </w:r>
          </w:p>
        </w:tc>
        <w:tc>
          <w:tcPr>
            <w:tcW w:w="874" w:type="dxa"/>
          </w:tcPr>
          <w:p w:rsidR="00CA3DA6" w:rsidRPr="00FC6684" w:rsidP="00CA3DA6" w14:paraId="22E2A362" w14:textId="77777777">
            <w:pPr>
              <w:widowControl/>
              <w:tabs>
                <w:tab w:val="num" w:pos="1080"/>
              </w:tabs>
              <w:spacing w:before="120"/>
              <w:rPr>
                <w:sz w:val="24"/>
              </w:rPr>
            </w:pPr>
          </w:p>
        </w:tc>
        <w:tc>
          <w:tcPr>
            <w:tcW w:w="1737" w:type="dxa"/>
          </w:tcPr>
          <w:p w:rsidR="00CA3DA6" w:rsidRPr="00FC6684" w:rsidP="00CA3DA6" w14:paraId="22E2A363" w14:textId="48DFF9B6">
            <w:pPr>
              <w:widowControl/>
              <w:tabs>
                <w:tab w:val="num" w:pos="1080"/>
              </w:tabs>
              <w:spacing w:before="120"/>
              <w:rPr>
                <w:sz w:val="24"/>
              </w:rPr>
            </w:pPr>
            <w:r w:rsidRPr="00FC6684">
              <w:rPr>
                <w:sz w:val="24"/>
              </w:rPr>
              <w:t>52</w:t>
            </w:r>
          </w:p>
        </w:tc>
        <w:tc>
          <w:tcPr>
            <w:tcW w:w="1603" w:type="dxa"/>
          </w:tcPr>
          <w:p w:rsidR="00CA3DA6" w:rsidRPr="00FC6684" w:rsidP="00CA3DA6" w14:paraId="22E2A364" w14:textId="274E213E">
            <w:pPr>
              <w:widowControl/>
              <w:tabs>
                <w:tab w:val="num" w:pos="1080"/>
              </w:tabs>
              <w:spacing w:before="120"/>
              <w:rPr>
                <w:sz w:val="24"/>
              </w:rPr>
            </w:pPr>
            <w:r w:rsidRPr="00FC6684">
              <w:rPr>
                <w:sz w:val="24"/>
              </w:rPr>
              <w:t>1</w:t>
            </w:r>
            <w:r w:rsidRPr="00FC6684" w:rsidR="00E37935">
              <w:rPr>
                <w:sz w:val="24"/>
              </w:rPr>
              <w:t xml:space="preserve"> per survey; 2 surveys per year</w:t>
            </w:r>
          </w:p>
        </w:tc>
        <w:tc>
          <w:tcPr>
            <w:tcW w:w="1364" w:type="dxa"/>
          </w:tcPr>
          <w:p w:rsidR="00CA3DA6" w:rsidRPr="00FC6684" w:rsidP="00CA3DA6" w14:paraId="22E2A365" w14:textId="77C94386">
            <w:pPr>
              <w:widowControl/>
              <w:tabs>
                <w:tab w:val="num" w:pos="1080"/>
              </w:tabs>
              <w:spacing w:before="120"/>
              <w:rPr>
                <w:sz w:val="24"/>
              </w:rPr>
            </w:pPr>
            <w:r w:rsidRPr="00FC6684">
              <w:rPr>
                <w:sz w:val="24"/>
              </w:rPr>
              <w:t>1</w:t>
            </w:r>
          </w:p>
        </w:tc>
        <w:tc>
          <w:tcPr>
            <w:tcW w:w="1061" w:type="dxa"/>
          </w:tcPr>
          <w:p w:rsidR="00CA3DA6" w:rsidRPr="00FC6684" w:rsidP="00CA3DA6" w14:paraId="22E2A366" w14:textId="348624FE">
            <w:pPr>
              <w:widowControl/>
              <w:tabs>
                <w:tab w:val="num" w:pos="1080"/>
              </w:tabs>
              <w:spacing w:before="120"/>
              <w:rPr>
                <w:sz w:val="24"/>
              </w:rPr>
            </w:pPr>
            <w:r w:rsidRPr="00FC6684">
              <w:rPr>
                <w:sz w:val="24"/>
              </w:rPr>
              <w:t>104</w:t>
            </w:r>
          </w:p>
          <w:p w:rsidR="00CA3DA6" w:rsidRPr="00FC6684" w:rsidP="00CA3DA6" w14:paraId="22E2A367" w14:textId="77777777">
            <w:pPr>
              <w:widowControl/>
              <w:tabs>
                <w:tab w:val="num" w:pos="1080"/>
              </w:tabs>
              <w:spacing w:before="120"/>
              <w:rPr>
                <w:sz w:val="24"/>
              </w:rPr>
            </w:pPr>
          </w:p>
        </w:tc>
      </w:tr>
    </w:tbl>
    <w:p w:rsidR="00D92E1D" w:rsidRPr="00C45431" w:rsidP="008F40D2" w14:paraId="22E2A36C" w14:textId="77777777">
      <w:pPr>
        <w:widowControl/>
        <w:tabs>
          <w:tab w:val="num" w:pos="1080"/>
        </w:tabs>
        <w:spacing w:before="120"/>
        <w:rPr>
          <w:rFonts w:ascii="Arial" w:hAnsi="Arial" w:cs="Arial"/>
          <w:sz w:val="24"/>
        </w:rPr>
      </w:pPr>
    </w:p>
    <w:p w:rsidR="00D92E1D" w:rsidRPr="00C45431" w:rsidP="00CA3DA6" w14:paraId="22E2A36D" w14:textId="77777777">
      <w:pPr>
        <w:widowControl/>
        <w:tabs>
          <w:tab w:val="num" w:pos="1080"/>
        </w:tabs>
        <w:spacing w:before="120"/>
        <w:ind w:left="2160"/>
        <w:rPr>
          <w:rFonts w:ascii="Arial" w:hAnsi="Arial" w:cs="Arial"/>
          <w:sz w:val="24"/>
        </w:rPr>
      </w:pPr>
    </w:p>
    <w:p w:rsidR="00D92E1D" w:rsidRPr="00FC6684" w:rsidP="00CA3DA6" w14:paraId="22E2A372" w14:textId="3376D273">
      <w:pPr>
        <w:widowControl/>
        <w:spacing w:before="120"/>
        <w:rPr>
          <w:b/>
          <w:sz w:val="28"/>
          <w:szCs w:val="28"/>
          <w:u w:val="single"/>
        </w:rPr>
      </w:pPr>
      <w:r w:rsidRPr="00FC6684">
        <w:rPr>
          <w:b/>
          <w:sz w:val="28"/>
          <w:szCs w:val="28"/>
          <w:u w:val="single"/>
        </w:rPr>
        <w:t xml:space="preserve">12B.  </w:t>
      </w:r>
      <w:r w:rsidRPr="00FC6684" w:rsidR="003F15BB">
        <w:rPr>
          <w:b/>
          <w:sz w:val="24"/>
          <w:u w:val="single"/>
        </w:rPr>
        <w:t>Estimated Annualized Burden Costs</w:t>
      </w:r>
    </w:p>
    <w:p w:rsidR="008E7637" w:rsidRPr="00FC6684" w:rsidP="00CA3DA6" w14:paraId="67781B60" w14:textId="701802A1">
      <w:pPr>
        <w:widowControl/>
        <w:spacing w:before="120"/>
        <w:ind w:left="270"/>
        <w:rPr>
          <w:sz w:val="24"/>
        </w:rPr>
      </w:pPr>
      <w:r w:rsidRPr="00FC6684">
        <w:rPr>
          <w:sz w:val="24"/>
        </w:rPr>
        <w:t>Hourly wage rates were determined using the Department of Labor website</w:t>
      </w:r>
      <w:r w:rsidRPr="00FC6684" w:rsidR="00C306EB">
        <w:rPr>
          <w:sz w:val="24"/>
        </w:rPr>
        <w:t>, based on the me</w:t>
      </w:r>
      <w:r w:rsidR="00744772">
        <w:rPr>
          <w:sz w:val="24"/>
        </w:rPr>
        <w:t>dian</w:t>
      </w:r>
      <w:r w:rsidRPr="00FC6684" w:rsidR="00C306EB">
        <w:rPr>
          <w:sz w:val="24"/>
        </w:rPr>
        <w:t xml:space="preserve"> hourly wage for</w:t>
      </w:r>
      <w:r w:rsidRPr="00FC6684" w:rsidR="00C836F2">
        <w:rPr>
          <w:sz w:val="24"/>
        </w:rPr>
        <w:t xml:space="preserve"> Medical and Health Services Managers.</w:t>
      </w:r>
      <w:r>
        <w:rPr>
          <w:rStyle w:val="FootnoteReference"/>
          <w:sz w:val="24"/>
          <w:vertAlign w:val="superscript"/>
        </w:rPr>
        <w:footnoteReference w:id="2"/>
      </w:r>
      <w:r w:rsidR="00376EBE">
        <w:rPr>
          <w:sz w:val="24"/>
        </w:rPr>
        <w:t xml:space="preserve"> This</w:t>
      </w:r>
      <w:r w:rsidR="007F2AAA">
        <w:rPr>
          <w:sz w:val="24"/>
        </w:rPr>
        <w:t xml:space="preserve"> code was used because it is most consistent with the type</w:t>
      </w:r>
      <w:r w:rsidR="00687CE9">
        <w:rPr>
          <w:sz w:val="24"/>
        </w:rPr>
        <w:t xml:space="preserve"> and responsibilities</w:t>
      </w:r>
      <w:r w:rsidR="007F2AAA">
        <w:rPr>
          <w:sz w:val="24"/>
        </w:rPr>
        <w:t xml:space="preserve"> of </w:t>
      </w:r>
      <w:r w:rsidR="00687CE9">
        <w:rPr>
          <w:sz w:val="24"/>
        </w:rPr>
        <w:t xml:space="preserve">the </w:t>
      </w:r>
      <w:r w:rsidRPr="00687CE9" w:rsidR="007F2AAA">
        <w:rPr>
          <w:sz w:val="24"/>
        </w:rPr>
        <w:t>professionals who will complet</w:t>
      </w:r>
      <w:r w:rsidRPr="00687CE9" w:rsidR="00687CE9">
        <w:rPr>
          <w:sz w:val="24"/>
        </w:rPr>
        <w:t>e</w:t>
      </w:r>
      <w:r w:rsidRPr="00687CE9" w:rsidR="007F2AAA">
        <w:rPr>
          <w:sz w:val="24"/>
        </w:rPr>
        <w:t xml:space="preserve"> the survey: </w:t>
      </w:r>
      <w:r w:rsidRPr="00687CE9" w:rsidR="00687CE9">
        <w:rPr>
          <w:sz w:val="24"/>
        </w:rPr>
        <w:t>“</w:t>
      </w:r>
      <w:r w:rsidRPr="00FC6684" w:rsidR="00687CE9">
        <w:rPr>
          <w:color w:val="333333"/>
          <w:sz w:val="24"/>
          <w:shd w:val="clear" w:color="auto" w:fill="FFFFFF"/>
        </w:rPr>
        <w:t>Plan, direct, or coordinate medical and health services in hospitals, clinics, managed care organizations, public health agencies, or similar organizations.”</w:t>
      </w:r>
    </w:p>
    <w:p w:rsidR="009B3794" w:rsidRPr="00C45431" w:rsidP="00CA3DA6" w14:paraId="22E2A374" w14:textId="28A1DD80">
      <w:pPr>
        <w:widowControl/>
        <w:spacing w:before="120"/>
        <w:ind w:left="270"/>
        <w:rPr>
          <w:rFonts w:ascii="Arial" w:hAnsi="Arial" w:cs="Arial"/>
          <w:b/>
          <w:sz w:val="24"/>
        </w:rPr>
      </w:pPr>
    </w:p>
    <w:tbl>
      <w:tblPr>
        <w:tblW w:w="7050"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3"/>
        <w:gridCol w:w="1719"/>
        <w:gridCol w:w="1260"/>
        <w:gridCol w:w="2188"/>
      </w:tblGrid>
      <w:tr w14:paraId="22E2A380" w14:textId="77777777" w:rsidTr="00FC6684">
        <w:tblPrEx>
          <w:tblW w:w="7050"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83" w:type="dxa"/>
          </w:tcPr>
          <w:p w:rsidR="009B3794" w:rsidRPr="00FC6684" w:rsidP="00CE5AA9" w14:paraId="22E2A375" w14:textId="77777777">
            <w:pPr>
              <w:widowControl/>
              <w:spacing w:before="120"/>
              <w:rPr>
                <w:b/>
                <w:bCs/>
                <w:sz w:val="24"/>
              </w:rPr>
            </w:pPr>
            <w:r w:rsidRPr="00FC6684">
              <w:rPr>
                <w:b/>
                <w:bCs/>
                <w:sz w:val="24"/>
              </w:rPr>
              <w:t>Type of</w:t>
            </w:r>
          </w:p>
          <w:p w:rsidR="009B3794" w:rsidRPr="00FC6684" w:rsidP="00CE5AA9" w14:paraId="22E2A376" w14:textId="77777777">
            <w:pPr>
              <w:widowControl/>
              <w:spacing w:before="120"/>
              <w:rPr>
                <w:sz w:val="24"/>
              </w:rPr>
            </w:pPr>
            <w:r w:rsidRPr="00FC6684">
              <w:rPr>
                <w:b/>
                <w:bCs/>
                <w:sz w:val="24"/>
              </w:rPr>
              <w:t>Respondent</w:t>
            </w:r>
          </w:p>
          <w:p w:rsidR="009B3794" w:rsidRPr="00FC6684" w:rsidP="00CE5AA9" w14:paraId="22E2A377" w14:textId="77777777">
            <w:pPr>
              <w:widowControl/>
              <w:spacing w:before="120"/>
              <w:rPr>
                <w:b/>
                <w:bCs/>
                <w:sz w:val="24"/>
              </w:rPr>
            </w:pPr>
          </w:p>
        </w:tc>
        <w:tc>
          <w:tcPr>
            <w:tcW w:w="1719" w:type="dxa"/>
          </w:tcPr>
          <w:p w:rsidR="009B3794" w:rsidRPr="00FC6684" w:rsidP="00FC6684" w14:paraId="22E2A378" w14:textId="77777777">
            <w:pPr>
              <w:widowControl/>
              <w:rPr>
                <w:b/>
                <w:bCs/>
                <w:sz w:val="24"/>
              </w:rPr>
            </w:pPr>
            <w:r w:rsidRPr="00FC6684">
              <w:rPr>
                <w:b/>
                <w:bCs/>
                <w:sz w:val="24"/>
              </w:rPr>
              <w:t>Total Burden</w:t>
            </w:r>
          </w:p>
          <w:p w:rsidR="009B3794" w:rsidRPr="00FC6684" w:rsidP="00FC6684" w14:paraId="22E2A379" w14:textId="77777777">
            <w:pPr>
              <w:widowControl/>
              <w:rPr>
                <w:sz w:val="24"/>
              </w:rPr>
            </w:pPr>
            <w:r w:rsidRPr="00FC6684">
              <w:rPr>
                <w:b/>
                <w:bCs/>
                <w:sz w:val="24"/>
              </w:rPr>
              <w:t>Hours</w:t>
            </w:r>
          </w:p>
          <w:p w:rsidR="009B3794" w:rsidRPr="00FC6684" w:rsidP="00CE5AA9" w14:paraId="22E2A37A" w14:textId="77777777">
            <w:pPr>
              <w:widowControl/>
              <w:spacing w:before="120"/>
              <w:rPr>
                <w:b/>
                <w:bCs/>
                <w:sz w:val="24"/>
              </w:rPr>
            </w:pPr>
          </w:p>
        </w:tc>
        <w:tc>
          <w:tcPr>
            <w:tcW w:w="1260" w:type="dxa"/>
          </w:tcPr>
          <w:p w:rsidR="009B3794" w:rsidRPr="00FC6684" w:rsidP="00FC6684" w14:paraId="22E2A37B" w14:textId="5C1F38B4">
            <w:pPr>
              <w:widowControl/>
              <w:rPr>
                <w:b/>
                <w:bCs/>
                <w:sz w:val="24"/>
              </w:rPr>
            </w:pPr>
            <w:r>
              <w:rPr>
                <w:b/>
                <w:bCs/>
                <w:sz w:val="24"/>
              </w:rPr>
              <w:t>Me</w:t>
            </w:r>
            <w:r w:rsidR="00744772">
              <w:rPr>
                <w:b/>
                <w:bCs/>
                <w:sz w:val="24"/>
              </w:rPr>
              <w:t>dian</w:t>
            </w:r>
            <w:r w:rsidR="001D144F">
              <w:rPr>
                <w:b/>
                <w:bCs/>
                <w:sz w:val="24"/>
              </w:rPr>
              <w:t xml:space="preserve"> </w:t>
            </w:r>
            <w:r w:rsidRPr="00FC6684">
              <w:rPr>
                <w:b/>
                <w:bCs/>
                <w:sz w:val="24"/>
              </w:rPr>
              <w:t>Hourly</w:t>
            </w:r>
          </w:p>
          <w:p w:rsidR="009B3794" w:rsidRPr="00FC6684" w:rsidP="00FC6684" w14:paraId="22E2A37C" w14:textId="53ACCEB7">
            <w:pPr>
              <w:widowControl/>
              <w:rPr>
                <w:sz w:val="24"/>
              </w:rPr>
            </w:pPr>
            <w:r w:rsidRPr="00FC6684">
              <w:rPr>
                <w:b/>
                <w:bCs/>
                <w:sz w:val="24"/>
              </w:rPr>
              <w:t>Wage</w:t>
            </w:r>
          </w:p>
          <w:p w:rsidR="009B3794" w:rsidRPr="00FC6684" w:rsidP="00CE5AA9" w14:paraId="22E2A37D" w14:textId="77777777">
            <w:pPr>
              <w:widowControl/>
              <w:spacing w:before="120"/>
              <w:rPr>
                <w:b/>
                <w:bCs/>
                <w:sz w:val="24"/>
              </w:rPr>
            </w:pPr>
          </w:p>
        </w:tc>
        <w:tc>
          <w:tcPr>
            <w:tcW w:w="2188" w:type="dxa"/>
          </w:tcPr>
          <w:p w:rsidR="009B3794" w:rsidRPr="00FC6684" w:rsidP="00CE5AA9" w14:paraId="22E2A37E" w14:textId="27BE3CE7">
            <w:pPr>
              <w:widowControl/>
              <w:spacing w:before="120"/>
              <w:rPr>
                <w:sz w:val="24"/>
              </w:rPr>
            </w:pPr>
            <w:r w:rsidRPr="00FC6684">
              <w:rPr>
                <w:b/>
                <w:bCs/>
                <w:sz w:val="24"/>
              </w:rPr>
              <w:t>Total Respondent Costs</w:t>
            </w:r>
            <w:r w:rsidR="001B0107">
              <w:rPr>
                <w:b/>
                <w:bCs/>
                <w:sz w:val="24"/>
              </w:rPr>
              <w:t>*</w:t>
            </w:r>
          </w:p>
          <w:p w:rsidR="009B3794" w:rsidRPr="00FC6684" w:rsidP="00CE5AA9" w14:paraId="22E2A37F" w14:textId="77777777">
            <w:pPr>
              <w:widowControl/>
              <w:spacing w:before="120"/>
              <w:rPr>
                <w:b/>
                <w:bCs/>
                <w:sz w:val="24"/>
              </w:rPr>
            </w:pPr>
          </w:p>
        </w:tc>
      </w:tr>
      <w:tr w14:paraId="22E2A385" w14:textId="77777777" w:rsidTr="00FC6684">
        <w:tblPrEx>
          <w:tblW w:w="7050" w:type="dxa"/>
          <w:tblInd w:w="1883" w:type="dxa"/>
          <w:tblLayout w:type="fixed"/>
          <w:tblLook w:val="01E0"/>
        </w:tblPrEx>
        <w:tc>
          <w:tcPr>
            <w:tcW w:w="1883" w:type="dxa"/>
          </w:tcPr>
          <w:p w:rsidR="009B3794" w:rsidRPr="00FC6684" w:rsidP="00CE5AA9" w14:paraId="22E2A381" w14:textId="5533A087">
            <w:pPr>
              <w:spacing w:before="120"/>
              <w:rPr>
                <w:sz w:val="24"/>
              </w:rPr>
            </w:pPr>
            <w:r w:rsidRPr="00FC6684">
              <w:rPr>
                <w:sz w:val="24"/>
              </w:rPr>
              <w:t>AIM State/Jurisdiction Team Representative</w:t>
            </w:r>
            <w:r w:rsidRPr="00FC6684" w:rsidR="00831900">
              <w:rPr>
                <w:sz w:val="24"/>
              </w:rPr>
              <w:t>s</w:t>
            </w:r>
          </w:p>
        </w:tc>
        <w:tc>
          <w:tcPr>
            <w:tcW w:w="1719" w:type="dxa"/>
          </w:tcPr>
          <w:p w:rsidR="009B3794" w:rsidRPr="00FC6684" w:rsidP="00CE5AA9" w14:paraId="22E2A382" w14:textId="2B63A508">
            <w:pPr>
              <w:spacing w:before="120"/>
              <w:rPr>
                <w:sz w:val="24"/>
              </w:rPr>
            </w:pPr>
            <w:r w:rsidRPr="00FC6684">
              <w:rPr>
                <w:sz w:val="24"/>
              </w:rPr>
              <w:t xml:space="preserve">104 (52 hours </w:t>
            </w:r>
            <w:r w:rsidRPr="00FC6684" w:rsidR="00664B41">
              <w:rPr>
                <w:sz w:val="24"/>
              </w:rPr>
              <w:t>each survey; 2 surveys per year)</w:t>
            </w:r>
          </w:p>
        </w:tc>
        <w:tc>
          <w:tcPr>
            <w:tcW w:w="1260" w:type="dxa"/>
          </w:tcPr>
          <w:p w:rsidR="009B3794" w:rsidRPr="00FC6684" w:rsidP="00CE5AA9" w14:paraId="22E2A383" w14:textId="61B2EA2E">
            <w:pPr>
              <w:spacing w:before="120"/>
              <w:jc w:val="right"/>
              <w:rPr>
                <w:sz w:val="24"/>
              </w:rPr>
            </w:pPr>
            <w:r w:rsidRPr="00FC6684">
              <w:rPr>
                <w:sz w:val="24"/>
              </w:rPr>
              <w:t xml:space="preserve"> $</w:t>
            </w:r>
            <w:r w:rsidR="00744772">
              <w:rPr>
                <w:sz w:val="24"/>
              </w:rPr>
              <w:t>53</w:t>
            </w:r>
            <w:r w:rsidRPr="00FC6684">
              <w:rPr>
                <w:sz w:val="24"/>
              </w:rPr>
              <w:t>.</w:t>
            </w:r>
            <w:r w:rsidR="00744772">
              <w:rPr>
                <w:sz w:val="24"/>
              </w:rPr>
              <w:t>21</w:t>
            </w:r>
            <w:r w:rsidRPr="00FC6684">
              <w:rPr>
                <w:sz w:val="24"/>
              </w:rPr>
              <w:t xml:space="preserve"> </w:t>
            </w:r>
          </w:p>
        </w:tc>
        <w:tc>
          <w:tcPr>
            <w:tcW w:w="2188" w:type="dxa"/>
          </w:tcPr>
          <w:p w:rsidR="00C80AFE" w:rsidRPr="00FC6684" w:rsidP="009F4A95" w14:paraId="22E2A384" w14:textId="1C1DDA4E">
            <w:pPr>
              <w:spacing w:before="120"/>
              <w:jc w:val="right"/>
              <w:rPr>
                <w:sz w:val="24"/>
              </w:rPr>
            </w:pPr>
            <w:r w:rsidRPr="00FC6684">
              <w:rPr>
                <w:sz w:val="24"/>
              </w:rPr>
              <w:t>$</w:t>
            </w:r>
            <w:r w:rsidR="009F4A95">
              <w:rPr>
                <w:sz w:val="24"/>
              </w:rPr>
              <w:t>1</w:t>
            </w:r>
            <w:r w:rsidR="00744772">
              <w:rPr>
                <w:sz w:val="24"/>
              </w:rPr>
              <w:t>1,067.68</w:t>
            </w:r>
            <w:r w:rsidRPr="00FC6684" w:rsidR="009B3794">
              <w:rPr>
                <w:sz w:val="24"/>
              </w:rPr>
              <w:t xml:space="preserve"> </w:t>
            </w:r>
            <w:r w:rsidRPr="00FC6684">
              <w:rPr>
                <w:sz w:val="24"/>
              </w:rPr>
              <w:t>(</w:t>
            </w:r>
            <w:r w:rsidRPr="00FC6684" w:rsidR="009B3794">
              <w:rPr>
                <w:sz w:val="24"/>
              </w:rPr>
              <w:t>$</w:t>
            </w:r>
            <w:r w:rsidR="00744772">
              <w:rPr>
                <w:sz w:val="24"/>
              </w:rPr>
              <w:t>5,533.84</w:t>
            </w:r>
            <w:r w:rsidRPr="00FC6684">
              <w:rPr>
                <w:sz w:val="24"/>
              </w:rPr>
              <w:t>per survey)</w:t>
            </w:r>
          </w:p>
        </w:tc>
      </w:tr>
      <w:tr w14:paraId="22E2A38F" w14:textId="77777777" w:rsidTr="00FC6684">
        <w:tblPrEx>
          <w:tblW w:w="7050" w:type="dxa"/>
          <w:tblInd w:w="1883" w:type="dxa"/>
          <w:tblLayout w:type="fixed"/>
          <w:tblLook w:val="01E0"/>
        </w:tblPrEx>
        <w:trPr>
          <w:trHeight w:val="440"/>
        </w:trPr>
        <w:tc>
          <w:tcPr>
            <w:tcW w:w="1883" w:type="dxa"/>
          </w:tcPr>
          <w:p w:rsidR="009B3794" w:rsidRPr="00FC6684" w:rsidP="00CE5AA9" w14:paraId="22E2A38B" w14:textId="77777777">
            <w:pPr>
              <w:widowControl/>
              <w:spacing w:before="120"/>
              <w:rPr>
                <w:sz w:val="24"/>
              </w:rPr>
            </w:pPr>
            <w:r w:rsidRPr="00FC6684">
              <w:rPr>
                <w:sz w:val="24"/>
              </w:rPr>
              <w:t>Total</w:t>
            </w:r>
          </w:p>
        </w:tc>
        <w:tc>
          <w:tcPr>
            <w:tcW w:w="1719" w:type="dxa"/>
          </w:tcPr>
          <w:p w:rsidR="009B3794" w:rsidRPr="00FC6684" w:rsidP="00CE5AA9" w14:paraId="22E2A38C" w14:textId="45A0DFAF">
            <w:pPr>
              <w:widowControl/>
              <w:spacing w:before="120"/>
              <w:rPr>
                <w:sz w:val="24"/>
              </w:rPr>
            </w:pPr>
            <w:r>
              <w:rPr>
                <w:sz w:val="24"/>
              </w:rPr>
              <w:t>104</w:t>
            </w:r>
          </w:p>
        </w:tc>
        <w:tc>
          <w:tcPr>
            <w:tcW w:w="1260" w:type="dxa"/>
          </w:tcPr>
          <w:p w:rsidR="009B3794" w:rsidRPr="00FC6684" w:rsidP="00CE5AA9" w14:paraId="22E2A38D" w14:textId="58FEB17D">
            <w:pPr>
              <w:widowControl/>
              <w:spacing w:before="120"/>
              <w:jc w:val="right"/>
              <w:rPr>
                <w:sz w:val="24"/>
              </w:rPr>
            </w:pPr>
            <w:r>
              <w:rPr>
                <w:sz w:val="24"/>
              </w:rPr>
              <w:t>$</w:t>
            </w:r>
            <w:r w:rsidR="00744772">
              <w:rPr>
                <w:sz w:val="24"/>
              </w:rPr>
              <w:t>53</w:t>
            </w:r>
            <w:r>
              <w:rPr>
                <w:sz w:val="24"/>
              </w:rPr>
              <w:t>.</w:t>
            </w:r>
            <w:r w:rsidR="00744772">
              <w:rPr>
                <w:sz w:val="24"/>
              </w:rPr>
              <w:t>21</w:t>
            </w:r>
          </w:p>
        </w:tc>
        <w:tc>
          <w:tcPr>
            <w:tcW w:w="2188" w:type="dxa"/>
          </w:tcPr>
          <w:p w:rsidR="009B3794" w:rsidRPr="00FC6684" w:rsidP="00CE5AA9" w14:paraId="22E2A38E" w14:textId="1C225F01">
            <w:pPr>
              <w:widowControl/>
              <w:spacing w:before="120"/>
              <w:jc w:val="right"/>
              <w:rPr>
                <w:sz w:val="24"/>
              </w:rPr>
            </w:pPr>
            <w:r w:rsidRPr="00FC6684">
              <w:rPr>
                <w:sz w:val="24"/>
              </w:rPr>
              <w:t>$</w:t>
            </w:r>
            <w:r w:rsidR="00DD1637">
              <w:rPr>
                <w:sz w:val="24"/>
              </w:rPr>
              <w:t>1</w:t>
            </w:r>
            <w:r w:rsidR="00744772">
              <w:rPr>
                <w:sz w:val="24"/>
              </w:rPr>
              <w:t>1,067.68</w:t>
            </w:r>
          </w:p>
        </w:tc>
      </w:tr>
    </w:tbl>
    <w:p w:rsidR="0028443D" w:rsidRPr="00FC6684" w:rsidP="00FC6684" w14:paraId="73C0C7A6" w14:textId="598F575D">
      <w:pPr>
        <w:rPr>
          <w:bCs/>
          <w:sz w:val="24"/>
        </w:rPr>
      </w:pPr>
      <w:r>
        <w:rPr>
          <w:b/>
          <w:sz w:val="24"/>
        </w:rPr>
        <w:tab/>
      </w:r>
      <w:r>
        <w:rPr>
          <w:b/>
          <w:sz w:val="24"/>
        </w:rPr>
        <w:tab/>
      </w:r>
      <w:r>
        <w:rPr>
          <w:b/>
          <w:sz w:val="24"/>
        </w:rPr>
        <w:tab/>
      </w:r>
      <w:r w:rsidRPr="00FC6684">
        <w:rPr>
          <w:bCs/>
          <w:sz w:val="24"/>
        </w:rPr>
        <w:t>*Wage has been doubled</w:t>
      </w:r>
      <w:r w:rsidRPr="00FC6684" w:rsidR="004536E7">
        <w:rPr>
          <w:bCs/>
          <w:sz w:val="24"/>
        </w:rPr>
        <w:t xml:space="preserve"> to account for overhead costs.</w:t>
      </w:r>
    </w:p>
    <w:p w:rsidR="009B3794" w:rsidRPr="00FC6684" w:rsidP="00CA3DA6" w14:paraId="22E2A391" w14:textId="3AAC0175">
      <w:pPr>
        <w:numPr>
          <w:ilvl w:val="0"/>
          <w:numId w:val="2"/>
        </w:numPr>
        <w:tabs>
          <w:tab w:val="num" w:pos="360"/>
        </w:tabs>
        <w:spacing w:before="240"/>
        <w:ind w:left="360"/>
        <w:rPr>
          <w:b/>
          <w:sz w:val="24"/>
        </w:rPr>
      </w:pPr>
      <w:r w:rsidRPr="00FC6684">
        <w:rPr>
          <w:b/>
          <w:sz w:val="24"/>
          <w:u w:val="single"/>
        </w:rPr>
        <w:t xml:space="preserve">Estimates of other Total Annual Cost Burden to Respondents or </w:t>
      </w:r>
    </w:p>
    <w:p w:rsidR="00D11CA3" w:rsidRPr="00FC6684" w:rsidP="00161477" w14:paraId="22E2A394" w14:textId="3050CF53">
      <w:pPr>
        <w:pStyle w:val="BodyTextIndent"/>
        <w:spacing w:before="120"/>
        <w:ind w:left="360"/>
        <w:rPr>
          <w:rFonts w:ascii="Times New Roman" w:hAnsi="Times New Roman"/>
          <w:bCs/>
        </w:rPr>
      </w:pPr>
      <w:r w:rsidRPr="00FC6684">
        <w:rPr>
          <w:rFonts w:ascii="Times New Roman" w:hAnsi="Times New Roman"/>
          <w:bCs/>
        </w:rPr>
        <w:t>Other than their time, there is no cost to respondents.</w:t>
      </w:r>
    </w:p>
    <w:p w:rsidR="008F40D2" w:rsidRPr="00161477" w:rsidP="00161477" w14:paraId="272E5EF2" w14:textId="77777777">
      <w:pPr>
        <w:pStyle w:val="BodyTextIndent"/>
        <w:spacing w:before="120"/>
        <w:ind w:left="360"/>
        <w:rPr>
          <w:rFonts w:ascii="Arial" w:hAnsi="Arial" w:cs="Arial"/>
          <w:bCs/>
        </w:rPr>
      </w:pPr>
    </w:p>
    <w:p w:rsidR="009B3794" w:rsidRPr="00FC6684" w:rsidP="00CA3DA6" w14:paraId="22E2A395" w14:textId="49658582">
      <w:pPr>
        <w:numPr>
          <w:ilvl w:val="0"/>
          <w:numId w:val="2"/>
        </w:numPr>
        <w:tabs>
          <w:tab w:val="num" w:pos="360"/>
        </w:tabs>
        <w:spacing w:before="240"/>
        <w:ind w:left="360"/>
        <w:rPr>
          <w:b/>
          <w:sz w:val="24"/>
        </w:rPr>
      </w:pPr>
      <w:r w:rsidRPr="00FC6684">
        <w:rPr>
          <w:b/>
          <w:sz w:val="24"/>
          <w:u w:val="single"/>
        </w:rPr>
        <w:t>Annualized Cost to Federal Government</w:t>
      </w:r>
    </w:p>
    <w:p w:rsidR="00552182" w:rsidRPr="00FC6684" w:rsidP="00D00080" w14:paraId="547EEE46" w14:textId="3646F74A">
      <w:pPr>
        <w:spacing w:before="240"/>
        <w:ind w:left="360"/>
        <w:rPr>
          <w:bCs/>
          <w:sz w:val="24"/>
        </w:rPr>
      </w:pPr>
      <w:r w:rsidRPr="00FC6684">
        <w:rPr>
          <w:bCs/>
          <w:sz w:val="24"/>
        </w:rPr>
        <w:t xml:space="preserve">Federal staff costs are estimated </w:t>
      </w:r>
      <w:r w:rsidRPr="00FC6684" w:rsidR="003B18A5">
        <w:rPr>
          <w:bCs/>
          <w:sz w:val="24"/>
        </w:rPr>
        <w:t xml:space="preserve">based on </w:t>
      </w:r>
      <w:r w:rsidRPr="00FC6684" w:rsidR="00ED0994">
        <w:rPr>
          <w:bCs/>
          <w:sz w:val="24"/>
        </w:rPr>
        <w:t>staff and hours required for similar projects to</w:t>
      </w:r>
      <w:r w:rsidRPr="00FC6684" w:rsidR="00966FA4">
        <w:rPr>
          <w:bCs/>
          <w:sz w:val="24"/>
        </w:rPr>
        <w:t xml:space="preserve"> review and finaliz</w:t>
      </w:r>
      <w:r w:rsidRPr="00FC6684" w:rsidR="00ED0994">
        <w:rPr>
          <w:bCs/>
          <w:sz w:val="24"/>
        </w:rPr>
        <w:t>e</w:t>
      </w:r>
      <w:r w:rsidRPr="00FC6684" w:rsidR="00966FA4">
        <w:rPr>
          <w:bCs/>
          <w:sz w:val="24"/>
        </w:rPr>
        <w:t xml:space="preserve"> data with</w:t>
      </w:r>
      <w:r w:rsidRPr="00FC6684" w:rsidR="00E261E3">
        <w:rPr>
          <w:bCs/>
          <w:sz w:val="24"/>
        </w:rPr>
        <w:t xml:space="preserve"> technical assistance provider and</w:t>
      </w:r>
      <w:r w:rsidRPr="00FC6684" w:rsidR="00966FA4">
        <w:rPr>
          <w:bCs/>
          <w:sz w:val="24"/>
        </w:rPr>
        <w:t xml:space="preserve"> grantee partners.</w:t>
      </w:r>
    </w:p>
    <w:p w:rsidR="00D00080" w:rsidRPr="00FC6684" w:rsidP="00D00080" w14:paraId="56BFB7BF" w14:textId="00124834">
      <w:pPr>
        <w:spacing w:before="240"/>
        <w:ind w:left="360"/>
        <w:rPr>
          <w:bCs/>
          <w:sz w:val="24"/>
        </w:rPr>
      </w:pPr>
      <w:r w:rsidRPr="00FC6684">
        <w:rPr>
          <w:bCs/>
          <w:sz w:val="24"/>
        </w:rPr>
        <w:t>TA provider</w:t>
      </w:r>
      <w:r w:rsidRPr="00FC6684">
        <w:rPr>
          <w:bCs/>
          <w:sz w:val="24"/>
        </w:rPr>
        <w:t xml:space="preserve"> costs are </w:t>
      </w:r>
      <w:r w:rsidRPr="00FC6684" w:rsidR="007436A2">
        <w:rPr>
          <w:bCs/>
          <w:sz w:val="24"/>
        </w:rPr>
        <w:t>based</w:t>
      </w:r>
      <w:r w:rsidRPr="00FC6684">
        <w:rPr>
          <w:bCs/>
          <w:sz w:val="24"/>
        </w:rPr>
        <w:t xml:space="preserve"> on the</w:t>
      </w:r>
      <w:r w:rsidRPr="00FC6684" w:rsidR="00277383">
        <w:rPr>
          <w:bCs/>
          <w:sz w:val="24"/>
        </w:rPr>
        <w:t>ir budget items related to this activity</w:t>
      </w:r>
      <w:r w:rsidRPr="00FC6684" w:rsidR="00D65472">
        <w:rPr>
          <w:bCs/>
          <w:sz w:val="24"/>
        </w:rPr>
        <w:t xml:space="preserve"> (</w:t>
      </w:r>
      <w:r w:rsidRPr="00FC6684" w:rsidR="003A12E6">
        <w:rPr>
          <w:bCs/>
          <w:sz w:val="24"/>
        </w:rPr>
        <w:t xml:space="preserve">information collection </w:t>
      </w:r>
      <w:r w:rsidRPr="00FC6684" w:rsidR="00C73B29">
        <w:rPr>
          <w:bCs/>
          <w:sz w:val="24"/>
        </w:rPr>
        <w:t>software and staff time</w:t>
      </w:r>
      <w:r w:rsidRPr="00FC6684" w:rsidR="00E36BFD">
        <w:rPr>
          <w:bCs/>
          <w:sz w:val="24"/>
        </w:rPr>
        <w:t xml:space="preserve"> for administration and follow-up</w:t>
      </w:r>
      <w:r w:rsidRPr="00FC6684" w:rsidR="00C73B29">
        <w:rPr>
          <w:bCs/>
          <w:sz w:val="24"/>
        </w:rPr>
        <w:t>).</w:t>
      </w:r>
    </w:p>
    <w:tbl>
      <w:tblPr>
        <w:tblStyle w:val="GridTableLight"/>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
      <w:tblGrid>
        <w:gridCol w:w="3510"/>
        <w:gridCol w:w="1890"/>
        <w:gridCol w:w="1440"/>
        <w:gridCol w:w="1980"/>
      </w:tblGrid>
      <w:tr w14:paraId="13CE56A3" w14:textId="77777777" w:rsidTr="00616B88">
        <w:tblPrEx>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tblPrEx>
        <w:trPr>
          <w:trHeight w:val="300"/>
        </w:trPr>
        <w:tc>
          <w:tcPr>
            <w:tcW w:w="3510" w:type="dxa"/>
          </w:tcPr>
          <w:p w:rsidR="00824404" w:rsidRPr="00FC6684" w:rsidP="00C34AC7" w14:paraId="7696FB0D" w14:textId="77777777">
            <w:pPr>
              <w:rPr>
                <w:sz w:val="24"/>
              </w:rPr>
            </w:pPr>
            <w:r w:rsidRPr="00FC6684">
              <w:rPr>
                <w:b/>
                <w:bCs/>
                <w:sz w:val="24"/>
              </w:rPr>
              <w:t>Item</w:t>
            </w:r>
          </w:p>
        </w:tc>
        <w:tc>
          <w:tcPr>
            <w:tcW w:w="1890" w:type="dxa"/>
          </w:tcPr>
          <w:p w:rsidR="00824404" w:rsidRPr="00FC6684" w:rsidP="00C34AC7" w14:paraId="192A27C6" w14:textId="77777777">
            <w:pPr>
              <w:rPr>
                <w:b/>
                <w:bCs/>
                <w:sz w:val="24"/>
              </w:rPr>
            </w:pPr>
            <w:r w:rsidRPr="00FC6684">
              <w:rPr>
                <w:b/>
                <w:bCs/>
                <w:sz w:val="24"/>
              </w:rPr>
              <w:t>Grade/Salary</w:t>
            </w:r>
          </w:p>
          <w:p w:rsidR="00824404" w:rsidRPr="00FC6684" w:rsidP="00C34AC7" w14:paraId="014488C3" w14:textId="77777777">
            <w:pPr>
              <w:rPr>
                <w:sz w:val="24"/>
              </w:rPr>
            </w:pPr>
            <w:r w:rsidRPr="00FC6684">
              <w:rPr>
                <w:sz w:val="24"/>
              </w:rPr>
              <w:t xml:space="preserve"> </w:t>
            </w:r>
          </w:p>
        </w:tc>
        <w:tc>
          <w:tcPr>
            <w:tcW w:w="1440" w:type="dxa"/>
          </w:tcPr>
          <w:p w:rsidR="00824404" w:rsidRPr="00FC6684" w:rsidP="00C34AC7" w14:paraId="3D3F4C4C" w14:textId="161D5C86">
            <w:pPr>
              <w:rPr>
                <w:sz w:val="24"/>
              </w:rPr>
            </w:pPr>
            <w:r w:rsidRPr="00FC6684">
              <w:rPr>
                <w:b/>
                <w:bCs/>
                <w:sz w:val="24"/>
              </w:rPr>
              <w:t>Hours</w:t>
            </w:r>
          </w:p>
        </w:tc>
        <w:tc>
          <w:tcPr>
            <w:tcW w:w="1980" w:type="dxa"/>
          </w:tcPr>
          <w:p w:rsidR="00824404" w:rsidRPr="00FC6684" w:rsidP="00C34AC7" w14:paraId="405EE6F0" w14:textId="77777777">
            <w:pPr>
              <w:rPr>
                <w:sz w:val="24"/>
              </w:rPr>
            </w:pPr>
            <w:r w:rsidRPr="00FC6684">
              <w:rPr>
                <w:b/>
                <w:bCs/>
                <w:sz w:val="24"/>
              </w:rPr>
              <w:t>Annualized Cost</w:t>
            </w:r>
          </w:p>
        </w:tc>
      </w:tr>
      <w:tr w14:paraId="607E36DA" w14:textId="77777777" w:rsidTr="00616B88">
        <w:tblPrEx>
          <w:tblW w:w="8820" w:type="dxa"/>
          <w:tblInd w:w="535" w:type="dxa"/>
          <w:tblLayout w:type="fixed"/>
          <w:tblLook w:val="06A0"/>
        </w:tblPrEx>
        <w:trPr>
          <w:trHeight w:val="300"/>
        </w:trPr>
        <w:tc>
          <w:tcPr>
            <w:tcW w:w="3510" w:type="dxa"/>
          </w:tcPr>
          <w:p w:rsidR="00824404" w:rsidRPr="00FC6684" w:rsidP="00C34AC7" w14:paraId="6DDE6FB2" w14:textId="77777777">
            <w:pPr>
              <w:rPr>
                <w:sz w:val="24"/>
              </w:rPr>
            </w:pPr>
            <w:r w:rsidRPr="00FC6684">
              <w:rPr>
                <w:sz w:val="24"/>
              </w:rPr>
              <w:t>HRSA/MCHB/DHSPS/Project Staff/SME/Oversight</w:t>
            </w:r>
          </w:p>
        </w:tc>
        <w:tc>
          <w:tcPr>
            <w:tcW w:w="1890" w:type="dxa"/>
          </w:tcPr>
          <w:p w:rsidR="00824404" w:rsidRPr="00FC6684" w:rsidP="00C34AC7" w14:paraId="0970009F" w14:textId="1D6F1553">
            <w:pPr>
              <w:rPr>
                <w:sz w:val="24"/>
              </w:rPr>
            </w:pPr>
            <w:r w:rsidRPr="00FC6684">
              <w:rPr>
                <w:sz w:val="24"/>
              </w:rPr>
              <w:t>GS-1</w:t>
            </w:r>
            <w:r w:rsidRPr="00FC6684" w:rsidR="00AC4DD9">
              <w:rPr>
                <w:sz w:val="24"/>
              </w:rPr>
              <w:t>3</w:t>
            </w:r>
            <w:r w:rsidRPr="00FC6684">
              <w:rPr>
                <w:sz w:val="24"/>
              </w:rPr>
              <w:t>-</w:t>
            </w:r>
            <w:r w:rsidRPr="00FC6684" w:rsidR="006C211C">
              <w:rPr>
                <w:sz w:val="24"/>
              </w:rPr>
              <w:t xml:space="preserve">6 </w:t>
            </w:r>
            <w:r w:rsidRPr="00FC6684">
              <w:rPr>
                <w:sz w:val="24"/>
              </w:rPr>
              <w:t>($</w:t>
            </w:r>
            <w:r w:rsidRPr="00FC6684" w:rsidR="00AE7D0A">
              <w:rPr>
                <w:sz w:val="24"/>
              </w:rPr>
              <w:t>130,683</w:t>
            </w:r>
            <w:r w:rsidRPr="00FC6684">
              <w:rPr>
                <w:sz w:val="24"/>
              </w:rPr>
              <w:t>)</w:t>
            </w:r>
          </w:p>
        </w:tc>
        <w:tc>
          <w:tcPr>
            <w:tcW w:w="1440" w:type="dxa"/>
          </w:tcPr>
          <w:p w:rsidR="00824404" w:rsidRPr="00FC6684" w:rsidP="00C34AC7" w14:paraId="28D4781B" w14:textId="50FDD475">
            <w:pPr>
              <w:rPr>
                <w:sz w:val="24"/>
              </w:rPr>
            </w:pPr>
            <w:r w:rsidRPr="00FC6684">
              <w:rPr>
                <w:sz w:val="24"/>
              </w:rPr>
              <w:t>40</w:t>
            </w:r>
            <w:r w:rsidRPr="00FC6684" w:rsidR="003B18A5">
              <w:rPr>
                <w:sz w:val="24"/>
              </w:rPr>
              <w:t xml:space="preserve"> (20 hours per </w:t>
            </w:r>
            <w:r w:rsidRPr="00FC6684" w:rsidR="003A12E6">
              <w:rPr>
                <w:sz w:val="24"/>
              </w:rPr>
              <w:t>report</w:t>
            </w:r>
            <w:r w:rsidRPr="00FC6684" w:rsidR="003B18A5">
              <w:rPr>
                <w:sz w:val="24"/>
              </w:rPr>
              <w:t>)</w:t>
            </w:r>
          </w:p>
        </w:tc>
        <w:tc>
          <w:tcPr>
            <w:tcW w:w="1980" w:type="dxa"/>
          </w:tcPr>
          <w:p w:rsidR="00824404" w:rsidRPr="00FC6684" w:rsidP="00C34AC7" w14:paraId="7A105AF4" w14:textId="7E056E68">
            <w:pPr>
              <w:rPr>
                <w:sz w:val="24"/>
              </w:rPr>
            </w:pPr>
            <w:r w:rsidRPr="00FC6684">
              <w:rPr>
                <w:sz w:val="24"/>
              </w:rPr>
              <w:t>$</w:t>
            </w:r>
            <w:r w:rsidRPr="00FC6684" w:rsidR="006E0CE9">
              <w:rPr>
                <w:sz w:val="24"/>
              </w:rPr>
              <w:t>3,</w:t>
            </w:r>
            <w:r w:rsidRPr="00FC6684" w:rsidR="001F707B">
              <w:rPr>
                <w:sz w:val="24"/>
              </w:rPr>
              <w:t>350</w:t>
            </w:r>
            <w:r w:rsidRPr="00FC6684" w:rsidR="00B709D3">
              <w:rPr>
                <w:sz w:val="24"/>
              </w:rPr>
              <w:t>*</w:t>
            </w:r>
          </w:p>
        </w:tc>
      </w:tr>
      <w:tr w14:paraId="598FF7E4" w14:textId="77777777" w:rsidTr="00616B88">
        <w:tblPrEx>
          <w:tblW w:w="8820" w:type="dxa"/>
          <w:tblInd w:w="535" w:type="dxa"/>
          <w:tblLayout w:type="fixed"/>
          <w:tblLook w:val="06A0"/>
        </w:tblPrEx>
        <w:trPr>
          <w:trHeight w:val="300"/>
        </w:trPr>
        <w:tc>
          <w:tcPr>
            <w:tcW w:w="3510" w:type="dxa"/>
          </w:tcPr>
          <w:p w:rsidR="00824404" w:rsidRPr="00FC6684" w:rsidP="00C34AC7" w14:paraId="41C7B7AD" w14:textId="0D4E6DE7">
            <w:pPr>
              <w:rPr>
                <w:sz w:val="24"/>
              </w:rPr>
            </w:pPr>
            <w:r w:rsidRPr="00FC6684">
              <w:rPr>
                <w:sz w:val="24"/>
              </w:rPr>
              <w:t>TA provider costs (</w:t>
            </w:r>
            <w:r w:rsidRPr="00FC6684" w:rsidR="003A12E6">
              <w:rPr>
                <w:sz w:val="24"/>
              </w:rPr>
              <w:t>information collection</w:t>
            </w:r>
            <w:r w:rsidRPr="00FC6684" w:rsidR="00216598">
              <w:rPr>
                <w:sz w:val="24"/>
              </w:rPr>
              <w:t xml:space="preserve"> software and staff time for </w:t>
            </w:r>
            <w:r w:rsidRPr="00FC6684">
              <w:rPr>
                <w:sz w:val="24"/>
              </w:rPr>
              <w:t>administr</w:t>
            </w:r>
            <w:r w:rsidRPr="00FC6684" w:rsidR="00CA5D89">
              <w:rPr>
                <w:sz w:val="24"/>
              </w:rPr>
              <w:t>ation and follow-up</w:t>
            </w:r>
            <w:r w:rsidRPr="00FC6684" w:rsidR="00F8205F">
              <w:rPr>
                <w:sz w:val="24"/>
              </w:rPr>
              <w:t>, including fringe benefits</w:t>
            </w:r>
            <w:r w:rsidRPr="00FC6684">
              <w:rPr>
                <w:sz w:val="24"/>
              </w:rPr>
              <w:t>)</w:t>
            </w:r>
          </w:p>
        </w:tc>
        <w:tc>
          <w:tcPr>
            <w:tcW w:w="1890" w:type="dxa"/>
          </w:tcPr>
          <w:p w:rsidR="00824404" w:rsidRPr="00FC6684" w:rsidP="00C34AC7" w14:paraId="25DE431D" w14:textId="77777777">
            <w:pPr>
              <w:rPr>
                <w:sz w:val="24"/>
              </w:rPr>
            </w:pPr>
            <w:r w:rsidRPr="00FC6684">
              <w:rPr>
                <w:sz w:val="24"/>
              </w:rPr>
              <w:t xml:space="preserve"> </w:t>
            </w:r>
          </w:p>
        </w:tc>
        <w:tc>
          <w:tcPr>
            <w:tcW w:w="1440" w:type="dxa"/>
          </w:tcPr>
          <w:p w:rsidR="00824404" w:rsidRPr="00FC6684" w:rsidP="00C34AC7" w14:paraId="5AC16C27" w14:textId="77777777">
            <w:pPr>
              <w:rPr>
                <w:sz w:val="24"/>
              </w:rPr>
            </w:pPr>
            <w:r w:rsidRPr="00FC6684">
              <w:rPr>
                <w:sz w:val="24"/>
              </w:rPr>
              <w:t xml:space="preserve"> </w:t>
            </w:r>
          </w:p>
        </w:tc>
        <w:tc>
          <w:tcPr>
            <w:tcW w:w="1980" w:type="dxa"/>
          </w:tcPr>
          <w:p w:rsidR="00824404" w:rsidRPr="00FC6684" w:rsidP="00C34AC7" w14:paraId="495EEBFC" w14:textId="66096E14">
            <w:pPr>
              <w:rPr>
                <w:sz w:val="24"/>
              </w:rPr>
            </w:pPr>
            <w:r w:rsidRPr="00FC6684">
              <w:rPr>
                <w:sz w:val="24"/>
              </w:rPr>
              <w:t>$</w:t>
            </w:r>
            <w:r w:rsidRPr="00FC6684" w:rsidR="00CF0EFA">
              <w:rPr>
                <w:sz w:val="24"/>
              </w:rPr>
              <w:t>7452</w:t>
            </w:r>
          </w:p>
        </w:tc>
      </w:tr>
      <w:tr w14:paraId="3EC61AB8" w14:textId="77777777" w:rsidTr="00616B88">
        <w:tblPrEx>
          <w:tblW w:w="8820" w:type="dxa"/>
          <w:tblInd w:w="535" w:type="dxa"/>
          <w:tblLayout w:type="fixed"/>
          <w:tblLook w:val="06A0"/>
        </w:tblPrEx>
        <w:trPr>
          <w:trHeight w:val="300"/>
        </w:trPr>
        <w:tc>
          <w:tcPr>
            <w:tcW w:w="3510" w:type="dxa"/>
          </w:tcPr>
          <w:p w:rsidR="00824404" w:rsidRPr="00FC6684" w:rsidP="00C34AC7" w14:paraId="0325BB66" w14:textId="77777777">
            <w:pPr>
              <w:rPr>
                <w:sz w:val="24"/>
              </w:rPr>
            </w:pPr>
            <w:r w:rsidRPr="00FC6684">
              <w:rPr>
                <w:sz w:val="24"/>
              </w:rPr>
              <w:t>Total</w:t>
            </w:r>
          </w:p>
        </w:tc>
        <w:tc>
          <w:tcPr>
            <w:tcW w:w="1890" w:type="dxa"/>
          </w:tcPr>
          <w:p w:rsidR="00824404" w:rsidRPr="00FC6684" w:rsidP="00C34AC7" w14:paraId="5992FC2A" w14:textId="77777777">
            <w:pPr>
              <w:rPr>
                <w:sz w:val="24"/>
              </w:rPr>
            </w:pPr>
            <w:r w:rsidRPr="00FC6684">
              <w:rPr>
                <w:sz w:val="24"/>
              </w:rPr>
              <w:t xml:space="preserve"> </w:t>
            </w:r>
          </w:p>
        </w:tc>
        <w:tc>
          <w:tcPr>
            <w:tcW w:w="1440" w:type="dxa"/>
          </w:tcPr>
          <w:p w:rsidR="00824404" w:rsidRPr="00FC6684" w:rsidP="00C34AC7" w14:paraId="76E0B55E" w14:textId="77777777">
            <w:pPr>
              <w:rPr>
                <w:sz w:val="24"/>
              </w:rPr>
            </w:pPr>
            <w:r w:rsidRPr="00FC6684">
              <w:rPr>
                <w:sz w:val="24"/>
              </w:rPr>
              <w:t xml:space="preserve"> </w:t>
            </w:r>
          </w:p>
        </w:tc>
        <w:tc>
          <w:tcPr>
            <w:tcW w:w="1980" w:type="dxa"/>
          </w:tcPr>
          <w:p w:rsidR="00824404" w:rsidRPr="00FC6684" w:rsidP="00C34AC7" w14:paraId="259ACD63" w14:textId="1378BFAF">
            <w:pPr>
              <w:rPr>
                <w:sz w:val="24"/>
              </w:rPr>
            </w:pPr>
            <w:r w:rsidRPr="00FC6684">
              <w:rPr>
                <w:sz w:val="24"/>
              </w:rPr>
              <w:t>$</w:t>
            </w:r>
            <w:r w:rsidRPr="00FC6684" w:rsidR="00C947E3">
              <w:rPr>
                <w:sz w:val="24"/>
              </w:rPr>
              <w:t>10,802</w:t>
            </w:r>
          </w:p>
        </w:tc>
      </w:tr>
    </w:tbl>
    <w:p w:rsidR="00824404" w:rsidRPr="00FC6684" w:rsidP="00F63239" w14:paraId="0FD84335" w14:textId="28A1CC40">
      <w:pPr>
        <w:ind w:left="540"/>
        <w:rPr>
          <w:bCs/>
          <w:sz w:val="24"/>
        </w:rPr>
      </w:pPr>
      <w:r w:rsidRPr="00FC6684">
        <w:rPr>
          <w:bCs/>
          <w:sz w:val="24"/>
        </w:rPr>
        <w:t>*</w:t>
      </w:r>
      <w:r w:rsidRPr="00FC6684" w:rsidR="006D38DF">
        <w:rPr>
          <w:bCs/>
          <w:sz w:val="24"/>
        </w:rPr>
        <w:t>Federal staff cost i</w:t>
      </w:r>
      <w:r w:rsidRPr="00FC6684">
        <w:rPr>
          <w:bCs/>
          <w:sz w:val="24"/>
        </w:rPr>
        <w:t xml:space="preserve">ncludes </w:t>
      </w:r>
      <w:r w:rsidRPr="00FC6684" w:rsidR="005300F9">
        <w:rPr>
          <w:bCs/>
          <w:sz w:val="24"/>
        </w:rPr>
        <w:t>overhead and benefits</w:t>
      </w:r>
      <w:r w:rsidRPr="00FC6684" w:rsidR="00F63239">
        <w:rPr>
          <w:bCs/>
          <w:sz w:val="24"/>
        </w:rPr>
        <w:t>.</w:t>
      </w:r>
    </w:p>
    <w:p w:rsidR="009B3794" w:rsidRPr="00FC6684" w:rsidP="00CA3DA6" w14:paraId="22E2A398" w14:textId="77777777">
      <w:pPr>
        <w:numPr>
          <w:ilvl w:val="0"/>
          <w:numId w:val="2"/>
        </w:numPr>
        <w:tabs>
          <w:tab w:val="num" w:pos="360"/>
        </w:tabs>
        <w:spacing w:before="240"/>
        <w:ind w:left="360"/>
        <w:rPr>
          <w:b/>
          <w:sz w:val="24"/>
        </w:rPr>
      </w:pPr>
      <w:r w:rsidRPr="00FC6684">
        <w:rPr>
          <w:b/>
          <w:sz w:val="24"/>
          <w:u w:val="single"/>
        </w:rPr>
        <w:t>Explanation for Program Changes or Adjustments</w:t>
      </w:r>
    </w:p>
    <w:p w:rsidR="009B3794" w:rsidRPr="00FC6684" w:rsidP="00CA3DA6" w14:paraId="22E2A39E" w14:textId="32742740">
      <w:pPr>
        <w:pStyle w:val="BodyTextIndent"/>
        <w:spacing w:before="120"/>
        <w:ind w:left="360"/>
        <w:rPr>
          <w:rFonts w:ascii="Times New Roman" w:hAnsi="Times New Roman"/>
          <w:b/>
        </w:rPr>
      </w:pPr>
      <w:r w:rsidRPr="00FC6684">
        <w:rPr>
          <w:rFonts w:ascii="Times New Roman" w:hAnsi="Times New Roman"/>
        </w:rPr>
        <w:t xml:space="preserve">This is a new </w:t>
      </w:r>
      <w:r w:rsidRPr="00FC6684" w:rsidR="00FE6C30">
        <w:rPr>
          <w:rFonts w:ascii="Times New Roman" w:hAnsi="Times New Roman"/>
        </w:rPr>
        <w:t>information</w:t>
      </w:r>
      <w:r w:rsidRPr="00FC6684">
        <w:rPr>
          <w:rFonts w:ascii="Times New Roman" w:hAnsi="Times New Roman"/>
        </w:rPr>
        <w:t xml:space="preserve"> collection.</w:t>
      </w:r>
    </w:p>
    <w:p w:rsidR="00E962DB" w:rsidRPr="00FC6684" w:rsidP="00CA3DA6" w14:paraId="22E2A39F" w14:textId="2D129C3E">
      <w:pPr>
        <w:pStyle w:val="BodyTextIndent"/>
        <w:spacing w:before="120"/>
        <w:ind w:left="360"/>
        <w:rPr>
          <w:rFonts w:ascii="Times New Roman" w:hAnsi="Times New Roman"/>
        </w:rPr>
      </w:pPr>
    </w:p>
    <w:p w:rsidR="009B3794" w:rsidRPr="00FC6684" w:rsidP="00CA3DA6" w14:paraId="22E2A3A0" w14:textId="77777777">
      <w:pPr>
        <w:numPr>
          <w:ilvl w:val="0"/>
          <w:numId w:val="2"/>
        </w:numPr>
        <w:tabs>
          <w:tab w:val="num" w:pos="360"/>
        </w:tabs>
        <w:spacing w:before="240"/>
        <w:ind w:left="360"/>
        <w:rPr>
          <w:b/>
          <w:sz w:val="24"/>
        </w:rPr>
      </w:pPr>
      <w:r w:rsidRPr="00FC6684">
        <w:rPr>
          <w:b/>
          <w:sz w:val="24"/>
          <w:u w:val="single"/>
        </w:rPr>
        <w:t>Plans for Tabulation</w:t>
      </w:r>
      <w:r w:rsidRPr="00FC6684" w:rsidR="002118B4">
        <w:rPr>
          <w:b/>
          <w:sz w:val="24"/>
          <w:u w:val="single"/>
        </w:rPr>
        <w:t xml:space="preserve">, </w:t>
      </w:r>
      <w:r w:rsidRPr="00FC6684">
        <w:rPr>
          <w:b/>
          <w:sz w:val="24"/>
          <w:u w:val="single"/>
        </w:rPr>
        <w:t>Publication</w:t>
      </w:r>
      <w:r w:rsidRPr="00FC6684" w:rsidR="002118B4">
        <w:rPr>
          <w:b/>
          <w:sz w:val="24"/>
          <w:u w:val="single"/>
        </w:rPr>
        <w:t>,</w:t>
      </w:r>
      <w:r w:rsidRPr="00FC6684">
        <w:rPr>
          <w:b/>
          <w:sz w:val="24"/>
          <w:u w:val="single"/>
        </w:rPr>
        <w:t xml:space="preserve"> and Project Time Schedule</w:t>
      </w:r>
    </w:p>
    <w:p w:rsidR="00C67D3A" w:rsidRPr="00FC6684" w:rsidP="00CA3DA6" w14:paraId="4636D9F4" w14:textId="1F7957CF">
      <w:pPr>
        <w:spacing w:before="120"/>
        <w:ind w:left="360"/>
        <w:rPr>
          <w:sz w:val="24"/>
        </w:rPr>
      </w:pPr>
      <w:r w:rsidRPr="00FC6684">
        <w:rPr>
          <w:sz w:val="24"/>
        </w:rPr>
        <w:t xml:space="preserve">The </w:t>
      </w:r>
      <w:r w:rsidRPr="00FC6684" w:rsidR="002B5C5C">
        <w:rPr>
          <w:sz w:val="24"/>
        </w:rPr>
        <w:t xml:space="preserve">total </w:t>
      </w:r>
      <w:r w:rsidRPr="00FC6684">
        <w:rPr>
          <w:sz w:val="24"/>
        </w:rPr>
        <w:t xml:space="preserve">number of birthing facilities participating in AIM </w:t>
      </w:r>
      <w:r w:rsidRPr="00FC6684" w:rsidR="002B5C5C">
        <w:rPr>
          <w:sz w:val="24"/>
        </w:rPr>
        <w:t xml:space="preserve">(aggregated for the whole US, not reported by </w:t>
      </w:r>
      <w:r w:rsidR="00FC72C3">
        <w:rPr>
          <w:sz w:val="24"/>
        </w:rPr>
        <w:t>State</w:t>
      </w:r>
      <w:r w:rsidRPr="00FC6684" w:rsidR="002B5C5C">
        <w:rPr>
          <w:sz w:val="24"/>
        </w:rPr>
        <w:t xml:space="preserve">/jurisdiction) </w:t>
      </w:r>
      <w:r w:rsidRPr="00FC6684">
        <w:rPr>
          <w:sz w:val="24"/>
        </w:rPr>
        <w:t xml:space="preserve">and the safety bundles being implemented </w:t>
      </w:r>
      <w:r w:rsidRPr="00FC6684" w:rsidR="002B5C5C">
        <w:rPr>
          <w:sz w:val="24"/>
        </w:rPr>
        <w:t>(</w:t>
      </w:r>
      <w:r w:rsidRPr="00FC6684" w:rsidR="009B7DE1">
        <w:rPr>
          <w:sz w:val="24"/>
        </w:rPr>
        <w:t xml:space="preserve">by </w:t>
      </w:r>
      <w:r w:rsidR="00FC72C3">
        <w:rPr>
          <w:sz w:val="24"/>
        </w:rPr>
        <w:t>State</w:t>
      </w:r>
      <w:r w:rsidRPr="00FC6684" w:rsidR="009B7DE1">
        <w:rPr>
          <w:sz w:val="24"/>
        </w:rPr>
        <w:t>/jurisdiction) will be</w:t>
      </w:r>
      <w:r w:rsidRPr="00FC6684">
        <w:rPr>
          <w:sz w:val="24"/>
        </w:rPr>
        <w:t xml:space="preserve"> </w:t>
      </w:r>
      <w:r w:rsidRPr="00FC6684" w:rsidR="009B7DE1">
        <w:rPr>
          <w:sz w:val="24"/>
        </w:rPr>
        <w:t>used to update</w:t>
      </w:r>
      <w:r w:rsidRPr="00FC6684" w:rsidR="002B5C5C">
        <w:rPr>
          <w:sz w:val="24"/>
        </w:rPr>
        <w:t xml:space="preserve"> the HRSA and AIM websites</w:t>
      </w:r>
      <w:r w:rsidR="009C3FDD">
        <w:rPr>
          <w:sz w:val="24"/>
        </w:rPr>
        <w:t xml:space="preserve"> (</w:t>
      </w:r>
      <w:hyperlink r:id="rId16" w:history="1">
        <w:r w:rsidRPr="00642533" w:rsidR="009C3FDD">
          <w:rPr>
            <w:rStyle w:val="Hyperlink"/>
            <w:sz w:val="24"/>
          </w:rPr>
          <w:t>Alliance for Innovation on Maternal Health (AIM) | MCHB (hrsa.gov)</w:t>
        </w:r>
      </w:hyperlink>
      <w:r w:rsidRPr="009C3FDD" w:rsidR="009C3FDD">
        <w:rPr>
          <w:sz w:val="24"/>
        </w:rPr>
        <w:t xml:space="preserve">; </w:t>
      </w:r>
      <w:hyperlink r:id="rId17" w:history="1">
        <w:r w:rsidRPr="00642533" w:rsidR="009C3FDD">
          <w:rPr>
            <w:rStyle w:val="Hyperlink"/>
            <w:sz w:val="24"/>
          </w:rPr>
          <w:t>AIM | Alliance For Innovation On Maternal Health (saferbirth.org)</w:t>
        </w:r>
      </w:hyperlink>
      <w:r w:rsidRPr="00642533" w:rsidR="009C3FDD">
        <w:rPr>
          <w:sz w:val="24"/>
        </w:rPr>
        <w:t xml:space="preserve">) </w:t>
      </w:r>
      <w:r w:rsidRPr="009C3FDD" w:rsidR="009C3FDD">
        <w:rPr>
          <w:sz w:val="24"/>
        </w:rPr>
        <w:t xml:space="preserve">after </w:t>
      </w:r>
      <w:r w:rsidR="009C3FDD">
        <w:rPr>
          <w:sz w:val="24"/>
        </w:rPr>
        <w:t>the data for each report is final</w:t>
      </w:r>
      <w:r w:rsidRPr="00FC6684" w:rsidR="00B47FA4">
        <w:rPr>
          <w:sz w:val="24"/>
        </w:rPr>
        <w:t>.</w:t>
      </w:r>
      <w:r w:rsidRPr="00FC6684" w:rsidR="004724D5">
        <w:rPr>
          <w:sz w:val="24"/>
        </w:rPr>
        <w:t xml:space="preserve"> The aggregated number of birthing facilities participating in AIM across the whole US </w:t>
      </w:r>
      <w:r w:rsidRPr="00FC6684" w:rsidR="00145E90">
        <w:rPr>
          <w:sz w:val="24"/>
        </w:rPr>
        <w:t>will be used to report on an AIM congressional justification measure.</w:t>
      </w:r>
      <w:r w:rsidRPr="00FC6684" w:rsidR="000E17D4">
        <w:rPr>
          <w:sz w:val="24"/>
        </w:rPr>
        <w:t xml:space="preserve"> </w:t>
      </w:r>
      <w:r w:rsidRPr="00FC6684" w:rsidR="00EF6EA5">
        <w:rPr>
          <w:sz w:val="24"/>
        </w:rPr>
        <w:t xml:space="preserve">Except for the bundles being implemented in each </w:t>
      </w:r>
      <w:r w:rsidR="00FC72C3">
        <w:rPr>
          <w:sz w:val="24"/>
        </w:rPr>
        <w:t>State</w:t>
      </w:r>
      <w:r w:rsidRPr="00FC6684" w:rsidR="00EF6EA5">
        <w:rPr>
          <w:sz w:val="24"/>
        </w:rPr>
        <w:t>, all data shared will be aggregated; d</w:t>
      </w:r>
      <w:r w:rsidRPr="00FC6684" w:rsidR="005C47E8">
        <w:rPr>
          <w:sz w:val="24"/>
        </w:rPr>
        <w:t xml:space="preserve">ata </w:t>
      </w:r>
      <w:r w:rsidRPr="00FC6684" w:rsidR="00EF6EA5">
        <w:rPr>
          <w:sz w:val="24"/>
        </w:rPr>
        <w:t>for individual respondents will not be made public.</w:t>
      </w:r>
    </w:p>
    <w:p w:rsidR="008C5E60" w:rsidRPr="00FC6684" w:rsidP="004A7F6E" w14:paraId="53082CF6" w14:textId="0D9FDA2C">
      <w:pPr>
        <w:spacing w:before="120"/>
        <w:ind w:left="360"/>
        <w:rPr>
          <w:sz w:val="24"/>
        </w:rPr>
      </w:pPr>
      <w:r w:rsidRPr="00FC6684">
        <w:rPr>
          <w:sz w:val="24"/>
        </w:rPr>
        <w:t>Information collection will not use statistical methods such as sampling, imputation, or other statistical estimation techniques.</w:t>
      </w:r>
    </w:p>
    <w:p w:rsidR="007E1101" w:rsidRPr="00FC6684" w:rsidP="00CA3DA6" w14:paraId="6812AA7A" w14:textId="6F238D8C">
      <w:pPr>
        <w:spacing w:before="120"/>
        <w:ind w:left="360"/>
        <w:rPr>
          <w:sz w:val="24"/>
        </w:rPr>
      </w:pPr>
      <w:r w:rsidRPr="00FC6684">
        <w:rPr>
          <w:sz w:val="24"/>
        </w:rPr>
        <w:t xml:space="preserve">The collection of information will </w:t>
      </w:r>
      <w:r w:rsidRPr="00FC6684" w:rsidR="005C47E8">
        <w:rPr>
          <w:sz w:val="24"/>
        </w:rPr>
        <w:t xml:space="preserve">be ongoing throughout the project and </w:t>
      </w:r>
      <w:r w:rsidRPr="00FC6684">
        <w:rPr>
          <w:sz w:val="24"/>
        </w:rPr>
        <w:t>occur every 6 months</w:t>
      </w:r>
      <w:r w:rsidRPr="00FC6684" w:rsidR="006A44E2">
        <w:rPr>
          <w:sz w:val="24"/>
        </w:rPr>
        <w:t>.</w:t>
      </w:r>
      <w:r w:rsidRPr="00FC6684" w:rsidR="005C47E8">
        <w:rPr>
          <w:sz w:val="24"/>
        </w:rPr>
        <w:t xml:space="preserve"> </w:t>
      </w:r>
      <w:r w:rsidRPr="00FC6684" w:rsidR="002D3928">
        <w:rPr>
          <w:sz w:val="24"/>
        </w:rPr>
        <w:t>A 3-year clearance is requested.</w:t>
      </w:r>
      <w:r w:rsidRPr="00FC6684" w:rsidR="008C5E60">
        <w:rPr>
          <w:sz w:val="24"/>
        </w:rPr>
        <w:t xml:space="preserve"> Data collection will begin when clearance is received.</w:t>
      </w:r>
      <w:r w:rsidRPr="00FC6684" w:rsidR="00EC52B9">
        <w:rPr>
          <w:sz w:val="24"/>
        </w:rPr>
        <w:t xml:space="preserve"> The table below outlines the expected</w:t>
      </w:r>
      <w:r w:rsidRPr="00FC6684" w:rsidR="003F516B">
        <w:rPr>
          <w:sz w:val="24"/>
        </w:rPr>
        <w:t xml:space="preserve"> evaluation timeline</w:t>
      </w:r>
      <w:r w:rsidRPr="00FC6684" w:rsidR="00827ABE">
        <w:rPr>
          <w:sz w:val="24"/>
        </w:rPr>
        <w:t xml:space="preserve"> for </w:t>
      </w:r>
      <w:r w:rsidRPr="00FC6684" w:rsidR="009066EC">
        <w:rPr>
          <w:sz w:val="24"/>
        </w:rPr>
        <w:t>2024</w:t>
      </w:r>
      <w:r w:rsidR="00EF568C">
        <w:rPr>
          <w:sz w:val="24"/>
        </w:rPr>
        <w:t xml:space="preserve"> and 2025</w:t>
      </w:r>
      <w:r w:rsidRPr="00FC6684" w:rsidR="00827ABE">
        <w:rPr>
          <w:sz w:val="24"/>
        </w:rPr>
        <w:t>.</w:t>
      </w:r>
    </w:p>
    <w:p w:rsidR="00C67D3A" w:rsidP="00CA3DA6" w14:paraId="56175A3F" w14:textId="3EC961ED">
      <w:pPr>
        <w:spacing w:before="120"/>
        <w:ind w:left="360"/>
        <w:rPr>
          <w:rFonts w:ascii="Arial" w:hAnsi="Arial" w:cs="Arial"/>
          <w:sz w:val="24"/>
        </w:rPr>
      </w:pPr>
    </w:p>
    <w:p w:rsidR="000F6947" w:rsidP="00CA3DA6" w14:paraId="17AC4076" w14:textId="1D6891C0">
      <w:pPr>
        <w:spacing w:before="120"/>
        <w:ind w:left="360"/>
        <w:rPr>
          <w:rFonts w:ascii="Arial" w:hAnsi="Arial" w:cs="Arial"/>
          <w:sz w:val="24"/>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5840"/>
        <w:gridCol w:w="2970"/>
      </w:tblGrid>
      <w:tr w14:paraId="1FDD8F93" w14:textId="77777777" w:rsidTr="00827ABE">
        <w:tblPrEx>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5840" w:type="dxa"/>
            <w:tcBorders>
              <w:top w:val="single" w:sz="8" w:space="0" w:color="A3A3A3"/>
              <w:left w:val="single" w:sz="8" w:space="0" w:color="A3A3A3"/>
              <w:bottom w:val="single" w:sz="8" w:space="0" w:color="A3A3A3"/>
              <w:right w:val="single" w:sz="8" w:space="0" w:color="A3A3A3"/>
            </w:tcBorders>
            <w:shd w:val="clear" w:color="auto" w:fill="E7E6E6"/>
            <w:tcMar>
              <w:top w:w="80" w:type="dxa"/>
              <w:left w:w="80" w:type="dxa"/>
              <w:bottom w:w="80" w:type="dxa"/>
              <w:right w:w="80" w:type="dxa"/>
            </w:tcMar>
            <w:hideMark/>
          </w:tcPr>
          <w:p w:rsidR="00827ABE" w:rsidRPr="00FC6684" w:rsidP="00C34AC7" w14:paraId="6E7DE723" w14:textId="77777777">
            <w:pPr>
              <w:rPr>
                <w:sz w:val="24"/>
              </w:rPr>
            </w:pPr>
            <w:r w:rsidRPr="00FC6684">
              <w:rPr>
                <w:b/>
                <w:bCs/>
                <w:sz w:val="24"/>
              </w:rPr>
              <w:t>Item</w:t>
            </w:r>
          </w:p>
        </w:tc>
        <w:tc>
          <w:tcPr>
            <w:tcW w:w="2970" w:type="dxa"/>
            <w:tcBorders>
              <w:top w:val="single" w:sz="8" w:space="0" w:color="A3A3A3"/>
              <w:left w:val="single" w:sz="8" w:space="0" w:color="A3A3A3"/>
              <w:bottom w:val="single" w:sz="8" w:space="0" w:color="A3A3A3"/>
              <w:right w:val="single" w:sz="8" w:space="0" w:color="A3A3A3"/>
            </w:tcBorders>
            <w:shd w:val="clear" w:color="auto" w:fill="E7E6E6"/>
            <w:tcMar>
              <w:top w:w="80" w:type="dxa"/>
              <w:left w:w="80" w:type="dxa"/>
              <w:bottom w:w="80" w:type="dxa"/>
              <w:right w:w="80" w:type="dxa"/>
            </w:tcMar>
            <w:hideMark/>
          </w:tcPr>
          <w:p w:rsidR="00827ABE" w:rsidRPr="00FC6684" w:rsidP="00C34AC7" w14:paraId="30B80D28" w14:textId="77777777">
            <w:pPr>
              <w:rPr>
                <w:sz w:val="24"/>
              </w:rPr>
            </w:pPr>
            <w:r w:rsidRPr="00FC6684">
              <w:rPr>
                <w:b/>
                <w:bCs/>
                <w:sz w:val="24"/>
              </w:rPr>
              <w:t>Due Date</w:t>
            </w:r>
          </w:p>
        </w:tc>
      </w:tr>
      <w:tr w14:paraId="068C350B" w14:textId="77777777" w:rsidTr="00827ABE">
        <w:tblPrEx>
          <w:tblW w:w="0" w:type="auto"/>
          <w:tblCellMar>
            <w:left w:w="0" w:type="dxa"/>
            <w:right w:w="0" w:type="dxa"/>
          </w:tblCellMar>
          <w:tblLook w:val="04A0"/>
        </w:tblPrEx>
        <w:tc>
          <w:tcPr>
            <w:tcW w:w="58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12896" w:rsidRPr="00FC6684" w:rsidP="00F12896" w14:paraId="300A6E4C" w14:textId="1895F3BC">
            <w:pPr>
              <w:rPr>
                <w:sz w:val="24"/>
              </w:rPr>
            </w:pPr>
            <w:r w:rsidRPr="00FC6684">
              <w:rPr>
                <w:sz w:val="24"/>
              </w:rPr>
              <w:t xml:space="preserve">Biannual report sent to </w:t>
            </w:r>
            <w:r w:rsidR="00FC72C3">
              <w:rPr>
                <w:sz w:val="24"/>
              </w:rPr>
              <w:t>State</w:t>
            </w:r>
            <w:r w:rsidRPr="00FC6684">
              <w:rPr>
                <w:sz w:val="24"/>
              </w:rPr>
              <w:t xml:space="preserve"> and jurisdiction teams</w:t>
            </w:r>
          </w:p>
        </w:tc>
        <w:tc>
          <w:tcPr>
            <w:tcW w:w="2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12896" w:rsidRPr="00FC6684" w:rsidP="00F12896" w14:paraId="1B362092" w14:textId="7953E842">
            <w:pPr>
              <w:rPr>
                <w:sz w:val="24"/>
              </w:rPr>
            </w:pPr>
            <w:r w:rsidRPr="00FC6684">
              <w:rPr>
                <w:sz w:val="24"/>
              </w:rPr>
              <w:t>September 11, 2024</w:t>
            </w:r>
          </w:p>
        </w:tc>
      </w:tr>
      <w:tr w14:paraId="30BF662C" w14:textId="77777777" w:rsidTr="00827ABE">
        <w:tblPrEx>
          <w:tblW w:w="0" w:type="auto"/>
          <w:tblCellMar>
            <w:left w:w="0" w:type="dxa"/>
            <w:right w:w="0" w:type="dxa"/>
          </w:tblCellMar>
          <w:tblLook w:val="04A0"/>
        </w:tblPrEx>
        <w:tc>
          <w:tcPr>
            <w:tcW w:w="58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12896" w:rsidRPr="00FC6684" w:rsidP="00F12896" w14:paraId="3C27B97B" w14:textId="4BB42A25">
            <w:pPr>
              <w:rPr>
                <w:sz w:val="24"/>
              </w:rPr>
            </w:pPr>
            <w:r w:rsidRPr="00FC6684">
              <w:rPr>
                <w:sz w:val="24"/>
              </w:rPr>
              <w:t xml:space="preserve">Biannual reports due from </w:t>
            </w:r>
            <w:r w:rsidR="00FC72C3">
              <w:rPr>
                <w:sz w:val="24"/>
              </w:rPr>
              <w:t>State</w:t>
            </w:r>
            <w:r w:rsidRPr="00FC6684">
              <w:rPr>
                <w:sz w:val="24"/>
              </w:rPr>
              <w:t xml:space="preserve"> and jurisdiction teams</w:t>
            </w:r>
          </w:p>
        </w:tc>
        <w:tc>
          <w:tcPr>
            <w:tcW w:w="2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12896" w:rsidRPr="00FC6684" w:rsidP="00F12896" w14:paraId="5B0382D7" w14:textId="4A0395DB">
            <w:pPr>
              <w:rPr>
                <w:sz w:val="24"/>
              </w:rPr>
            </w:pPr>
            <w:r w:rsidRPr="00FC6684">
              <w:rPr>
                <w:sz w:val="24"/>
              </w:rPr>
              <w:t>October 11, 2024</w:t>
            </w:r>
          </w:p>
        </w:tc>
      </w:tr>
      <w:tr w14:paraId="2C03563B" w14:textId="77777777" w:rsidTr="00827ABE">
        <w:tblPrEx>
          <w:tblW w:w="0" w:type="auto"/>
          <w:tblCellMar>
            <w:left w:w="0" w:type="dxa"/>
            <w:right w:w="0" w:type="dxa"/>
          </w:tblCellMar>
          <w:tblLook w:val="04A0"/>
        </w:tblPrEx>
        <w:tc>
          <w:tcPr>
            <w:tcW w:w="58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12896" w:rsidRPr="00FC6684" w:rsidP="00F12896" w14:paraId="5C5EEF97" w14:textId="59C1A5C8">
            <w:pPr>
              <w:rPr>
                <w:sz w:val="24"/>
              </w:rPr>
            </w:pPr>
            <w:r w:rsidRPr="00FC6684">
              <w:rPr>
                <w:sz w:val="24"/>
              </w:rPr>
              <w:t xml:space="preserve">Biannual report validations and follow-up with </w:t>
            </w:r>
            <w:r w:rsidR="00FC72C3">
              <w:rPr>
                <w:sz w:val="24"/>
              </w:rPr>
              <w:t>State</w:t>
            </w:r>
            <w:r w:rsidRPr="00FC6684">
              <w:rPr>
                <w:sz w:val="24"/>
              </w:rPr>
              <w:t xml:space="preserve"> and </w:t>
            </w:r>
            <w:r w:rsidRPr="00FC6684">
              <w:rPr>
                <w:sz w:val="24"/>
              </w:rPr>
              <w:t>jurisdiction teams</w:t>
            </w:r>
          </w:p>
        </w:tc>
        <w:tc>
          <w:tcPr>
            <w:tcW w:w="2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F12896" w:rsidRPr="00FC6684" w:rsidP="00F12896" w14:paraId="411A60E0" w14:textId="7CAF1377">
            <w:pPr>
              <w:rPr>
                <w:sz w:val="24"/>
              </w:rPr>
            </w:pPr>
            <w:r w:rsidRPr="00FC6684">
              <w:rPr>
                <w:sz w:val="24"/>
              </w:rPr>
              <w:t>October 25, 2024</w:t>
            </w:r>
          </w:p>
        </w:tc>
      </w:tr>
      <w:tr w14:paraId="5694FE9C" w14:textId="77777777" w:rsidTr="00642533">
        <w:tblPrEx>
          <w:tblW w:w="0" w:type="auto"/>
          <w:tblCellMar>
            <w:left w:w="0" w:type="dxa"/>
            <w:right w:w="0" w:type="dxa"/>
          </w:tblCellMar>
          <w:tblLook w:val="04A0"/>
        </w:tblPrEx>
        <w:tc>
          <w:tcPr>
            <w:tcW w:w="5840" w:type="dxa"/>
            <w:tcBorders>
              <w:top w:val="single" w:sz="8" w:space="0" w:color="A3A3A3"/>
              <w:left w:val="single" w:sz="8" w:space="0" w:color="A3A3A3"/>
              <w:bottom w:val="single" w:sz="8" w:space="0" w:color="auto"/>
              <w:right w:val="single" w:sz="8" w:space="0" w:color="A3A3A3"/>
            </w:tcBorders>
            <w:tcMar>
              <w:top w:w="80" w:type="dxa"/>
              <w:left w:w="80" w:type="dxa"/>
              <w:bottom w:w="80" w:type="dxa"/>
              <w:right w:w="80" w:type="dxa"/>
            </w:tcMar>
          </w:tcPr>
          <w:p w:rsidR="00F12896" w:rsidRPr="00FC6684" w:rsidP="00F12896" w14:paraId="26833248" w14:textId="189AE199">
            <w:pPr>
              <w:rPr>
                <w:sz w:val="24"/>
              </w:rPr>
            </w:pPr>
            <w:r w:rsidRPr="00FC6684">
              <w:rPr>
                <w:sz w:val="24"/>
              </w:rPr>
              <w:t>Review and finalize report summary</w:t>
            </w:r>
          </w:p>
        </w:tc>
        <w:tc>
          <w:tcPr>
            <w:tcW w:w="2970" w:type="dxa"/>
            <w:tcBorders>
              <w:top w:val="single" w:sz="8" w:space="0" w:color="A3A3A3"/>
              <w:left w:val="single" w:sz="8" w:space="0" w:color="A3A3A3"/>
              <w:bottom w:val="single" w:sz="8" w:space="0" w:color="auto"/>
              <w:right w:val="single" w:sz="8" w:space="0" w:color="A3A3A3"/>
            </w:tcBorders>
            <w:tcMar>
              <w:top w:w="80" w:type="dxa"/>
              <w:left w:w="80" w:type="dxa"/>
              <w:bottom w:w="80" w:type="dxa"/>
              <w:right w:w="80" w:type="dxa"/>
            </w:tcMar>
          </w:tcPr>
          <w:p w:rsidR="00F12896" w:rsidRPr="00FC6684" w:rsidP="00F12896" w14:paraId="122CAA7B" w14:textId="18F6F2A6">
            <w:pPr>
              <w:rPr>
                <w:sz w:val="24"/>
              </w:rPr>
            </w:pPr>
            <w:r w:rsidRPr="00FC6684">
              <w:rPr>
                <w:sz w:val="24"/>
              </w:rPr>
              <w:t>November 8, 2024</w:t>
            </w:r>
          </w:p>
        </w:tc>
      </w:tr>
      <w:tr w14:paraId="6B07B02B" w14:textId="77777777" w:rsidTr="00642533">
        <w:tblPrEx>
          <w:tblW w:w="0" w:type="auto"/>
          <w:tblCellMar>
            <w:left w:w="0" w:type="dxa"/>
            <w:right w:w="0" w:type="dxa"/>
          </w:tblCellMar>
          <w:tblLook w:val="04A0"/>
        </w:tblPrEx>
        <w:tc>
          <w:tcPr>
            <w:tcW w:w="5840" w:type="dxa"/>
            <w:tcBorders>
              <w:top w:val="single" w:sz="8" w:space="0" w:color="auto"/>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4CDFB222" w14:textId="3721DD4F">
            <w:pPr>
              <w:rPr>
                <w:sz w:val="24"/>
              </w:rPr>
            </w:pPr>
            <w:r w:rsidRPr="00FC6684">
              <w:rPr>
                <w:sz w:val="24"/>
              </w:rPr>
              <w:t xml:space="preserve">Biannual report sent to </w:t>
            </w:r>
            <w:r>
              <w:rPr>
                <w:sz w:val="24"/>
              </w:rPr>
              <w:t>State</w:t>
            </w:r>
            <w:r w:rsidRPr="00FC6684">
              <w:rPr>
                <w:sz w:val="24"/>
              </w:rPr>
              <w:t xml:space="preserve"> and jurisdiction teams</w:t>
            </w:r>
          </w:p>
        </w:tc>
        <w:tc>
          <w:tcPr>
            <w:tcW w:w="2970" w:type="dxa"/>
            <w:tcBorders>
              <w:top w:val="single" w:sz="8" w:space="0" w:color="auto"/>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3CC19F43" w14:textId="095966F6">
            <w:pPr>
              <w:rPr>
                <w:sz w:val="24"/>
              </w:rPr>
            </w:pPr>
            <w:r>
              <w:rPr>
                <w:sz w:val="24"/>
              </w:rPr>
              <w:t>March 5, 2025</w:t>
            </w:r>
          </w:p>
        </w:tc>
      </w:tr>
      <w:tr w14:paraId="014286F8" w14:textId="77777777" w:rsidTr="00827ABE">
        <w:tblPrEx>
          <w:tblW w:w="0" w:type="auto"/>
          <w:tblCellMar>
            <w:left w:w="0" w:type="dxa"/>
            <w:right w:w="0" w:type="dxa"/>
          </w:tblCellMar>
          <w:tblLook w:val="04A0"/>
        </w:tblPrEx>
        <w:tc>
          <w:tcPr>
            <w:tcW w:w="58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19FA4BB4" w14:textId="29340049">
            <w:pPr>
              <w:rPr>
                <w:sz w:val="24"/>
              </w:rPr>
            </w:pPr>
            <w:r w:rsidRPr="00FC6684">
              <w:rPr>
                <w:sz w:val="24"/>
              </w:rPr>
              <w:t xml:space="preserve">Biannual reports due from </w:t>
            </w:r>
            <w:r>
              <w:rPr>
                <w:sz w:val="24"/>
              </w:rPr>
              <w:t>State</w:t>
            </w:r>
            <w:r w:rsidRPr="00FC6684">
              <w:rPr>
                <w:sz w:val="24"/>
              </w:rPr>
              <w:t xml:space="preserve"> and jurisdiction teams</w:t>
            </w:r>
          </w:p>
        </w:tc>
        <w:tc>
          <w:tcPr>
            <w:tcW w:w="2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3236F42F" w14:textId="023CAA52">
            <w:pPr>
              <w:rPr>
                <w:sz w:val="24"/>
              </w:rPr>
            </w:pPr>
            <w:r>
              <w:rPr>
                <w:sz w:val="24"/>
              </w:rPr>
              <w:t>April 4, 2025</w:t>
            </w:r>
          </w:p>
        </w:tc>
      </w:tr>
      <w:tr w14:paraId="17E4E475" w14:textId="77777777" w:rsidTr="00827ABE">
        <w:tblPrEx>
          <w:tblW w:w="0" w:type="auto"/>
          <w:tblCellMar>
            <w:left w:w="0" w:type="dxa"/>
            <w:right w:w="0" w:type="dxa"/>
          </w:tblCellMar>
          <w:tblLook w:val="04A0"/>
        </w:tblPrEx>
        <w:tc>
          <w:tcPr>
            <w:tcW w:w="58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62D221AE" w14:textId="4AFBA92A">
            <w:pPr>
              <w:rPr>
                <w:sz w:val="24"/>
              </w:rPr>
            </w:pPr>
            <w:r w:rsidRPr="00FC6684">
              <w:rPr>
                <w:sz w:val="24"/>
              </w:rPr>
              <w:t xml:space="preserve">Biannual report validations and follow-up with </w:t>
            </w:r>
            <w:r>
              <w:rPr>
                <w:sz w:val="24"/>
              </w:rPr>
              <w:t>State</w:t>
            </w:r>
            <w:r w:rsidRPr="00FC6684">
              <w:rPr>
                <w:sz w:val="24"/>
              </w:rPr>
              <w:t xml:space="preserve"> and jurisdiction teams completed</w:t>
            </w:r>
          </w:p>
        </w:tc>
        <w:tc>
          <w:tcPr>
            <w:tcW w:w="2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3262EB2D" w14:textId="72ADB832">
            <w:pPr>
              <w:rPr>
                <w:sz w:val="24"/>
              </w:rPr>
            </w:pPr>
            <w:r>
              <w:rPr>
                <w:sz w:val="24"/>
              </w:rPr>
              <w:t>April 18, 2025</w:t>
            </w:r>
          </w:p>
        </w:tc>
      </w:tr>
      <w:tr w14:paraId="37D4DEC5" w14:textId="77777777" w:rsidTr="00642533">
        <w:tblPrEx>
          <w:tblW w:w="0" w:type="auto"/>
          <w:tblCellMar>
            <w:left w:w="0" w:type="dxa"/>
            <w:right w:w="0" w:type="dxa"/>
          </w:tblCellMar>
          <w:tblLook w:val="04A0"/>
        </w:tblPrEx>
        <w:tc>
          <w:tcPr>
            <w:tcW w:w="5840" w:type="dxa"/>
            <w:tcBorders>
              <w:top w:val="single" w:sz="8" w:space="0" w:color="A3A3A3"/>
              <w:left w:val="single" w:sz="8" w:space="0" w:color="A3A3A3"/>
              <w:bottom w:val="single" w:sz="8" w:space="0" w:color="auto"/>
              <w:right w:val="single" w:sz="8" w:space="0" w:color="A3A3A3"/>
            </w:tcBorders>
            <w:tcMar>
              <w:top w:w="80" w:type="dxa"/>
              <w:left w:w="80" w:type="dxa"/>
              <w:bottom w:w="80" w:type="dxa"/>
              <w:right w:w="80" w:type="dxa"/>
            </w:tcMar>
          </w:tcPr>
          <w:p w:rsidR="00EF568C" w:rsidRPr="00FC6684" w:rsidP="00EF568C" w14:paraId="11040631" w14:textId="33959663">
            <w:pPr>
              <w:rPr>
                <w:sz w:val="24"/>
              </w:rPr>
            </w:pPr>
            <w:r w:rsidRPr="00FC6684">
              <w:rPr>
                <w:sz w:val="24"/>
              </w:rPr>
              <w:t>Review and finalize report summary</w:t>
            </w:r>
          </w:p>
        </w:tc>
        <w:tc>
          <w:tcPr>
            <w:tcW w:w="2970" w:type="dxa"/>
            <w:tcBorders>
              <w:top w:val="single" w:sz="8" w:space="0" w:color="A3A3A3"/>
              <w:left w:val="single" w:sz="8" w:space="0" w:color="A3A3A3"/>
              <w:bottom w:val="single" w:sz="8" w:space="0" w:color="auto"/>
              <w:right w:val="single" w:sz="8" w:space="0" w:color="A3A3A3"/>
            </w:tcBorders>
            <w:tcMar>
              <w:top w:w="80" w:type="dxa"/>
              <w:left w:w="80" w:type="dxa"/>
              <w:bottom w:w="80" w:type="dxa"/>
              <w:right w:w="80" w:type="dxa"/>
            </w:tcMar>
          </w:tcPr>
          <w:p w:rsidR="00EF568C" w:rsidRPr="00FC6684" w:rsidP="00EF568C" w14:paraId="626E2D83" w14:textId="2C289E46">
            <w:pPr>
              <w:rPr>
                <w:sz w:val="24"/>
              </w:rPr>
            </w:pPr>
            <w:r>
              <w:rPr>
                <w:sz w:val="24"/>
              </w:rPr>
              <w:t>May 2, 2025</w:t>
            </w:r>
          </w:p>
        </w:tc>
      </w:tr>
      <w:tr w14:paraId="08CB75E9" w14:textId="77777777" w:rsidTr="00642533">
        <w:tblPrEx>
          <w:tblW w:w="0" w:type="auto"/>
          <w:tblCellMar>
            <w:left w:w="0" w:type="dxa"/>
            <w:right w:w="0" w:type="dxa"/>
          </w:tblCellMar>
          <w:tblLook w:val="04A0"/>
        </w:tblPrEx>
        <w:tc>
          <w:tcPr>
            <w:tcW w:w="5840" w:type="dxa"/>
            <w:tcBorders>
              <w:top w:val="single" w:sz="8" w:space="0" w:color="auto"/>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26733E8D" w14:textId="164020B9">
            <w:pPr>
              <w:rPr>
                <w:sz w:val="24"/>
              </w:rPr>
            </w:pPr>
            <w:r w:rsidRPr="00FC6684">
              <w:rPr>
                <w:sz w:val="24"/>
              </w:rPr>
              <w:t xml:space="preserve">Biannual report sent to </w:t>
            </w:r>
            <w:r>
              <w:rPr>
                <w:sz w:val="24"/>
              </w:rPr>
              <w:t>State</w:t>
            </w:r>
            <w:r w:rsidRPr="00FC6684">
              <w:rPr>
                <w:sz w:val="24"/>
              </w:rPr>
              <w:t xml:space="preserve"> and jurisdiction teams</w:t>
            </w:r>
          </w:p>
        </w:tc>
        <w:tc>
          <w:tcPr>
            <w:tcW w:w="2970" w:type="dxa"/>
            <w:tcBorders>
              <w:top w:val="single" w:sz="8" w:space="0" w:color="auto"/>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2E33803D" w14:textId="69C42B3E">
            <w:pPr>
              <w:rPr>
                <w:sz w:val="24"/>
              </w:rPr>
            </w:pPr>
            <w:r>
              <w:rPr>
                <w:sz w:val="24"/>
              </w:rPr>
              <w:t xml:space="preserve">September </w:t>
            </w:r>
            <w:r w:rsidR="00B82A2A">
              <w:rPr>
                <w:sz w:val="24"/>
              </w:rPr>
              <w:t>10</w:t>
            </w:r>
            <w:r>
              <w:rPr>
                <w:sz w:val="24"/>
              </w:rPr>
              <w:t>, 2025</w:t>
            </w:r>
          </w:p>
        </w:tc>
      </w:tr>
      <w:tr w14:paraId="39FF1D02" w14:textId="77777777" w:rsidTr="00827ABE">
        <w:tblPrEx>
          <w:tblW w:w="0" w:type="auto"/>
          <w:tblCellMar>
            <w:left w:w="0" w:type="dxa"/>
            <w:right w:w="0" w:type="dxa"/>
          </w:tblCellMar>
          <w:tblLook w:val="04A0"/>
        </w:tblPrEx>
        <w:tc>
          <w:tcPr>
            <w:tcW w:w="58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27C64DAA" w14:textId="35341AD8">
            <w:pPr>
              <w:rPr>
                <w:sz w:val="24"/>
              </w:rPr>
            </w:pPr>
            <w:r w:rsidRPr="00FC6684">
              <w:rPr>
                <w:sz w:val="24"/>
              </w:rPr>
              <w:t xml:space="preserve">Biannual reports due from </w:t>
            </w:r>
            <w:r>
              <w:rPr>
                <w:sz w:val="24"/>
              </w:rPr>
              <w:t>State</w:t>
            </w:r>
            <w:r w:rsidRPr="00FC6684">
              <w:rPr>
                <w:sz w:val="24"/>
              </w:rPr>
              <w:t xml:space="preserve"> and jurisdiction teams</w:t>
            </w:r>
          </w:p>
        </w:tc>
        <w:tc>
          <w:tcPr>
            <w:tcW w:w="2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7D9E390A" w14:textId="500D59C7">
            <w:pPr>
              <w:rPr>
                <w:sz w:val="24"/>
              </w:rPr>
            </w:pPr>
            <w:r>
              <w:rPr>
                <w:sz w:val="24"/>
              </w:rPr>
              <w:t xml:space="preserve">October </w:t>
            </w:r>
            <w:r w:rsidR="00B82A2A">
              <w:rPr>
                <w:sz w:val="24"/>
              </w:rPr>
              <w:t>10</w:t>
            </w:r>
            <w:r>
              <w:rPr>
                <w:sz w:val="24"/>
              </w:rPr>
              <w:t>, 2025</w:t>
            </w:r>
          </w:p>
        </w:tc>
      </w:tr>
      <w:tr w14:paraId="613E1AA0" w14:textId="77777777" w:rsidTr="00827ABE">
        <w:tblPrEx>
          <w:tblW w:w="0" w:type="auto"/>
          <w:tblCellMar>
            <w:left w:w="0" w:type="dxa"/>
            <w:right w:w="0" w:type="dxa"/>
          </w:tblCellMar>
          <w:tblLook w:val="04A0"/>
        </w:tblPrEx>
        <w:tc>
          <w:tcPr>
            <w:tcW w:w="58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191E0F57" w14:textId="2AF6AECE">
            <w:pPr>
              <w:rPr>
                <w:sz w:val="24"/>
              </w:rPr>
            </w:pPr>
            <w:r w:rsidRPr="00FC6684">
              <w:rPr>
                <w:sz w:val="24"/>
              </w:rPr>
              <w:t xml:space="preserve">Biannual report validations and follow-up with </w:t>
            </w:r>
            <w:r>
              <w:rPr>
                <w:sz w:val="24"/>
              </w:rPr>
              <w:t>State</w:t>
            </w:r>
            <w:r w:rsidRPr="00FC6684">
              <w:rPr>
                <w:sz w:val="24"/>
              </w:rPr>
              <w:t xml:space="preserve"> and jurisdiction teams completed</w:t>
            </w:r>
          </w:p>
        </w:tc>
        <w:tc>
          <w:tcPr>
            <w:tcW w:w="2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313F376D" w14:textId="56948052">
            <w:pPr>
              <w:rPr>
                <w:sz w:val="24"/>
              </w:rPr>
            </w:pPr>
            <w:r>
              <w:rPr>
                <w:sz w:val="24"/>
              </w:rPr>
              <w:t>October 24, 2025</w:t>
            </w:r>
          </w:p>
        </w:tc>
      </w:tr>
      <w:tr w14:paraId="752800AD" w14:textId="77777777" w:rsidTr="00827ABE">
        <w:tblPrEx>
          <w:tblW w:w="0" w:type="auto"/>
          <w:tblCellMar>
            <w:left w:w="0" w:type="dxa"/>
            <w:right w:w="0" w:type="dxa"/>
          </w:tblCellMar>
          <w:tblLook w:val="04A0"/>
        </w:tblPrEx>
        <w:tc>
          <w:tcPr>
            <w:tcW w:w="58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40BC0938" w14:textId="549CE29C">
            <w:pPr>
              <w:rPr>
                <w:sz w:val="24"/>
              </w:rPr>
            </w:pPr>
            <w:r w:rsidRPr="00FC6684">
              <w:rPr>
                <w:sz w:val="24"/>
              </w:rPr>
              <w:t>Review and finalize report summary</w:t>
            </w:r>
          </w:p>
        </w:tc>
        <w:tc>
          <w:tcPr>
            <w:tcW w:w="29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EF568C" w:rsidRPr="00FC6684" w:rsidP="00EF568C" w14:paraId="08BA7BB2" w14:textId="12150B14">
            <w:pPr>
              <w:rPr>
                <w:sz w:val="24"/>
              </w:rPr>
            </w:pPr>
            <w:r>
              <w:rPr>
                <w:sz w:val="24"/>
              </w:rPr>
              <w:t>November 7, 2025</w:t>
            </w:r>
          </w:p>
        </w:tc>
      </w:tr>
    </w:tbl>
    <w:p w:rsidR="004607F2" w:rsidP="00CA3DA6" w14:paraId="4FAC36A2" w14:textId="1CB8D46C">
      <w:pPr>
        <w:spacing w:before="120"/>
        <w:ind w:left="360"/>
        <w:rPr>
          <w:rFonts w:ascii="Arial" w:hAnsi="Arial" w:cs="Arial"/>
          <w:sz w:val="24"/>
        </w:rPr>
      </w:pPr>
    </w:p>
    <w:p w:rsidR="004607F2" w:rsidP="00CA3DA6" w14:paraId="79B9F877" w14:textId="77777777">
      <w:pPr>
        <w:spacing w:before="120"/>
        <w:ind w:left="360"/>
        <w:rPr>
          <w:rFonts w:ascii="Arial" w:hAnsi="Arial" w:cs="Arial"/>
          <w:sz w:val="24"/>
        </w:rPr>
      </w:pPr>
    </w:p>
    <w:p w:rsidR="009B3794" w:rsidRPr="00FC6684" w:rsidP="00CA3DA6" w14:paraId="22E2A3A3" w14:textId="77777777">
      <w:pPr>
        <w:numPr>
          <w:ilvl w:val="0"/>
          <w:numId w:val="2"/>
        </w:numPr>
        <w:tabs>
          <w:tab w:val="num" w:pos="360"/>
        </w:tabs>
        <w:spacing w:before="240"/>
        <w:ind w:left="360"/>
        <w:rPr>
          <w:b/>
          <w:sz w:val="24"/>
        </w:rPr>
      </w:pPr>
      <w:r w:rsidRPr="00FC6684">
        <w:rPr>
          <w:b/>
          <w:sz w:val="24"/>
          <w:u w:val="single"/>
        </w:rPr>
        <w:t>Reason(s) Display of OMB Expiration Date is Inappropriate</w:t>
      </w:r>
    </w:p>
    <w:p w:rsidR="009B3794" w:rsidRPr="00FC6684" w:rsidP="00CA3DA6" w14:paraId="22E2A3A4" w14:textId="13938DCE">
      <w:pPr>
        <w:pStyle w:val="BodyTextIndent"/>
        <w:spacing w:before="120"/>
        <w:ind w:left="360"/>
        <w:rPr>
          <w:rFonts w:ascii="Times New Roman" w:hAnsi="Times New Roman"/>
          <w:bCs/>
        </w:rPr>
      </w:pPr>
      <w:r w:rsidRPr="00FC6684">
        <w:rPr>
          <w:rFonts w:ascii="Times New Roman" w:hAnsi="Times New Roman"/>
          <w:bCs/>
        </w:rPr>
        <w:t>The OMB number and Expiration date will be displayed on every page of every form/instrument.</w:t>
      </w:r>
    </w:p>
    <w:p w:rsidR="009B3794" w:rsidRPr="00FC6684" w:rsidP="00CA3DA6" w14:paraId="22E2A3A5" w14:textId="77777777">
      <w:pPr>
        <w:numPr>
          <w:ilvl w:val="0"/>
          <w:numId w:val="2"/>
        </w:numPr>
        <w:tabs>
          <w:tab w:val="num" w:pos="360"/>
        </w:tabs>
        <w:spacing w:before="240"/>
        <w:ind w:left="360"/>
        <w:rPr>
          <w:b/>
          <w:sz w:val="24"/>
        </w:rPr>
      </w:pPr>
      <w:r w:rsidRPr="00FC6684">
        <w:rPr>
          <w:b/>
          <w:sz w:val="24"/>
          <w:u w:val="single"/>
        </w:rPr>
        <w:t>Exceptions to Certification for Paperwork Reduction Act Submissions</w:t>
      </w:r>
    </w:p>
    <w:p w:rsidR="009B3794" w:rsidRPr="00FC6684" w:rsidP="00CA3DA6" w14:paraId="22E2A3A6" w14:textId="769C1EEA">
      <w:pPr>
        <w:pStyle w:val="BodyTextIndent"/>
        <w:spacing w:before="120"/>
        <w:ind w:left="360"/>
        <w:rPr>
          <w:rFonts w:ascii="Times New Roman" w:hAnsi="Times New Roman"/>
          <w:bCs/>
        </w:rPr>
      </w:pPr>
      <w:r w:rsidRPr="00FC6684">
        <w:rPr>
          <w:rFonts w:ascii="Times New Roman" w:hAnsi="Times New Roman"/>
          <w:bCs/>
        </w:rPr>
        <w:t>There are no exceptions to the certification.</w:t>
      </w:r>
    </w:p>
    <w:sectPr w:rsidSect="001D4856">
      <w:footerReference w:type="default" r:id="rId18"/>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7203" w14:paraId="21C72D3B" w14:textId="77777777">
      <w:r>
        <w:separator/>
      </w:r>
    </w:p>
  </w:footnote>
  <w:footnote w:type="continuationSeparator" w:id="1">
    <w:p w:rsidR="00A37203" w14:paraId="4A67A450" w14:textId="77777777">
      <w:r>
        <w:continuationSeparator/>
      </w:r>
    </w:p>
  </w:footnote>
  <w:footnote w:id="2">
    <w:p w:rsidR="00A7121A" w14:paraId="054B2115" w14:textId="153CA8F8">
      <w:pPr>
        <w:pStyle w:val="FootnoteText"/>
      </w:pPr>
      <w:r>
        <w:rPr>
          <w:rStyle w:val="FootnoteReference"/>
        </w:rPr>
        <w:footnoteRef/>
      </w:r>
      <w:r>
        <w:t xml:space="preserve"> </w:t>
      </w:r>
      <w:r w:rsidRPr="00041359" w:rsidR="00372C7D">
        <w:t>Occupational Employment and Wages, May 20</w:t>
      </w:r>
      <w:r w:rsidR="00372C7D">
        <w:t xml:space="preserve">23, </w:t>
      </w:r>
      <w:r w:rsidRPr="00041359" w:rsidR="00372C7D">
        <w:t>11-9111 Medical and Health Services Managers</w:t>
      </w:r>
      <w:r w:rsidR="00372C7D">
        <w:t xml:space="preserve">. Bureau of Labor Statistics. </w:t>
      </w:r>
      <w:hyperlink r:id="rId1" w:history="1">
        <w:r w:rsidRPr="00AD6141" w:rsidR="00372C7D">
          <w:rPr>
            <w:rStyle w:val="Hyperlink"/>
          </w:rPr>
          <w:t>https://www.bls.gov/oes/current/oes119111.htm</w:t>
        </w:r>
      </w:hyperlink>
      <w:r w:rsidR="00372C7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9">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4">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6">
    <w:nsid w:val="36CE2ED0"/>
    <w:multiLevelType w:val="hybridMultilevel"/>
    <w:tmpl w:val="1F067DA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7">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0">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A1D7109"/>
    <w:multiLevelType w:val="hybridMultilevel"/>
    <w:tmpl w:val="462ED118"/>
    <w:lvl w:ilvl="0">
      <w:start w:val="1"/>
      <w:numFmt w:val="decimal"/>
      <w:lvlText w:val="%1."/>
      <w:lvlJc w:val="left"/>
      <w:pPr>
        <w:tabs>
          <w:tab w:val="num" w:pos="3960"/>
        </w:tabs>
        <w:ind w:left="39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5">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27">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0">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5BBA2DEF"/>
    <w:multiLevelType w:val="multilevel"/>
    <w:tmpl w:val="D006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4">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6">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2">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4">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218199531">
    <w:abstractNumId w:val="44"/>
  </w:num>
  <w:num w:numId="2" w16cid:durableId="470949870">
    <w:abstractNumId w:val="22"/>
  </w:num>
  <w:num w:numId="3" w16cid:durableId="1291941765">
    <w:abstractNumId w:val="14"/>
  </w:num>
  <w:num w:numId="4" w16cid:durableId="971788196">
    <w:abstractNumId w:val="40"/>
  </w:num>
  <w:num w:numId="5" w16cid:durableId="1761561030">
    <w:abstractNumId w:val="43"/>
  </w:num>
  <w:num w:numId="6" w16cid:durableId="984895004">
    <w:abstractNumId w:val="9"/>
  </w:num>
  <w:num w:numId="7" w16cid:durableId="1817575528">
    <w:abstractNumId w:val="36"/>
  </w:num>
  <w:num w:numId="8" w16cid:durableId="710887621">
    <w:abstractNumId w:val="18"/>
  </w:num>
  <w:num w:numId="9" w16cid:durableId="37971432">
    <w:abstractNumId w:val="26"/>
  </w:num>
  <w:num w:numId="10" w16cid:durableId="1298530832">
    <w:abstractNumId w:val="20"/>
  </w:num>
  <w:num w:numId="11" w16cid:durableId="1063987449">
    <w:abstractNumId w:val="8"/>
  </w:num>
  <w:num w:numId="12" w16cid:durableId="380402860">
    <w:abstractNumId w:val="25"/>
  </w:num>
  <w:num w:numId="13" w16cid:durableId="1244683653">
    <w:abstractNumId w:val="21"/>
  </w:num>
  <w:num w:numId="14" w16cid:durableId="1850631645">
    <w:abstractNumId w:val="23"/>
  </w:num>
  <w:num w:numId="15" w16cid:durableId="1305964759">
    <w:abstractNumId w:val="7"/>
  </w:num>
  <w:num w:numId="16" w16cid:durableId="643045186">
    <w:abstractNumId w:val="0"/>
  </w:num>
  <w:num w:numId="17" w16cid:durableId="66153170">
    <w:abstractNumId w:val="1"/>
  </w:num>
  <w:num w:numId="18" w16cid:durableId="2036998158">
    <w:abstractNumId w:val="15"/>
  </w:num>
  <w:num w:numId="19" w16cid:durableId="1674262236">
    <w:abstractNumId w:val="35"/>
  </w:num>
  <w:num w:numId="20" w16cid:durableId="563878152">
    <w:abstractNumId w:val="33"/>
  </w:num>
  <w:num w:numId="21" w16cid:durableId="850532212">
    <w:abstractNumId w:val="19"/>
  </w:num>
  <w:num w:numId="22" w16cid:durableId="134494250">
    <w:abstractNumId w:val="39"/>
  </w:num>
  <w:num w:numId="23" w16cid:durableId="382490001">
    <w:abstractNumId w:val="30"/>
  </w:num>
  <w:num w:numId="24" w16cid:durableId="13463947">
    <w:abstractNumId w:val="32"/>
  </w:num>
  <w:num w:numId="25" w16cid:durableId="2124179632">
    <w:abstractNumId w:val="42"/>
  </w:num>
  <w:num w:numId="26" w16cid:durableId="1512798036">
    <w:abstractNumId w:val="38"/>
  </w:num>
  <w:num w:numId="27" w16cid:durableId="1882473980">
    <w:abstractNumId w:val="3"/>
  </w:num>
  <w:num w:numId="28" w16cid:durableId="1917083948">
    <w:abstractNumId w:val="17"/>
  </w:num>
  <w:num w:numId="29" w16cid:durableId="540826122">
    <w:abstractNumId w:val="41"/>
  </w:num>
  <w:num w:numId="30" w16cid:durableId="297151483">
    <w:abstractNumId w:val="37"/>
  </w:num>
  <w:num w:numId="31" w16cid:durableId="1197428132">
    <w:abstractNumId w:val="34"/>
  </w:num>
  <w:num w:numId="32" w16cid:durableId="762266803">
    <w:abstractNumId w:val="10"/>
  </w:num>
  <w:num w:numId="33" w16cid:durableId="1047336646">
    <w:abstractNumId w:val="2"/>
  </w:num>
  <w:num w:numId="34" w16cid:durableId="833841224">
    <w:abstractNumId w:val="27"/>
  </w:num>
  <w:num w:numId="35" w16cid:durableId="1884907089">
    <w:abstractNumId w:val="12"/>
  </w:num>
  <w:num w:numId="36" w16cid:durableId="2120252400">
    <w:abstractNumId w:val="11"/>
  </w:num>
  <w:num w:numId="37" w16cid:durableId="1680041921">
    <w:abstractNumId w:val="13"/>
  </w:num>
  <w:num w:numId="38" w16cid:durableId="874580346">
    <w:abstractNumId w:val="4"/>
  </w:num>
  <w:num w:numId="39" w16cid:durableId="658924436">
    <w:abstractNumId w:val="29"/>
  </w:num>
  <w:num w:numId="40" w16cid:durableId="469635675">
    <w:abstractNumId w:val="6"/>
  </w:num>
  <w:num w:numId="41" w16cid:durableId="2023555119">
    <w:abstractNumId w:val="28"/>
  </w:num>
  <w:num w:numId="42" w16cid:durableId="2006088742">
    <w:abstractNumId w:val="24"/>
  </w:num>
  <w:num w:numId="43" w16cid:durableId="1575627542">
    <w:abstractNumId w:val="5"/>
  </w:num>
  <w:num w:numId="44" w16cid:durableId="1007713635">
    <w:abstractNumId w:val="31"/>
  </w:num>
  <w:num w:numId="45" w16cid:durableId="17593231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6A0"/>
    <w:rsid w:val="00004B6B"/>
    <w:rsid w:val="000147CD"/>
    <w:rsid w:val="00014902"/>
    <w:rsid w:val="00015505"/>
    <w:rsid w:val="00020CAD"/>
    <w:rsid w:val="00022F6F"/>
    <w:rsid w:val="0002419D"/>
    <w:rsid w:val="000275E9"/>
    <w:rsid w:val="00032F19"/>
    <w:rsid w:val="00041359"/>
    <w:rsid w:val="00044842"/>
    <w:rsid w:val="00045062"/>
    <w:rsid w:val="000511FA"/>
    <w:rsid w:val="0005478C"/>
    <w:rsid w:val="00054BDE"/>
    <w:rsid w:val="00054EF6"/>
    <w:rsid w:val="00060083"/>
    <w:rsid w:val="00061DA3"/>
    <w:rsid w:val="000719B3"/>
    <w:rsid w:val="00080DFE"/>
    <w:rsid w:val="00092CF4"/>
    <w:rsid w:val="00093825"/>
    <w:rsid w:val="000A3881"/>
    <w:rsid w:val="000B519A"/>
    <w:rsid w:val="000D0722"/>
    <w:rsid w:val="000D16D7"/>
    <w:rsid w:val="000E17D4"/>
    <w:rsid w:val="000E3113"/>
    <w:rsid w:val="000E4645"/>
    <w:rsid w:val="000E7093"/>
    <w:rsid w:val="000F0624"/>
    <w:rsid w:val="000F0D4E"/>
    <w:rsid w:val="000F29E6"/>
    <w:rsid w:val="000F6947"/>
    <w:rsid w:val="0011115E"/>
    <w:rsid w:val="001152AE"/>
    <w:rsid w:val="001159C6"/>
    <w:rsid w:val="00116941"/>
    <w:rsid w:val="00127408"/>
    <w:rsid w:val="001322BD"/>
    <w:rsid w:val="001325B2"/>
    <w:rsid w:val="00134A41"/>
    <w:rsid w:val="0013539B"/>
    <w:rsid w:val="0013599A"/>
    <w:rsid w:val="00135FA0"/>
    <w:rsid w:val="001444A0"/>
    <w:rsid w:val="00145E90"/>
    <w:rsid w:val="00156DBC"/>
    <w:rsid w:val="00161477"/>
    <w:rsid w:val="00165582"/>
    <w:rsid w:val="00166F1D"/>
    <w:rsid w:val="00170D34"/>
    <w:rsid w:val="00180AC2"/>
    <w:rsid w:val="0018140F"/>
    <w:rsid w:val="00183FEF"/>
    <w:rsid w:val="00191E90"/>
    <w:rsid w:val="00191F51"/>
    <w:rsid w:val="001920C3"/>
    <w:rsid w:val="00193DC5"/>
    <w:rsid w:val="00196E11"/>
    <w:rsid w:val="001A469A"/>
    <w:rsid w:val="001B0107"/>
    <w:rsid w:val="001B0AB4"/>
    <w:rsid w:val="001B16EA"/>
    <w:rsid w:val="001B2CBF"/>
    <w:rsid w:val="001B374F"/>
    <w:rsid w:val="001B643E"/>
    <w:rsid w:val="001C0A69"/>
    <w:rsid w:val="001D144F"/>
    <w:rsid w:val="001D4856"/>
    <w:rsid w:val="001F707B"/>
    <w:rsid w:val="00202336"/>
    <w:rsid w:val="00204929"/>
    <w:rsid w:val="00205E33"/>
    <w:rsid w:val="00207F25"/>
    <w:rsid w:val="002118B4"/>
    <w:rsid w:val="00211C53"/>
    <w:rsid w:val="00216598"/>
    <w:rsid w:val="002170BF"/>
    <w:rsid w:val="00217A83"/>
    <w:rsid w:val="00220772"/>
    <w:rsid w:val="002277D8"/>
    <w:rsid w:val="002404D3"/>
    <w:rsid w:val="00241635"/>
    <w:rsid w:val="002459CF"/>
    <w:rsid w:val="002633CA"/>
    <w:rsid w:val="002640E7"/>
    <w:rsid w:val="00265A24"/>
    <w:rsid w:val="002748DA"/>
    <w:rsid w:val="00277383"/>
    <w:rsid w:val="00281620"/>
    <w:rsid w:val="00281924"/>
    <w:rsid w:val="0028443D"/>
    <w:rsid w:val="0028598F"/>
    <w:rsid w:val="00287804"/>
    <w:rsid w:val="002964D2"/>
    <w:rsid w:val="002A444A"/>
    <w:rsid w:val="002B4FB4"/>
    <w:rsid w:val="002B5628"/>
    <w:rsid w:val="002B5C5C"/>
    <w:rsid w:val="002B69AA"/>
    <w:rsid w:val="002C57D5"/>
    <w:rsid w:val="002C6435"/>
    <w:rsid w:val="002D0BD8"/>
    <w:rsid w:val="002D2982"/>
    <w:rsid w:val="002D3928"/>
    <w:rsid w:val="003102D0"/>
    <w:rsid w:val="00314470"/>
    <w:rsid w:val="003151AA"/>
    <w:rsid w:val="0031671B"/>
    <w:rsid w:val="003201CB"/>
    <w:rsid w:val="00322313"/>
    <w:rsid w:val="0032431B"/>
    <w:rsid w:val="00330D7F"/>
    <w:rsid w:val="00331980"/>
    <w:rsid w:val="0033269D"/>
    <w:rsid w:val="00335597"/>
    <w:rsid w:val="003463BD"/>
    <w:rsid w:val="00352367"/>
    <w:rsid w:val="00372C7D"/>
    <w:rsid w:val="00376EBE"/>
    <w:rsid w:val="00377E1D"/>
    <w:rsid w:val="0038433D"/>
    <w:rsid w:val="00390420"/>
    <w:rsid w:val="00391E16"/>
    <w:rsid w:val="00397AFF"/>
    <w:rsid w:val="00397C37"/>
    <w:rsid w:val="003A12E6"/>
    <w:rsid w:val="003A1A7F"/>
    <w:rsid w:val="003A1EE6"/>
    <w:rsid w:val="003A2B63"/>
    <w:rsid w:val="003A52B8"/>
    <w:rsid w:val="003B18A5"/>
    <w:rsid w:val="003B4E54"/>
    <w:rsid w:val="003B5E6B"/>
    <w:rsid w:val="003B6822"/>
    <w:rsid w:val="003C1712"/>
    <w:rsid w:val="003D23B1"/>
    <w:rsid w:val="003D31F4"/>
    <w:rsid w:val="003D486D"/>
    <w:rsid w:val="003D7B32"/>
    <w:rsid w:val="003E167D"/>
    <w:rsid w:val="003E3572"/>
    <w:rsid w:val="003E6405"/>
    <w:rsid w:val="003F15BB"/>
    <w:rsid w:val="003F4C7A"/>
    <w:rsid w:val="003F516B"/>
    <w:rsid w:val="004039C1"/>
    <w:rsid w:val="004040DF"/>
    <w:rsid w:val="00404C3A"/>
    <w:rsid w:val="00405E49"/>
    <w:rsid w:val="00406C40"/>
    <w:rsid w:val="00411849"/>
    <w:rsid w:val="00424580"/>
    <w:rsid w:val="004420E9"/>
    <w:rsid w:val="00444488"/>
    <w:rsid w:val="0045168A"/>
    <w:rsid w:val="00451D8E"/>
    <w:rsid w:val="004536E7"/>
    <w:rsid w:val="00454AAB"/>
    <w:rsid w:val="004607F2"/>
    <w:rsid w:val="00462797"/>
    <w:rsid w:val="004724D5"/>
    <w:rsid w:val="00472847"/>
    <w:rsid w:val="00473591"/>
    <w:rsid w:val="004746CA"/>
    <w:rsid w:val="004773B8"/>
    <w:rsid w:val="00490720"/>
    <w:rsid w:val="004A71F5"/>
    <w:rsid w:val="004A7F6E"/>
    <w:rsid w:val="004B0BA0"/>
    <w:rsid w:val="004B0E99"/>
    <w:rsid w:val="004B5507"/>
    <w:rsid w:val="004C4C28"/>
    <w:rsid w:val="004D5FA9"/>
    <w:rsid w:val="004E26B3"/>
    <w:rsid w:val="004E687D"/>
    <w:rsid w:val="004F0475"/>
    <w:rsid w:val="004F49A4"/>
    <w:rsid w:val="00503BAB"/>
    <w:rsid w:val="0052488C"/>
    <w:rsid w:val="005300F9"/>
    <w:rsid w:val="00541D41"/>
    <w:rsid w:val="00545F76"/>
    <w:rsid w:val="0054606B"/>
    <w:rsid w:val="005468CA"/>
    <w:rsid w:val="00552182"/>
    <w:rsid w:val="005609B4"/>
    <w:rsid w:val="00567C6D"/>
    <w:rsid w:val="00577A69"/>
    <w:rsid w:val="00583C2F"/>
    <w:rsid w:val="005903A3"/>
    <w:rsid w:val="0059493C"/>
    <w:rsid w:val="005C225E"/>
    <w:rsid w:val="005C47E8"/>
    <w:rsid w:val="005D0F50"/>
    <w:rsid w:val="005D7625"/>
    <w:rsid w:val="005E1765"/>
    <w:rsid w:val="005E4749"/>
    <w:rsid w:val="005F2068"/>
    <w:rsid w:val="00616B88"/>
    <w:rsid w:val="00624019"/>
    <w:rsid w:val="0062425E"/>
    <w:rsid w:val="006257E9"/>
    <w:rsid w:val="00627FFD"/>
    <w:rsid w:val="00633410"/>
    <w:rsid w:val="00634056"/>
    <w:rsid w:val="00634F2D"/>
    <w:rsid w:val="0063693B"/>
    <w:rsid w:val="0064211A"/>
    <w:rsid w:val="00642533"/>
    <w:rsid w:val="006613B9"/>
    <w:rsid w:val="00663070"/>
    <w:rsid w:val="00664B41"/>
    <w:rsid w:val="00666DE3"/>
    <w:rsid w:val="00671414"/>
    <w:rsid w:val="00671ED7"/>
    <w:rsid w:val="0068061E"/>
    <w:rsid w:val="00680D76"/>
    <w:rsid w:val="00687C50"/>
    <w:rsid w:val="00687CE9"/>
    <w:rsid w:val="006943FD"/>
    <w:rsid w:val="00696325"/>
    <w:rsid w:val="006A035C"/>
    <w:rsid w:val="006A08A7"/>
    <w:rsid w:val="006A3741"/>
    <w:rsid w:val="006A44E2"/>
    <w:rsid w:val="006B096B"/>
    <w:rsid w:val="006B2B26"/>
    <w:rsid w:val="006C1900"/>
    <w:rsid w:val="006C211C"/>
    <w:rsid w:val="006D013A"/>
    <w:rsid w:val="006D3505"/>
    <w:rsid w:val="006D3529"/>
    <w:rsid w:val="006D38DF"/>
    <w:rsid w:val="006D49CF"/>
    <w:rsid w:val="006E0CE9"/>
    <w:rsid w:val="006E7FC6"/>
    <w:rsid w:val="006F12E3"/>
    <w:rsid w:val="006F2DE6"/>
    <w:rsid w:val="00710CDE"/>
    <w:rsid w:val="00712E31"/>
    <w:rsid w:val="007162FE"/>
    <w:rsid w:val="00724B0C"/>
    <w:rsid w:val="0073114C"/>
    <w:rsid w:val="00731374"/>
    <w:rsid w:val="007436A2"/>
    <w:rsid w:val="00744772"/>
    <w:rsid w:val="007478CF"/>
    <w:rsid w:val="007501DA"/>
    <w:rsid w:val="00756AD1"/>
    <w:rsid w:val="007635A7"/>
    <w:rsid w:val="00773E89"/>
    <w:rsid w:val="0077598B"/>
    <w:rsid w:val="00776454"/>
    <w:rsid w:val="00781E25"/>
    <w:rsid w:val="00792885"/>
    <w:rsid w:val="007A6B8E"/>
    <w:rsid w:val="007B7679"/>
    <w:rsid w:val="007B7BEE"/>
    <w:rsid w:val="007C1DD9"/>
    <w:rsid w:val="007C22E4"/>
    <w:rsid w:val="007C2DDB"/>
    <w:rsid w:val="007C4156"/>
    <w:rsid w:val="007D1162"/>
    <w:rsid w:val="007E09B1"/>
    <w:rsid w:val="007E1101"/>
    <w:rsid w:val="007F047A"/>
    <w:rsid w:val="007F2AAA"/>
    <w:rsid w:val="007F46FC"/>
    <w:rsid w:val="008002AB"/>
    <w:rsid w:val="00800EDD"/>
    <w:rsid w:val="00824404"/>
    <w:rsid w:val="00827ABE"/>
    <w:rsid w:val="00831900"/>
    <w:rsid w:val="008327E0"/>
    <w:rsid w:val="00833E0F"/>
    <w:rsid w:val="00835FE6"/>
    <w:rsid w:val="00845DFB"/>
    <w:rsid w:val="008500C7"/>
    <w:rsid w:val="00852A16"/>
    <w:rsid w:val="0085372F"/>
    <w:rsid w:val="00867BE2"/>
    <w:rsid w:val="00870C9E"/>
    <w:rsid w:val="008713F9"/>
    <w:rsid w:val="00875D2C"/>
    <w:rsid w:val="008834D3"/>
    <w:rsid w:val="00897C61"/>
    <w:rsid w:val="008B04CA"/>
    <w:rsid w:val="008B3B46"/>
    <w:rsid w:val="008B3DEF"/>
    <w:rsid w:val="008C1C07"/>
    <w:rsid w:val="008C379E"/>
    <w:rsid w:val="008C3A8F"/>
    <w:rsid w:val="008C5E60"/>
    <w:rsid w:val="008C6FDF"/>
    <w:rsid w:val="008C7497"/>
    <w:rsid w:val="008D2D67"/>
    <w:rsid w:val="008D5727"/>
    <w:rsid w:val="008E7637"/>
    <w:rsid w:val="008E7AD6"/>
    <w:rsid w:val="008F40D2"/>
    <w:rsid w:val="008F505A"/>
    <w:rsid w:val="00900473"/>
    <w:rsid w:val="009066EC"/>
    <w:rsid w:val="00915302"/>
    <w:rsid w:val="00915D9A"/>
    <w:rsid w:val="00924681"/>
    <w:rsid w:val="00926776"/>
    <w:rsid w:val="00930C6C"/>
    <w:rsid w:val="00935E77"/>
    <w:rsid w:val="00942FC5"/>
    <w:rsid w:val="009555E6"/>
    <w:rsid w:val="009566CB"/>
    <w:rsid w:val="00966FA4"/>
    <w:rsid w:val="0097335C"/>
    <w:rsid w:val="00987643"/>
    <w:rsid w:val="0099082E"/>
    <w:rsid w:val="009A08EA"/>
    <w:rsid w:val="009A3208"/>
    <w:rsid w:val="009A74C9"/>
    <w:rsid w:val="009B20A3"/>
    <w:rsid w:val="009B3794"/>
    <w:rsid w:val="009B7DE1"/>
    <w:rsid w:val="009B7E4D"/>
    <w:rsid w:val="009C3FDD"/>
    <w:rsid w:val="009D2E82"/>
    <w:rsid w:val="009D399D"/>
    <w:rsid w:val="009D39F2"/>
    <w:rsid w:val="009E14FF"/>
    <w:rsid w:val="009E5CDE"/>
    <w:rsid w:val="009F28F6"/>
    <w:rsid w:val="009F3826"/>
    <w:rsid w:val="009F4A95"/>
    <w:rsid w:val="00A02382"/>
    <w:rsid w:val="00A13F17"/>
    <w:rsid w:val="00A15D2E"/>
    <w:rsid w:val="00A1688A"/>
    <w:rsid w:val="00A22390"/>
    <w:rsid w:val="00A259B8"/>
    <w:rsid w:val="00A25A00"/>
    <w:rsid w:val="00A351BA"/>
    <w:rsid w:val="00A37203"/>
    <w:rsid w:val="00A41460"/>
    <w:rsid w:val="00A57B86"/>
    <w:rsid w:val="00A7121A"/>
    <w:rsid w:val="00A72657"/>
    <w:rsid w:val="00A75029"/>
    <w:rsid w:val="00A75C06"/>
    <w:rsid w:val="00A9033A"/>
    <w:rsid w:val="00A92CAB"/>
    <w:rsid w:val="00A95065"/>
    <w:rsid w:val="00A97CB0"/>
    <w:rsid w:val="00AB6AA4"/>
    <w:rsid w:val="00AB7948"/>
    <w:rsid w:val="00AC3BD4"/>
    <w:rsid w:val="00AC4DD9"/>
    <w:rsid w:val="00AD18A4"/>
    <w:rsid w:val="00AD6141"/>
    <w:rsid w:val="00AE61B2"/>
    <w:rsid w:val="00AE7154"/>
    <w:rsid w:val="00AE79E3"/>
    <w:rsid w:val="00AE7D0A"/>
    <w:rsid w:val="00B04797"/>
    <w:rsid w:val="00B04EDE"/>
    <w:rsid w:val="00B066B6"/>
    <w:rsid w:val="00B1278F"/>
    <w:rsid w:val="00B16651"/>
    <w:rsid w:val="00B20699"/>
    <w:rsid w:val="00B21B7E"/>
    <w:rsid w:val="00B27E39"/>
    <w:rsid w:val="00B31E51"/>
    <w:rsid w:val="00B32563"/>
    <w:rsid w:val="00B47FA4"/>
    <w:rsid w:val="00B6240B"/>
    <w:rsid w:val="00B655C6"/>
    <w:rsid w:val="00B66982"/>
    <w:rsid w:val="00B709D3"/>
    <w:rsid w:val="00B71818"/>
    <w:rsid w:val="00B77593"/>
    <w:rsid w:val="00B82A2A"/>
    <w:rsid w:val="00B9251F"/>
    <w:rsid w:val="00B96B57"/>
    <w:rsid w:val="00B97643"/>
    <w:rsid w:val="00BA1A0C"/>
    <w:rsid w:val="00BA2CD8"/>
    <w:rsid w:val="00BA34E5"/>
    <w:rsid w:val="00BA6188"/>
    <w:rsid w:val="00BB4621"/>
    <w:rsid w:val="00BB671A"/>
    <w:rsid w:val="00BC6845"/>
    <w:rsid w:val="00BF2F34"/>
    <w:rsid w:val="00BF5752"/>
    <w:rsid w:val="00C06253"/>
    <w:rsid w:val="00C062F3"/>
    <w:rsid w:val="00C2284C"/>
    <w:rsid w:val="00C306EB"/>
    <w:rsid w:val="00C339A4"/>
    <w:rsid w:val="00C34AC7"/>
    <w:rsid w:val="00C43281"/>
    <w:rsid w:val="00C44482"/>
    <w:rsid w:val="00C45431"/>
    <w:rsid w:val="00C56B21"/>
    <w:rsid w:val="00C67D3A"/>
    <w:rsid w:val="00C72678"/>
    <w:rsid w:val="00C73B29"/>
    <w:rsid w:val="00C73ED6"/>
    <w:rsid w:val="00C74B86"/>
    <w:rsid w:val="00C76AEB"/>
    <w:rsid w:val="00C80AFE"/>
    <w:rsid w:val="00C836F2"/>
    <w:rsid w:val="00C86274"/>
    <w:rsid w:val="00C8679C"/>
    <w:rsid w:val="00C919A7"/>
    <w:rsid w:val="00C91A1A"/>
    <w:rsid w:val="00C94344"/>
    <w:rsid w:val="00C947E3"/>
    <w:rsid w:val="00C96D33"/>
    <w:rsid w:val="00CA3DA6"/>
    <w:rsid w:val="00CA5D89"/>
    <w:rsid w:val="00CB073D"/>
    <w:rsid w:val="00CC20CE"/>
    <w:rsid w:val="00CC6993"/>
    <w:rsid w:val="00CD36E7"/>
    <w:rsid w:val="00CD372A"/>
    <w:rsid w:val="00CD574B"/>
    <w:rsid w:val="00CE5AA9"/>
    <w:rsid w:val="00CF0EFA"/>
    <w:rsid w:val="00CF3A21"/>
    <w:rsid w:val="00D00080"/>
    <w:rsid w:val="00D0081C"/>
    <w:rsid w:val="00D04746"/>
    <w:rsid w:val="00D1007D"/>
    <w:rsid w:val="00D11CA3"/>
    <w:rsid w:val="00D12832"/>
    <w:rsid w:val="00D24583"/>
    <w:rsid w:val="00D247F6"/>
    <w:rsid w:val="00D32DFE"/>
    <w:rsid w:val="00D3312F"/>
    <w:rsid w:val="00D46313"/>
    <w:rsid w:val="00D510C7"/>
    <w:rsid w:val="00D56CC2"/>
    <w:rsid w:val="00D6072E"/>
    <w:rsid w:val="00D6254A"/>
    <w:rsid w:val="00D62937"/>
    <w:rsid w:val="00D65472"/>
    <w:rsid w:val="00D74B86"/>
    <w:rsid w:val="00D776A8"/>
    <w:rsid w:val="00D80DB4"/>
    <w:rsid w:val="00D85151"/>
    <w:rsid w:val="00D90504"/>
    <w:rsid w:val="00D92628"/>
    <w:rsid w:val="00D92E1D"/>
    <w:rsid w:val="00DD1637"/>
    <w:rsid w:val="00DD2C77"/>
    <w:rsid w:val="00DD797A"/>
    <w:rsid w:val="00DE3A45"/>
    <w:rsid w:val="00DE4C00"/>
    <w:rsid w:val="00DE7C2F"/>
    <w:rsid w:val="00E006C0"/>
    <w:rsid w:val="00E00CEE"/>
    <w:rsid w:val="00E203FA"/>
    <w:rsid w:val="00E261E3"/>
    <w:rsid w:val="00E32C09"/>
    <w:rsid w:val="00E34A1F"/>
    <w:rsid w:val="00E36BFD"/>
    <w:rsid w:val="00E37935"/>
    <w:rsid w:val="00E40B6A"/>
    <w:rsid w:val="00E50471"/>
    <w:rsid w:val="00E672A6"/>
    <w:rsid w:val="00E74761"/>
    <w:rsid w:val="00E7670F"/>
    <w:rsid w:val="00E8349F"/>
    <w:rsid w:val="00E87554"/>
    <w:rsid w:val="00E962DB"/>
    <w:rsid w:val="00EA30D9"/>
    <w:rsid w:val="00EB7BF5"/>
    <w:rsid w:val="00EC1706"/>
    <w:rsid w:val="00EC38CD"/>
    <w:rsid w:val="00EC52B9"/>
    <w:rsid w:val="00EC5812"/>
    <w:rsid w:val="00EC65AD"/>
    <w:rsid w:val="00ED0994"/>
    <w:rsid w:val="00ED18EA"/>
    <w:rsid w:val="00ED251C"/>
    <w:rsid w:val="00EE02B6"/>
    <w:rsid w:val="00EE529C"/>
    <w:rsid w:val="00EE67EC"/>
    <w:rsid w:val="00EF1D6F"/>
    <w:rsid w:val="00EF568C"/>
    <w:rsid w:val="00EF626B"/>
    <w:rsid w:val="00EF6EA5"/>
    <w:rsid w:val="00F0280B"/>
    <w:rsid w:val="00F0464B"/>
    <w:rsid w:val="00F11325"/>
    <w:rsid w:val="00F115F7"/>
    <w:rsid w:val="00F12896"/>
    <w:rsid w:val="00F22C66"/>
    <w:rsid w:val="00F3479E"/>
    <w:rsid w:val="00F4221E"/>
    <w:rsid w:val="00F453AA"/>
    <w:rsid w:val="00F4637B"/>
    <w:rsid w:val="00F63239"/>
    <w:rsid w:val="00F67C90"/>
    <w:rsid w:val="00F724D4"/>
    <w:rsid w:val="00F73B60"/>
    <w:rsid w:val="00F7504F"/>
    <w:rsid w:val="00F8205F"/>
    <w:rsid w:val="00F90F3C"/>
    <w:rsid w:val="00F93B52"/>
    <w:rsid w:val="00FA4167"/>
    <w:rsid w:val="00FB209A"/>
    <w:rsid w:val="00FB7554"/>
    <w:rsid w:val="00FB76E4"/>
    <w:rsid w:val="00FC036D"/>
    <w:rsid w:val="00FC6684"/>
    <w:rsid w:val="00FC72C3"/>
    <w:rsid w:val="00FD57EF"/>
    <w:rsid w:val="00FD69F6"/>
    <w:rsid w:val="00FE082F"/>
    <w:rsid w:val="00FE2E3E"/>
    <w:rsid w:val="00FE6C30"/>
    <w:rsid w:val="00FF3AC2"/>
    <w:rsid w:val="00FF4D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915D9A"/>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character" w:customStyle="1" w:styleId="Heading3Char">
    <w:name w:val="Heading 3 Char"/>
    <w:basedOn w:val="DefaultParagraphFont"/>
    <w:link w:val="Heading3"/>
    <w:semiHidden/>
    <w:rsid w:val="00915D9A"/>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semiHidden/>
    <w:unhideWhenUsed/>
    <w:rsid w:val="0018140F"/>
    <w:rPr>
      <w:color w:val="800080" w:themeColor="followedHyperlink"/>
      <w:u w:val="single"/>
    </w:rPr>
  </w:style>
  <w:style w:type="paragraph" w:styleId="FootnoteText">
    <w:name w:val="footnote text"/>
    <w:basedOn w:val="Normal"/>
    <w:link w:val="FootnoteTextChar"/>
    <w:semiHidden/>
    <w:unhideWhenUsed/>
    <w:rsid w:val="0018140F"/>
    <w:rPr>
      <w:szCs w:val="20"/>
    </w:rPr>
  </w:style>
  <w:style w:type="character" w:customStyle="1" w:styleId="FootnoteTextChar">
    <w:name w:val="Footnote Text Char"/>
    <w:basedOn w:val="DefaultParagraphFont"/>
    <w:link w:val="FootnoteText"/>
    <w:semiHidden/>
    <w:rsid w:val="0018140F"/>
  </w:style>
  <w:style w:type="table" w:styleId="GridTableLight">
    <w:name w:val="Grid Table Light"/>
    <w:basedOn w:val="TableNormal"/>
    <w:uiPriority w:val="40"/>
    <w:rsid w:val="008244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97C61"/>
    <w:rPr>
      <w:color w:val="605E5C"/>
      <w:shd w:val="clear" w:color="auto" w:fill="E1DFDD"/>
    </w:rPr>
  </w:style>
  <w:style w:type="character" w:styleId="CommentReference">
    <w:name w:val="annotation reference"/>
    <w:basedOn w:val="DefaultParagraphFont"/>
    <w:semiHidden/>
    <w:unhideWhenUsed/>
    <w:rsid w:val="00B6240B"/>
    <w:rPr>
      <w:sz w:val="16"/>
      <w:szCs w:val="16"/>
    </w:rPr>
  </w:style>
  <w:style w:type="paragraph" w:styleId="CommentText">
    <w:name w:val="annotation text"/>
    <w:basedOn w:val="Normal"/>
    <w:link w:val="CommentTextChar"/>
    <w:unhideWhenUsed/>
    <w:rsid w:val="00B6240B"/>
    <w:rPr>
      <w:szCs w:val="20"/>
    </w:rPr>
  </w:style>
  <w:style w:type="character" w:customStyle="1" w:styleId="CommentTextChar">
    <w:name w:val="Comment Text Char"/>
    <w:basedOn w:val="DefaultParagraphFont"/>
    <w:link w:val="CommentText"/>
    <w:rsid w:val="00B6240B"/>
  </w:style>
  <w:style w:type="paragraph" w:styleId="CommentSubject">
    <w:name w:val="annotation subject"/>
    <w:basedOn w:val="CommentText"/>
    <w:next w:val="CommentText"/>
    <w:link w:val="CommentSubjectChar"/>
    <w:semiHidden/>
    <w:unhideWhenUsed/>
    <w:rsid w:val="00B6240B"/>
    <w:rPr>
      <w:b/>
      <w:bCs/>
    </w:rPr>
  </w:style>
  <w:style w:type="character" w:customStyle="1" w:styleId="CommentSubjectChar">
    <w:name w:val="Comment Subject Char"/>
    <w:basedOn w:val="CommentTextChar"/>
    <w:link w:val="CommentSubject"/>
    <w:semiHidden/>
    <w:rsid w:val="00B6240B"/>
    <w:rPr>
      <w:b/>
      <w:bCs/>
    </w:rPr>
  </w:style>
  <w:style w:type="paragraph" w:styleId="Revision">
    <w:name w:val="Revision"/>
    <w:hidden/>
    <w:uiPriority w:val="99"/>
    <w:semiHidden/>
    <w:rsid w:val="002C643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govinfo.gov%2Fcontent%2Fpkg%2FCOMPS-8773%2Fpdf%2FCOMPS-8773.pdf%23page%3D239&amp;data=05%7C01%7CDFrick%40hrsa.gov%7C58a2ee01404a4f5b6a4008db7bee9dff%7C14b77578977342d58507251ca2dc2b06%7C0%7C0%7C638240037005740096%7CUnknown%7CTWFpbGZsb3d8eyJWIjoiMC4wLjAwMDAiLCJQIjoiV2luMzIiLCJBTiI6Ik1haWwiLCJXVCI6Mn0%3D%7C3000%7C%7C%7C&amp;sdata=4YzOn5j96oyGW8KK33xwxCxbGqZ71faQU9lgRe%2FvvB0%3D&amp;reserved=0" TargetMode="External" /><Relationship Id="rId11" Type="http://schemas.openxmlformats.org/officeDocument/2006/relationships/hyperlink" Target="https://gcc02.safelinks.protection.outlook.com/?url=https%3A%2F%2Fuscode.house.gov%2Fview.xhtml%3Fhl%3Dfalse%26edition%3Dprelim%26path%3D%26req%3Dgranuleid%253AUSC-prelim-title42-section254c-21%26f%3Dtreesort%26fq%3Dtrue%26num%3D0%26saved%3D%257CNDI%253D%257CdHJlZXNvcnQ%253D%257CdHJ1ZQ%253D%253D%257C5110%257Ctrue%257Cprelim&amp;data=05%7C01%7CDFrick%40hrsa.gov%7C58a2ee01404a4f5b6a4008db7bee9dff%7C14b77578977342d58507251ca2dc2b06%7C0%7C0%7C638240037005740096%7CUnknown%7CTWFpbGZsb3d8eyJWIjoiMC4wLjAwMDAiLCJQIjoiV2luMzIiLCJBTiI6Ik1haWwiLCJXVCI6Mn0%3D%7C3000%7C%7C%7C&amp;sdata=jYbkunwnHqxvWhH%2FRPg5QVAJT5JGfuUUnRSPoaCOFNM%3D&amp;reserved=0" TargetMode="External" /><Relationship Id="rId12" Type="http://schemas.openxmlformats.org/officeDocument/2006/relationships/hyperlink" Target="https://gcc02.safelinks.protection.outlook.com/?url=https%3A%2F%2Fwww.congress.gov%2F117%2Fplaws%2Fpubl103%2FPLAW-117publ103.pdf%23page%3D746&amp;data=05%7C01%7CDFrick%40hrsa.gov%7C58a2ee01404a4f5b6a4008db7bee9dff%7C14b77578977342d58507251ca2dc2b06%7C0%7C0%7C638240037005740096%7CUnknown%7CTWFpbGZsb3d8eyJWIjoiMC4wLjAwMDAiLCJQIjoiV2luMzIiLCJBTiI6Ik1haWwiLCJXVCI6Mn0%3D%7C3000%7C%7C%7C&amp;sdata=ZHUmIf6RcgYcQqILA29TJ4wvBQreSFxGy7gtyZt6CrI%3D&amp;reserved=0" TargetMode="External" /><Relationship Id="rId13" Type="http://schemas.openxmlformats.org/officeDocument/2006/relationships/hyperlink" Target="https://www.federalregister.gov/documents/2023/12/07/2023-26902/agency-information-collection-activities-proposed-collection-public-comment-request-information" TargetMode="External" /><Relationship Id="rId14" Type="http://schemas.openxmlformats.org/officeDocument/2006/relationships/hyperlink" Target="mailto:itaylor@acog.org" TargetMode="External" /><Relationship Id="rId15" Type="http://schemas.openxmlformats.org/officeDocument/2006/relationships/hyperlink" Target="mailto:callen@acog.org" TargetMode="External" /><Relationship Id="rId16" Type="http://schemas.openxmlformats.org/officeDocument/2006/relationships/hyperlink" Target="https://mchb.hrsa.gov/programs-impact/programs/alliance-innovation-maternal-health" TargetMode="External" /><Relationship Id="rId17" Type="http://schemas.openxmlformats.org/officeDocument/2006/relationships/hyperlink" Target="https://saferbirth.org/"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191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E08897E1E704EA459FFBB29F25FB9" ma:contentTypeVersion="21" ma:contentTypeDescription="Create a new document." ma:contentTypeScope="" ma:versionID="94e2d6f8617d26512f512fbda52e1fd2">
  <xsd:schema xmlns:xsd="http://www.w3.org/2001/XMLSchema" xmlns:xs="http://www.w3.org/2001/XMLSchema" xmlns:p="http://schemas.microsoft.com/office/2006/metadata/properties" xmlns:ns1="http://schemas.microsoft.com/sharepoint/v3" xmlns:ns2="f12dafca-ffd2-47b9-a7dc-ea73860b958a" xmlns:ns3="8984cba3-8e4c-453a-8587-b9bb0f92f1e3" targetNamespace="http://schemas.microsoft.com/office/2006/metadata/properties" ma:root="true" ma:fieldsID="b160aea36a0645719c86a9e161fad921" ns1:_="" ns2:_="" ns3:_="">
    <xsd:import namespace="http://schemas.microsoft.com/sharepoint/v3"/>
    <xsd:import namespace="f12dafca-ffd2-47b9-a7dc-ea73860b958a"/>
    <xsd:import namespace="8984cba3-8e4c-453a-8587-b9bb0f92f1e3"/>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KeywordTaxHTField" ma:index="7"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84cba3-8e4c-453a-8587-b9bb0f92f1e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12dafca-ffd2-47b9-a7dc-ea73860b958a">CHY75YFUAV2K-1500048868-11975</_dlc_DocId>
    <_dlc_DocIdUrl xmlns="f12dafca-ffd2-47b9-a7dc-ea73860b958a">
      <Url>https://nih.sharepoint.com/sites/HRSA-MCHB/MCHB-Team/oaa/_layouts/15/DocIdRedir.aspx?ID=CHY75YFUAV2K-1500048868-11975</Url>
      <Description>CHY75YFUAV2K-1500048868-11975</Description>
    </_dlc_DocIdUrl>
    <TaxCatchAll xmlns="f12dafca-ffd2-47b9-a7dc-ea73860b958a" xsi:nil="true"/>
    <lcf76f155ced4ddcb4097134ff3c332f xmlns="8984cba3-8e4c-453a-8587-b9bb0f92f1e3">
      <Terms xmlns="http://schemas.microsoft.com/office/infopath/2007/PartnerControls"/>
    </lcf76f155ced4ddcb4097134ff3c332f>
    <TaxKeywordTaxHTField xmlns="f12dafca-ffd2-47b9-a7dc-ea73860b958a">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DBCE27-46D7-48E4-9313-12B213DFE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dafca-ffd2-47b9-a7dc-ea73860b958a"/>
    <ds:schemaRef ds:uri="8984cba3-8e4c-453a-8587-b9bb0f92f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http://schemas.microsoft.com/sharepoint/v3"/>
    <ds:schemaRef ds:uri="f12dafca-ffd2-47b9-a7dc-ea73860b958a"/>
    <ds:schemaRef ds:uri="8984cba3-8e4c-453a-8587-b9bb0f92f1e3"/>
  </ds:schemaRefs>
</ds:datastoreItem>
</file>

<file path=customXml/itemProps4.xml><?xml version="1.0" encoding="utf-8"?>
<ds:datastoreItem xmlns:ds="http://schemas.openxmlformats.org/officeDocument/2006/customXml" ds:itemID="{3AE2EA35-8B7D-4E00-882D-BD718F30A72D}">
  <ds:schemaRefs>
    <ds:schemaRef ds:uri="http://schemas.openxmlformats.org/officeDocument/2006/bibliography"/>
  </ds:schemaRefs>
</ds:datastoreItem>
</file>

<file path=customXml/itemProps5.xml><?xml version="1.0" encoding="utf-8"?>
<ds:datastoreItem xmlns:ds="http://schemas.openxmlformats.org/officeDocument/2006/customXml" ds:itemID="{AEFB678B-6567-43A5-A073-A870486D66D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2037</Words>
  <Characters>14136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Moore, Tierra (HRSA)</cp:lastModifiedBy>
  <cp:revision>2</cp:revision>
  <cp:lastPrinted>2010-10-14T13:41:00Z</cp:lastPrinted>
  <dcterms:created xsi:type="dcterms:W3CDTF">2024-05-03T11:48:00Z</dcterms:created>
  <dcterms:modified xsi:type="dcterms:W3CDTF">2024-05-03T11:48:00Z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0x0101002B8E08897E1E704EA459FFBB29F25FB9</vt:lpwstr>
  </property>
  <property fmtid="{D5CDD505-2E9C-101B-9397-08002B2CF9AE}" pid="3" name="_dlc_DocIdItemGuid">
    <vt:lpwstr>2cb0e337-7418-4bd2-914d-73509a69c296</vt:lpwstr>
  </property>
</Properties>
</file>