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TRANSPORTATION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 xml:space="preserve">of agencies providing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w:t>
      </w:r>
      <w:r w:rsidRPr="00000000">
        <w:rPr>
          <w:rFonts w:ascii="Times New Roman" w:eastAsia="Times New Roman" w:hAnsi="Times New Roman" w:cs="Times New Roman"/>
          <w:sz w:val="24"/>
          <w:szCs w:val="24"/>
          <w:rtl w:val="0"/>
        </w:rPr>
        <w:t xml:space="preserve">primarily </w:t>
      </w:r>
      <w:r w:rsidRPr="00000000">
        <w:rPr>
          <w:rFonts w:ascii="Times New Roman" w:eastAsia="Times New Roman" w:hAnsi="Times New Roman" w:cs="Times New Roman"/>
          <w:sz w:val="24"/>
          <w:szCs w:val="24"/>
          <w:rtl w:val="0"/>
        </w:rPr>
        <w:t xml:space="preserve">PR Department of Transportation and Other Public Works (DTOP) and related agencies (Metropolitan Bus Authority (AMA), Integrated Transit Authority (ATI), and Puerto Rico Highway and Transportation Authority PRHTA) who </w:t>
      </w:r>
      <w:r w:rsidRPr="00000000">
        <w:rPr>
          <w:rFonts w:ascii="Times New Roman" w:eastAsia="Times New Roman" w:hAnsi="Times New Roman" w:cs="Times New Roman"/>
          <w:sz w:val="24"/>
          <w:szCs w:val="24"/>
          <w:rtl w:val="0"/>
        </w:rPr>
        <w:t xml:space="preserve">meet certain eligibility criteria. Criteria include </w:t>
      </w:r>
      <w:r w:rsidRPr="00000000">
        <w:rPr>
          <w:rFonts w:ascii="Times New Roman" w:eastAsia="Times New Roman" w:hAnsi="Times New Roman" w:cs="Times New Roman"/>
          <w:sz w:val="24"/>
          <w:szCs w:val="24"/>
          <w:rtl w:val="0"/>
        </w:rPr>
        <w:t xml:space="preserve">(1) </w:t>
      </w:r>
      <w:r w:rsidRPr="00000000">
        <w:rPr>
          <w:rFonts w:ascii="Times New Roman" w:eastAsia="Times New Roman" w:hAnsi="Times New Roman" w:cs="Times New Roman"/>
          <w:sz w:val="24"/>
          <w:szCs w:val="24"/>
          <w:rtl w:val="0"/>
        </w:rPr>
        <w:t xml:space="preserve">being on the contact list provided by the agency lead or suggested during an interview, (2) agreeing to participate in the study, (3) working in the geographic location/NIST study area (Figure 1), (4) holding relevant position during the Hurricane Maria timeframe and having an understanding of the response and recovery efforts and (5) being an adult (18 years of age or older).  Interviews are sought </w:t>
      </w:r>
      <w:r w:rsidRPr="00000000">
        <w:rPr>
          <w:rFonts w:ascii="Times New Roman" w:eastAsia="Times New Roman" w:hAnsi="Times New Roman" w:cs="Times New Roman"/>
          <w:sz w:val="24"/>
          <w:szCs w:val="24"/>
          <w:rtl w:val="0"/>
        </w:rPr>
        <w:t xml:space="preserve">at various levels of the organization, i.e., headquarter and regional levels.  </w:t>
      </w:r>
      <w:r w:rsidRPr="00000000">
        <w:rPr>
          <w:rFonts w:ascii="Times New Roman" w:eastAsia="Times New Roman" w:hAnsi="Times New Roman" w:cs="Times New Roman"/>
          <w:sz w:val="24"/>
          <w:szCs w:val="24"/>
          <w:rtl w:val="0"/>
        </w:rPr>
        <w:t>By targeting suitable organizational representatives, the study will provide direct insight into transportation service before and after Hurricane Maria, disruptions in transportation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Transportation Systems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The </w:t>
      </w:r>
      <w:r w:rsidRPr="00000000">
        <w:rPr>
          <w:rFonts w:ascii="Times New Roman" w:eastAsia="Times New Roman" w:hAnsi="Times New Roman" w:cs="Times New Roman"/>
          <w:i/>
          <w:sz w:val="24"/>
          <w:szCs w:val="24"/>
          <w:rtl w:val="0"/>
        </w:rPr>
        <w:t xml:space="preserve">Transportation Systems </w:t>
      </w:r>
      <w:r w:rsidRPr="00000000">
        <w:rPr>
          <w:rFonts w:ascii="Times New Roman" w:eastAsia="Times New Roman" w:hAnsi="Times New Roman" w:cs="Times New Roman"/>
          <w:sz w:val="24"/>
          <w:szCs w:val="24"/>
          <w:rtl w:val="0"/>
        </w:rPr>
        <w:t xml:space="preserve">sector consists of seven key sub-sectors including aviation, highway and motor carrier, maritime transportation system, mass transit and passenger rail, pipeline systems, freight rail, and postal and shipping subsectors.  </w:t>
      </w:r>
      <w:r w:rsidRPr="00000000">
        <w:rPr>
          <w:rFonts w:ascii="Times New Roman" w:eastAsia="Times New Roman" w:hAnsi="Times New Roman" w:cs="Times New Roman"/>
          <w:sz w:val="24"/>
          <w:szCs w:val="24"/>
          <w:rtl w:val="0"/>
        </w:rPr>
        <w:t>CISA describes that a transportation system “quickly, safely, and securely moves people and goods through the country and overseas”.</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the </w:t>
      </w:r>
      <w:r w:rsidRPr="00000000">
        <w:rPr>
          <w:rFonts w:ascii="Times New Roman" w:eastAsia="Times New Roman" w:hAnsi="Times New Roman" w:cs="Times New Roman"/>
          <w:sz w:val="24"/>
          <w:szCs w:val="24"/>
          <w:rtl w:val="0"/>
        </w:rPr>
        <w:t>transportation system</w:t>
      </w:r>
      <w:r w:rsidRPr="00000000">
        <w:rPr>
          <w:rFonts w:ascii="Times New Roman" w:eastAsia="Times New Roman" w:hAnsi="Times New Roman" w:cs="Times New Roman"/>
          <w:sz w:val="24"/>
          <w:szCs w:val="24"/>
          <w:rtl w:val="0"/>
        </w:rPr>
        <w:t xml:space="preserve"> from Hurricane Maria and its dependence on the functioning of the other infrastructure service providers (e.g.s., </w:t>
      </w:r>
      <w:r w:rsidRPr="00000000">
        <w:rPr>
          <w:rFonts w:ascii="Times New Roman" w:eastAsia="Times New Roman" w:hAnsi="Times New Roman" w:cs="Times New Roman"/>
          <w:sz w:val="24"/>
          <w:szCs w:val="24"/>
          <w:rtl w:val="0"/>
        </w:rPr>
        <w:t>power, water</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4 transportation service provider</w:t>
      </w:r>
      <w:r w:rsidRPr="00000000">
        <w:rPr>
          <w:rFonts w:ascii="Times New Roman" w:eastAsia="Times New Roman" w:hAnsi="Times New Roman" w:cs="Times New Roman"/>
          <w:sz w:val="24"/>
          <w:szCs w:val="24"/>
          <w:rtl w:val="0"/>
        </w:rPr>
        <w:t xml:space="preserve">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The sampling strategy will identify the initial list of interviewees for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45 interviews of the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transportation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transportation service provider</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45 respondents *</w:t>
      </w:r>
      <w:r w:rsidRPr="00000000">
        <w:rPr>
          <w:rFonts w:ascii="Times New Roman" w:eastAsia="Times New Roman" w:hAnsi="Times New Roman" w:cs="Times New Roman"/>
          <w:sz w:val="24"/>
          <w:szCs w:val="24"/>
          <w:rtl w:val="0"/>
        </w:rPr>
        <w:t xml:space="preserve"> 60 (minutes) = 45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w:t>
      </w:r>
      <w:r w:rsidRPr="00000000">
        <w:rPr>
          <w:rFonts w:ascii="Times New Roman" w:eastAsia="Times New Roman" w:hAnsi="Times New Roman" w:cs="Times New Roman"/>
          <w:sz w:val="24"/>
          <w:szCs w:val="24"/>
          <w:rtl w:val="0"/>
        </w:rPr>
        <w:t xml:space="preserve">transportation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transportation service (amount, safety,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https://www.cisa.gov/topics/critical-infrastructure-security-and-resilience/critical-infrastructure-sectors/transportation-systems-sector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071F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AA1FEA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