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0100" w14:paraId="78711A92" w14:textId="3FA69826">
      <w:pPr>
        <w:rPr>
          <w:rFonts w:ascii="Times New Roman Bold" w:eastAsia="Times New Roman Bold" w:hAnsi="Times New Roman Bold" w:cs="Times New Roman Bold"/>
        </w:rPr>
      </w:pPr>
    </w:p>
    <w:p w:rsidR="00641A1C" w14:paraId="5599DE32" w14:textId="24B4FFC8">
      <w:pPr>
        <w:rPr>
          <w:rFonts w:ascii="Times New Roman Bold" w:eastAsia="Times New Roman Bold" w:hAnsi="Times New Roman Bold" w:cs="Times New Roman Bold"/>
        </w:rPr>
      </w:pPr>
    </w:p>
    <w:p w:rsidR="00641A1C" w14:paraId="4EC56862" w14:textId="77777777">
      <w:pPr>
        <w:rPr>
          <w:rFonts w:ascii="Times New Roman Bold" w:eastAsia="Times New Roman Bold" w:hAnsi="Times New Roman Bold" w:cs="Times New Roman Bold"/>
        </w:rPr>
      </w:pPr>
    </w:p>
    <w:p w:rsidR="00370100" w14:paraId="77D7BF53" w14:textId="77777777">
      <w:pPr>
        <w:tabs>
          <w:tab w:val="center" w:pos="4680"/>
        </w:tabs>
        <w:rPr>
          <w:rFonts w:ascii="Times New Roman Bold"/>
        </w:rPr>
      </w:pPr>
      <w:r w:rsidRPr="00CB5235">
        <w:rPr>
          <w:rFonts w:ascii="Times New Roman Bold"/>
        </w:rPr>
        <w:t>Measuring the difference in accuracy of forensic facial comparisons of different races</w:t>
      </w:r>
    </w:p>
    <w:p w:rsidR="00CB5235" w14:paraId="5FD31433" w14:textId="77777777">
      <w:pPr>
        <w:tabs>
          <w:tab w:val="center" w:pos="4680"/>
        </w:tabs>
        <w:rPr>
          <w:rFonts w:ascii="Times New Roman Bold" w:eastAsia="Times New Roman Bold" w:hAnsi="Times New Roman Bold" w:cs="Times New Roman Bold"/>
          <w:u w:val="single"/>
        </w:rPr>
      </w:pPr>
    </w:p>
    <w:p w:rsidR="00370100" w14:paraId="2AD3BDC7" w14:textId="77777777">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rsidR="00370100" w14:paraId="41E06DAF" w14:textId="77777777">
      <w:pPr>
        <w:rPr>
          <w:rFonts w:ascii="Times New Roman Bold" w:eastAsia="Times New Roman Bold" w:hAnsi="Times New Roman Bold" w:cs="Times New Roman Bold"/>
        </w:rPr>
      </w:pPr>
    </w:p>
    <w:p w:rsidR="00370100" w:rsidRPr="00DA4E47" w:rsidP="00AA5ECF" w14:paraId="59DCA3DF" w14:textId="77777777">
      <w:pPr>
        <w:keepNext/>
        <w:rPr>
          <w:rFonts w:ascii="Times New Roman Bold" w:eastAsia="Times New Roman Bold" w:hAnsi="Times New Roman Bold" w:cs="Times New Roman Bold"/>
          <w:b/>
        </w:rPr>
      </w:pPr>
      <w:r w:rsidRPr="00DA4E47">
        <w:rPr>
          <w:rFonts w:ascii="Times New Roman Bold"/>
          <w:b/>
        </w:rPr>
        <w:t>1.  Explain who will be surveyed and why the group is appropriate to survey.</w:t>
      </w:r>
    </w:p>
    <w:p w:rsidR="00E86477" w:rsidRPr="000A2367" w:rsidP="00AA5ECF" w14:paraId="00877EED" w14:textId="77777777">
      <w:pPr>
        <w:keepNext/>
        <w:rPr>
          <w:rFonts w:eastAsia="Times New Roman Bold" w:hAnsi="Times New Roman" w:cs="Times New Roman"/>
        </w:rPr>
      </w:pPr>
    </w:p>
    <w:p w:rsidR="00FB181E" w:rsidP="00DF16FD" w14:paraId="707C75DB" w14:textId="0341EE6B">
      <w:pPr>
        <w:rPr>
          <w:rFonts w:eastAsia="Times New Roman Bold" w:hAnsi="Times New Roman" w:cs="Times New Roman"/>
        </w:rPr>
      </w:pPr>
      <w:r>
        <w:rPr>
          <w:rFonts w:eastAsia="Times New Roman Bold" w:hAnsi="Times New Roman" w:cs="Times New Roman"/>
        </w:rPr>
        <w:t xml:space="preserve">Forensic facial examiners </w:t>
      </w:r>
      <w:r w:rsidR="00E0070E">
        <w:rPr>
          <w:rFonts w:eastAsia="Times New Roman Bold" w:hAnsi="Times New Roman" w:cs="Times New Roman"/>
        </w:rPr>
        <w:t>are highly trained to perform forensic comparisons of faces in images and determine if they are of the same person or not. They document their findings in detailed reports which can be used in court.</w:t>
      </w:r>
    </w:p>
    <w:p w:rsidR="00E0070E" w:rsidP="00DF16FD" w14:paraId="05C133F3" w14:textId="77777777">
      <w:pPr>
        <w:rPr>
          <w:rFonts w:eastAsia="Times New Roman Bold" w:hAnsi="Times New Roman" w:cs="Times New Roman"/>
        </w:rPr>
      </w:pPr>
    </w:p>
    <w:p w:rsidR="00E0070E" w:rsidP="00DF16FD" w14:paraId="7BCC8497" w14:textId="5AD4F34D">
      <w:pPr>
        <w:rPr>
          <w:rFonts w:eastAsia="Times New Roman Bold" w:hAnsi="Times New Roman" w:cs="Times New Roman"/>
        </w:rPr>
      </w:pPr>
      <w:r>
        <w:rPr>
          <w:rFonts w:eastAsia="Times New Roman Bold" w:hAnsi="Times New Roman" w:cs="Times New Roman"/>
        </w:rPr>
        <w:t xml:space="preserve">Forensic facial reviewers are trained to perform quicker forensic comparisons of faces in images </w:t>
      </w:r>
      <w:r>
        <w:rPr>
          <w:rFonts w:eastAsia="Times New Roman Bold" w:hAnsi="Times New Roman" w:cs="Times New Roman"/>
        </w:rPr>
        <w:t>in order to</w:t>
      </w:r>
      <w:r>
        <w:rPr>
          <w:rFonts w:eastAsia="Times New Roman Bold" w:hAnsi="Times New Roman" w:cs="Times New Roman"/>
        </w:rPr>
        <w:t xml:space="preserve"> generate leads for investigators.</w:t>
      </w:r>
    </w:p>
    <w:p w:rsidR="00E0070E" w:rsidP="00DF16FD" w14:paraId="67A71B7B" w14:textId="77777777">
      <w:pPr>
        <w:rPr>
          <w:rFonts w:eastAsia="Times New Roman Bold" w:hAnsi="Times New Roman" w:cs="Times New Roman"/>
        </w:rPr>
      </w:pPr>
    </w:p>
    <w:p w:rsidR="00E0070E" w:rsidP="00DF16FD" w14:paraId="0556278C" w14:textId="5746A4F9">
      <w:pPr>
        <w:rPr>
          <w:rFonts w:eastAsia="Times New Roman Bold" w:hAnsi="Times New Roman" w:cs="Times New Roman"/>
        </w:rPr>
      </w:pPr>
      <w:r>
        <w:rPr>
          <w:rFonts w:eastAsia="Times New Roman Bold" w:hAnsi="Times New Roman" w:cs="Times New Roman"/>
        </w:rPr>
        <w:t>S</w:t>
      </w:r>
      <w:r>
        <w:rPr>
          <w:rFonts w:eastAsia="Times New Roman Bold" w:hAnsi="Times New Roman" w:cs="Times New Roman"/>
        </w:rPr>
        <w:t>uper-recognizers are people who</w:t>
      </w:r>
      <w:r w:rsidR="00146426">
        <w:rPr>
          <w:rFonts w:eastAsia="Times New Roman Bold" w:hAnsi="Times New Roman" w:cs="Times New Roman"/>
        </w:rPr>
        <w:t xml:space="preserve"> have naturally high ability at face recognition but do not have any forensic training.</w:t>
      </w:r>
      <w:r w:rsidR="005B47D5">
        <w:rPr>
          <w:rFonts w:eastAsia="Times New Roman Bold" w:hAnsi="Times New Roman" w:cs="Times New Roman"/>
        </w:rPr>
        <w:t xml:space="preserve"> </w:t>
      </w:r>
    </w:p>
    <w:p w:rsidR="00440294" w:rsidP="00DF16FD" w14:paraId="0E1312A4" w14:textId="77777777">
      <w:pPr>
        <w:rPr>
          <w:rFonts w:eastAsia="Times New Roman Bold" w:hAnsi="Times New Roman" w:cs="Times New Roman"/>
        </w:rPr>
      </w:pPr>
    </w:p>
    <w:p w:rsidR="00440294" w:rsidP="00DF16FD" w14:paraId="0DD189FF" w14:textId="55BC6493">
      <w:pPr>
        <w:rPr>
          <w:rFonts w:eastAsia="Times New Roman Bold" w:hAnsi="Times New Roman" w:cs="Times New Roman"/>
        </w:rPr>
      </w:pPr>
      <w:r w:rsidRPr="005B7E24">
        <w:rPr>
          <w:rFonts w:eastAsia="Times New Roman Bold" w:hAnsi="Times New Roman" w:cs="Times New Roman"/>
        </w:rPr>
        <w:t>A</w:t>
      </w:r>
      <w:r w:rsidRPr="005B7E24" w:rsidR="00277FB6">
        <w:rPr>
          <w:rFonts w:eastAsia="Times New Roman Bold" w:hAnsi="Times New Roman" w:cs="Times New Roman"/>
        </w:rPr>
        <w:t xml:space="preserve"> </w:t>
      </w:r>
      <w:r w:rsidRPr="005B7E24" w:rsidR="0041737E">
        <w:rPr>
          <w:rFonts w:eastAsia="Times New Roman Bold" w:hAnsi="Times New Roman" w:cs="Times New Roman"/>
        </w:rPr>
        <w:t xml:space="preserve">control group </w:t>
      </w:r>
      <w:r w:rsidRPr="005B7E24">
        <w:rPr>
          <w:rFonts w:eastAsia="Times New Roman Bold" w:hAnsi="Times New Roman" w:cs="Times New Roman"/>
        </w:rPr>
        <w:t>will consist of people with no forensic training and have not been identified as super-recognizers.</w:t>
      </w:r>
    </w:p>
    <w:p w:rsidR="005B47D5" w:rsidP="00DF16FD" w14:paraId="2B917A27" w14:textId="5157DD56">
      <w:pPr>
        <w:rPr>
          <w:rFonts w:eastAsia="Times New Roman Bold" w:hAnsi="Times New Roman" w:cs="Times New Roman"/>
        </w:rPr>
      </w:pPr>
    </w:p>
    <w:p w:rsidR="005B47D5" w:rsidRPr="0092725E" w:rsidP="005B47D5" w14:paraId="186441F3" w14:textId="0B5B5E37">
      <w:pPr>
        <w:rPr>
          <w:color w:val="auto"/>
        </w:rPr>
      </w:pPr>
      <w:r>
        <w:rPr>
          <w:rFonts w:eastAsia="Times New Roman Bold" w:hAnsi="Times New Roman" w:cs="Times New Roman"/>
        </w:rPr>
        <w:t>In a cross-race comparison, the race of the facial examiner and the face in the images is different (this definition applies to facial reviewers, super-recognizers, and the general population).</w:t>
      </w:r>
      <w:r w:rsidR="00440294">
        <w:rPr>
          <w:rFonts w:eastAsia="Times New Roman Bold" w:hAnsi="Times New Roman" w:cs="Times New Roman"/>
        </w:rPr>
        <w:t xml:space="preserve"> </w:t>
      </w:r>
      <w:r w:rsidRPr="0092725E">
        <w:rPr>
          <w:color w:val="auto"/>
        </w:rPr>
        <w:t xml:space="preserve">The aim of this study is to understand </w:t>
      </w:r>
      <w:r>
        <w:rPr>
          <w:color w:val="auto"/>
        </w:rPr>
        <w:t>the effect of cross-race comparisons on forensic</w:t>
      </w:r>
      <w:r w:rsidRPr="0092725E">
        <w:rPr>
          <w:color w:val="auto"/>
        </w:rPr>
        <w:t xml:space="preserve"> facial examiners</w:t>
      </w:r>
      <w:r>
        <w:rPr>
          <w:color w:val="auto"/>
        </w:rPr>
        <w:t>, reviewers,</w:t>
      </w:r>
      <w:r w:rsidRPr="0092725E">
        <w:rPr>
          <w:color w:val="auto"/>
        </w:rPr>
        <w:t xml:space="preserve"> and </w:t>
      </w:r>
      <w:r>
        <w:rPr>
          <w:color w:val="auto"/>
        </w:rPr>
        <w:t>super-recognizers</w:t>
      </w:r>
      <w:r>
        <w:rPr>
          <w:color w:val="auto"/>
        </w:rPr>
        <w:t xml:space="preserve"> when the image subject is of a race different than their own.</w:t>
      </w:r>
    </w:p>
    <w:p w:rsidR="00C76CC6" w:rsidP="00DF16FD" w14:paraId="7FED212A" w14:textId="77777777">
      <w:pPr>
        <w:rPr>
          <w:rFonts w:eastAsia="Times New Roman Bold" w:hAnsi="Times New Roman" w:cs="Times New Roman"/>
        </w:rPr>
      </w:pPr>
    </w:p>
    <w:p w:rsidR="00C76CC6" w:rsidP="00DF16FD" w14:paraId="6EAC55C0" w14:textId="2AC14904">
      <w:pPr>
        <w:rPr>
          <w:rFonts w:eastAsia="Times New Roman Bold" w:hAnsi="Times New Roman" w:cs="Times New Roman"/>
        </w:rPr>
      </w:pPr>
      <w:r>
        <w:rPr>
          <w:rFonts w:eastAsia="Times New Roman Bold" w:hAnsi="Times New Roman" w:cs="Times New Roman"/>
        </w:rPr>
        <w:t xml:space="preserve">Phillips </w:t>
      </w:r>
      <w:r w:rsidRPr="00C76CC6">
        <w:rPr>
          <w:rFonts w:eastAsia="Times New Roman Bold" w:hAnsi="Times New Roman" w:cs="Times New Roman"/>
          <w:i/>
          <w:iCs/>
        </w:rPr>
        <w:t>et al</w:t>
      </w:r>
      <w:r>
        <w:rPr>
          <w:rFonts w:eastAsia="Times New Roman Bold" w:hAnsi="Times New Roman" w:cs="Times New Roman"/>
        </w:rPr>
        <w:t xml:space="preserve"> (2018) </w:t>
      </w:r>
      <w:r w:rsidR="00BD48DC">
        <w:rPr>
          <w:rFonts w:eastAsia="Times New Roman Bold" w:hAnsi="Times New Roman" w:cs="Times New Roman"/>
        </w:rPr>
        <w:t xml:space="preserve">investigated the accuracy of forensic facial examiners, reviewers, and super-recognizers compared to untrained </w:t>
      </w:r>
      <w:r w:rsidR="004F0264">
        <w:rPr>
          <w:rFonts w:eastAsia="Times New Roman Bold" w:hAnsi="Times New Roman" w:cs="Times New Roman"/>
        </w:rPr>
        <w:t xml:space="preserve">control </w:t>
      </w:r>
      <w:r w:rsidR="00BD48DC">
        <w:rPr>
          <w:rFonts w:eastAsia="Times New Roman Bold" w:hAnsi="Times New Roman" w:cs="Times New Roman"/>
        </w:rPr>
        <w:t xml:space="preserve">participants and computer algorithms which were state-of-the-art at the time of publishing. Forensic facial examiners and reviewers were allowed to have access to their tools and methods and had up to three months to perform the twenty comparisons. Phillips </w:t>
      </w:r>
      <w:r w:rsidRPr="00C76CC6" w:rsidR="00BD48DC">
        <w:rPr>
          <w:rFonts w:eastAsia="Times New Roman Bold" w:hAnsi="Times New Roman" w:cs="Times New Roman"/>
          <w:i/>
          <w:iCs/>
        </w:rPr>
        <w:t>et al</w:t>
      </w:r>
      <w:r w:rsidR="00BD48DC">
        <w:rPr>
          <w:rFonts w:eastAsia="Times New Roman Bold" w:hAnsi="Times New Roman" w:cs="Times New Roman"/>
        </w:rPr>
        <w:t xml:space="preserve"> (2018) </w:t>
      </w:r>
      <w:r>
        <w:rPr>
          <w:rFonts w:eastAsia="Times New Roman Bold" w:hAnsi="Times New Roman" w:cs="Times New Roman"/>
        </w:rPr>
        <w:t>demonstrated that all three groups were equally accurate on a challenging face recognition test and that all three were more accurate than untrained participants.</w:t>
      </w:r>
      <w:r w:rsidR="00560BD7">
        <w:rPr>
          <w:rFonts w:eastAsia="Times New Roman Bold" w:hAnsi="Times New Roman" w:cs="Times New Roman"/>
        </w:rPr>
        <w:t xml:space="preserve"> </w:t>
      </w:r>
      <w:r w:rsidR="00D31DFB">
        <w:rPr>
          <w:rFonts w:eastAsia="Times New Roman Bold" w:hAnsi="Times New Roman" w:cs="Times New Roman"/>
        </w:rPr>
        <w:t>In a follow-up study</w:t>
      </w:r>
      <w:r w:rsidR="00560BD7">
        <w:rPr>
          <w:rFonts w:eastAsia="Times New Roman Bold" w:hAnsi="Times New Roman" w:cs="Times New Roman"/>
        </w:rPr>
        <w:t>,</w:t>
      </w:r>
      <w:r w:rsidR="00D31DFB">
        <w:rPr>
          <w:rFonts w:eastAsia="Times New Roman Bold" w:hAnsi="Times New Roman" w:cs="Times New Roman"/>
        </w:rPr>
        <w:t xml:space="preserve"> </w:t>
      </w:r>
      <w:r w:rsidR="00560BD7">
        <w:rPr>
          <w:rFonts w:eastAsia="Times New Roman Bold" w:hAnsi="Times New Roman" w:cs="Times New Roman"/>
        </w:rPr>
        <w:t xml:space="preserve">Yates </w:t>
      </w:r>
      <w:r w:rsidR="00560BD7">
        <w:rPr>
          <w:rFonts w:eastAsia="Times New Roman Bold" w:hAnsi="Times New Roman" w:cs="Times New Roman"/>
          <w:i/>
          <w:iCs/>
        </w:rPr>
        <w:t>et al</w:t>
      </w:r>
      <w:r w:rsidR="00560BD7">
        <w:rPr>
          <w:rFonts w:eastAsia="Times New Roman Bold" w:hAnsi="Times New Roman" w:cs="Times New Roman"/>
        </w:rPr>
        <w:t xml:space="preserve"> (2023)</w:t>
      </w:r>
      <w:r w:rsidR="00D31DFB">
        <w:rPr>
          <w:rFonts w:eastAsia="Times New Roman Bold" w:hAnsi="Times New Roman" w:cs="Times New Roman"/>
        </w:rPr>
        <w:t xml:space="preserve"> looked at the effect on accuracy </w:t>
      </w:r>
      <w:r w:rsidR="00FC5438">
        <w:rPr>
          <w:rFonts w:eastAsia="Times New Roman Bold" w:hAnsi="Times New Roman" w:cs="Times New Roman"/>
        </w:rPr>
        <w:t>at cross-race comparison for</w:t>
      </w:r>
      <w:r w:rsidR="00560BD7">
        <w:rPr>
          <w:rFonts w:eastAsia="Times New Roman Bold" w:hAnsi="Times New Roman" w:cs="Times New Roman"/>
        </w:rPr>
        <w:t xml:space="preserve"> examiners and reviewers</w:t>
      </w:r>
      <w:r w:rsidR="00FC5438">
        <w:rPr>
          <w:rFonts w:eastAsia="Times New Roman Bold" w:hAnsi="Times New Roman" w:cs="Times New Roman"/>
        </w:rPr>
        <w:t>. The study found that the accuracy of examiners</w:t>
      </w:r>
      <w:r w:rsidR="00560BD7">
        <w:rPr>
          <w:rFonts w:eastAsia="Times New Roman Bold" w:hAnsi="Times New Roman" w:cs="Times New Roman"/>
        </w:rPr>
        <w:t xml:space="preserve"> </w:t>
      </w:r>
      <w:r w:rsidR="00FC5438">
        <w:rPr>
          <w:rFonts w:eastAsia="Times New Roman Bold" w:hAnsi="Times New Roman" w:cs="Times New Roman"/>
        </w:rPr>
        <w:t xml:space="preserve">and reviewers </w:t>
      </w:r>
      <w:r w:rsidR="00560BD7">
        <w:rPr>
          <w:rFonts w:eastAsia="Times New Roman Bold" w:hAnsi="Times New Roman" w:cs="Times New Roman"/>
        </w:rPr>
        <w:t xml:space="preserve">dropped </w:t>
      </w:r>
      <w:r w:rsidR="00FC5438">
        <w:rPr>
          <w:rFonts w:eastAsia="Times New Roman Bold" w:hAnsi="Times New Roman" w:cs="Times New Roman"/>
        </w:rPr>
        <w:t xml:space="preserve">for cross-race comparisons. </w:t>
      </w:r>
      <w:r w:rsidR="00560BD7">
        <w:rPr>
          <w:rFonts w:eastAsia="Times New Roman Bold" w:hAnsi="Times New Roman" w:cs="Times New Roman"/>
        </w:rPr>
        <w:t xml:space="preserve">In </w:t>
      </w:r>
      <w:r w:rsidR="00FC5438">
        <w:rPr>
          <w:rFonts w:eastAsia="Times New Roman Bold" w:hAnsi="Times New Roman" w:cs="Times New Roman"/>
        </w:rPr>
        <w:t>this</w:t>
      </w:r>
      <w:r w:rsidR="00560BD7">
        <w:rPr>
          <w:rFonts w:eastAsia="Times New Roman Bold" w:hAnsi="Times New Roman" w:cs="Times New Roman"/>
        </w:rPr>
        <w:t xml:space="preserve"> study, </w:t>
      </w:r>
      <w:r w:rsidR="00FC5438">
        <w:rPr>
          <w:rFonts w:eastAsia="Times New Roman Bold" w:hAnsi="Times New Roman" w:cs="Times New Roman"/>
        </w:rPr>
        <w:t xml:space="preserve">examiners and reviewers </w:t>
      </w:r>
      <w:r w:rsidR="00560BD7">
        <w:rPr>
          <w:rFonts w:eastAsia="Times New Roman Bold" w:hAnsi="Times New Roman" w:cs="Times New Roman"/>
        </w:rPr>
        <w:t xml:space="preserve">only had limited time to complete their comparisons, and </w:t>
      </w:r>
      <w:r w:rsidR="00FC5438">
        <w:rPr>
          <w:rFonts w:eastAsia="Times New Roman Bold" w:hAnsi="Times New Roman" w:cs="Times New Roman"/>
        </w:rPr>
        <w:t>they</w:t>
      </w:r>
      <w:r w:rsidR="00560BD7">
        <w:rPr>
          <w:rFonts w:eastAsia="Times New Roman Bold" w:hAnsi="Times New Roman" w:cs="Times New Roman"/>
        </w:rPr>
        <w:t xml:space="preserve"> did not have access to their tools or methods normally used </w:t>
      </w:r>
      <w:r w:rsidR="00FC5438">
        <w:rPr>
          <w:rFonts w:eastAsia="Times New Roman Bold" w:hAnsi="Times New Roman" w:cs="Times New Roman"/>
        </w:rPr>
        <w:t>forensic facial comparisons</w:t>
      </w:r>
      <w:r w:rsidR="00560BD7">
        <w:rPr>
          <w:rFonts w:eastAsia="Times New Roman Bold" w:hAnsi="Times New Roman" w:cs="Times New Roman"/>
        </w:rPr>
        <w:t>.</w:t>
      </w:r>
    </w:p>
    <w:p w:rsidR="00F5686C" w:rsidP="00DF16FD" w14:paraId="110F4468" w14:textId="77777777">
      <w:pPr>
        <w:rPr>
          <w:rFonts w:eastAsia="Times New Roman Bold" w:hAnsi="Times New Roman" w:cs="Times New Roman"/>
        </w:rPr>
      </w:pPr>
    </w:p>
    <w:p w:rsidR="00F5686C" w:rsidP="00DF16FD" w14:paraId="0FEA618E" w14:textId="444ABB1D">
      <w:pPr>
        <w:rPr>
          <w:rFonts w:eastAsia="Times New Roman Bold" w:hAnsi="Times New Roman" w:cs="Times New Roman"/>
        </w:rPr>
      </w:pPr>
      <w:r>
        <w:rPr>
          <w:rFonts w:eastAsia="Times New Roman Bold" w:hAnsi="Times New Roman" w:cs="Times New Roman"/>
        </w:rPr>
        <w:t xml:space="preserve">Given their role in the Justice system, it is imperative to understand how the accuracy of examiners and reviewers is impacted by </w:t>
      </w:r>
      <w:r w:rsidR="00D52D30">
        <w:rPr>
          <w:rFonts w:eastAsia="Times New Roman Bold" w:hAnsi="Times New Roman" w:cs="Times New Roman"/>
        </w:rPr>
        <w:t xml:space="preserve">cross-race forensic </w:t>
      </w:r>
      <w:r>
        <w:rPr>
          <w:rFonts w:eastAsia="Times New Roman Bold" w:hAnsi="Times New Roman" w:cs="Times New Roman"/>
        </w:rPr>
        <w:t>comparisons.</w:t>
      </w:r>
      <w:r w:rsidR="009F249F">
        <w:rPr>
          <w:rFonts w:eastAsia="Times New Roman Bold" w:hAnsi="Times New Roman" w:cs="Times New Roman"/>
        </w:rPr>
        <w:t xml:space="preserve"> </w:t>
      </w:r>
      <w:r w:rsidR="00D52D30">
        <w:rPr>
          <w:rFonts w:eastAsia="Times New Roman Bold" w:hAnsi="Times New Roman" w:cs="Times New Roman"/>
        </w:rPr>
        <w:t xml:space="preserve">Since Phillips </w:t>
      </w:r>
      <w:r w:rsidRPr="00C76CC6" w:rsidR="00D52D30">
        <w:rPr>
          <w:rFonts w:eastAsia="Times New Roman Bold" w:hAnsi="Times New Roman" w:cs="Times New Roman"/>
          <w:i/>
          <w:iCs/>
        </w:rPr>
        <w:t>et al</w:t>
      </w:r>
      <w:r w:rsidR="00D52D30">
        <w:rPr>
          <w:rFonts w:eastAsia="Times New Roman Bold" w:hAnsi="Times New Roman" w:cs="Times New Roman"/>
        </w:rPr>
        <w:t xml:space="preserve"> (2018) showed that </w:t>
      </w:r>
      <w:r w:rsidR="009F249F">
        <w:rPr>
          <w:rFonts w:eastAsia="Times New Roman Bold" w:hAnsi="Times New Roman" w:cs="Times New Roman"/>
        </w:rPr>
        <w:t xml:space="preserve">super-recognizers </w:t>
      </w:r>
      <w:r w:rsidR="00E30B74">
        <w:rPr>
          <w:rFonts w:eastAsia="Times New Roman Bold" w:hAnsi="Times New Roman" w:cs="Times New Roman"/>
        </w:rPr>
        <w:t xml:space="preserve">perform </w:t>
      </w:r>
      <w:r w:rsidR="00D52D30">
        <w:rPr>
          <w:rFonts w:eastAsia="Times New Roman Bold" w:hAnsi="Times New Roman" w:cs="Times New Roman"/>
        </w:rPr>
        <w:t xml:space="preserve">equally </w:t>
      </w:r>
      <w:r w:rsidR="009F249F">
        <w:rPr>
          <w:rFonts w:eastAsia="Times New Roman Bold" w:hAnsi="Times New Roman" w:cs="Times New Roman"/>
        </w:rPr>
        <w:t xml:space="preserve">to examiners and reviewers </w:t>
      </w:r>
      <w:r w:rsidR="00E30B74">
        <w:rPr>
          <w:rFonts w:eastAsia="Times New Roman Bold" w:hAnsi="Times New Roman" w:cs="Times New Roman"/>
        </w:rPr>
        <w:t xml:space="preserve">with face </w:t>
      </w:r>
      <w:r w:rsidR="00D52D30">
        <w:rPr>
          <w:rFonts w:eastAsia="Times New Roman Bold" w:hAnsi="Times New Roman" w:cs="Times New Roman"/>
        </w:rPr>
        <w:t>comparisons</w:t>
      </w:r>
      <w:r w:rsidR="009F249F">
        <w:rPr>
          <w:rFonts w:eastAsia="Times New Roman Bold" w:hAnsi="Times New Roman" w:cs="Times New Roman"/>
        </w:rPr>
        <w:t xml:space="preserve">, measuring </w:t>
      </w:r>
      <w:r w:rsidR="00D52D30">
        <w:rPr>
          <w:rFonts w:eastAsia="Times New Roman Bold" w:hAnsi="Times New Roman" w:cs="Times New Roman"/>
        </w:rPr>
        <w:t xml:space="preserve">the impact of cross-race comparisons on super-recognizers </w:t>
      </w:r>
      <w:r w:rsidR="009F249F">
        <w:rPr>
          <w:rFonts w:eastAsia="Times New Roman Bold" w:hAnsi="Times New Roman" w:cs="Times New Roman"/>
        </w:rPr>
        <w:t xml:space="preserve">will help us </w:t>
      </w:r>
      <w:r w:rsidR="009F249F">
        <w:rPr>
          <w:rFonts w:eastAsia="Times New Roman Bold" w:hAnsi="Times New Roman" w:cs="Times New Roman"/>
        </w:rPr>
        <w:t>better understand the face processing system of forensic facial examiners and reviewers.</w:t>
      </w:r>
    </w:p>
    <w:p w:rsidR="00C867B1" w:rsidP="00DF16FD" w14:paraId="084ADC54" w14:textId="5BDC2138">
      <w:pPr>
        <w:rPr>
          <w:rFonts w:eastAsia="Times New Roman Bold" w:hAnsi="Times New Roman" w:cs="Times New Roman"/>
        </w:rPr>
      </w:pPr>
    </w:p>
    <w:p w:rsidR="00C867B1" w:rsidP="00DF16FD" w14:paraId="7E96FFDE" w14:textId="7834C9B3">
      <w:pPr>
        <w:rPr>
          <w:rFonts w:eastAsia="Times New Roman Bold" w:hAnsi="Times New Roman" w:cs="Times New Roman"/>
        </w:rPr>
      </w:pPr>
      <w:r>
        <w:rPr>
          <w:rFonts w:eastAsia="Times New Roman Bold" w:hAnsi="Times New Roman" w:cs="Times New Roman"/>
        </w:rPr>
        <w:t>Additional Background if needed:</w:t>
      </w:r>
    </w:p>
    <w:p w:rsidR="00C867B1" w:rsidP="00C867B1" w14:paraId="6048DD59" w14:textId="77777777">
      <w:pPr>
        <w:keepLines/>
        <w:rPr>
          <w:sz w:val="20"/>
          <w:szCs w:val="20"/>
        </w:rPr>
      </w:pPr>
      <w:r w:rsidRPr="00193BF5">
        <w:rPr>
          <w:sz w:val="20"/>
          <w:szCs w:val="20"/>
        </w:rPr>
        <w:t xml:space="preserve">National Research Council. (2009). </w:t>
      </w:r>
      <w:r w:rsidRPr="00193BF5">
        <w:rPr>
          <w:i/>
          <w:sz w:val="20"/>
          <w:szCs w:val="20"/>
        </w:rPr>
        <w:t>Strengthening Forensic Science in the United States: A Path Forward</w:t>
      </w:r>
      <w:r w:rsidRPr="00193BF5">
        <w:rPr>
          <w:sz w:val="20"/>
          <w:szCs w:val="20"/>
        </w:rPr>
        <w:t>. Washington, DC: The National Academies Press.</w:t>
      </w:r>
    </w:p>
    <w:p w:rsidR="00C867B1" w:rsidP="00C867B1" w14:paraId="66607D11" w14:textId="77777777">
      <w:pPr>
        <w:rPr>
          <w:sz w:val="20"/>
          <w:szCs w:val="20"/>
        </w:rPr>
      </w:pPr>
    </w:p>
    <w:p w:rsidR="00C867B1" w:rsidP="00C867B1" w14:paraId="1EAAD7EF" w14:textId="77777777">
      <w:pPr>
        <w:keepLines/>
        <w:rPr>
          <w:sz w:val="20"/>
          <w:szCs w:val="20"/>
        </w:rPr>
      </w:pPr>
      <w:r w:rsidRPr="00C33E3A">
        <w:rPr>
          <w:sz w:val="20"/>
          <w:szCs w:val="20"/>
        </w:rPr>
        <w:t>Phillips, P.J.,</w:t>
      </w:r>
      <w:r>
        <w:rPr>
          <w:sz w:val="20"/>
          <w:szCs w:val="20"/>
        </w:rPr>
        <w:t xml:space="preserve"> Yates, A.N., Hu, Y., Hahn, C.A., Noyes, E., Jackson, K., Cavazos, J.G., </w:t>
      </w:r>
      <w:r>
        <w:rPr>
          <w:sz w:val="20"/>
          <w:szCs w:val="20"/>
        </w:rPr>
        <w:t>Jeckeln</w:t>
      </w:r>
      <w:r>
        <w:rPr>
          <w:sz w:val="20"/>
          <w:szCs w:val="20"/>
        </w:rPr>
        <w:t xml:space="preserve">, G., Ranjan, R., </w:t>
      </w:r>
      <w:r w:rsidRPr="00EC783E">
        <w:rPr>
          <w:sz w:val="20"/>
          <w:szCs w:val="20"/>
        </w:rPr>
        <w:t>Sankaranarayanan</w:t>
      </w:r>
      <w:r>
        <w:rPr>
          <w:sz w:val="20"/>
          <w:szCs w:val="20"/>
        </w:rPr>
        <w:t xml:space="preserve">, S., Chen, J.-C., Castillo, C.D., </w:t>
      </w:r>
      <w:r>
        <w:rPr>
          <w:sz w:val="20"/>
          <w:szCs w:val="20"/>
        </w:rPr>
        <w:t>Chellappa</w:t>
      </w:r>
      <w:r>
        <w:rPr>
          <w:sz w:val="20"/>
          <w:szCs w:val="20"/>
        </w:rPr>
        <w:t xml:space="preserve">, R., White, D., </w:t>
      </w:r>
      <w:r w:rsidRPr="00C33E3A">
        <w:rPr>
          <w:sz w:val="20"/>
          <w:szCs w:val="20"/>
        </w:rPr>
        <w:t>&amp; O</w:t>
      </w:r>
      <w:r w:rsidRPr="00C33E3A">
        <w:rPr>
          <w:sz w:val="20"/>
          <w:szCs w:val="20"/>
        </w:rPr>
        <w:t>’</w:t>
      </w:r>
      <w:r w:rsidRPr="00C33E3A">
        <w:rPr>
          <w:sz w:val="20"/>
          <w:szCs w:val="20"/>
        </w:rPr>
        <w:t>Toole, A.J. (201</w:t>
      </w:r>
      <w:r>
        <w:rPr>
          <w:sz w:val="20"/>
          <w:szCs w:val="20"/>
        </w:rPr>
        <w:t>8</w:t>
      </w:r>
      <w:r w:rsidRPr="00C33E3A">
        <w:rPr>
          <w:sz w:val="20"/>
          <w:szCs w:val="20"/>
        </w:rPr>
        <w:t xml:space="preserve">). </w:t>
      </w:r>
      <w:r w:rsidRPr="00EC783E">
        <w:rPr>
          <w:sz w:val="20"/>
          <w:szCs w:val="20"/>
        </w:rPr>
        <w:t xml:space="preserve">Face recognition accuracy of forensic examiners, </w:t>
      </w:r>
      <w:r w:rsidRPr="00EC783E">
        <w:rPr>
          <w:sz w:val="20"/>
          <w:szCs w:val="20"/>
        </w:rPr>
        <w:t>superrecognizers</w:t>
      </w:r>
      <w:r w:rsidRPr="00EC783E">
        <w:rPr>
          <w:sz w:val="20"/>
          <w:szCs w:val="20"/>
        </w:rPr>
        <w:t>, and face recognition algorithms</w:t>
      </w:r>
      <w:r w:rsidRPr="00C33E3A">
        <w:rPr>
          <w:sz w:val="20"/>
          <w:szCs w:val="20"/>
        </w:rPr>
        <w:t xml:space="preserve">. </w:t>
      </w:r>
      <w:r>
        <w:rPr>
          <w:i/>
          <w:sz w:val="20"/>
          <w:szCs w:val="20"/>
        </w:rPr>
        <w:t>Proceedings of the National Academy of Sciences</w:t>
      </w:r>
      <w:r w:rsidRPr="00C33E3A">
        <w:rPr>
          <w:i/>
          <w:sz w:val="20"/>
          <w:szCs w:val="20"/>
        </w:rPr>
        <w:t xml:space="preserve">, </w:t>
      </w:r>
      <w:r>
        <w:rPr>
          <w:i/>
          <w:sz w:val="20"/>
          <w:szCs w:val="20"/>
        </w:rPr>
        <w:t>115</w:t>
      </w:r>
      <w:r w:rsidRPr="00C33E3A">
        <w:rPr>
          <w:sz w:val="20"/>
          <w:szCs w:val="20"/>
        </w:rPr>
        <w:t>(2</w:t>
      </w:r>
      <w:r>
        <w:rPr>
          <w:sz w:val="20"/>
          <w:szCs w:val="20"/>
        </w:rPr>
        <w:t>4</w:t>
      </w:r>
      <w:r w:rsidRPr="00C33E3A">
        <w:rPr>
          <w:sz w:val="20"/>
          <w:szCs w:val="20"/>
        </w:rPr>
        <w:t>)</w:t>
      </w:r>
      <w:r>
        <w:rPr>
          <w:sz w:val="20"/>
          <w:szCs w:val="20"/>
        </w:rPr>
        <w:t>:6171</w:t>
      </w:r>
      <w:r>
        <w:rPr>
          <w:sz w:val="20"/>
          <w:szCs w:val="20"/>
        </w:rPr>
        <w:t>–</w:t>
      </w:r>
      <w:r>
        <w:rPr>
          <w:sz w:val="20"/>
          <w:szCs w:val="20"/>
        </w:rPr>
        <w:softHyphen/>
        <w:t>6176</w:t>
      </w:r>
      <w:r w:rsidRPr="00C33E3A">
        <w:rPr>
          <w:sz w:val="20"/>
          <w:szCs w:val="20"/>
        </w:rPr>
        <w:t xml:space="preserve">. </w:t>
      </w:r>
      <w:r>
        <w:rPr>
          <w:sz w:val="20"/>
          <w:szCs w:val="20"/>
        </w:rPr>
        <w:t>DOI</w:t>
      </w:r>
      <w:r w:rsidRPr="00C33E3A">
        <w:rPr>
          <w:sz w:val="20"/>
          <w:szCs w:val="20"/>
        </w:rPr>
        <w:t>:</w:t>
      </w:r>
      <w:r w:rsidRPr="00EC783E">
        <w:t xml:space="preserve"> </w:t>
      </w:r>
      <w:hyperlink r:id="rId5" w:history="1">
        <w:r w:rsidRPr="00EC783E">
          <w:rPr>
            <w:rStyle w:val="Hyperlink"/>
            <w:sz w:val="20"/>
            <w:szCs w:val="20"/>
          </w:rPr>
          <w:t>10.1073/pnas.1721355115</w:t>
        </w:r>
      </w:hyperlink>
    </w:p>
    <w:p w:rsidR="00C867B1" w:rsidP="00C867B1" w14:paraId="1B2AAEBD" w14:textId="77777777">
      <w:pPr>
        <w:keepLines/>
        <w:rPr>
          <w:sz w:val="20"/>
          <w:szCs w:val="20"/>
        </w:rPr>
      </w:pPr>
    </w:p>
    <w:p w:rsidR="00C867B1" w:rsidRPr="00EC783E" w:rsidP="00C867B1" w14:paraId="4F7E4401" w14:textId="77777777">
      <w:pPr>
        <w:keepLines/>
        <w:rPr>
          <w:sz w:val="20"/>
          <w:szCs w:val="20"/>
        </w:rPr>
      </w:pPr>
      <w:r>
        <w:rPr>
          <w:sz w:val="20"/>
          <w:szCs w:val="20"/>
        </w:rPr>
        <w:t xml:space="preserve">Yates, A.N., Cavazos, J.G., </w:t>
      </w:r>
      <w:r>
        <w:rPr>
          <w:sz w:val="20"/>
          <w:szCs w:val="20"/>
        </w:rPr>
        <w:t>Jeckeln</w:t>
      </w:r>
      <w:r>
        <w:rPr>
          <w:sz w:val="20"/>
          <w:szCs w:val="20"/>
        </w:rPr>
        <w:t>, G., Hu, Y., Noyes, E., Hahn, C.A., O</w:t>
      </w:r>
      <w:r>
        <w:rPr>
          <w:sz w:val="20"/>
          <w:szCs w:val="20"/>
        </w:rPr>
        <w:t>’</w:t>
      </w:r>
      <w:r>
        <w:rPr>
          <w:sz w:val="20"/>
          <w:szCs w:val="20"/>
        </w:rPr>
        <w:t xml:space="preserve">Toole, A.J., &amp; Phillips, P.J. (2023). </w:t>
      </w:r>
      <w:r w:rsidRPr="00EC783E">
        <w:rPr>
          <w:sz w:val="20"/>
          <w:szCs w:val="20"/>
        </w:rPr>
        <w:t>Who Is That? Perceptual Expertise on Other-Race Face Comparisons, Disguised Face Comparisons, and Face Memory</w:t>
      </w:r>
      <w:r>
        <w:rPr>
          <w:sz w:val="20"/>
          <w:szCs w:val="20"/>
        </w:rPr>
        <w:t xml:space="preserve">. </w:t>
      </w:r>
      <w:r>
        <w:rPr>
          <w:i/>
          <w:iCs/>
          <w:sz w:val="20"/>
          <w:szCs w:val="20"/>
        </w:rPr>
        <w:t>PsyArXiv</w:t>
      </w:r>
      <w:r>
        <w:rPr>
          <w:i/>
          <w:iCs/>
          <w:sz w:val="20"/>
          <w:szCs w:val="20"/>
        </w:rPr>
        <w:t xml:space="preserve"> Preprints</w:t>
      </w:r>
      <w:r>
        <w:rPr>
          <w:sz w:val="20"/>
          <w:szCs w:val="20"/>
        </w:rPr>
        <w:t xml:space="preserve">. DOI: </w:t>
      </w:r>
      <w:hyperlink r:id="rId6" w:history="1">
        <w:r w:rsidRPr="00EC783E">
          <w:rPr>
            <w:rStyle w:val="Hyperlink"/>
            <w:sz w:val="20"/>
            <w:szCs w:val="20"/>
          </w:rPr>
          <w:t>10.31234/osf.io/s87na</w:t>
        </w:r>
      </w:hyperlink>
      <w:r>
        <w:rPr>
          <w:sz w:val="20"/>
          <w:szCs w:val="20"/>
        </w:rPr>
        <w:t xml:space="preserve"> (preprint)</w:t>
      </w:r>
    </w:p>
    <w:p w:rsidR="003F072B" w:rsidP="00193BF5" w14:paraId="74FE0B87" w14:textId="6505A3FC">
      <w:pPr>
        <w:rPr>
          <w:rFonts w:eastAsia="Times New Roman Bold" w:hAnsi="Times New Roman" w:cs="Times New Roman"/>
        </w:rPr>
      </w:pPr>
    </w:p>
    <w:p w:rsidR="00370100" w:rsidRPr="00DA4E47" w:rsidP="00AA5ECF" w14:paraId="348862EC" w14:textId="77777777">
      <w:pPr>
        <w:keepNext/>
        <w:rPr>
          <w:rFonts w:ascii="Times New Roman Bold" w:eastAsia="Times New Roman Bold" w:hAnsi="Times New Roman Bold" w:cs="Times New Roman Bold"/>
          <w:b/>
        </w:rPr>
      </w:pPr>
      <w:r w:rsidRPr="00DA4E47">
        <w:rPr>
          <w:rFonts w:ascii="Times New Roman Bold"/>
          <w:b/>
        </w:rPr>
        <w:t>2.  Explain how the survey was developed including consultation with interested parties, pre-testing, and responses to suggestions for improvement.</w:t>
      </w:r>
    </w:p>
    <w:p w:rsidR="00370100" w:rsidP="00AA5ECF" w14:paraId="6F47D53E" w14:textId="2609A698">
      <w:pPr>
        <w:keepNext/>
        <w:rPr>
          <w:rFonts w:ascii="Times New Roman Bold" w:eastAsia="Times New Roman Bold" w:hAnsi="Times New Roman Bold" w:cs="Times New Roman Bold"/>
        </w:rPr>
      </w:pPr>
    </w:p>
    <w:p w:rsidR="00F703F4" w:rsidRPr="00035184" w:rsidP="00AA5ECF" w14:paraId="08C06B33" w14:textId="6D5AC502">
      <w:pPr>
        <w:keepNext/>
        <w:rPr>
          <w:rFonts w:eastAsia="Times New Roman Bold" w:hAnsi="Times New Roman" w:cs="Times New Roman Bold"/>
        </w:rPr>
      </w:pPr>
      <w:r w:rsidRPr="00035184">
        <w:rPr>
          <w:rFonts w:eastAsia="Times New Roman Bold" w:hAnsi="Times New Roman" w:cs="Times New Roman Bold"/>
        </w:rPr>
        <w:t>The</w:t>
      </w:r>
      <w:r w:rsidRPr="00035184" w:rsidR="003A5AF6">
        <w:rPr>
          <w:rFonts w:eastAsia="Times New Roman Bold" w:hAnsi="Times New Roman" w:cs="Times New Roman Bold"/>
        </w:rPr>
        <w:t xml:space="preserve"> </w:t>
      </w:r>
      <w:r w:rsidRPr="00035184" w:rsidR="0079367F">
        <w:rPr>
          <w:rFonts w:eastAsia="Times New Roman Bold" w:hAnsi="Times New Roman" w:cs="Times New Roman Bold"/>
        </w:rPr>
        <w:t>survey</w:t>
      </w:r>
      <w:r w:rsidRPr="00035184" w:rsidR="00774079">
        <w:rPr>
          <w:rFonts w:eastAsia="Times New Roman Bold" w:hAnsi="Times New Roman" w:cs="Times New Roman Bold"/>
        </w:rPr>
        <w:t xml:space="preserve"> tool</w:t>
      </w:r>
      <w:r w:rsidRPr="00035184" w:rsidR="0079367F">
        <w:rPr>
          <w:rFonts w:eastAsia="Times New Roman Bold" w:hAnsi="Times New Roman" w:cs="Times New Roman Bold"/>
        </w:rPr>
        <w:t xml:space="preserve">s were developed based on previous work in Phillips </w:t>
      </w:r>
      <w:r w:rsidRPr="00035184" w:rsidR="0079367F">
        <w:rPr>
          <w:rFonts w:eastAsia="Times New Roman Bold" w:hAnsi="Times New Roman" w:cs="Times New Roman Bold"/>
          <w:iCs/>
        </w:rPr>
        <w:t>et al</w:t>
      </w:r>
      <w:r w:rsidRPr="00035184" w:rsidR="0079367F">
        <w:rPr>
          <w:rFonts w:eastAsia="Times New Roman Bold" w:hAnsi="Times New Roman" w:cs="Times New Roman Bold"/>
        </w:rPr>
        <w:t xml:space="preserve"> (2018) and Yates </w:t>
      </w:r>
      <w:r w:rsidRPr="00035184" w:rsidR="0079367F">
        <w:rPr>
          <w:rFonts w:eastAsia="Times New Roman Bold" w:hAnsi="Times New Roman" w:cs="Times New Roman Bold"/>
          <w:iCs/>
        </w:rPr>
        <w:t>et al</w:t>
      </w:r>
      <w:r w:rsidRPr="00035184" w:rsidR="0079367F">
        <w:rPr>
          <w:rFonts w:eastAsia="Times New Roman Bold" w:hAnsi="Times New Roman" w:cs="Times New Roman Bold"/>
        </w:rPr>
        <w:t xml:space="preserve"> (2023) as well as in consultation with experts in facial forensics.</w:t>
      </w:r>
      <w:r w:rsidRPr="00035184" w:rsidR="00EC2D7B">
        <w:rPr>
          <w:rFonts w:eastAsia="Times New Roman Bold" w:hAnsi="Times New Roman" w:cs="Times New Roman Bold"/>
        </w:rPr>
        <w:t xml:space="preserve"> </w:t>
      </w:r>
      <w:r w:rsidRPr="00035184">
        <w:rPr>
          <w:rFonts w:eastAsia="Times New Roman Bold" w:hAnsi="Times New Roman" w:cs="Times New Roman Bold"/>
        </w:rPr>
        <w:t xml:space="preserve">The procedures are the same as those in Phillips </w:t>
      </w:r>
      <w:r w:rsidRPr="00035184">
        <w:rPr>
          <w:rFonts w:eastAsia="Times New Roman Bold" w:hAnsi="Times New Roman" w:cs="Times New Roman Bold"/>
          <w:iCs/>
        </w:rPr>
        <w:t>et al</w:t>
      </w:r>
      <w:r w:rsidRPr="00035184">
        <w:rPr>
          <w:rFonts w:eastAsia="Times New Roman Bold" w:hAnsi="Times New Roman" w:cs="Times New Roman Bold"/>
        </w:rPr>
        <w:t xml:space="preserve"> (2018). The Eligibility and Demographic Questionnaire was developed </w:t>
      </w:r>
      <w:r w:rsidRPr="00035184" w:rsidR="00007E1B">
        <w:rPr>
          <w:rFonts w:eastAsia="Times New Roman Bold" w:hAnsi="Times New Roman" w:cs="Times New Roman Bold"/>
        </w:rPr>
        <w:t xml:space="preserve">from multiple sources. The eligibility questions (#1-5) were based off the ones used in Phillips </w:t>
      </w:r>
      <w:r w:rsidRPr="00035184" w:rsidR="00007E1B">
        <w:rPr>
          <w:rFonts w:eastAsia="Times New Roman Bold" w:hAnsi="Times New Roman" w:cs="Times New Roman Bold"/>
          <w:iCs/>
        </w:rPr>
        <w:t>et al</w:t>
      </w:r>
      <w:r w:rsidRPr="00035184" w:rsidR="00007E1B">
        <w:rPr>
          <w:rFonts w:eastAsia="Times New Roman Bold" w:hAnsi="Times New Roman" w:cs="Times New Roman Bold"/>
        </w:rPr>
        <w:t xml:space="preserve"> (2018). The questions on familiarity with Black and White individuals (#8-11) were based off standard background questions used in psychology literature on cross-race face comparisons.</w:t>
      </w:r>
      <w:r w:rsidRPr="00035184" w:rsidR="003366E4">
        <w:rPr>
          <w:rFonts w:eastAsia="Times New Roman Bold" w:hAnsi="Times New Roman" w:cs="Times New Roman Bold"/>
        </w:rPr>
        <w:t xml:space="preserve"> The demographic questions (#6-7, 12-13) </w:t>
      </w:r>
      <w:r w:rsidRPr="00035184" w:rsidR="00A818CF">
        <w:rPr>
          <w:rFonts w:eastAsia="Times New Roman Bold" w:hAnsi="Times New Roman" w:cs="Times New Roman Bold"/>
        </w:rPr>
        <w:t xml:space="preserve">are standard for reporting population statistics. Questions #1-5 are needed to determine </w:t>
      </w:r>
      <w:r w:rsidRPr="00035184" w:rsidR="005A5F16">
        <w:rPr>
          <w:rFonts w:eastAsia="Times New Roman Bold" w:hAnsi="Times New Roman" w:cs="Times New Roman Bold"/>
        </w:rPr>
        <w:t xml:space="preserve">if </w:t>
      </w:r>
      <w:r w:rsidRPr="00035184" w:rsidR="00A818CF">
        <w:rPr>
          <w:rFonts w:eastAsia="Times New Roman Bold" w:hAnsi="Times New Roman" w:cs="Times New Roman Bold"/>
        </w:rPr>
        <w:t>a participant is eligible to take part in the study and, if so, which category (</w:t>
      </w:r>
      <w:r w:rsidRPr="00035184" w:rsidR="00A818CF">
        <w:rPr>
          <w:rFonts w:eastAsia="Times New Roman Bold" w:hAnsi="Times New Roman" w:cs="Times New Roman Bold"/>
          <w:iCs/>
        </w:rPr>
        <w:t>i.e.</w:t>
      </w:r>
      <w:r w:rsidRPr="00035184" w:rsidR="00A818CF">
        <w:rPr>
          <w:rFonts w:eastAsia="Times New Roman Bold" w:hAnsi="Times New Roman" w:cs="Times New Roman Bold"/>
        </w:rPr>
        <w:t>, examiners, reviewers</w:t>
      </w:r>
      <w:r w:rsidRPr="00035184" w:rsidR="0041737E">
        <w:rPr>
          <w:rFonts w:eastAsia="Times New Roman Bold" w:hAnsi="Times New Roman" w:cs="Times New Roman Bold"/>
        </w:rPr>
        <w:t xml:space="preserve">, </w:t>
      </w:r>
      <w:r w:rsidRPr="00035184" w:rsidR="00A818CF">
        <w:rPr>
          <w:rFonts w:eastAsia="Times New Roman Bold" w:hAnsi="Times New Roman" w:cs="Times New Roman Bold"/>
        </w:rPr>
        <w:t>super-recognizers</w:t>
      </w:r>
      <w:r w:rsidRPr="00035184" w:rsidR="0041737E">
        <w:rPr>
          <w:rFonts w:eastAsia="Times New Roman Bold" w:hAnsi="Times New Roman" w:cs="Times New Roman Bold"/>
        </w:rPr>
        <w:t>, or control</w:t>
      </w:r>
      <w:r w:rsidRPr="00035184" w:rsidR="00A818CF">
        <w:rPr>
          <w:rFonts w:eastAsia="Times New Roman Bold" w:hAnsi="Times New Roman" w:cs="Times New Roman Bold"/>
        </w:rPr>
        <w:t>) the participant is in. Question #7 is needed to perform analysis between participant races and image subjects. All other questions are optional in the questionnaire.</w:t>
      </w:r>
    </w:p>
    <w:p w:rsidR="00F703F4" w:rsidRPr="00035184" w:rsidP="00AA5ECF" w14:paraId="384F21A6" w14:textId="77777777">
      <w:pPr>
        <w:keepNext/>
        <w:rPr>
          <w:rFonts w:eastAsia="Times New Roman Bold" w:hAnsi="Times New Roman" w:cs="Times New Roman Bold"/>
        </w:rPr>
      </w:pPr>
    </w:p>
    <w:p w:rsidR="00F703F4" w:rsidRPr="00035184" w:rsidP="00AA5ECF" w14:paraId="426E680C" w14:textId="567E3D35">
      <w:pPr>
        <w:keepNext/>
        <w:rPr>
          <w:rFonts w:eastAsia="Times New Roman Bold" w:hAnsi="Times New Roman" w:cs="Times New Roman Bold"/>
        </w:rPr>
      </w:pPr>
      <w:r w:rsidRPr="00035184">
        <w:rPr>
          <w:rFonts w:eastAsia="Times New Roman Bold" w:hAnsi="Times New Roman" w:cs="Times New Roman Bold"/>
        </w:rPr>
        <w:t xml:space="preserve">As in </w:t>
      </w:r>
      <w:r w:rsidRPr="00035184" w:rsidR="00607547">
        <w:rPr>
          <w:rFonts w:eastAsia="Times New Roman Bold" w:hAnsi="Times New Roman" w:cs="Times New Roman Bold"/>
        </w:rPr>
        <w:t xml:space="preserve">Phillips </w:t>
      </w:r>
      <w:r w:rsidRPr="00035184" w:rsidR="00607547">
        <w:rPr>
          <w:rFonts w:eastAsia="Times New Roman Bold" w:hAnsi="Times New Roman" w:cs="Times New Roman Bold"/>
          <w:iCs/>
        </w:rPr>
        <w:t>et al</w:t>
      </w:r>
      <w:r w:rsidRPr="00035184" w:rsidR="00607547">
        <w:rPr>
          <w:rFonts w:eastAsia="Times New Roman Bold" w:hAnsi="Times New Roman" w:cs="Times New Roman Bold"/>
        </w:rPr>
        <w:t xml:space="preserve"> (2018)</w:t>
      </w:r>
      <w:r w:rsidRPr="00035184">
        <w:rPr>
          <w:rFonts w:eastAsia="Times New Roman Bold" w:hAnsi="Times New Roman" w:cs="Times New Roman Bold"/>
        </w:rPr>
        <w:t xml:space="preserve">, </w:t>
      </w:r>
      <w:r w:rsidRPr="00035184" w:rsidR="007B3BB5">
        <w:rPr>
          <w:rFonts w:eastAsia="Times New Roman Bold" w:hAnsi="Times New Roman" w:cs="Times New Roman Bold"/>
        </w:rPr>
        <w:t>20</w:t>
      </w:r>
      <w:r w:rsidRPr="00035184">
        <w:rPr>
          <w:rFonts w:eastAsia="Times New Roman Bold" w:hAnsi="Times New Roman" w:cs="Times New Roman Bold"/>
        </w:rPr>
        <w:t xml:space="preserve"> pairs of images will be given to participants</w:t>
      </w:r>
      <w:r w:rsidRPr="00035184" w:rsidR="00607547">
        <w:rPr>
          <w:rFonts w:eastAsia="Times New Roman Bold" w:hAnsi="Times New Roman" w:cs="Times New Roman Bold"/>
        </w:rPr>
        <w:t>, who will have 3 months to complete their comparisons and send their responses to NIST. The</w:t>
      </w:r>
      <w:r w:rsidRPr="00035184" w:rsidR="00807C50">
        <w:rPr>
          <w:rFonts w:eastAsia="Times New Roman Bold" w:hAnsi="Times New Roman" w:cs="Times New Roman Bold"/>
        </w:rPr>
        <w:t>y will send their comparisons to NIST using the</w:t>
      </w:r>
      <w:r w:rsidRPr="00035184" w:rsidR="00607547">
        <w:rPr>
          <w:rFonts w:eastAsia="Times New Roman Bold" w:hAnsi="Times New Roman" w:cs="Times New Roman Bold"/>
        </w:rPr>
        <w:t xml:space="preserve"> Comparison Questionnaire</w:t>
      </w:r>
      <w:r w:rsidRPr="00035184" w:rsidR="00807C50">
        <w:rPr>
          <w:rFonts w:eastAsia="Times New Roman Bold" w:hAnsi="Times New Roman" w:cs="Times New Roman Bold"/>
        </w:rPr>
        <w:t>, which</w:t>
      </w:r>
      <w:r w:rsidRPr="00035184" w:rsidR="00607547">
        <w:rPr>
          <w:rFonts w:eastAsia="Times New Roman Bold" w:hAnsi="Times New Roman" w:cs="Times New Roman Bold"/>
        </w:rPr>
        <w:t xml:space="preserve"> will be hoste</w:t>
      </w:r>
      <w:r w:rsidRPr="00035184" w:rsidR="00D32EDC">
        <w:rPr>
          <w:rFonts w:eastAsia="Times New Roman Bold" w:hAnsi="Times New Roman" w:cs="Times New Roman Bold"/>
        </w:rPr>
        <w:t>d</w:t>
      </w:r>
      <w:r w:rsidRPr="00035184" w:rsidR="00607547">
        <w:rPr>
          <w:rFonts w:eastAsia="Times New Roman Bold" w:hAnsi="Times New Roman" w:cs="Times New Roman Bold"/>
        </w:rPr>
        <w:t xml:space="preserve"> on Survey Monkey. The questionnaire utilizes the same questions and response scales as in Phillips </w:t>
      </w:r>
      <w:r w:rsidRPr="00035184" w:rsidR="00607547">
        <w:rPr>
          <w:rFonts w:eastAsia="Times New Roman Bold" w:hAnsi="Times New Roman" w:cs="Times New Roman Bold"/>
          <w:iCs/>
        </w:rPr>
        <w:t>et al</w:t>
      </w:r>
      <w:r w:rsidRPr="00035184" w:rsidR="00607547">
        <w:rPr>
          <w:rFonts w:eastAsia="Times New Roman Bold" w:hAnsi="Times New Roman" w:cs="Times New Roman Bold"/>
        </w:rPr>
        <w:t xml:space="preserve"> (2018)</w:t>
      </w:r>
      <w:r w:rsidRPr="00035184" w:rsidR="00152045">
        <w:rPr>
          <w:rFonts w:eastAsia="Times New Roman Bold" w:hAnsi="Times New Roman" w:cs="Times New Roman Bold"/>
        </w:rPr>
        <w:t>, which was developed in consultation with the forensic facial community</w:t>
      </w:r>
      <w:r w:rsidRPr="00035184" w:rsidR="00607547">
        <w:rPr>
          <w:rFonts w:eastAsia="Times New Roman Bold" w:hAnsi="Times New Roman" w:cs="Times New Roman Bold"/>
        </w:rPr>
        <w:t>.</w:t>
      </w:r>
    </w:p>
    <w:p w:rsidR="00463EF1" w:rsidRPr="00035184" w14:paraId="308D0F60" w14:textId="77777777">
      <w:pPr>
        <w:rPr>
          <w:rFonts w:hAnsi="Times New Roman"/>
        </w:rPr>
      </w:pPr>
    </w:p>
    <w:p w:rsidR="00370100" w:rsidP="00D10DC5" w14:paraId="60166547" w14:textId="30DB46AF">
      <w:pPr>
        <w:keepNext/>
        <w:rPr>
          <w:rFonts w:ascii="Times New Roman Bold"/>
          <w:b/>
        </w:rPr>
      </w:pPr>
      <w:r w:rsidRPr="00DA4E47">
        <w:rPr>
          <w:rFonts w:ascii="Times New Roman Bold"/>
          <w:b/>
        </w:rPr>
        <w:t>3.  Explain how the survey will be conducted, how customers will be sampled if fewer than all customers will be surveyed, expected response rate, and actions your agency plans to take to improve the response rate.</w:t>
      </w:r>
    </w:p>
    <w:p w:rsidR="00370100" w:rsidP="00D10DC5" w14:paraId="56382FAE" w14:textId="77777777">
      <w:pPr>
        <w:keepNext/>
      </w:pPr>
    </w:p>
    <w:p w:rsidR="004F4BCB" w:rsidP="00D10DC5" w14:paraId="0BC80E5A" w14:textId="23B7A05D">
      <w:pPr>
        <w:keepNext/>
      </w:pPr>
      <w:r>
        <w:t xml:space="preserve">Participants will come from forensic facial and super-recognizer communities. Recruitment emails asking for potential participants will go to professional groups such as the Facial Identification Scientific Working Group (FISWIG), the Facial Identification subcommittee of the Organization of Scientific Area Committees (OSAC), and the European Network of Forensic </w:t>
      </w:r>
      <w:r>
        <w:t>Science Institutes (ENFSI). Recruitment emails</w:t>
      </w:r>
      <w:r w:rsidR="00E2712F">
        <w:t xml:space="preserve"> will also go to super-recognizer researchers who have tested and validated groups of super-recognizers.</w:t>
      </w:r>
    </w:p>
    <w:p w:rsidR="00E2712F" w:rsidP="00D10DC5" w14:paraId="77BFB057" w14:textId="77777777">
      <w:pPr>
        <w:keepNext/>
      </w:pPr>
    </w:p>
    <w:p w:rsidR="00FA0137" w:rsidP="00D10DC5" w14:paraId="1908001B" w14:textId="3ADC11A3">
      <w:pPr>
        <w:keepNext/>
      </w:pPr>
      <w:r>
        <w:t>Potential participants will have a</w:t>
      </w:r>
      <w:r w:rsidR="00665248">
        <w:t>n interview</w:t>
      </w:r>
      <w:r w:rsidR="0019269F">
        <w:t xml:space="preserve"> over a </w:t>
      </w:r>
      <w:r w:rsidR="006F00EC">
        <w:t xml:space="preserve">phone or video </w:t>
      </w:r>
      <w:r w:rsidR="0019269F">
        <w:t>call</w:t>
      </w:r>
      <w:r w:rsidR="00665248">
        <w:t xml:space="preserve"> with a NIST researcher to go over the study and information sheet. Volunteers who choose to participate will proceed to the screening questionnaire. Participants will be verbally asked the </w:t>
      </w:r>
      <w:r w:rsidR="00BD4932">
        <w:t>E</w:t>
      </w:r>
      <w:r w:rsidR="00665248">
        <w:t xml:space="preserve">ligibility and </w:t>
      </w:r>
      <w:r w:rsidR="00BD4932">
        <w:t>D</w:t>
      </w:r>
      <w:r w:rsidR="00665248">
        <w:t xml:space="preserve">emographic </w:t>
      </w:r>
      <w:r w:rsidR="00BD4932">
        <w:t>Q</w:t>
      </w:r>
      <w:r w:rsidR="00665248">
        <w:t>uestion</w:t>
      </w:r>
      <w:r w:rsidR="00BD4932">
        <w:t>naire</w:t>
      </w:r>
      <w:r>
        <w:t xml:space="preserve"> by the NIST researcher</w:t>
      </w:r>
      <w:r w:rsidR="00665248">
        <w:t>.</w:t>
      </w:r>
      <w:r>
        <w:t xml:space="preserve"> The questions determine if the participant fits into one of the tested groups, determine the analysis performed based on race, and are standard demographic questions for reporting in psychology studies.</w:t>
      </w:r>
    </w:p>
    <w:p w:rsidR="00FA0137" w:rsidP="00D10DC5" w14:paraId="7CB23AF9" w14:textId="77777777">
      <w:pPr>
        <w:keepNext/>
      </w:pPr>
    </w:p>
    <w:p w:rsidR="005152C2" w:rsidP="00D10DC5" w14:paraId="054FD0CC" w14:textId="2B9C0BEB">
      <w:pPr>
        <w:keepNext/>
      </w:pPr>
      <w:r>
        <w:t xml:space="preserve">After it is determined if the participant fits into one of the </w:t>
      </w:r>
      <w:r w:rsidR="00277FAD">
        <w:t xml:space="preserve">four </w:t>
      </w:r>
      <w:r>
        <w:t xml:space="preserve">groups, the participant will be </w:t>
      </w:r>
      <w:r w:rsidR="00FA0137">
        <w:t>sent a secure link to download the images.</w:t>
      </w:r>
      <w:r w:rsidR="009B1D29">
        <w:t xml:space="preserve"> Participants will have up to 3 months to complete their comparisons </w:t>
      </w:r>
      <w:r w:rsidR="007B3BB5">
        <w:t>and select their responses for</w:t>
      </w:r>
      <w:r w:rsidR="009B1D29">
        <w:t xml:space="preserve"> all image pairs.</w:t>
      </w:r>
      <w:r w:rsidR="007B3BB5">
        <w:t xml:space="preserve"> To submit their responses,</w:t>
      </w:r>
      <w:r w:rsidR="00FA0137">
        <w:t xml:space="preserve"> NIST will also </w:t>
      </w:r>
      <w:r w:rsidR="009B1D29">
        <w:t>send</w:t>
      </w:r>
      <w:r>
        <w:t xml:space="preserve"> a link to a web-based survey</w:t>
      </w:r>
      <w:r w:rsidR="009B1D29">
        <w:t xml:space="preserve"> (hosted on Survey Monkey)</w:t>
      </w:r>
      <w:r>
        <w:t xml:space="preserve"> for completing the Comparison Questionnaire.</w:t>
      </w:r>
      <w:r w:rsidR="007B3BB5">
        <w:t xml:space="preserve"> The attached questionnaire illustrates the questions and presentation. In order not to release the images before the study, the attached Comparison Questionnaire only has pages for two mock-up pairs that are not included in the test. The final questionnaire will contain 40 questions for 20 pairs of images; the questions for each pair will be the same, demonstrated in the attached mock-up.</w:t>
      </w:r>
    </w:p>
    <w:p w:rsidR="007B3BB5" w:rsidP="00D10DC5" w14:paraId="71A0049D" w14:textId="77777777">
      <w:pPr>
        <w:keepNext/>
      </w:pPr>
    </w:p>
    <w:p w:rsidR="007B3BB5" w:rsidP="00D10DC5" w14:paraId="347B78D8" w14:textId="27531A82">
      <w:pPr>
        <w:keepNext/>
      </w:pPr>
      <w:r>
        <w:t xml:space="preserve">Participants will have the option to request their </w:t>
      </w:r>
      <w:r w:rsidR="0034208C">
        <w:t>responses</w:t>
      </w:r>
      <w:r>
        <w:t xml:space="preserve">. </w:t>
      </w:r>
      <w:r w:rsidR="0034208C">
        <w:t xml:space="preserve">Scores will be de-identified with an alphanumeric study code. </w:t>
      </w:r>
      <w:r>
        <w:t>The participant</w:t>
      </w:r>
      <w:r>
        <w:t>’</w:t>
      </w:r>
      <w:r>
        <w:t>s name</w:t>
      </w:r>
      <w:r w:rsidR="0034208C">
        <w:t xml:space="preserve"> and email will be connected to their study code while data is being collected and analyzed so that participants may request their responses. Concurrent with the publishing of the first paper, the link between names and study code will be destroyed, and participants will not be able to request their responses afterward.</w:t>
      </w:r>
    </w:p>
    <w:p w:rsidR="005152C2" w:rsidP="00D10DC5" w14:paraId="6C3AFAD5" w14:textId="77777777">
      <w:pPr>
        <w:keepNext/>
      </w:pPr>
    </w:p>
    <w:p w:rsidR="005152C2" w:rsidP="00D10DC5" w14:paraId="2CF53462" w14:textId="11F9C493">
      <w:pPr>
        <w:keepNext/>
      </w:pPr>
      <w:r>
        <w:t xml:space="preserve">We estimate that we will receive up to 300 responses across all the </w:t>
      </w:r>
      <w:r w:rsidR="0041737E">
        <w:t>four</w:t>
      </w:r>
      <w:r>
        <w:t xml:space="preserve"> groups.</w:t>
      </w:r>
    </w:p>
    <w:p w:rsidR="005152C2" w:rsidP="005152C2" w14:paraId="7CF87E56" w14:textId="039F1AA9">
      <w:pPr>
        <w:pStyle w:val="ListParagraph"/>
        <w:keepNext/>
        <w:numPr>
          <w:ilvl w:val="0"/>
          <w:numId w:val="2"/>
        </w:numPr>
      </w:pPr>
      <w:r>
        <w:t xml:space="preserve">A </w:t>
      </w:r>
      <w:r w:rsidRPr="005152C2">
        <w:rPr>
          <w:i/>
          <w:iCs/>
        </w:rPr>
        <w:t>forensic facial examiner</w:t>
      </w:r>
      <w:r>
        <w:t xml:space="preserve"> is a person who performs facial comparisons as part of their job and has been trained to perform forensic facial comparisons. Examiners perform one-to-one comparisons as part of their job duties.</w:t>
      </w:r>
    </w:p>
    <w:p w:rsidR="005152C2" w:rsidP="005152C2" w14:paraId="4F1FCA48" w14:textId="4704EAC8">
      <w:pPr>
        <w:pStyle w:val="ListParagraph"/>
        <w:keepNext/>
        <w:numPr>
          <w:ilvl w:val="0"/>
          <w:numId w:val="2"/>
        </w:numPr>
      </w:pPr>
      <w:r>
        <w:t xml:space="preserve">A </w:t>
      </w:r>
      <w:r w:rsidRPr="005152C2">
        <w:rPr>
          <w:i/>
          <w:iCs/>
        </w:rPr>
        <w:t>forensic facial reviewer</w:t>
      </w:r>
      <w:r>
        <w:t xml:space="preserve"> is a person who performs facial comparisons as part of their job and has been trained to perform forensic facial comparisons. Reviewers do not perform one-to-one comparisons and instead perform other comparisons, such as one-to-many.</w:t>
      </w:r>
    </w:p>
    <w:p w:rsidR="005152C2" w:rsidP="005152C2" w14:paraId="505AC815" w14:textId="55B2BB83">
      <w:pPr>
        <w:pStyle w:val="ListParagraph"/>
        <w:keepNext/>
        <w:numPr>
          <w:ilvl w:val="0"/>
          <w:numId w:val="2"/>
        </w:numPr>
      </w:pPr>
      <w:r>
        <w:t xml:space="preserve">A </w:t>
      </w:r>
      <w:r w:rsidRPr="005152C2">
        <w:rPr>
          <w:i/>
          <w:iCs/>
        </w:rPr>
        <w:t>super-recognizer</w:t>
      </w:r>
      <w:r>
        <w:t xml:space="preserve"> is a person who has been acknowledged as having superior performance in face recognition compared to the general population. This acknowledgement may be established either by having taken a psychology test confirming them or by having been recruited </w:t>
      </w:r>
      <w:r w:rsidR="00D63773">
        <w:t>to work using their skill as a face super recognizer.</w:t>
      </w:r>
    </w:p>
    <w:p w:rsidR="0041737E" w:rsidRPr="00277FAD" w:rsidP="005152C2" w14:paraId="607B79C6" w14:textId="207A9BA6">
      <w:pPr>
        <w:pStyle w:val="ListParagraph"/>
        <w:keepNext/>
        <w:numPr>
          <w:ilvl w:val="0"/>
          <w:numId w:val="2"/>
        </w:numPr>
      </w:pPr>
      <w:r w:rsidRPr="00277FAD">
        <w:t xml:space="preserve">A person who has no forensic training and is not a super-recognizer will belong to the </w:t>
      </w:r>
      <w:r w:rsidRPr="00277FAD">
        <w:rPr>
          <w:i/>
          <w:iCs/>
        </w:rPr>
        <w:t>control group</w:t>
      </w:r>
      <w:r w:rsidRPr="00277FAD">
        <w:t xml:space="preserve">. These participants will be a proxy for the </w:t>
      </w:r>
      <w:r w:rsidRPr="00277FAD">
        <w:t>general public</w:t>
      </w:r>
      <w:r w:rsidRPr="00277FAD" w:rsidR="004F0264">
        <w:t>.</w:t>
      </w:r>
    </w:p>
    <w:p w:rsidR="005152C2" w:rsidP="00D10DC5" w14:paraId="4B49EFA2" w14:textId="77777777">
      <w:pPr>
        <w:keepNext/>
      </w:pPr>
    </w:p>
    <w:p w:rsidR="005152C2" w:rsidP="00D10DC5" w14:paraId="61F944EB" w14:textId="708FF05D">
      <w:pPr>
        <w:keepNext/>
      </w:pPr>
      <w:r>
        <w:t xml:space="preserve">All potential participants are expected to complete the Eligibility and Demographic </w:t>
      </w:r>
      <w:r>
        <w:t>Questionnaire.</w:t>
      </w:r>
    </w:p>
    <w:p w:rsidR="00BD4932" w:rsidP="00D10DC5" w14:paraId="2810E2C3" w14:textId="77777777">
      <w:pPr>
        <w:keepNext/>
      </w:pPr>
    </w:p>
    <w:p w:rsidR="00BD4932" w:rsidP="00D10DC5" w14:paraId="4025F8AE" w14:textId="755DD0C4">
      <w:pPr>
        <w:keepNext/>
      </w:pPr>
      <w:r w:rsidRPr="00684A18">
        <w:t xml:space="preserve">personally identifiable information </w:t>
      </w:r>
      <w:r>
        <w:t>(</w:t>
      </w:r>
      <w:r w:rsidRPr="00684A18">
        <w:t>PII</w:t>
      </w:r>
      <w:r>
        <w:t>)</w:t>
      </w:r>
      <w:r w:rsidRPr="00684A18">
        <w:t xml:space="preserve"> will be collected for administering the study.  The respondents</w:t>
      </w:r>
      <w:r w:rsidRPr="00684A18">
        <w:t>’</w:t>
      </w:r>
      <w:r w:rsidRPr="00684A18">
        <w:t xml:space="preserve"> PII will be protected in the following manner.  Each subject enrolled in this study will be assigned a study number and this number will identify all data, including results of facial comparisons.  A master list linking the PII to the study number will be kept on an encrypted disk located in a locked office or a locked cabinet at NIST.  Responses to the </w:t>
      </w:r>
      <w:r w:rsidRPr="00684A18" w:rsidR="00684A18">
        <w:t>edibility</w:t>
      </w:r>
      <w:r w:rsidRPr="00684A18">
        <w:t xml:space="preserve"> and </w:t>
      </w:r>
      <w:r w:rsidRPr="00684A18" w:rsidR="00684A18">
        <w:t>demographic</w:t>
      </w:r>
      <w:r w:rsidRPr="00684A18">
        <w:t xml:space="preserve"> questionnaire will be treated as PII and will not be shared outside of NIST. </w:t>
      </w:r>
      <w:r w:rsidR="00BC5682">
        <w:t xml:space="preserve">The exception being the race of the participant, which will be shared </w:t>
      </w:r>
      <w:r w:rsidR="00BC5682">
        <w:t>in order to</w:t>
      </w:r>
      <w:r w:rsidR="00BC5682">
        <w:t xml:space="preserve"> replicate cross-race analysis.</w:t>
      </w:r>
      <w:r w:rsidRPr="00684A18">
        <w:t xml:space="preserve"> Personal privacy information would be withheld from release to the public under the Freedom of Information Act, 5 U.S.C. 552, exemption (b)(6):  personnel and medical files and similar files the disclosure of which would constitute a clearly unwarranted invasion of personal privacy.</w:t>
      </w:r>
    </w:p>
    <w:p w:rsidR="00103688" w:rsidRPr="00856C5A" w:rsidP="00856C5A" w14:paraId="2CF06804" w14:textId="77777777">
      <w:pPr>
        <w:rPr>
          <w:rFonts w:hAnsi="Times New Roman" w:cs="Times New Roman"/>
        </w:rPr>
      </w:pPr>
    </w:p>
    <w:p w:rsidR="00370100" w:rsidRPr="00DA4E47" w:rsidP="00AA5ECF" w14:paraId="3610E083" w14:textId="6DABF8D0">
      <w:pPr>
        <w:keepNext/>
        <w:rPr>
          <w:rFonts w:ascii="Times New Roman Bold" w:eastAsia="Times New Roman Bold" w:hAnsi="Times New Roman Bold" w:cs="Times New Roman Bold"/>
          <w:b/>
        </w:rPr>
      </w:pPr>
      <w:r w:rsidRPr="00DA4E47">
        <w:rPr>
          <w:rFonts w:ascii="Times New Roman Bold"/>
          <w:b/>
        </w:rPr>
        <w:t xml:space="preserve">4.  Describe how the </w:t>
      </w:r>
      <w:r w:rsidRPr="00DA4E47">
        <w:rPr>
          <w:rFonts w:ascii="Times New Roman Bold" w:hAnsi="Times New Roman Bold" w:cs="Times New Roman Bold"/>
          <w:b/>
        </w:rPr>
        <w:t>results</w:t>
      </w:r>
      <w:r w:rsidRPr="00DA4E47">
        <w:rPr>
          <w:rFonts w:ascii="Times New Roman Bold"/>
          <w:b/>
        </w:rPr>
        <w:t xml:space="preserve"> of the survey will be analyzed and used to generalize the results to the entire customer population.</w:t>
      </w:r>
    </w:p>
    <w:p w:rsidR="00370100" w:rsidRPr="0092725E" w:rsidP="00AA5ECF" w14:paraId="4081C83F" w14:textId="77777777">
      <w:pPr>
        <w:keepNext/>
        <w:rPr>
          <w:rFonts w:ascii="Times New Roman Bold" w:eastAsia="Times New Roman Bold" w:hAnsi="Times New Roman Bold" w:cs="Times New Roman Bold"/>
          <w:color w:val="auto"/>
        </w:rPr>
      </w:pPr>
    </w:p>
    <w:p w:rsidR="001F7526" w:rsidRPr="0092725E" w:rsidP="00AA5ECF" w14:paraId="7CA1331D" w14:textId="35196CF8">
      <w:pPr>
        <w:rPr>
          <w:color w:val="auto"/>
        </w:rPr>
      </w:pPr>
      <w:r w:rsidRPr="0092725E">
        <w:rPr>
          <w:color w:val="auto"/>
        </w:rPr>
        <w:t xml:space="preserve">This study will address concerns raised in the National Academy of Sciences (NAS) forensic study </w:t>
      </w:r>
      <w:r w:rsidRPr="0092725E">
        <w:rPr>
          <w:i/>
          <w:color w:val="auto"/>
        </w:rPr>
        <w:t>Strengthening Forensic Science in the United States: A Path Forward</w:t>
      </w:r>
      <w:r w:rsidRPr="0092725E">
        <w:rPr>
          <w:color w:val="auto"/>
        </w:rPr>
        <w:t>. The NAS study called for more scientific rigor and the need to establish an underlying forensics science, particularly in forensic pattern analysis such as comparing two faces. Facial forensics examiners are trained to compare faces that appear in images and videos to determine if the two faces are the same person or not, providing justification for their conclusions. They are prepared to testify in court and to defend their conclusions.</w:t>
      </w:r>
    </w:p>
    <w:p w:rsidR="00D9346F" w:rsidRPr="008268E8" w14:paraId="4F32C85C" w14:textId="77777777">
      <w:pPr>
        <w:rPr>
          <w:color w:val="FF0000"/>
        </w:rPr>
      </w:pPr>
    </w:p>
    <w:p w:rsidR="00631966" w:rsidRPr="0092725E" w14:paraId="3FCBD2E2" w14:textId="0F6220C0">
      <w:pPr>
        <w:rPr>
          <w:color w:val="auto"/>
        </w:rPr>
      </w:pPr>
      <w:r w:rsidRPr="0092725E">
        <w:rPr>
          <w:color w:val="auto"/>
        </w:rPr>
        <w:t xml:space="preserve">Using methods from signal detection theory, analysis of variance, and correlation theory, the </w:t>
      </w:r>
      <w:r w:rsidR="00F47AE8">
        <w:rPr>
          <w:color w:val="auto"/>
        </w:rPr>
        <w:t>groups will be compared across and within groups.</w:t>
      </w:r>
    </w:p>
    <w:p w:rsidR="001F7526" w14:paraId="6A3D4FC1" w14:textId="77777777"/>
    <w:p w:rsidR="00FC01A4" w:rsidP="00FC01A4" w14:paraId="79EA456C" w14:textId="77777777">
      <w:pPr>
        <w:rPr>
          <w:sz w:val="20"/>
          <w:szCs w:val="20"/>
        </w:rPr>
      </w:pPr>
    </w:p>
    <w:p w:rsidR="00EC783E" w:rsidRPr="00EC783E" w:rsidP="00FC01A4" w14:paraId="765C928A" w14:textId="4CABE239">
      <w:pPr>
        <w:keepLines/>
        <w:rPr>
          <w:sz w:val="20"/>
          <w:szCs w:val="20"/>
        </w:rPr>
      </w:pPr>
    </w:p>
    <w:sectPr>
      <w:headerReference w:type="default" r:id="rId7"/>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74A" w:rsidRPr="00A4274A" w:rsidP="00A4274A" w14:paraId="4DE8741B" w14:textId="77777777">
    <w:pPr>
      <w:widowControl/>
      <w:pBdr>
        <w:top w:val="none" w:sz="0" w:space="0" w:color="auto"/>
        <w:left w:val="none" w:sz="0" w:space="0" w:color="auto"/>
        <w:bottom w:val="none" w:sz="0" w:space="0" w:color="auto"/>
        <w:right w:val="none" w:sz="0" w:space="0" w:color="auto"/>
        <w:between w:val="none" w:sz="0" w:space="0" w:color="auto"/>
        <w:bar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3F3F3F"/>
        <w:sz w:val="20"/>
        <w:szCs w:val="20"/>
      </w:rPr>
    </w:pPr>
    <w:r w:rsidRPr="00A4274A">
      <w:rPr>
        <w:rFonts w:ascii="Helvetica Neue" w:hAnsi="Helvetica Neue" w:cs="Helvetica Neue"/>
        <w:color w:val="3F3F3F"/>
        <w:sz w:val="20"/>
        <w:szCs w:val="20"/>
      </w:rPr>
      <w:t xml:space="preserve">OMB Control No. 0693-0043 </w:t>
    </w:r>
  </w:p>
  <w:p w:rsidR="00A4274A" w:rsidRPr="00A4274A" w:rsidP="00A4274A" w14:paraId="69BB0274" w14:textId="77777777">
    <w:pPr>
      <w:widowControl/>
      <w:pBdr>
        <w:top w:val="none" w:sz="0" w:space="0" w:color="auto"/>
        <w:left w:val="none" w:sz="0" w:space="0" w:color="auto"/>
        <w:bottom w:val="none" w:sz="0" w:space="0" w:color="auto"/>
        <w:right w:val="none" w:sz="0" w:space="0" w:color="auto"/>
        <w:between w:val="none" w:sz="0" w:space="0" w:color="auto"/>
        <w:bar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3F3F3F"/>
        <w:sz w:val="20"/>
        <w:szCs w:val="20"/>
      </w:rPr>
    </w:pPr>
    <w:r w:rsidRPr="00A4274A">
      <w:rPr>
        <w:rFonts w:ascii="Helvetica Neue" w:hAnsi="Helvetica Neue" w:cs="Helvetica Neue"/>
        <w:color w:val="3F3F3F"/>
        <w:sz w:val="20"/>
        <w:szCs w:val="20"/>
      </w:rPr>
      <w:t>Expiration Date: 6/30/2025</w:t>
    </w:r>
  </w:p>
  <w:p w:rsidR="00A4274A" w:rsidRPr="00A4274A" w:rsidP="00A4274A" w14:paraId="13377152" w14:textId="465A0364">
    <w:pPr>
      <w:pStyle w:val="Header"/>
      <w:rPr>
        <w:sz w:val="20"/>
        <w:szCs w:val="20"/>
      </w:rPr>
    </w:pPr>
    <w:r w:rsidRPr="00A4274A">
      <w:rPr>
        <w:rFonts w:ascii="Helvetica Neue" w:hAnsi="Helvetica Neue" w:cs="Helvetica Neue"/>
        <w:color w:val="3F3F3F"/>
        <w:sz w:val="20"/>
        <w:szCs w:val="20"/>
      </w:rPr>
      <w:t>NIST Generic Clearance for Usability Data Collections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0227"/>
    <w:multiLevelType w:val="hybridMultilevel"/>
    <w:tmpl w:val="7040A88E"/>
    <w:lvl w:ilvl="0">
      <w:start w:val="1"/>
      <w:numFmt w:val="decimal"/>
      <w:lvlText w:val="%1."/>
      <w:lvlJc w:val="left"/>
      <w:pPr>
        <w:ind w:left="1037" w:hanging="360"/>
      </w:pPr>
      <w:rPr>
        <w:b w:val="0"/>
      </w:rPr>
    </w:lvl>
    <w:lvl w:ilvl="1" w:tentative="1">
      <w:start w:val="1"/>
      <w:numFmt w:val="lowerLetter"/>
      <w:lvlText w:val="%2."/>
      <w:lvlJc w:val="left"/>
      <w:pPr>
        <w:ind w:left="1757" w:hanging="360"/>
      </w:pPr>
    </w:lvl>
    <w:lvl w:ilvl="2" w:tentative="1">
      <w:start w:val="1"/>
      <w:numFmt w:val="lowerRoman"/>
      <w:lvlText w:val="%3."/>
      <w:lvlJc w:val="right"/>
      <w:pPr>
        <w:ind w:left="2477" w:hanging="180"/>
      </w:pPr>
    </w:lvl>
    <w:lvl w:ilvl="3" w:tentative="1">
      <w:start w:val="1"/>
      <w:numFmt w:val="decimal"/>
      <w:lvlText w:val="%4."/>
      <w:lvlJc w:val="left"/>
      <w:pPr>
        <w:ind w:left="3197" w:hanging="360"/>
      </w:pPr>
    </w:lvl>
    <w:lvl w:ilvl="4" w:tentative="1">
      <w:start w:val="1"/>
      <w:numFmt w:val="lowerLetter"/>
      <w:lvlText w:val="%5."/>
      <w:lvlJc w:val="left"/>
      <w:pPr>
        <w:ind w:left="3917" w:hanging="360"/>
      </w:pPr>
    </w:lvl>
    <w:lvl w:ilvl="5" w:tentative="1">
      <w:start w:val="1"/>
      <w:numFmt w:val="lowerRoman"/>
      <w:lvlText w:val="%6."/>
      <w:lvlJc w:val="right"/>
      <w:pPr>
        <w:ind w:left="4637" w:hanging="180"/>
      </w:pPr>
    </w:lvl>
    <w:lvl w:ilvl="6" w:tentative="1">
      <w:start w:val="1"/>
      <w:numFmt w:val="decimal"/>
      <w:lvlText w:val="%7."/>
      <w:lvlJc w:val="left"/>
      <w:pPr>
        <w:ind w:left="5357" w:hanging="360"/>
      </w:pPr>
    </w:lvl>
    <w:lvl w:ilvl="7" w:tentative="1">
      <w:start w:val="1"/>
      <w:numFmt w:val="lowerLetter"/>
      <w:lvlText w:val="%8."/>
      <w:lvlJc w:val="left"/>
      <w:pPr>
        <w:ind w:left="6077" w:hanging="360"/>
      </w:pPr>
    </w:lvl>
    <w:lvl w:ilvl="8" w:tentative="1">
      <w:start w:val="1"/>
      <w:numFmt w:val="lowerRoman"/>
      <w:lvlText w:val="%9."/>
      <w:lvlJc w:val="right"/>
      <w:pPr>
        <w:ind w:left="6797" w:hanging="180"/>
      </w:pPr>
    </w:lvl>
  </w:abstractNum>
  <w:abstractNum w:abstractNumId="1">
    <w:nsid w:val="44B76BA3"/>
    <w:multiLevelType w:val="hybridMultilevel"/>
    <w:tmpl w:val="1E8C5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9062462">
    <w:abstractNumId w:val="0"/>
  </w:num>
  <w:num w:numId="2" w16cid:durableId="3940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00"/>
    <w:rsid w:val="000007A6"/>
    <w:rsid w:val="000007FD"/>
    <w:rsid w:val="0000570A"/>
    <w:rsid w:val="00007E1B"/>
    <w:rsid w:val="0001454D"/>
    <w:rsid w:val="00026142"/>
    <w:rsid w:val="0003252A"/>
    <w:rsid w:val="00035184"/>
    <w:rsid w:val="00037F64"/>
    <w:rsid w:val="000436B0"/>
    <w:rsid w:val="00044BCB"/>
    <w:rsid w:val="00065F2C"/>
    <w:rsid w:val="00072710"/>
    <w:rsid w:val="00080204"/>
    <w:rsid w:val="00082187"/>
    <w:rsid w:val="000A08E0"/>
    <w:rsid w:val="000A2367"/>
    <w:rsid w:val="000A6331"/>
    <w:rsid w:val="000B283C"/>
    <w:rsid w:val="000B37B1"/>
    <w:rsid w:val="000C1D39"/>
    <w:rsid w:val="000D003F"/>
    <w:rsid w:val="000D70B0"/>
    <w:rsid w:val="000E48D8"/>
    <w:rsid w:val="000E6E4A"/>
    <w:rsid w:val="000F3321"/>
    <w:rsid w:val="000F3F4B"/>
    <w:rsid w:val="00100D4F"/>
    <w:rsid w:val="00103688"/>
    <w:rsid w:val="00127019"/>
    <w:rsid w:val="0013033F"/>
    <w:rsid w:val="00134DA2"/>
    <w:rsid w:val="00136961"/>
    <w:rsid w:val="00146426"/>
    <w:rsid w:val="00146BD2"/>
    <w:rsid w:val="00151A48"/>
    <w:rsid w:val="00152045"/>
    <w:rsid w:val="00166F04"/>
    <w:rsid w:val="00173FC0"/>
    <w:rsid w:val="00174102"/>
    <w:rsid w:val="001753D4"/>
    <w:rsid w:val="00181B7B"/>
    <w:rsid w:val="00182C6C"/>
    <w:rsid w:val="00185063"/>
    <w:rsid w:val="0019269F"/>
    <w:rsid w:val="00193BF5"/>
    <w:rsid w:val="00193DFB"/>
    <w:rsid w:val="00195151"/>
    <w:rsid w:val="001A2120"/>
    <w:rsid w:val="001A39E3"/>
    <w:rsid w:val="001A61D9"/>
    <w:rsid w:val="001A6688"/>
    <w:rsid w:val="001B0B6A"/>
    <w:rsid w:val="001B35B8"/>
    <w:rsid w:val="001B73DA"/>
    <w:rsid w:val="001C453D"/>
    <w:rsid w:val="001D65BF"/>
    <w:rsid w:val="001E0A8B"/>
    <w:rsid w:val="001E4518"/>
    <w:rsid w:val="001F0075"/>
    <w:rsid w:val="001F0D62"/>
    <w:rsid w:val="001F7526"/>
    <w:rsid w:val="00201054"/>
    <w:rsid w:val="0020473F"/>
    <w:rsid w:val="0020667E"/>
    <w:rsid w:val="0021392B"/>
    <w:rsid w:val="00213FAE"/>
    <w:rsid w:val="0022371A"/>
    <w:rsid w:val="0023333D"/>
    <w:rsid w:val="00240527"/>
    <w:rsid w:val="00252B66"/>
    <w:rsid w:val="00252D56"/>
    <w:rsid w:val="0026664A"/>
    <w:rsid w:val="0027072A"/>
    <w:rsid w:val="00277FAD"/>
    <w:rsid w:val="00277FB6"/>
    <w:rsid w:val="00280A13"/>
    <w:rsid w:val="0028318B"/>
    <w:rsid w:val="002838FE"/>
    <w:rsid w:val="00290B5C"/>
    <w:rsid w:val="00290DE0"/>
    <w:rsid w:val="00292072"/>
    <w:rsid w:val="002948D4"/>
    <w:rsid w:val="002A204A"/>
    <w:rsid w:val="002B49AE"/>
    <w:rsid w:val="002B72CF"/>
    <w:rsid w:val="002B7BAC"/>
    <w:rsid w:val="002D388B"/>
    <w:rsid w:val="002E0A3B"/>
    <w:rsid w:val="002E28F4"/>
    <w:rsid w:val="002F4BB8"/>
    <w:rsid w:val="002F620C"/>
    <w:rsid w:val="002F7D2A"/>
    <w:rsid w:val="00300DFF"/>
    <w:rsid w:val="0030600A"/>
    <w:rsid w:val="00330FE0"/>
    <w:rsid w:val="003366E4"/>
    <w:rsid w:val="0034208C"/>
    <w:rsid w:val="0035050B"/>
    <w:rsid w:val="00350968"/>
    <w:rsid w:val="00360F65"/>
    <w:rsid w:val="003630B5"/>
    <w:rsid w:val="00364A88"/>
    <w:rsid w:val="00370100"/>
    <w:rsid w:val="00370686"/>
    <w:rsid w:val="003763C2"/>
    <w:rsid w:val="00377A9A"/>
    <w:rsid w:val="00384A8C"/>
    <w:rsid w:val="00384C1C"/>
    <w:rsid w:val="0038568F"/>
    <w:rsid w:val="00392F7D"/>
    <w:rsid w:val="00396757"/>
    <w:rsid w:val="00397640"/>
    <w:rsid w:val="00397B5F"/>
    <w:rsid w:val="003A210A"/>
    <w:rsid w:val="003A5AF6"/>
    <w:rsid w:val="003B0988"/>
    <w:rsid w:val="003B3A1C"/>
    <w:rsid w:val="003B3BEB"/>
    <w:rsid w:val="003B5C5E"/>
    <w:rsid w:val="003B6A3A"/>
    <w:rsid w:val="003C5891"/>
    <w:rsid w:val="003C73C3"/>
    <w:rsid w:val="003D186A"/>
    <w:rsid w:val="003D3138"/>
    <w:rsid w:val="003D34EB"/>
    <w:rsid w:val="003D62E4"/>
    <w:rsid w:val="003E22CB"/>
    <w:rsid w:val="003F072B"/>
    <w:rsid w:val="003F6C13"/>
    <w:rsid w:val="004048AE"/>
    <w:rsid w:val="00411D3E"/>
    <w:rsid w:val="00415E54"/>
    <w:rsid w:val="0041737E"/>
    <w:rsid w:val="00417F1C"/>
    <w:rsid w:val="00424A65"/>
    <w:rsid w:val="00426C4B"/>
    <w:rsid w:val="00437905"/>
    <w:rsid w:val="00440294"/>
    <w:rsid w:val="00442B8B"/>
    <w:rsid w:val="00451AFD"/>
    <w:rsid w:val="004528FE"/>
    <w:rsid w:val="00463EF1"/>
    <w:rsid w:val="00474F01"/>
    <w:rsid w:val="00476435"/>
    <w:rsid w:val="00476BBD"/>
    <w:rsid w:val="00477058"/>
    <w:rsid w:val="00494273"/>
    <w:rsid w:val="0049798C"/>
    <w:rsid w:val="004A0392"/>
    <w:rsid w:val="004A3117"/>
    <w:rsid w:val="004A668F"/>
    <w:rsid w:val="004B1569"/>
    <w:rsid w:val="004C0824"/>
    <w:rsid w:val="004C6C98"/>
    <w:rsid w:val="004C70C6"/>
    <w:rsid w:val="004E0BBF"/>
    <w:rsid w:val="004F0264"/>
    <w:rsid w:val="004F3D67"/>
    <w:rsid w:val="004F4BCB"/>
    <w:rsid w:val="004F4EA0"/>
    <w:rsid w:val="004F609A"/>
    <w:rsid w:val="004F77CF"/>
    <w:rsid w:val="00500691"/>
    <w:rsid w:val="00505D40"/>
    <w:rsid w:val="00512654"/>
    <w:rsid w:val="005152C2"/>
    <w:rsid w:val="00515D1F"/>
    <w:rsid w:val="005261DF"/>
    <w:rsid w:val="00542773"/>
    <w:rsid w:val="00545C1D"/>
    <w:rsid w:val="00551470"/>
    <w:rsid w:val="0055514C"/>
    <w:rsid w:val="00560BD7"/>
    <w:rsid w:val="00565B76"/>
    <w:rsid w:val="005762AD"/>
    <w:rsid w:val="00576C55"/>
    <w:rsid w:val="00577203"/>
    <w:rsid w:val="00577869"/>
    <w:rsid w:val="005779F4"/>
    <w:rsid w:val="005836BF"/>
    <w:rsid w:val="00587DD1"/>
    <w:rsid w:val="00591BFE"/>
    <w:rsid w:val="005A5380"/>
    <w:rsid w:val="005A5F16"/>
    <w:rsid w:val="005A68D1"/>
    <w:rsid w:val="005A6F2D"/>
    <w:rsid w:val="005B47D5"/>
    <w:rsid w:val="005B4B1D"/>
    <w:rsid w:val="005B7E24"/>
    <w:rsid w:val="005C3E7A"/>
    <w:rsid w:val="005E4431"/>
    <w:rsid w:val="005E4C73"/>
    <w:rsid w:val="00602295"/>
    <w:rsid w:val="00607547"/>
    <w:rsid w:val="0061691C"/>
    <w:rsid w:val="006226CB"/>
    <w:rsid w:val="00622B19"/>
    <w:rsid w:val="00631966"/>
    <w:rsid w:val="00631F9B"/>
    <w:rsid w:val="00632925"/>
    <w:rsid w:val="00632A62"/>
    <w:rsid w:val="00641A1C"/>
    <w:rsid w:val="00641C01"/>
    <w:rsid w:val="00643AD6"/>
    <w:rsid w:val="00644C99"/>
    <w:rsid w:val="00655B09"/>
    <w:rsid w:val="0066042D"/>
    <w:rsid w:val="00665248"/>
    <w:rsid w:val="006824A1"/>
    <w:rsid w:val="00684A18"/>
    <w:rsid w:val="00684BA9"/>
    <w:rsid w:val="00685BEE"/>
    <w:rsid w:val="006873EA"/>
    <w:rsid w:val="00690FE8"/>
    <w:rsid w:val="00691A83"/>
    <w:rsid w:val="00697047"/>
    <w:rsid w:val="006A0E33"/>
    <w:rsid w:val="006A20E4"/>
    <w:rsid w:val="006A4523"/>
    <w:rsid w:val="006B1076"/>
    <w:rsid w:val="006B3273"/>
    <w:rsid w:val="006B7D45"/>
    <w:rsid w:val="006C0AF6"/>
    <w:rsid w:val="006C53ED"/>
    <w:rsid w:val="006F00EC"/>
    <w:rsid w:val="006F0ABE"/>
    <w:rsid w:val="00707243"/>
    <w:rsid w:val="00730D4C"/>
    <w:rsid w:val="0073342E"/>
    <w:rsid w:val="007500D7"/>
    <w:rsid w:val="00750C0F"/>
    <w:rsid w:val="00763036"/>
    <w:rsid w:val="00764DD4"/>
    <w:rsid w:val="00774079"/>
    <w:rsid w:val="00774B31"/>
    <w:rsid w:val="007869D3"/>
    <w:rsid w:val="00790907"/>
    <w:rsid w:val="00791A14"/>
    <w:rsid w:val="0079367F"/>
    <w:rsid w:val="007A5530"/>
    <w:rsid w:val="007B3BB5"/>
    <w:rsid w:val="007C37A1"/>
    <w:rsid w:val="007C69C9"/>
    <w:rsid w:val="007D0A70"/>
    <w:rsid w:val="007F2626"/>
    <w:rsid w:val="007F4550"/>
    <w:rsid w:val="00801CB1"/>
    <w:rsid w:val="008061C0"/>
    <w:rsid w:val="00807C50"/>
    <w:rsid w:val="0081056E"/>
    <w:rsid w:val="00814BD7"/>
    <w:rsid w:val="00815363"/>
    <w:rsid w:val="008211E0"/>
    <w:rsid w:val="008268E8"/>
    <w:rsid w:val="00827AFE"/>
    <w:rsid w:val="008403DD"/>
    <w:rsid w:val="00841A38"/>
    <w:rsid w:val="00844359"/>
    <w:rsid w:val="00856C5A"/>
    <w:rsid w:val="0086162F"/>
    <w:rsid w:val="008641A1"/>
    <w:rsid w:val="00864918"/>
    <w:rsid w:val="00876A44"/>
    <w:rsid w:val="00887C5A"/>
    <w:rsid w:val="00890C56"/>
    <w:rsid w:val="00893A5B"/>
    <w:rsid w:val="008C1D98"/>
    <w:rsid w:val="008C61B6"/>
    <w:rsid w:val="008D0ECF"/>
    <w:rsid w:val="008E1262"/>
    <w:rsid w:val="008E2DD6"/>
    <w:rsid w:val="008E3351"/>
    <w:rsid w:val="008E685A"/>
    <w:rsid w:val="0092240F"/>
    <w:rsid w:val="00925986"/>
    <w:rsid w:val="0092614B"/>
    <w:rsid w:val="0092725E"/>
    <w:rsid w:val="0093157A"/>
    <w:rsid w:val="00943126"/>
    <w:rsid w:val="00952D0D"/>
    <w:rsid w:val="00966D90"/>
    <w:rsid w:val="00987560"/>
    <w:rsid w:val="009B1D29"/>
    <w:rsid w:val="009B73DE"/>
    <w:rsid w:val="009C33A1"/>
    <w:rsid w:val="009D7C9F"/>
    <w:rsid w:val="009F249F"/>
    <w:rsid w:val="009F5D09"/>
    <w:rsid w:val="00A00230"/>
    <w:rsid w:val="00A05747"/>
    <w:rsid w:val="00A11824"/>
    <w:rsid w:val="00A1599F"/>
    <w:rsid w:val="00A24143"/>
    <w:rsid w:val="00A24C3E"/>
    <w:rsid w:val="00A27CF0"/>
    <w:rsid w:val="00A308DC"/>
    <w:rsid w:val="00A319A6"/>
    <w:rsid w:val="00A348B9"/>
    <w:rsid w:val="00A4274A"/>
    <w:rsid w:val="00A47A67"/>
    <w:rsid w:val="00A52DE6"/>
    <w:rsid w:val="00A567DD"/>
    <w:rsid w:val="00A6492B"/>
    <w:rsid w:val="00A7169A"/>
    <w:rsid w:val="00A818CF"/>
    <w:rsid w:val="00A8428E"/>
    <w:rsid w:val="00A94D26"/>
    <w:rsid w:val="00AA5ECF"/>
    <w:rsid w:val="00AB441B"/>
    <w:rsid w:val="00AB76AF"/>
    <w:rsid w:val="00AB7AE9"/>
    <w:rsid w:val="00AD30E0"/>
    <w:rsid w:val="00AD4F6A"/>
    <w:rsid w:val="00AE5F5E"/>
    <w:rsid w:val="00AE6B5F"/>
    <w:rsid w:val="00B156DB"/>
    <w:rsid w:val="00B24266"/>
    <w:rsid w:val="00B561A1"/>
    <w:rsid w:val="00B617EE"/>
    <w:rsid w:val="00B63BEA"/>
    <w:rsid w:val="00B6751E"/>
    <w:rsid w:val="00B73D62"/>
    <w:rsid w:val="00B96458"/>
    <w:rsid w:val="00BA0735"/>
    <w:rsid w:val="00BA0E46"/>
    <w:rsid w:val="00BA5C59"/>
    <w:rsid w:val="00BC5682"/>
    <w:rsid w:val="00BC6D7D"/>
    <w:rsid w:val="00BD0D4E"/>
    <w:rsid w:val="00BD36B3"/>
    <w:rsid w:val="00BD48DC"/>
    <w:rsid w:val="00BD4932"/>
    <w:rsid w:val="00BE7209"/>
    <w:rsid w:val="00BF4FA3"/>
    <w:rsid w:val="00C04ECF"/>
    <w:rsid w:val="00C05076"/>
    <w:rsid w:val="00C167E9"/>
    <w:rsid w:val="00C223F0"/>
    <w:rsid w:val="00C2285C"/>
    <w:rsid w:val="00C33E3A"/>
    <w:rsid w:val="00C477FD"/>
    <w:rsid w:val="00C47E13"/>
    <w:rsid w:val="00C563BC"/>
    <w:rsid w:val="00C568C3"/>
    <w:rsid w:val="00C57C75"/>
    <w:rsid w:val="00C71024"/>
    <w:rsid w:val="00C73FDB"/>
    <w:rsid w:val="00C76CC6"/>
    <w:rsid w:val="00C85DD7"/>
    <w:rsid w:val="00C867B1"/>
    <w:rsid w:val="00C962D8"/>
    <w:rsid w:val="00C97442"/>
    <w:rsid w:val="00CA2AE8"/>
    <w:rsid w:val="00CA694D"/>
    <w:rsid w:val="00CA6EAD"/>
    <w:rsid w:val="00CA75F0"/>
    <w:rsid w:val="00CA7D5C"/>
    <w:rsid w:val="00CB5235"/>
    <w:rsid w:val="00CC19C6"/>
    <w:rsid w:val="00CD5AA7"/>
    <w:rsid w:val="00CF2743"/>
    <w:rsid w:val="00D00173"/>
    <w:rsid w:val="00D05021"/>
    <w:rsid w:val="00D10DC5"/>
    <w:rsid w:val="00D14A46"/>
    <w:rsid w:val="00D1676A"/>
    <w:rsid w:val="00D25EF9"/>
    <w:rsid w:val="00D31DFB"/>
    <w:rsid w:val="00D32EDC"/>
    <w:rsid w:val="00D334A0"/>
    <w:rsid w:val="00D43CBA"/>
    <w:rsid w:val="00D449C5"/>
    <w:rsid w:val="00D475FF"/>
    <w:rsid w:val="00D52D30"/>
    <w:rsid w:val="00D63773"/>
    <w:rsid w:val="00D673E0"/>
    <w:rsid w:val="00D748F2"/>
    <w:rsid w:val="00D77E1E"/>
    <w:rsid w:val="00D80B12"/>
    <w:rsid w:val="00D84EB3"/>
    <w:rsid w:val="00D86CEA"/>
    <w:rsid w:val="00D9346F"/>
    <w:rsid w:val="00D94051"/>
    <w:rsid w:val="00DA1D87"/>
    <w:rsid w:val="00DA4E47"/>
    <w:rsid w:val="00DD1245"/>
    <w:rsid w:val="00DF0AD5"/>
    <w:rsid w:val="00DF16FD"/>
    <w:rsid w:val="00DF4103"/>
    <w:rsid w:val="00DF4716"/>
    <w:rsid w:val="00DF4CE5"/>
    <w:rsid w:val="00E0043C"/>
    <w:rsid w:val="00E0070E"/>
    <w:rsid w:val="00E13C46"/>
    <w:rsid w:val="00E22F2D"/>
    <w:rsid w:val="00E2712F"/>
    <w:rsid w:val="00E276ED"/>
    <w:rsid w:val="00E30B74"/>
    <w:rsid w:val="00E32CA8"/>
    <w:rsid w:val="00E44189"/>
    <w:rsid w:val="00E556B2"/>
    <w:rsid w:val="00E75315"/>
    <w:rsid w:val="00E86477"/>
    <w:rsid w:val="00E86A22"/>
    <w:rsid w:val="00E86EAB"/>
    <w:rsid w:val="00EB23A3"/>
    <w:rsid w:val="00EB57D5"/>
    <w:rsid w:val="00EB5EDD"/>
    <w:rsid w:val="00EC1CEB"/>
    <w:rsid w:val="00EC21FE"/>
    <w:rsid w:val="00EC2D7B"/>
    <w:rsid w:val="00EC4D6D"/>
    <w:rsid w:val="00EC783E"/>
    <w:rsid w:val="00ED1EDF"/>
    <w:rsid w:val="00ED2BB6"/>
    <w:rsid w:val="00ED51AE"/>
    <w:rsid w:val="00EE088D"/>
    <w:rsid w:val="00EE23F6"/>
    <w:rsid w:val="00EF65EB"/>
    <w:rsid w:val="00F00703"/>
    <w:rsid w:val="00F057CE"/>
    <w:rsid w:val="00F10429"/>
    <w:rsid w:val="00F201F1"/>
    <w:rsid w:val="00F245DC"/>
    <w:rsid w:val="00F2762F"/>
    <w:rsid w:val="00F30270"/>
    <w:rsid w:val="00F408D5"/>
    <w:rsid w:val="00F41870"/>
    <w:rsid w:val="00F41E0E"/>
    <w:rsid w:val="00F43B43"/>
    <w:rsid w:val="00F47AE8"/>
    <w:rsid w:val="00F5686C"/>
    <w:rsid w:val="00F6230A"/>
    <w:rsid w:val="00F703F4"/>
    <w:rsid w:val="00F7667B"/>
    <w:rsid w:val="00F82346"/>
    <w:rsid w:val="00F92199"/>
    <w:rsid w:val="00F94F5B"/>
    <w:rsid w:val="00F97667"/>
    <w:rsid w:val="00FA0137"/>
    <w:rsid w:val="00FA22FE"/>
    <w:rsid w:val="00FB181E"/>
    <w:rsid w:val="00FB2829"/>
    <w:rsid w:val="00FB3D83"/>
    <w:rsid w:val="00FC01A4"/>
    <w:rsid w:val="00FC2914"/>
    <w:rsid w:val="00FC5438"/>
    <w:rsid w:val="00FD6303"/>
    <w:rsid w:val="00FE0E83"/>
    <w:rsid w:val="00FE53F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B0FF7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unhideWhenUsed/>
    <w:rsid w:val="00515D1F"/>
  </w:style>
  <w:style w:type="character" w:customStyle="1" w:styleId="CommentTextChar">
    <w:name w:val="Comment Text Char"/>
    <w:basedOn w:val="DefaultParagraphFont"/>
    <w:link w:val="CommentText"/>
    <w:uiPriority w:val="99"/>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space="0" w:color="auto"/>
      </w:pBdr>
    </w:pPr>
    <w:rPr>
      <w:rFonts w:hAnsi="Arial Unicode MS" w:cs="Arial Unicode MS"/>
      <w:color w:val="000000"/>
      <w:sz w:val="24"/>
      <w:szCs w:val="24"/>
      <w:u w:color="000000"/>
    </w:rPr>
  </w:style>
  <w:style w:type="paragraph" w:styleId="List">
    <w:name w:val="List"/>
    <w:basedOn w:val="Normal"/>
    <w:uiPriority w:val="99"/>
    <w:semiHidden/>
    <w:unhideWhenUsed/>
    <w:rsid w:val="00F97667"/>
    <w:pPr>
      <w:ind w:left="360" w:hanging="360"/>
      <w:contextualSpacing/>
    </w:pPr>
  </w:style>
  <w:style w:type="paragraph" w:styleId="BodyText">
    <w:name w:val="Body Text"/>
    <w:basedOn w:val="Normal"/>
    <w:link w:val="BodyTextChar"/>
    <w:uiPriority w:val="99"/>
    <w:unhideWhenUsed/>
    <w:rsid w:val="00F97667"/>
    <w:pPr>
      <w:spacing w:after="120"/>
    </w:pPr>
  </w:style>
  <w:style w:type="character" w:customStyle="1" w:styleId="BodyTextChar">
    <w:name w:val="Body Text Char"/>
    <w:basedOn w:val="DefaultParagraphFont"/>
    <w:link w:val="BodyText"/>
    <w:uiPriority w:val="99"/>
    <w:rsid w:val="00F97667"/>
    <w:rPr>
      <w:rFonts w:hAnsi="Arial Unicode MS" w:cs="Arial Unicode MS"/>
      <w:color w:val="000000"/>
      <w:sz w:val="24"/>
      <w:szCs w:val="24"/>
      <w:u w:color="000000"/>
    </w:rPr>
  </w:style>
  <w:style w:type="paragraph" w:styleId="ListParagraph">
    <w:name w:val="List Paragraph"/>
    <w:basedOn w:val="Normal"/>
    <w:uiPriority w:val="34"/>
    <w:qFormat/>
    <w:rsid w:val="005152C2"/>
    <w:pPr>
      <w:ind w:left="720"/>
      <w:contextualSpacing/>
    </w:pPr>
  </w:style>
  <w:style w:type="character" w:styleId="UnresolvedMention">
    <w:name w:val="Unresolved Mention"/>
    <w:basedOn w:val="DefaultParagraphFont"/>
    <w:uiPriority w:val="99"/>
    <w:rsid w:val="00EC783E"/>
    <w:rPr>
      <w:color w:val="605E5C"/>
      <w:shd w:val="clear" w:color="auto" w:fill="E1DFDD"/>
    </w:rPr>
  </w:style>
  <w:style w:type="paragraph" w:customStyle="1" w:styleId="pf0">
    <w:name w:val="pf0"/>
    <w:basedOn w:val="Normal"/>
    <w:rsid w:val="005B47D5"/>
    <w:pPr>
      <w:widowControl/>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cf01">
    <w:name w:val="cf01"/>
    <w:basedOn w:val="DefaultParagraphFont"/>
    <w:rsid w:val="005B47D5"/>
    <w:rPr>
      <w:rFonts w:ascii="Segoe UI" w:hAnsi="Segoe UI" w:cs="Segoe UI" w:hint="default"/>
      <w:b/>
      <w:bCs/>
      <w:color w:val="FF0000"/>
      <w:sz w:val="18"/>
      <w:szCs w:val="18"/>
    </w:rPr>
  </w:style>
  <w:style w:type="paragraph" w:styleId="NormalWeb">
    <w:name w:val="Normal (Web)"/>
    <w:basedOn w:val="Normal"/>
    <w:uiPriority w:val="99"/>
    <w:semiHidden/>
    <w:unhideWhenUsed/>
    <w:rsid w:val="005B47D5"/>
    <w:pPr>
      <w:widowControl/>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pPr>
    <w:rPr>
      <w:rFonts w:eastAsia="Times New Roman" w:hAnsi="Times New Roman" w:cs="Times New Roman"/>
      <w:color w:val="auto"/>
      <w:bdr w:val="none" w:sz="0" w:space="0" w:color="auto"/>
    </w:rPr>
  </w:style>
  <w:style w:type="paragraph" w:styleId="Header">
    <w:name w:val="header"/>
    <w:basedOn w:val="Normal"/>
    <w:link w:val="HeaderChar"/>
    <w:uiPriority w:val="99"/>
    <w:unhideWhenUsed/>
    <w:rsid w:val="00A4274A"/>
    <w:pPr>
      <w:tabs>
        <w:tab w:val="center" w:pos="4680"/>
        <w:tab w:val="right" w:pos="9360"/>
      </w:tabs>
    </w:pPr>
  </w:style>
  <w:style w:type="character" w:customStyle="1" w:styleId="HeaderChar">
    <w:name w:val="Header Char"/>
    <w:basedOn w:val="DefaultParagraphFont"/>
    <w:link w:val="Header"/>
    <w:uiPriority w:val="99"/>
    <w:rsid w:val="00A4274A"/>
    <w:rPr>
      <w:rFonts w:hAnsi="Arial Unicode MS" w:cs="Arial Unicode MS"/>
      <w:color w:val="000000"/>
      <w:sz w:val="24"/>
      <w:szCs w:val="24"/>
      <w:u w:color="000000"/>
    </w:rPr>
  </w:style>
  <w:style w:type="paragraph" w:styleId="Footer">
    <w:name w:val="footer"/>
    <w:basedOn w:val="Normal"/>
    <w:link w:val="FooterChar"/>
    <w:uiPriority w:val="99"/>
    <w:unhideWhenUsed/>
    <w:rsid w:val="00A4274A"/>
    <w:pPr>
      <w:tabs>
        <w:tab w:val="center" w:pos="4680"/>
        <w:tab w:val="right" w:pos="9360"/>
      </w:tabs>
    </w:pPr>
  </w:style>
  <w:style w:type="character" w:customStyle="1" w:styleId="FooterChar">
    <w:name w:val="Footer Char"/>
    <w:basedOn w:val="DefaultParagraphFont"/>
    <w:link w:val="Footer"/>
    <w:uiPriority w:val="99"/>
    <w:rsid w:val="00A4274A"/>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073/pnas.1721355115" TargetMode="External" /><Relationship Id="rId6" Type="http://schemas.openxmlformats.org/officeDocument/2006/relationships/hyperlink" Target="https://doi.org/10.31234/osf.io/s87na"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_rels/theme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3F8E-5945-4022-9615-63B6549E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1675</Words>
  <Characters>9113</Characters>
  <Application>Microsoft Office Word</Application>
  <DocSecurity>0</DocSecurity>
  <Lines>293</Lines>
  <Paragraphs>122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Argent, Nina E. (Fed)</cp:lastModifiedBy>
  <cp:revision>10</cp:revision>
  <cp:lastPrinted>2023-09-18T17:52:00Z</cp:lastPrinted>
  <dcterms:created xsi:type="dcterms:W3CDTF">2023-09-20T13:44:00Z</dcterms:created>
  <dcterms:modified xsi:type="dcterms:W3CDTF">2023-09-29T13:34:00Z</dcterms:modified>
</cp:coreProperties>
</file>