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3D0B" w:rsidRPr="00733455" w:rsidP="00D52D9C" w14:paraId="527A7177" w14:textId="77777777">
      <w:pPr>
        <w:spacing w:after="120" w:line="240" w:lineRule="auto"/>
        <w:jc w:val="center"/>
        <w:rPr>
          <w:sz w:val="28"/>
        </w:rPr>
      </w:pPr>
      <w:r w:rsidRPr="00733455">
        <w:rPr>
          <w:sz w:val="28"/>
        </w:rPr>
        <w:t xml:space="preserve">Statement of </w:t>
      </w:r>
      <w:r w:rsidR="00D52D9C">
        <w:rPr>
          <w:sz w:val="28"/>
        </w:rPr>
        <w:t>Commitment</w:t>
      </w:r>
      <w:r w:rsidRPr="00733455">
        <w:rPr>
          <w:sz w:val="28"/>
        </w:rPr>
        <w:t xml:space="preserve"> to Utilize the National Oceanic and Atmospheric Association (NOAA) Data Collection System (DCS) Data Collection Platform Commanding (DCPC) Capability</w:t>
      </w:r>
    </w:p>
    <w:p w:rsidR="00003D0B" w:rsidP="00D52D9C" w14:paraId="3E5FC729" w14:textId="77777777">
      <w:pPr>
        <w:pStyle w:val="ListParagraph"/>
        <w:numPr>
          <w:ilvl w:val="0"/>
          <w:numId w:val="1"/>
        </w:numPr>
        <w:spacing w:after="120" w:line="240" w:lineRule="auto"/>
        <w:contextualSpacing w:val="0"/>
      </w:pPr>
      <w:r w:rsidRPr="00733455">
        <w:rPr>
          <w:b/>
        </w:rPr>
        <w:t>PURPOSE</w:t>
      </w:r>
      <w:r>
        <w:t>: This document is provided to current or prospective users of the</w:t>
      </w:r>
      <w:r w:rsidR="00D52D9C">
        <w:t xml:space="preserve"> NOAA provided</w:t>
      </w:r>
      <w:r>
        <w:t xml:space="preserve"> DCS system to signal their </w:t>
      </w:r>
      <w:r w:rsidR="00D52D9C">
        <w:t>commitment</w:t>
      </w:r>
      <w:r>
        <w:t xml:space="preserve"> to operationally use DCPC capability</w:t>
      </w:r>
      <w:r w:rsidR="00D52D9C">
        <w:t xml:space="preserve">, </w:t>
      </w:r>
      <w:r w:rsidR="00783908">
        <w:t>when provided</w:t>
      </w:r>
      <w:r w:rsidR="00D52D9C">
        <w:t xml:space="preserve"> by NOAA.</w:t>
      </w:r>
    </w:p>
    <w:p w:rsidR="007771AF" w:rsidP="00D52D9C" w14:paraId="7B683D11" w14:textId="77777777">
      <w:pPr>
        <w:pStyle w:val="ListParagraph"/>
        <w:numPr>
          <w:ilvl w:val="0"/>
          <w:numId w:val="1"/>
        </w:numPr>
        <w:spacing w:after="120" w:line="240" w:lineRule="auto"/>
        <w:contextualSpacing w:val="0"/>
      </w:pPr>
      <w:r w:rsidRPr="00733455">
        <w:rPr>
          <w:b/>
        </w:rPr>
        <w:t>BACKGROUND</w:t>
      </w:r>
      <w:r>
        <w:t xml:space="preserve">: GOES East and West have a latent capability to send Ultra High Frequency (UHF) signals to the terrestrial footprint of each satellite.  In the past this capability was used to </w:t>
      </w:r>
      <w:r w:rsidR="00733455">
        <w:t>i</w:t>
      </w:r>
      <w:r>
        <w:t>nterrogate Data Collection Platforms (DCPs) in order to elicit an unscheduled environmental report or other purposes.  This capability has been non-functional for a significant period of time</w:t>
      </w:r>
      <w:r>
        <w:t>.</w:t>
      </w:r>
      <w:r>
        <w:t xml:space="preserve">  </w:t>
      </w:r>
      <w:r w:rsidR="00D52D9C">
        <w:t>R</w:t>
      </w:r>
      <w:r>
        <w:t xml:space="preserve">ecently, </w:t>
      </w:r>
      <w:r>
        <w:t xml:space="preserve">growth of GOES DCS users/DCPs and </w:t>
      </w:r>
      <w:r>
        <w:t xml:space="preserve">user interest </w:t>
      </w:r>
      <w:r>
        <w:t>has</w:t>
      </w:r>
      <w:r>
        <w:t xml:space="preserve"> convinced </w:t>
      </w:r>
      <w:r w:rsidR="00733455">
        <w:t>the GOES DCS Program</w:t>
      </w:r>
      <w:r>
        <w:t xml:space="preserve"> to restore this capability to </w:t>
      </w:r>
      <w:r w:rsidR="00AE4ABD">
        <w:t>meet</w:t>
      </w:r>
      <w:r>
        <w:t xml:space="preserve"> GOES DCS system management</w:t>
      </w:r>
      <w:r>
        <w:t xml:space="preserve"> requirements</w:t>
      </w:r>
      <w:r>
        <w:t xml:space="preserve"> and </w:t>
      </w:r>
      <w:r>
        <w:t>support user community</w:t>
      </w:r>
      <w:r w:rsidR="00783908">
        <w:t xml:space="preserve"> requests</w:t>
      </w:r>
      <w:r>
        <w:t>.</w:t>
      </w:r>
      <w:r w:rsidR="00AE4ABD">
        <w:t xml:space="preserve"> </w:t>
      </w:r>
      <w:r w:rsidR="0095267C">
        <w:t>The GOES DCS Program has conducted studies and tests over several years that indicate DCPC is a viable capability to conduct remote configuration changes to DCPs.</w:t>
      </w:r>
      <w:r w:rsidR="00AE4ABD">
        <w:t xml:space="preserve"> NOAA intends to implement DCPC on GOES DCS for the remaining lifecycle of the system</w:t>
      </w:r>
      <w:r w:rsidR="00783908">
        <w:t xml:space="preserve"> (~2034)</w:t>
      </w:r>
      <w:r w:rsidR="00D52D9C">
        <w:t xml:space="preserve"> and it is included in the Geostationary Extended Operations (</w:t>
      </w:r>
      <w:r w:rsidR="00D52D9C">
        <w:t>GeoXO</w:t>
      </w:r>
      <w:r w:rsidR="00D52D9C">
        <w:t>) satellites planned for operations after GOES.</w:t>
      </w:r>
    </w:p>
    <w:p w:rsidR="00733455" w:rsidP="00D52D9C" w14:paraId="68FBB8D3" w14:textId="77777777">
      <w:pPr>
        <w:pStyle w:val="ListParagraph"/>
        <w:numPr>
          <w:ilvl w:val="0"/>
          <w:numId w:val="1"/>
        </w:numPr>
        <w:spacing w:after="120" w:line="240" w:lineRule="auto"/>
        <w:contextualSpacing w:val="0"/>
      </w:pPr>
      <w:r w:rsidRPr="00733455">
        <w:rPr>
          <w:b/>
        </w:rPr>
        <w:t>DISCUSSION</w:t>
      </w:r>
      <w:r>
        <w:t>:</w:t>
      </w:r>
      <w:r w:rsidR="0095267C">
        <w:t xml:space="preserve"> NOAA has invested in and tested sustainment enhancements to </w:t>
      </w:r>
      <w:r w:rsidR="00783908">
        <w:t xml:space="preserve">the GOES DCS for the purpose of commanding DCPs. </w:t>
      </w:r>
      <w:r w:rsidR="0095267C">
        <w:t xml:space="preserve">However, </w:t>
      </w:r>
      <w:r w:rsidR="00783908">
        <w:t>NOAA can only provide one portion of the</w:t>
      </w:r>
      <w:r w:rsidR="0095267C">
        <w:t xml:space="preserve"> total capability</w:t>
      </w:r>
      <w:r w:rsidR="00783908">
        <w:t xml:space="preserve"> necessary to implement this capability.</w:t>
      </w:r>
      <w:r w:rsidR="0095267C">
        <w:t xml:space="preserve">  In order to reach full potential</w:t>
      </w:r>
      <w:r w:rsidR="00D52D9C">
        <w:t xml:space="preserve">, </w:t>
      </w:r>
      <w:r>
        <w:t xml:space="preserve">DCPs with </w:t>
      </w:r>
      <w:r w:rsidR="00D52D9C">
        <w:t>DCPC</w:t>
      </w:r>
      <w:r>
        <w:t xml:space="preserve"> capability must be developed and users </w:t>
      </w:r>
      <w:r w:rsidR="0095267C">
        <w:t xml:space="preserve">must </w:t>
      </w:r>
      <w:r>
        <w:t xml:space="preserve">invest resources to </w:t>
      </w:r>
      <w:r w:rsidR="00783908">
        <w:t>employ those DCPs</w:t>
      </w:r>
      <w:r w:rsidR="0095267C">
        <w:t xml:space="preserve">. </w:t>
      </w:r>
      <w:r w:rsidR="00783908">
        <w:t>There remain a number of key development decisions</w:t>
      </w:r>
      <w:r w:rsidR="00845D07">
        <w:t xml:space="preserve"> for both the GOES DCS and DCPC design.  One </w:t>
      </w:r>
      <w:r w:rsidR="00D52D9C">
        <w:t>constraint is</w:t>
      </w:r>
      <w:r w:rsidR="00845D07">
        <w:t xml:space="preserve"> that complex encryption in not a planned feature of DCPC. System design, system operation, protection of platform identification, and modulation strategies can be employed to improve security.</w:t>
      </w:r>
    </w:p>
    <w:p w:rsidR="00733455" w:rsidRPr="00D52D9C" w:rsidP="00D52D9C" w14:paraId="1BEE560A" w14:textId="77777777">
      <w:pPr>
        <w:pStyle w:val="ListParagraph"/>
        <w:spacing w:after="120" w:line="240" w:lineRule="auto"/>
        <w:ind w:left="360"/>
        <w:contextualSpacing w:val="0"/>
        <w:rPr>
          <w:i/>
        </w:rPr>
      </w:pPr>
      <w:r>
        <w:t xml:space="preserve">There are long-term implications for DCPC following the GOES lifecycle.  The next generation of geostationary satellites, </w:t>
      </w:r>
      <w:r>
        <w:t>G</w:t>
      </w:r>
      <w:r w:rsidR="009E110A">
        <w:t>eo</w:t>
      </w:r>
      <w:r>
        <w:t>XO</w:t>
      </w:r>
      <w:r>
        <w:t xml:space="preserve">, </w:t>
      </w:r>
      <w:r w:rsidR="00D52D9C">
        <w:t>currently</w:t>
      </w:r>
      <w:r>
        <w:t xml:space="preserve"> included the DCPC transponder in the baseline capability</w:t>
      </w:r>
      <w:r w:rsidR="00D52D9C">
        <w:t xml:space="preserve"> design</w:t>
      </w:r>
      <w:r>
        <w:t>.  However, if DCPC is not restored</w:t>
      </w:r>
      <w:r w:rsidR="00845D07">
        <w:t xml:space="preserve"> </w:t>
      </w:r>
      <w:r w:rsidR="00D52D9C">
        <w:t>or if there is not</w:t>
      </w:r>
      <w:r>
        <w:t xml:space="preserve"> significant user commitment prior to final design review (estimate 2025) there may not be sufficient justification to </w:t>
      </w:r>
      <w:r w:rsidR="00845D07">
        <w:t xml:space="preserve">retain DCPC on </w:t>
      </w:r>
      <w:r w:rsidR="00845D07">
        <w:t>GeoXO</w:t>
      </w:r>
      <w:r w:rsidR="00845D07">
        <w:t>.  Therefore, NOAA requests that users signal their commitment to DCPC and provide as much detail information as they can reasonabl</w:t>
      </w:r>
      <w:r w:rsidR="00D52D9C">
        <w:t>y</w:t>
      </w:r>
      <w:r w:rsidR="00845D07">
        <w:t xml:space="preserve"> share about projected system usage as soon as possibl</w:t>
      </w:r>
      <w:r w:rsidR="00D52D9C">
        <w:t>e.</w:t>
      </w:r>
    </w:p>
    <w:p w:rsidR="001B0438" w:rsidP="00D52D9C" w14:paraId="216779E1" w14:textId="77777777">
      <w:pPr>
        <w:pStyle w:val="ListParagraph"/>
        <w:numPr>
          <w:ilvl w:val="0"/>
          <w:numId w:val="1"/>
        </w:numPr>
        <w:spacing w:after="120" w:line="240" w:lineRule="auto"/>
        <w:contextualSpacing w:val="0"/>
      </w:pPr>
      <w:r>
        <w:rPr>
          <w:b/>
        </w:rPr>
        <w:t xml:space="preserve">NOAA GOES DCS </w:t>
      </w:r>
      <w:r w:rsidRPr="001B0438" w:rsidR="00733455">
        <w:rPr>
          <w:b/>
        </w:rPr>
        <w:t>STATEMENT OF INTENT:</w:t>
      </w:r>
      <w:r w:rsidR="00733455">
        <w:t xml:space="preserve">  NOAA GOES DCS </w:t>
      </w:r>
      <w:r>
        <w:t>intends to restore a DCPC capability on the existing GOES DCS that will allow remote configuration changes of DCPs, including the computing and radio telemetry IT infrastructure</w:t>
      </w:r>
      <w:r w:rsidR="00B3179B">
        <w:t>,</w:t>
      </w:r>
      <w:r>
        <w:t xml:space="preserve"> to send commands and receive command acknowledgement.  GOES DCS also intends to work with stakeholders to develop communication protocols, specifications, and conduct other development efforts.</w:t>
      </w:r>
      <w:r w:rsidR="00D52D9C">
        <w:t xml:space="preserve"> NOAA intends to include DCPC on the </w:t>
      </w:r>
      <w:r w:rsidR="00D52D9C">
        <w:t>GeoXO</w:t>
      </w:r>
      <w:r w:rsidR="00D52D9C">
        <w:t xml:space="preserve"> satellite constellation if users have committed to DCPC use to</w:t>
      </w:r>
      <w:r w:rsidR="00B3179B">
        <w:t xml:space="preserve"> the degree that the return on investment is clearly defensible, qualitatively and quantitatively, at the </w:t>
      </w:r>
      <w:r w:rsidR="00B3179B">
        <w:t>GeoXO</w:t>
      </w:r>
      <w:r w:rsidR="00B3179B">
        <w:t xml:space="preserve"> final design review.</w:t>
      </w:r>
    </w:p>
    <w:p w:rsidR="001B0438" w:rsidRPr="00D52D9C" w:rsidP="00D52D9C" w14:paraId="19BB61B7" w14:textId="77777777">
      <w:pPr>
        <w:pStyle w:val="ListParagraph"/>
        <w:numPr>
          <w:ilvl w:val="0"/>
          <w:numId w:val="1"/>
        </w:numPr>
        <w:spacing w:after="120" w:line="240" w:lineRule="auto"/>
        <w:contextualSpacing w:val="0"/>
        <w:rPr>
          <w:b/>
        </w:rPr>
      </w:pPr>
      <w:r w:rsidRPr="001B0438">
        <w:rPr>
          <w:b/>
        </w:rPr>
        <w:t>ORGANIZATION STATEMENT OF INTENT:</w:t>
      </w:r>
    </w:p>
    <w:p w:rsidR="00B3179B" w:rsidP="00D52D9C" w14:paraId="44A06D11" w14:textId="77777777">
      <w:pPr>
        <w:pStyle w:val="ListParagraph"/>
        <w:spacing w:after="120" w:line="240" w:lineRule="auto"/>
        <w:ind w:left="360"/>
        <w:contextualSpacing w:val="0"/>
      </w:pPr>
      <w:r>
        <w:t>As a representative of an organization</w:t>
      </w:r>
      <w:r w:rsidR="001B717E">
        <w:t xml:space="preserve"> that uses, or intends to use,</w:t>
      </w:r>
      <w:r>
        <w:t xml:space="preserve"> </w:t>
      </w:r>
      <w:r w:rsidR="00D52D9C">
        <w:t xml:space="preserve">DCPC on GOES DCS and </w:t>
      </w:r>
      <w:r w:rsidR="00D52D9C">
        <w:t>GeoXO</w:t>
      </w:r>
      <w:r w:rsidR="00D52D9C">
        <w:t xml:space="preserve"> DCS, when provided by </w:t>
      </w:r>
      <w:r>
        <w:t>NOAA, I</w:t>
      </w:r>
      <w:r w:rsidR="001B717E">
        <w:t xml:space="preserve"> state my intent to </w:t>
      </w:r>
      <w:r w:rsidR="00845D07">
        <w:t>employ</w:t>
      </w:r>
      <w:r w:rsidR="001B717E">
        <w:t xml:space="preserve"> DCPC </w:t>
      </w:r>
      <w:r w:rsidR="00845D07">
        <w:t xml:space="preserve">on </w:t>
      </w:r>
      <w:r w:rsidR="00D52D9C">
        <w:t>both systems.</w:t>
      </w:r>
    </w:p>
    <w:p w:rsidR="005E5FCB" w:rsidP="00D52D9C" w14:paraId="5984F8DF" w14:textId="77777777">
      <w:pPr>
        <w:pStyle w:val="ListParagraph"/>
        <w:spacing w:after="120" w:line="240" w:lineRule="auto"/>
        <w:ind w:left="360"/>
        <w:contextualSpacing w:val="0"/>
      </w:pPr>
      <w:r w:rsidRPr="005E5FCB">
        <w:t>My organization estimates we will deploy</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rsidRPr="005E5FCB">
        <w:t xml:space="preserve"> DCPC capable receivers, pending availability of an external DCPC receiver and/or upgraded DCPC capable DCP, through the GOES-R era (now to approximately ~203</w:t>
      </w:r>
      <w:r w:rsidR="00D422AD">
        <w:t>4</w:t>
      </w:r>
      <w:r w:rsidRPr="005E5FCB">
        <w:t>). We estimate we will maintain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5E5FCB">
        <w:t xml:space="preserve"> DCPC capable DCPs and add an additional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Pr="005E5FCB">
        <w:t xml:space="preserve">capable DCPs in the first 5 years of </w:t>
      </w:r>
      <w:r w:rsidRPr="005E5FCB">
        <w:t>GeoXO</w:t>
      </w:r>
      <w:r w:rsidRPr="005E5FCB">
        <w:t xml:space="preserve"> (~203</w:t>
      </w:r>
      <w:r w:rsidR="002C4965">
        <w:t>4</w:t>
      </w:r>
      <w:r w:rsidRPr="005E5FCB">
        <w:t>-20</w:t>
      </w:r>
      <w:r w:rsidR="002C4965">
        <w:t>39</w:t>
      </w:r>
      <w:r w:rsidRPr="005E5FCB">
        <w:t>). These are estimates only, subject to change, and only reflect an intent to utilize DCPC capability on our existing &amp; planning DCP field contingent.</w:t>
      </w:r>
    </w:p>
    <w:p w:rsidR="001B0438" w:rsidP="00D52D9C" w14:paraId="5D4C58BA" w14:textId="77777777">
      <w:pPr>
        <w:pStyle w:val="ListParagraph"/>
        <w:spacing w:after="120" w:line="240" w:lineRule="auto"/>
        <w:ind w:left="360"/>
        <w:contextualSpacing w:val="0"/>
      </w:pPr>
      <w:r>
        <w:rPr>
          <w:i/>
        </w:rPr>
        <w:t xml:space="preserve">These estimates and </w:t>
      </w:r>
      <w:r w:rsidRPr="00B3179B">
        <w:rPr>
          <w:i/>
        </w:rPr>
        <w:t xml:space="preserve">commitment </w:t>
      </w:r>
      <w:r>
        <w:rPr>
          <w:i/>
        </w:rPr>
        <w:t>are</w:t>
      </w:r>
      <w:r w:rsidRPr="00B3179B">
        <w:rPr>
          <w:i/>
        </w:rPr>
        <w:t xml:space="preserve"> non-binding, do not </w:t>
      </w:r>
      <w:r>
        <w:rPr>
          <w:i/>
        </w:rPr>
        <w:t>obligate</w:t>
      </w:r>
      <w:r w:rsidRPr="00B3179B">
        <w:rPr>
          <w:i/>
        </w:rPr>
        <w:t xml:space="preserve"> resources, and </w:t>
      </w:r>
      <w:r>
        <w:rPr>
          <w:i/>
        </w:rPr>
        <w:t>do</w:t>
      </w:r>
      <w:r w:rsidRPr="00B3179B">
        <w:rPr>
          <w:i/>
        </w:rPr>
        <w:t xml:space="preserve"> not constitute an official agreement between </w:t>
      </w:r>
      <w:r>
        <w:rPr>
          <w:i/>
        </w:rPr>
        <w:t>my organization and NOAA</w:t>
      </w:r>
      <w:r w:rsidRPr="00B3179B">
        <w:rPr>
          <w:i/>
        </w:rPr>
        <w:t>.</w:t>
      </w:r>
      <w:r w:rsidR="00B3179B">
        <w:tab/>
      </w:r>
      <w:r w:rsidR="00B3179B">
        <w:tab/>
      </w:r>
    </w:p>
    <w:p w:rsidR="005E5FCB" w:rsidP="00D52D9C" w14:paraId="54F4CFFB" w14:textId="77777777">
      <w:pPr>
        <w:pStyle w:val="ListParagraph"/>
        <w:spacing w:after="120" w:line="240" w:lineRule="auto"/>
        <w:ind w:left="360"/>
        <w:contextualSpacing w:val="0"/>
      </w:pPr>
    </w:p>
    <w:tbl>
      <w:tblPr>
        <w:tblStyle w:val="TableGrid"/>
        <w:tblW w:w="0" w:type="auto"/>
        <w:tblInd w:w="360" w:type="dxa"/>
        <w:tblLook w:val="04A0"/>
      </w:tblPr>
      <w:tblGrid>
        <w:gridCol w:w="3118"/>
        <w:gridCol w:w="3118"/>
        <w:gridCol w:w="3119"/>
        <w:gridCol w:w="1075"/>
      </w:tblGrid>
      <w:tr w14:paraId="5785F10A" w14:textId="77777777" w:rsidTr="00B3179B">
        <w:tblPrEx>
          <w:tblW w:w="0" w:type="auto"/>
          <w:tblInd w:w="360" w:type="dxa"/>
          <w:tblLook w:val="04A0"/>
        </w:tblPrEx>
        <w:tc>
          <w:tcPr>
            <w:tcW w:w="3118" w:type="dxa"/>
          </w:tcPr>
          <w:p w:rsidR="00B3179B" w:rsidP="00D52D9C" w14:paraId="4EDBA60D" w14:textId="77777777">
            <w:pPr>
              <w:pStyle w:val="ListParagraph"/>
              <w:spacing w:after="120"/>
              <w:ind w:left="0"/>
              <w:contextualSpacing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8" w:type="dxa"/>
          </w:tcPr>
          <w:p w:rsidR="00B3179B" w:rsidP="00D52D9C" w14:paraId="5B7E20B4" w14:textId="77777777">
            <w:pPr>
              <w:pStyle w:val="ListParagraph"/>
              <w:spacing w:after="120"/>
              <w:ind w:left="0"/>
              <w:contextualSpacing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19" w:type="dxa"/>
          </w:tcPr>
          <w:p w:rsidR="00B3179B" w:rsidP="00D52D9C" w14:paraId="10B98D62" w14:textId="77777777">
            <w:pPr>
              <w:pStyle w:val="ListParagraph"/>
              <w:spacing w:after="120"/>
              <w:ind w:left="0"/>
              <w:contextualSpacing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75" w:type="dxa"/>
          </w:tcPr>
          <w:p w:rsidR="00B3179B" w:rsidP="00D52D9C" w14:paraId="3971A2F9" w14:textId="77777777">
            <w:pPr>
              <w:pStyle w:val="ListParagraph"/>
              <w:spacing w:after="120"/>
              <w:ind w:left="0"/>
              <w:contextualSpacing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14:paraId="58977447" w14:textId="77777777" w:rsidTr="00B3179B">
        <w:tblPrEx>
          <w:tblW w:w="0" w:type="auto"/>
          <w:tblInd w:w="360" w:type="dxa"/>
          <w:tblLook w:val="04A0"/>
        </w:tblPrEx>
        <w:tc>
          <w:tcPr>
            <w:tcW w:w="3118" w:type="dxa"/>
          </w:tcPr>
          <w:p w:rsidR="001B717E" w:rsidP="00D52D9C" w14:paraId="487CEA85" w14:textId="77777777">
            <w:pPr>
              <w:pStyle w:val="ListParagraph"/>
              <w:spacing w:after="120"/>
              <w:ind w:left="0"/>
              <w:contextualSpacing w:val="0"/>
            </w:pPr>
            <w:r>
              <w:t>Name</w:t>
            </w:r>
          </w:p>
        </w:tc>
        <w:tc>
          <w:tcPr>
            <w:tcW w:w="3118" w:type="dxa"/>
          </w:tcPr>
          <w:p w:rsidR="001B717E" w:rsidP="00D52D9C" w14:paraId="7B3DBAA4" w14:textId="77777777">
            <w:pPr>
              <w:pStyle w:val="ListParagraph"/>
              <w:spacing w:after="120"/>
              <w:ind w:left="0"/>
              <w:contextualSpacing w:val="0"/>
            </w:pPr>
            <w:r>
              <w:t>Title</w:t>
            </w:r>
          </w:p>
        </w:tc>
        <w:tc>
          <w:tcPr>
            <w:tcW w:w="3119" w:type="dxa"/>
          </w:tcPr>
          <w:p w:rsidR="001B717E" w:rsidP="00D52D9C" w14:paraId="0A2E2CFA" w14:textId="77777777">
            <w:pPr>
              <w:pStyle w:val="ListParagraph"/>
              <w:spacing w:after="120"/>
              <w:ind w:left="0"/>
              <w:contextualSpacing w:val="0"/>
            </w:pPr>
            <w:r>
              <w:t>Organization</w:t>
            </w:r>
          </w:p>
        </w:tc>
        <w:tc>
          <w:tcPr>
            <w:tcW w:w="1075" w:type="dxa"/>
          </w:tcPr>
          <w:p w:rsidR="001B717E" w:rsidP="00D52D9C" w14:paraId="28802EFD" w14:textId="77777777">
            <w:pPr>
              <w:pStyle w:val="ListParagraph"/>
              <w:spacing w:after="120"/>
              <w:ind w:left="0"/>
              <w:contextualSpacing w:val="0"/>
            </w:pPr>
            <w:r>
              <w:t>Date</w:t>
            </w:r>
          </w:p>
        </w:tc>
      </w:tr>
    </w:tbl>
    <w:p w:rsidR="001B717E" w:rsidP="0017169B" w14:paraId="4554B5DD" w14:textId="77777777">
      <w:pPr>
        <w:jc w:val="right"/>
      </w:pPr>
    </w:p>
    <w:p w:rsidR="00BF3FAB" w:rsidP="00BF3FAB" w14:paraId="5DD1B29B" w14:textId="77777777"/>
    <w:p w:rsidR="00BF3FAB" w:rsidRPr="00BF3FAB" w:rsidP="00BF3FAB" w14:paraId="50BDBD8C" w14:textId="77777777">
      <w:pPr>
        <w:pStyle w:val="NormalWeb"/>
        <w:shd w:val="clear" w:color="auto" w:fill="FFFFFF"/>
        <w:spacing w:before="0" w:beforeAutospacing="0" w:after="0" w:afterAutospacing="0"/>
        <w:jc w:val="center"/>
        <w:rPr>
          <w:rFonts w:asciiTheme="minorHAnsi" w:hAnsiTheme="minorHAnsi" w:cstheme="minorHAnsi"/>
          <w:b/>
          <w:color w:val="222222"/>
          <w:sz w:val="18"/>
          <w:szCs w:val="18"/>
        </w:rPr>
      </w:pPr>
      <w:r w:rsidRPr="00BF3FAB">
        <w:rPr>
          <w:rFonts w:asciiTheme="minorHAnsi" w:hAnsiTheme="minorHAnsi" w:cstheme="minorHAnsi"/>
          <w:b/>
          <w:color w:val="222222"/>
          <w:sz w:val="18"/>
          <w:szCs w:val="18"/>
        </w:rPr>
        <w:t>PRA Burden Statement:</w:t>
      </w:r>
    </w:p>
    <w:p w:rsidR="00BF3FAB" w:rsidRPr="00BF3FAB" w:rsidP="00BF3FAB" w14:paraId="1A1D8A84" w14:textId="77777777">
      <w:pPr>
        <w:pStyle w:val="NormalWeb"/>
        <w:shd w:val="clear" w:color="auto" w:fill="FFFFFF"/>
        <w:spacing w:before="0" w:beforeAutospacing="0" w:after="0" w:afterAutospacing="0"/>
        <w:rPr>
          <w:rFonts w:asciiTheme="minorHAnsi" w:hAnsiTheme="minorHAnsi" w:cstheme="minorHAnsi"/>
          <w:color w:val="222222"/>
          <w:sz w:val="18"/>
          <w:szCs w:val="18"/>
        </w:rPr>
      </w:pPr>
      <w:r w:rsidRPr="00BF3FAB">
        <w:rPr>
          <w:rFonts w:asciiTheme="minorHAnsi" w:hAnsiTheme="minorHAnsi" w:cstheme="minorHAnsi"/>
          <w:color w:val="222222"/>
          <w:sz w:val="18"/>
          <w:szCs w:val="18"/>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w:t>
      </w:r>
      <w:r w:rsidR="00381BBB">
        <w:rPr>
          <w:rFonts w:asciiTheme="minorHAnsi" w:hAnsiTheme="minorHAnsi" w:cstheme="minorHAnsi"/>
          <w:color w:val="222222"/>
          <w:sz w:val="18"/>
          <w:szCs w:val="18"/>
        </w:rPr>
        <w:t>8</w:t>
      </w:r>
      <w:r w:rsidRPr="00BF3FAB">
        <w:rPr>
          <w:rFonts w:asciiTheme="minorHAnsi" w:hAnsiTheme="minorHAnsi" w:cstheme="minorHAnsi"/>
          <w:color w:val="222222"/>
          <w:sz w:val="18"/>
          <w:szCs w:val="18"/>
        </w:rPr>
        <w:t xml:space="preserve">. Without this approval, we could not conduct this information collection. Public reporting for this information collection is estimated to be approximately 2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Skip Dronen, Jr., GOES DCS Program Manager, </w:t>
      </w:r>
      <w:hyperlink r:id="rId4" w:history="1">
        <w:r w:rsidRPr="00BF3FAB">
          <w:rPr>
            <w:rStyle w:val="Hyperlink"/>
            <w:rFonts w:asciiTheme="minorHAnsi" w:hAnsiTheme="minorHAnsi" w:cstheme="minorHAnsi"/>
            <w:sz w:val="18"/>
            <w:szCs w:val="18"/>
          </w:rPr>
          <w:t>William.Dronen@noaa.gov</w:t>
        </w:r>
      </w:hyperlink>
      <w:r w:rsidRPr="00BF3FAB">
        <w:rPr>
          <w:rFonts w:asciiTheme="minorHAnsi" w:hAnsiTheme="minorHAnsi" w:cstheme="minorHAnsi"/>
          <w:color w:val="222222"/>
          <w:sz w:val="18"/>
          <w:szCs w:val="18"/>
        </w:rPr>
        <w:t>.</w:t>
      </w:r>
    </w:p>
    <w:p w:rsidR="00BF3FAB" w:rsidRPr="00BF3FAB" w:rsidP="00BF3FAB" w14:paraId="7A579795" w14:textId="77777777">
      <w:pPr>
        <w:pStyle w:val="NormalWeb"/>
        <w:shd w:val="clear" w:color="auto" w:fill="FFFFFF"/>
        <w:spacing w:before="0" w:beforeAutospacing="0" w:after="0" w:afterAutospacing="0"/>
        <w:rPr>
          <w:rFonts w:asciiTheme="minorHAnsi" w:hAnsiTheme="minorHAnsi" w:cstheme="minorHAnsi"/>
          <w:sz w:val="18"/>
          <w:szCs w:val="18"/>
        </w:rPr>
      </w:pPr>
    </w:p>
    <w:p w:rsidR="00BF3FAB" w:rsidRPr="00BF3FAB" w:rsidP="00BF3FAB" w14:paraId="0D5F20B9" w14:textId="77777777">
      <w:pPr>
        <w:jc w:val="center"/>
        <w:rPr>
          <w:rFonts w:cstheme="minorHAnsi"/>
          <w:b/>
          <w:noProof/>
          <w:sz w:val="18"/>
          <w:szCs w:val="18"/>
        </w:rPr>
      </w:pPr>
      <w:r w:rsidRPr="00BF3FAB">
        <w:rPr>
          <w:rFonts w:cstheme="minorHAnsi"/>
          <w:b/>
          <w:noProof/>
          <w:sz w:val="18"/>
          <w:szCs w:val="18"/>
        </w:rPr>
        <w:t>Privacy Act Statement</w:t>
      </w:r>
    </w:p>
    <w:p w:rsidR="00BF3FAB" w:rsidRPr="00BF3FAB" w:rsidP="00BF3FAB" w14:paraId="15771AC6" w14:textId="77777777">
      <w:pPr>
        <w:spacing w:after="0"/>
        <w:rPr>
          <w:rFonts w:cstheme="minorHAnsi"/>
          <w:sz w:val="18"/>
          <w:szCs w:val="18"/>
        </w:rPr>
      </w:pPr>
      <w:r w:rsidRPr="00BF3FAB">
        <w:rPr>
          <w:rFonts w:cstheme="minorHAnsi"/>
          <w:b/>
          <w:sz w:val="18"/>
          <w:szCs w:val="18"/>
        </w:rPr>
        <w:t>Authority:</w:t>
      </w:r>
      <w:r w:rsidRPr="00BF3FAB">
        <w:rPr>
          <w:rFonts w:cstheme="minorHAnsi"/>
          <w:sz w:val="18"/>
          <w:szCs w:val="18"/>
        </w:rPr>
        <w:t xml:space="preserve">  The collection of this information is authorized under 5 U.S.C. § 301, Departmental regulations which </w:t>
      </w:r>
      <w:r w:rsidRPr="00BF3FAB">
        <w:rPr>
          <w:rFonts w:cstheme="minorHAnsi"/>
          <w:color w:val="222222"/>
          <w:sz w:val="18"/>
          <w:szCs w:val="18"/>
        </w:rPr>
        <w:t xml:space="preserve">authorizes the operations of an executive agency, including the creation, custodianship, maintenance and distribution of records, and </w:t>
      </w:r>
      <w:r w:rsidRPr="00BF3FAB">
        <w:rPr>
          <w:rFonts w:cstheme="minorHAnsi"/>
          <w:sz w:val="18"/>
          <w:szCs w:val="18"/>
        </w:rPr>
        <w:t>15 U.S.C. 1512, Powers and duties of Department.</w:t>
      </w:r>
    </w:p>
    <w:p w:rsidR="00BF3FAB" w:rsidRPr="00BF3FAB" w:rsidP="00BF3FAB" w14:paraId="154ACEF0" w14:textId="77777777">
      <w:pPr>
        <w:spacing w:after="0"/>
        <w:rPr>
          <w:rFonts w:cstheme="minorHAnsi"/>
          <w:sz w:val="18"/>
          <w:szCs w:val="18"/>
        </w:rPr>
      </w:pPr>
    </w:p>
    <w:p w:rsidR="00BF3FAB" w:rsidRPr="00BF3FAB" w:rsidP="00BF3FAB" w14:paraId="71F178B8" w14:textId="77777777">
      <w:pPr>
        <w:spacing w:after="0"/>
        <w:rPr>
          <w:rFonts w:cstheme="minorHAnsi"/>
          <w:sz w:val="18"/>
          <w:szCs w:val="18"/>
        </w:rPr>
      </w:pPr>
      <w:r w:rsidRPr="00BF3FAB">
        <w:rPr>
          <w:rFonts w:cstheme="minorHAnsi"/>
          <w:b/>
          <w:sz w:val="18"/>
          <w:szCs w:val="18"/>
        </w:rPr>
        <w:t>Purpose:</w:t>
      </w:r>
      <w:r w:rsidRPr="00BF3FAB">
        <w:rPr>
          <w:rFonts w:cstheme="minorHAnsi"/>
          <w:sz w:val="18"/>
          <w:szCs w:val="18"/>
        </w:rPr>
        <w:t xml:space="preserve">  NOAA collects limited information, such as name, address, phone number, or email address for a variety of purposes.  This information will be used to respond to user inquiries or provide services requested by the user. </w:t>
      </w:r>
    </w:p>
    <w:p w:rsidR="00BF3FAB" w:rsidRPr="00BF3FAB" w:rsidP="00BF3FAB" w14:paraId="57B11923" w14:textId="77777777">
      <w:pPr>
        <w:spacing w:after="0"/>
        <w:rPr>
          <w:rFonts w:cstheme="minorHAnsi"/>
          <w:sz w:val="18"/>
          <w:szCs w:val="18"/>
        </w:rPr>
      </w:pPr>
    </w:p>
    <w:p w:rsidR="00BF3FAB" w:rsidRPr="00BF3FAB" w:rsidP="00BF3FAB" w14:paraId="401E3BF1" w14:textId="77777777">
      <w:pPr>
        <w:spacing w:after="0"/>
        <w:rPr>
          <w:rFonts w:cstheme="minorHAnsi"/>
          <w:sz w:val="18"/>
          <w:szCs w:val="18"/>
        </w:rPr>
      </w:pPr>
      <w:r w:rsidRPr="00BF3FAB">
        <w:rPr>
          <w:rFonts w:cstheme="minorHAnsi"/>
          <w:b/>
          <w:sz w:val="18"/>
          <w:szCs w:val="18"/>
        </w:rPr>
        <w:t xml:space="preserve">Routine Uses: </w:t>
      </w:r>
      <w:r w:rsidRPr="00BF3FAB">
        <w:rPr>
          <w:rFonts w:cstheme="minorHAnsi"/>
          <w:sz w:val="18"/>
          <w:szCs w:val="18"/>
        </w:rPr>
        <w:t xml:space="preserve"> </w:t>
      </w:r>
      <w:r w:rsidRPr="00BF3FAB">
        <w:rPr>
          <w:rFonts w:cstheme="minorHAnsi"/>
          <w:color w:val="000000"/>
          <w:sz w:val="18"/>
          <w:szCs w:val="18"/>
        </w:rPr>
        <w:t>Disclosure of this information is permitted under the Privacy Act of 1974 (5 U.S.C. Section 552a</w:t>
      </w:r>
      <w:r w:rsidRPr="00BF3FAB">
        <w:rPr>
          <w:rFonts w:cstheme="minorHAnsi"/>
          <w:b/>
          <w:bCs/>
          <w:color w:val="000000"/>
          <w:sz w:val="18"/>
          <w:szCs w:val="18"/>
        </w:rPr>
        <w:t xml:space="preserve">) </w:t>
      </w:r>
      <w:r w:rsidRPr="00BF3FAB">
        <w:rPr>
          <w:rFonts w:cstheme="minorHAnsi"/>
          <w:color w:val="000000"/>
          <w:sz w:val="18"/>
          <w:szCs w:val="18"/>
        </w:rPr>
        <w:t xml:space="preserve">to be shared among Department staff for work-related purposes.  Disclosure of this information is also subject to all of the published routine uses as identified in the Privacy Act System of Records Notice </w:t>
      </w:r>
      <w:r w:rsidRPr="00BF3FAB">
        <w:rPr>
          <w:rFonts w:cstheme="minorHAnsi"/>
          <w:color w:val="0000FF"/>
          <w:sz w:val="18"/>
          <w:szCs w:val="18"/>
        </w:rPr>
        <w:t>COMMERCE/NOAA-11</w:t>
      </w:r>
      <w:r w:rsidRPr="00BF3FAB">
        <w:rPr>
          <w:rFonts w:cstheme="minorHAnsi"/>
          <w:color w:val="000000"/>
          <w:sz w:val="18"/>
          <w:szCs w:val="18"/>
        </w:rPr>
        <w:t>, Contact Information for Members of the Public Requesting or Providing Information Related to NOAA’s Mission</w:t>
      </w:r>
      <w:r w:rsidRPr="00BF3FAB">
        <w:rPr>
          <w:rFonts w:cstheme="minorHAnsi"/>
          <w:color w:val="303030"/>
          <w:sz w:val="18"/>
          <w:szCs w:val="18"/>
          <w:shd w:val="clear" w:color="auto" w:fill="FFFFFF"/>
        </w:rPr>
        <w:t>.</w:t>
      </w:r>
    </w:p>
    <w:p w:rsidR="00BF3FAB" w:rsidRPr="00BF3FAB" w:rsidP="00BF3FAB" w14:paraId="62EE596D" w14:textId="77777777">
      <w:pPr>
        <w:autoSpaceDE w:val="0"/>
        <w:autoSpaceDN w:val="0"/>
        <w:adjustRightInd w:val="0"/>
        <w:spacing w:after="0" w:line="240" w:lineRule="auto"/>
        <w:rPr>
          <w:rFonts w:cstheme="minorHAnsi"/>
          <w:color w:val="000000"/>
          <w:sz w:val="18"/>
          <w:szCs w:val="18"/>
        </w:rPr>
      </w:pPr>
    </w:p>
    <w:p w:rsidR="00BF3FAB" w:rsidRPr="00BF3FAB" w:rsidP="00BF3FAB" w14:paraId="6CE9925F" w14:textId="77777777">
      <w:pPr>
        <w:autoSpaceDE w:val="0"/>
        <w:autoSpaceDN w:val="0"/>
        <w:adjustRightInd w:val="0"/>
        <w:spacing w:after="0" w:line="240" w:lineRule="auto"/>
        <w:rPr>
          <w:rFonts w:cstheme="minorHAnsi"/>
          <w:sz w:val="18"/>
          <w:szCs w:val="18"/>
        </w:rPr>
      </w:pPr>
      <w:r w:rsidRPr="00BF3FAB">
        <w:rPr>
          <w:rFonts w:cstheme="minorHAnsi"/>
          <w:b/>
          <w:sz w:val="18"/>
          <w:szCs w:val="18"/>
        </w:rPr>
        <w:t xml:space="preserve">Disclosure: </w:t>
      </w:r>
      <w:r w:rsidRPr="00BF3FAB">
        <w:rPr>
          <w:rFonts w:cstheme="minorHAnsi"/>
          <w:sz w:val="18"/>
          <w:szCs w:val="18"/>
        </w:rPr>
        <w:t xml:space="preserve">  Furnishing this information is voluntary.  By providing this information, you are consenting to the use of that information only for the purpose for which it is submitted.</w:t>
      </w:r>
    </w:p>
    <w:p w:rsidR="00BF3FAB" w:rsidP="00BF3FAB" w14:paraId="57A1364E" w14:textId="77777777">
      <w:pPr>
        <w:pStyle w:val="NormalWeb"/>
        <w:shd w:val="clear" w:color="auto" w:fill="FFFFFF"/>
        <w:spacing w:before="0" w:beforeAutospacing="0" w:after="0" w:afterAutospacing="0"/>
      </w:pPr>
    </w:p>
    <w:p w:rsidR="00BF3FAB" w:rsidRPr="0017169B" w:rsidP="00BF3FAB" w14:paraId="5EAD2879" w14:textId="77777777"/>
    <w:sectPr w:rsidSect="006F2EDA">
      <w:headerReference w:type="default" r:id="rId5"/>
      <w:footerReference w:type="default" r:id="rId6"/>
      <w:pgSz w:w="12240" w:h="15840"/>
      <w:pgMar w:top="720" w:right="720" w:bottom="720" w:left="720" w:header="18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79B" w:rsidP="00B3179B" w14:paraId="0AA20CAB" w14:textId="77777777">
    <w:pPr>
      <w:pStyle w:val="Footer"/>
      <w:jc w:val="right"/>
    </w:pPr>
    <w:r>
      <w:t>V1.</w:t>
    </w:r>
    <w:r w:rsidR="0017169B">
      <w:t>3</w:t>
    </w:r>
  </w:p>
  <w:p w:rsidR="00B3179B" w:rsidP="00B3179B" w14:paraId="05CCAB8E" w14:textId="77777777">
    <w:pPr>
      <w:pStyle w:val="Footer"/>
      <w:jc w:val="right"/>
    </w:pPr>
    <w:r>
      <w:t>1</w:t>
    </w:r>
    <w:r w:rsidR="0017169B">
      <w:t>2</w:t>
    </w:r>
    <w:r>
      <w:t>/</w:t>
    </w:r>
    <w:r w:rsidR="0017169B">
      <w:t>27</w:t>
    </w:r>
    <w:r>
      <w:t>/2023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2EDA" w:rsidRPr="004F13C2" w:rsidP="005572A8" w14:paraId="3150E052" w14:textId="77777777">
    <w:pPr>
      <w:pStyle w:val="Header"/>
      <w:jc w:val="right"/>
      <w:rPr>
        <w:sz w:val="18"/>
        <w:szCs w:val="18"/>
      </w:rPr>
    </w:pPr>
    <w:r w:rsidRPr="004F13C2">
      <w:rPr>
        <w:sz w:val="18"/>
        <w:szCs w:val="18"/>
      </w:rPr>
      <w:t>OMB Control Number:  0690-003</w:t>
    </w:r>
    <w:r w:rsidR="00381BBB">
      <w:rPr>
        <w:sz w:val="18"/>
        <w:szCs w:val="18"/>
      </w:rPr>
      <w:t>8</w:t>
    </w:r>
  </w:p>
  <w:p w:rsidR="006F2EDA" w:rsidRPr="004F13C2" w:rsidP="005572A8" w14:paraId="06BA6E21" w14:textId="69DD2518">
    <w:pPr>
      <w:pStyle w:val="Header"/>
      <w:jc w:val="center"/>
      <w:rPr>
        <w:sz w:val="18"/>
        <w:szCs w:val="18"/>
      </w:rPr>
    </w:pPr>
    <w:r>
      <w:rPr>
        <w:sz w:val="18"/>
        <w:szCs w:val="18"/>
      </w:rPr>
      <w:t xml:space="preserve">                                                                                                                                                                                           </w:t>
    </w:r>
    <w:r w:rsidRPr="004F13C2">
      <w:rPr>
        <w:sz w:val="18"/>
        <w:szCs w:val="18"/>
      </w:rPr>
      <w:t>Expiration Date:  7/31/26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BB1ABB"/>
    <w:multiLevelType w:val="hybridMultilevel"/>
    <w:tmpl w:val="EF96EB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32721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0B"/>
    <w:rsid w:val="00003D0B"/>
    <w:rsid w:val="0017169B"/>
    <w:rsid w:val="001B0438"/>
    <w:rsid w:val="001B717E"/>
    <w:rsid w:val="002C4965"/>
    <w:rsid w:val="00381BBB"/>
    <w:rsid w:val="004F13C2"/>
    <w:rsid w:val="005572A8"/>
    <w:rsid w:val="005E5FCB"/>
    <w:rsid w:val="00645DF6"/>
    <w:rsid w:val="006F2EDA"/>
    <w:rsid w:val="00733455"/>
    <w:rsid w:val="00737BAD"/>
    <w:rsid w:val="007771AF"/>
    <w:rsid w:val="00783908"/>
    <w:rsid w:val="00845D07"/>
    <w:rsid w:val="0095267C"/>
    <w:rsid w:val="009E110A"/>
    <w:rsid w:val="00AA2D33"/>
    <w:rsid w:val="00AE4ABD"/>
    <w:rsid w:val="00B3179B"/>
    <w:rsid w:val="00B4269C"/>
    <w:rsid w:val="00BA06D2"/>
    <w:rsid w:val="00BF3FAB"/>
    <w:rsid w:val="00CD2CA4"/>
    <w:rsid w:val="00D422AD"/>
    <w:rsid w:val="00D52D9C"/>
    <w:rsid w:val="00D96BB1"/>
    <w:rsid w:val="00DC2030"/>
    <w:rsid w:val="00E074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C8CBAE"/>
  <w15:chartTrackingRefBased/>
  <w15:docId w15:val="{BF57FD3C-FEBF-4B08-A9F9-4F327EE9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D0B"/>
    <w:pPr>
      <w:ind w:left="720"/>
      <w:contextualSpacing/>
    </w:pPr>
  </w:style>
  <w:style w:type="table" w:styleId="TableGrid">
    <w:name w:val="Table Grid"/>
    <w:basedOn w:val="TableNormal"/>
    <w:uiPriority w:val="39"/>
    <w:rsid w:val="001B7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79B"/>
  </w:style>
  <w:style w:type="paragraph" w:styleId="Footer">
    <w:name w:val="footer"/>
    <w:basedOn w:val="Normal"/>
    <w:link w:val="FooterChar"/>
    <w:uiPriority w:val="99"/>
    <w:unhideWhenUsed/>
    <w:rsid w:val="00B31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79B"/>
  </w:style>
  <w:style w:type="paragraph" w:styleId="NormalWeb">
    <w:name w:val="Normal (Web)"/>
    <w:basedOn w:val="Normal"/>
    <w:uiPriority w:val="99"/>
    <w:semiHidden/>
    <w:unhideWhenUsed/>
    <w:rsid w:val="00BF3FA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3FAB"/>
    <w:rPr>
      <w:color w:val="0563C1" w:themeColor="hyperlink"/>
      <w:u w:val="single"/>
    </w:rPr>
  </w:style>
  <w:style w:type="character" w:styleId="UnresolvedMention">
    <w:name w:val="Unresolved Mention"/>
    <w:basedOn w:val="DefaultParagraphFont"/>
    <w:uiPriority w:val="99"/>
    <w:semiHidden/>
    <w:unhideWhenUsed/>
    <w:rsid w:val="00BF3F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illiam.Dronen@noaa.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Number of DCPs</dc:creator>
  <cp:lastModifiedBy>Dumas, Sheleen (Federal)</cp:lastModifiedBy>
  <cp:revision>2</cp:revision>
  <dcterms:created xsi:type="dcterms:W3CDTF">2024-01-29T17:48:00Z</dcterms:created>
  <dcterms:modified xsi:type="dcterms:W3CDTF">2024-01-29T17:48:00Z</dcterms:modified>
</cp:coreProperties>
</file>