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515ACE" w:rsidR="001C51EC" w:rsidTr="5DC1CFEE" w14:paraId="10684D99" w14:textId="77777777">
        <w:tc>
          <w:tcPr>
            <w:tcW w:w="3192" w:type="dxa"/>
            <w:tcBorders>
              <w:top w:val="nil"/>
              <w:left w:val="nil"/>
              <w:bottom w:val="nil"/>
              <w:right w:val="nil"/>
            </w:tcBorders>
            <w:tcMar/>
          </w:tcPr>
          <w:p w:rsidR="001C51EC" w:rsidP="001E1C53" w:rsidRDefault="001C51EC" w14:paraId="7551CAB9" w14:textId="77777777">
            <w:pPr>
              <w:tabs>
                <w:tab w:val="center" w:pos="4320"/>
                <w:tab w:val="right" w:pos="8640"/>
              </w:tabs>
              <w:rPr>
                <w:rFonts w:ascii="Helvetica" w:hAnsi="Helvetica" w:cs="Arial"/>
                <w:b/>
                <w:sz w:val="24"/>
              </w:rPr>
            </w:pPr>
            <w:r>
              <w:rPr>
                <w:rFonts w:ascii="Helvetica" w:hAnsi="Helvetica" w:cs="Arial"/>
                <w:b/>
                <w:sz w:val="24"/>
              </w:rPr>
              <w:t>Lease Addendum</w:t>
            </w:r>
          </w:p>
          <w:p w:rsidRPr="006263BB" w:rsidR="001C51EC" w:rsidP="001E1C53" w:rsidRDefault="001C51EC" w14:paraId="5DDB12B7" w14:textId="77777777">
            <w:pPr>
              <w:tabs>
                <w:tab w:val="center" w:pos="4320"/>
                <w:tab w:val="right" w:pos="8640"/>
              </w:tabs>
              <w:rPr>
                <w:rFonts w:ascii="Helvetica" w:hAnsi="Helvetica" w:cs="Arial"/>
                <w:sz w:val="24"/>
              </w:rPr>
            </w:pPr>
            <w:r w:rsidRPr="006263BB">
              <w:rPr>
                <w:rFonts w:ascii="Helvetica" w:hAnsi="Helvetica" w:cs="Arial"/>
                <w:sz w:val="24"/>
              </w:rPr>
              <w:t>Section 232</w:t>
            </w:r>
          </w:p>
          <w:p w:rsidRPr="003C0DB6" w:rsidR="001C51EC" w:rsidP="001E1C53" w:rsidRDefault="001C51EC" w14:paraId="3869EBE5" w14:textId="77777777">
            <w:pPr>
              <w:tabs>
                <w:tab w:val="center" w:pos="4320"/>
                <w:tab w:val="right" w:pos="8640"/>
              </w:tabs>
              <w:rPr>
                <w:rFonts w:ascii="Helvetica" w:hAnsi="Helvetica" w:cs="Arial"/>
                <w:b/>
              </w:rPr>
            </w:pPr>
          </w:p>
        </w:tc>
        <w:tc>
          <w:tcPr>
            <w:tcW w:w="3192" w:type="dxa"/>
            <w:tcBorders>
              <w:top w:val="nil"/>
              <w:left w:val="nil"/>
              <w:bottom w:val="nil"/>
              <w:right w:val="nil"/>
            </w:tcBorders>
            <w:tcMar/>
          </w:tcPr>
          <w:p w:rsidR="006C2BC4" w:rsidP="006C2BC4" w:rsidRDefault="006C2BC4" w14:paraId="528B7BDE" w14:textId="77777777">
            <w:pPr>
              <w:jc w:val="center"/>
              <w:rPr>
                <w:rFonts w:ascii="Helvetica" w:hAnsi="Helvetica" w:cs="Arial"/>
                <w:b/>
              </w:rPr>
            </w:pPr>
            <w:r w:rsidRPr="00E2492A">
              <w:rPr>
                <w:rFonts w:ascii="Helvetica" w:hAnsi="Helvetica" w:cs="Arial"/>
                <w:b/>
              </w:rPr>
              <w:t xml:space="preserve">U.S. Department of Housing </w:t>
            </w:r>
          </w:p>
          <w:p w:rsidRPr="00E2492A" w:rsidR="006C2BC4" w:rsidP="006C2BC4" w:rsidRDefault="006C2BC4" w14:paraId="4C1BDF05" w14:textId="77777777">
            <w:pPr>
              <w:jc w:val="center"/>
              <w:rPr>
                <w:rFonts w:ascii="Helvetica" w:hAnsi="Helvetica" w:cs="Arial"/>
                <w:b/>
              </w:rPr>
            </w:pPr>
            <w:r w:rsidRPr="00E2492A">
              <w:rPr>
                <w:rFonts w:ascii="Helvetica" w:hAnsi="Helvetica" w:cs="Arial"/>
                <w:b/>
              </w:rPr>
              <w:t>and Urban Development</w:t>
            </w:r>
          </w:p>
          <w:p w:rsidR="006C2BC4" w:rsidP="006C2BC4" w:rsidRDefault="006C2BC4" w14:paraId="6447A7D1" w14:textId="77777777">
            <w:pPr>
              <w:jc w:val="center"/>
              <w:rPr>
                <w:rFonts w:ascii="Helvetica" w:hAnsi="Helvetica" w:cs="Arial"/>
              </w:rPr>
            </w:pPr>
            <w:r>
              <w:rPr>
                <w:rFonts w:ascii="Helvetica" w:hAnsi="Helvetica" w:cs="Arial"/>
              </w:rPr>
              <w:t xml:space="preserve">Office of Residential </w:t>
            </w:r>
          </w:p>
          <w:p w:rsidR="006C2BC4" w:rsidP="006C2BC4" w:rsidRDefault="006C2BC4" w14:paraId="2BFDF76F" w14:textId="77777777">
            <w:pPr>
              <w:jc w:val="center"/>
              <w:rPr>
                <w:rFonts w:ascii="Helvetica" w:hAnsi="Helvetica" w:cs="Arial"/>
                <w:b/>
                <w:sz w:val="16"/>
                <w:szCs w:val="16"/>
              </w:rPr>
            </w:pPr>
            <w:r>
              <w:rPr>
                <w:rFonts w:ascii="Helvetica" w:hAnsi="Helvetica" w:cs="Arial"/>
              </w:rPr>
              <w:t>Care Facilities</w:t>
            </w:r>
          </w:p>
          <w:p w:rsidRPr="003C0DB6" w:rsidR="001C51EC" w:rsidP="001E1C53" w:rsidRDefault="001C51EC" w14:paraId="490A367D" w14:textId="77777777">
            <w:pPr>
              <w:tabs>
                <w:tab w:val="center" w:pos="4320"/>
                <w:tab w:val="right" w:pos="8640"/>
              </w:tabs>
              <w:jc w:val="center"/>
              <w:rPr>
                <w:rFonts w:ascii="Helvetica" w:hAnsi="Helvetica" w:cs="Arial"/>
              </w:rPr>
            </w:pPr>
          </w:p>
        </w:tc>
        <w:tc>
          <w:tcPr>
            <w:tcW w:w="3192" w:type="dxa"/>
            <w:tcBorders>
              <w:top w:val="nil"/>
              <w:left w:val="nil"/>
              <w:bottom w:val="nil"/>
              <w:right w:val="nil"/>
            </w:tcBorders>
            <w:tcMar/>
          </w:tcPr>
          <w:p w:rsidR="00776584" w:rsidP="00776584" w:rsidRDefault="00776584" w14:paraId="27D93918" w14:textId="77777777">
            <w:pPr>
              <w:jc w:val="right"/>
              <w:rPr>
                <w:rFonts w:ascii="Helvetica" w:hAnsi="Helvetica" w:cs="Arial"/>
                <w:sz w:val="18"/>
              </w:rPr>
            </w:pPr>
            <w:r>
              <w:rPr>
                <w:rFonts w:ascii="Helvetica" w:hAnsi="Helvetica" w:cs="Arial"/>
                <w:sz w:val="18"/>
              </w:rPr>
              <w:t>OMB Approval No. 2502-0605</w:t>
            </w:r>
          </w:p>
          <w:p w:rsidRPr="003C0DB6" w:rsidR="001C51EC" w:rsidP="5DC1CFEE" w:rsidRDefault="00DE6233" w14:paraId="537025D5" w14:textId="3B95D4BF">
            <w:pPr>
              <w:tabs>
                <w:tab w:val="center" w:pos="4320"/>
                <w:tab w:val="right" w:pos="8640"/>
              </w:tabs>
              <w:jc w:val="right"/>
              <w:rPr>
                <w:rFonts w:ascii="Helvetica" w:hAnsi="Helvetica" w:cs="Arial"/>
                <w:sz w:val="18"/>
                <w:szCs w:val="18"/>
              </w:rPr>
            </w:pPr>
            <w:r w:rsidRPr="5DC1CFEE" w:rsidR="00DE6233">
              <w:rPr>
                <w:rFonts w:ascii="Helvetica" w:hAnsi="Helvetica" w:cs="Arial"/>
                <w:sz w:val="18"/>
                <w:szCs w:val="18"/>
              </w:rPr>
              <w:t>(exp. 11/30/2022)</w:t>
            </w:r>
          </w:p>
        </w:tc>
      </w:tr>
    </w:tbl>
    <w:p w:rsidRPr="00B31ED4" w:rsidR="001C51EC" w:rsidP="001C51EC" w:rsidRDefault="001C51EC" w14:paraId="0C75ABAB" w14:textId="77777777">
      <w:pPr>
        <w:rPr>
          <w:rFonts w:ascii="Helvetica" w:hAnsi="Helvetica"/>
        </w:rPr>
      </w:pPr>
    </w:p>
    <w:p w:rsidRPr="00B31ED4" w:rsidR="001C51EC" w:rsidP="001C51EC" w:rsidRDefault="001C51EC" w14:paraId="194784BB" w14:textId="77777777">
      <w:pPr>
        <w:rPr>
          <w:rFonts w:ascii="Helvetica" w:hAnsi="Helvetica"/>
        </w:rPr>
      </w:pPr>
    </w:p>
    <w:p w:rsidR="001C51EC" w:rsidP="001C51EC" w:rsidRDefault="001C51EC" w14:paraId="2A3F958B" w14:textId="24B047A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B35379">
        <w:rPr>
          <w:rFonts w:ascii="Helvetica" w:hAnsi="Helvetica" w:cs="Arial"/>
          <w:b/>
          <w:bCs/>
          <w:sz w:val="16"/>
          <w:szCs w:val="16"/>
        </w:rPr>
        <w:t>burden</w:t>
      </w:r>
      <w:r w:rsidRPr="00EA3E01" w:rsidR="00B35379">
        <w:rPr>
          <w:rFonts w:ascii="Helvetica" w:hAnsi="Helvetica" w:cs="Arial"/>
          <w:sz w:val="16"/>
          <w:szCs w:val="16"/>
        </w:rPr>
        <w:t xml:space="preserve"> for this collection of information is estimated to average </w:t>
      </w:r>
      <w:r w:rsidR="00B35379">
        <w:rPr>
          <w:rFonts w:ascii="Helvetica" w:hAnsi="Helvetica" w:cs="Arial"/>
          <w:sz w:val="16"/>
          <w:szCs w:val="16"/>
        </w:rPr>
        <w:t>0.5</w:t>
      </w:r>
      <w:r w:rsidRPr="00EA3E01" w:rsidR="00B35379">
        <w:rPr>
          <w:rFonts w:ascii="Helvetica" w:hAnsi="Helvetica" w:cs="Arial"/>
          <w:sz w:val="16"/>
          <w:szCs w:val="16"/>
        </w:rPr>
        <w:t xml:space="preserve"> hour</w:t>
      </w:r>
      <w:r w:rsidR="00B35379">
        <w:rPr>
          <w:rFonts w:ascii="Helvetica" w:hAnsi="Helvetica" w:cs="Arial"/>
          <w:sz w:val="16"/>
          <w:szCs w:val="16"/>
        </w:rPr>
        <w:t>s</w:t>
      </w:r>
      <w:r w:rsidRPr="00EA3E01" w:rsidR="00B35379">
        <w:rPr>
          <w:rFonts w:ascii="Helvetica" w:hAnsi="Helvetica" w:cs="Arial"/>
          <w:sz w:val="16"/>
          <w:szCs w:val="16"/>
        </w:rPr>
        <w:t xml:space="preserve"> per response, including the time for reviewing instructions, searching existing data sources, </w:t>
      </w:r>
      <w:proofErr w:type="gramStart"/>
      <w:r w:rsidRPr="00EA3E01" w:rsidR="00B35379">
        <w:rPr>
          <w:rFonts w:ascii="Helvetica" w:hAnsi="Helvetica" w:cs="Arial"/>
          <w:sz w:val="16"/>
          <w:szCs w:val="16"/>
        </w:rPr>
        <w:t>gathering</w:t>
      </w:r>
      <w:proofErr w:type="gramEnd"/>
      <w:r w:rsidRPr="00EA3E01" w:rsidR="00B3537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B35379">
        <w:rPr>
          <w:rFonts w:ascii="Helvetica" w:hAnsi="Helvetica" w:cs="Arial"/>
          <w:sz w:val="16"/>
          <w:szCs w:val="16"/>
        </w:rPr>
        <w:t>approval, and</w:t>
      </w:r>
      <w:proofErr w:type="gramEnd"/>
      <w:r w:rsidRPr="00EA3E01" w:rsidR="00B3537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B35379">
        <w:rPr>
          <w:rFonts w:ascii="Helvetica" w:hAnsi="Helvetica" w:cs="Arial"/>
          <w:sz w:val="16"/>
          <w:szCs w:val="16"/>
        </w:rPr>
        <w:t>in order to</w:t>
      </w:r>
      <w:proofErr w:type="gramEnd"/>
      <w:r w:rsidRPr="00EA3E01" w:rsidR="00B3537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B35379">
        <w:rPr>
          <w:rFonts w:ascii="Helvetica" w:hAnsi="Helvetica" w:cs="Arial"/>
          <w:sz w:val="16"/>
          <w:szCs w:val="16"/>
        </w:rPr>
        <w:t xml:space="preserve">  </w:t>
      </w:r>
    </w:p>
    <w:p w:rsidR="006C2BC4" w:rsidP="006C2BC4" w:rsidRDefault="006C2BC4" w14:paraId="6458D1A8" w14:textId="5D7163C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7446A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07CC2" w:rsidR="00F950D4" w:rsidP="00F950D4" w:rsidRDefault="00FD327A" w14:paraId="3E7003E8" w14:textId="2AB60261">
      <w:pPr>
        <w:ind w:right="144"/>
        <w:rPr>
          <w:sz w:val="24"/>
          <w:szCs w:val="24"/>
        </w:rPr>
      </w:pPr>
      <w:r>
        <w:rPr>
          <w:noProof/>
        </w:rPr>
        <mc:AlternateContent>
          <mc:Choice Requires="wps">
            <w:drawing>
              <wp:anchor distT="4294967295" distB="4294967295" distL="114299" distR="114299" simplePos="0" relativeHeight="251657728" behindDoc="0" locked="0" layoutInCell="0" allowOverlap="1" wp14:editId="06133A73" wp14:anchorId="562EF934">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0,6.8pt" to="0,6.8pt" w14:anchorId="021AB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rsidRPr="00B07CC2" w:rsidR="00F950D4" w:rsidP="00F950D4" w:rsidRDefault="00F950D4" w14:paraId="6A52A801" w14:textId="77777777">
      <w:pPr>
        <w:spacing w:line="360" w:lineRule="auto"/>
        <w:ind w:left="720" w:hanging="720"/>
        <w:jc w:val="center"/>
        <w:rPr>
          <w:color w:val="000000"/>
          <w:sz w:val="24"/>
          <w:szCs w:val="24"/>
          <w:u w:val="single"/>
        </w:rPr>
      </w:pPr>
    </w:p>
    <w:p w:rsidRPr="00B07CC2" w:rsidR="00F950D4" w:rsidP="004F1489" w:rsidRDefault="00F950D4" w14:paraId="00042E92" w14:textId="77777777">
      <w:pPr>
        <w:ind w:left="720" w:hanging="720"/>
        <w:jc w:val="center"/>
        <w:rPr>
          <w:color w:val="000000"/>
          <w:sz w:val="24"/>
          <w:szCs w:val="24"/>
          <w:u w:val="single"/>
        </w:rPr>
      </w:pPr>
      <w:r w:rsidRPr="00B07CC2">
        <w:rPr>
          <w:color w:val="000000"/>
          <w:sz w:val="24"/>
          <w:szCs w:val="24"/>
          <w:u w:val="single"/>
        </w:rPr>
        <w:t>LEASE ADDENDUM</w:t>
      </w:r>
    </w:p>
    <w:p w:rsidRPr="00B07CC2" w:rsidR="00F950D4" w:rsidP="004F1489" w:rsidRDefault="00F950D4" w14:paraId="3B7B4259" w14:textId="77777777">
      <w:pPr>
        <w:ind w:left="720"/>
        <w:jc w:val="center"/>
        <w:rPr>
          <w:color w:val="000000"/>
          <w:sz w:val="24"/>
          <w:szCs w:val="24"/>
        </w:rPr>
      </w:pPr>
    </w:p>
    <w:p w:rsidRPr="00B07CC2" w:rsidR="00F950D4" w:rsidP="004F1489" w:rsidRDefault="00F950D4" w14:paraId="02AD29BA" w14:textId="77777777">
      <w:pPr>
        <w:pStyle w:val="BodyTextIndent"/>
        <w:spacing w:line="240" w:lineRule="auto"/>
        <w:rPr>
          <w:rFonts w:ascii="Times New Roman" w:hAnsi="Times New Roman" w:cs="Times New Roman"/>
          <w:szCs w:val="24"/>
        </w:rPr>
      </w:pPr>
    </w:p>
    <w:p w:rsidRPr="00B07CC2" w:rsidR="00F950D4" w:rsidP="004F1489" w:rsidRDefault="00F950D4" w14:paraId="48267A4B" w14:textId="3846C1F8">
      <w:pPr>
        <w:pStyle w:val="BodyTextIndent"/>
        <w:spacing w:line="240" w:lineRule="auto"/>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19401D">
        <w:rPr>
          <w:rStyle w:val="FootnoteReference"/>
          <w:rFonts w:ascii="Times New Roman" w:hAnsi="Times New Roman" w:cs="Times New Roman"/>
          <w:szCs w:val="24"/>
        </w:rPr>
        <w:footnoteReference w:id="1"/>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00F536DC">
        <w:rPr>
          <w:rFonts w:ascii="Times New Roman" w:hAnsi="Times New Roman" w:cs="Times New Roman"/>
          <w:color w:val="000000"/>
          <w:szCs w:val="24"/>
        </w:rPr>
        <w:t>I</w:t>
      </w:r>
      <w:r w:rsidRPr="00B07CC2">
        <w:rPr>
          <w:rFonts w:ascii="Times New Roman" w:hAnsi="Times New Roman" w:cs="Times New Roman"/>
          <w:color w:val="000000"/>
          <w:szCs w:val="24"/>
        </w:rPr>
        <w:t>mprovements</w:t>
      </w:r>
      <w:r w:rsidR="000E0B4B">
        <w:rPr>
          <w:rStyle w:val="FootnoteReference"/>
          <w:rFonts w:ascii="Times New Roman" w:hAnsi="Times New Roman" w:cs="Times New Roman"/>
          <w:color w:val="000000"/>
          <w:szCs w:val="24"/>
        </w:rPr>
        <w:footnoteReference w:id="2"/>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Pr="00B07CC2" w:rsid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 xml:space="preserve">is </w:t>
      </w:r>
      <w:proofErr w:type="gramStart"/>
      <w:r w:rsidRPr="00B07CC2">
        <w:rPr>
          <w:rFonts w:ascii="Times New Roman" w:hAnsi="Times New Roman" w:cs="Times New Roman"/>
          <w:szCs w:val="24"/>
        </w:rPr>
        <w:t>acquired</w:t>
      </w:r>
      <w:proofErr w:type="gramEnd"/>
      <w:r w:rsidRPr="00B07CC2">
        <w:rPr>
          <w:rFonts w:ascii="Times New Roman" w:hAnsi="Times New Roman" w:cs="Times New Roman"/>
          <w:szCs w:val="24"/>
        </w:rPr>
        <w:t xml:space="preserve"> and held by HUD because of a default under the security instrument, the following provisions of this Lease Addendum shall be in effect:</w:t>
      </w:r>
    </w:p>
    <w:p w:rsidRPr="00B07CC2" w:rsidR="00F950D4" w:rsidP="004F1489" w:rsidRDefault="00F950D4" w14:paraId="072E7228" w14:textId="77777777">
      <w:pPr>
        <w:rPr>
          <w:color w:val="000000"/>
          <w:sz w:val="24"/>
          <w:szCs w:val="24"/>
        </w:rPr>
      </w:pPr>
    </w:p>
    <w:p w:rsidRPr="00B07CC2" w:rsidR="00F950D4" w:rsidP="004F1489" w:rsidRDefault="00F950D4" w14:paraId="1BDE2A05" w14:textId="00EA9392">
      <w:pPr>
        <w:numPr>
          <w:ilvl w:val="0"/>
          <w:numId w:val="1"/>
        </w:numPr>
        <w:tabs>
          <w:tab w:val="left" w:pos="4590"/>
        </w:tabs>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rsidRPr="00B07CC2" w:rsidR="00F950D4" w:rsidP="004F1489" w:rsidRDefault="00F950D4" w14:paraId="34FED237" w14:textId="77777777">
      <w:pPr>
        <w:numPr>
          <w:ilvl w:val="12"/>
          <w:numId w:val="0"/>
        </w:numPr>
        <w:ind w:left="360" w:hanging="360"/>
        <w:rPr>
          <w:color w:val="000000"/>
          <w:sz w:val="24"/>
          <w:szCs w:val="24"/>
        </w:rPr>
      </w:pPr>
    </w:p>
    <w:p w:rsidRPr="00B07CC2" w:rsidR="00F950D4" w:rsidP="004F1489" w:rsidRDefault="00F950D4" w14:paraId="2ED35E00" w14:textId="0ABE3BA2">
      <w:pPr>
        <w:numPr>
          <w:ilvl w:val="0"/>
          <w:numId w:val="1"/>
        </w:numPr>
        <w:rPr>
          <w:color w:val="000000"/>
          <w:sz w:val="24"/>
          <w:szCs w:val="24"/>
        </w:rPr>
      </w:pPr>
      <w:proofErr w:type="gramStart"/>
      <w:r w:rsidRPr="00B07CC2">
        <w:rPr>
          <w:color w:val="000000"/>
          <w:sz w:val="24"/>
          <w:szCs w:val="24"/>
        </w:rPr>
        <w:t>In the event that</w:t>
      </w:r>
      <w:proofErr w:type="gramEnd"/>
      <w:r w:rsidRPr="00B07CC2">
        <w:rPr>
          <w:color w:val="000000"/>
          <w:sz w:val="24"/>
          <w:szCs w:val="24"/>
        </w:rPr>
        <w:t xml:space="preserve">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Pr="00B07CC2" w:rsidR="00B07CC2">
        <w:rPr>
          <w:sz w:val="24"/>
          <w:szCs w:val="24"/>
        </w:rPr>
        <w:t>HUD may exercise such option</w:t>
      </w:r>
      <w:r w:rsidRPr="00B07CC2" w:rsid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Pr="00B07CC2" w:rsidR="00B07CC2">
        <w:rPr>
          <w:sz w:val="24"/>
          <w:szCs w:val="24"/>
        </w:rPr>
        <w:t>may</w:t>
      </w:r>
      <w:r w:rsidRPr="00B07CC2">
        <w:rPr>
          <w:color w:val="000000"/>
          <w:sz w:val="24"/>
          <w:szCs w:val="24"/>
        </w:rPr>
        <w:t xml:space="preserve"> within said twelve months, give written notice to the landlord of its election to exercise </w:t>
      </w:r>
      <w:r w:rsidRPr="00B07CC2">
        <w:rPr>
          <w:color w:val="000000"/>
          <w:sz w:val="24"/>
          <w:szCs w:val="24"/>
        </w:rPr>
        <w:lastRenderedPageBreak/>
        <w:t xml:space="preserve">said option to purchase.  The landlord shall, within thirty (30) days after HUD gives such notice, </w:t>
      </w:r>
      <w:proofErr w:type="gramStart"/>
      <w:r w:rsidRPr="00B07CC2">
        <w:rPr>
          <w:color w:val="000000"/>
          <w:sz w:val="24"/>
          <w:szCs w:val="24"/>
        </w:rPr>
        <w:t>execute</w:t>
      </w:r>
      <w:proofErr w:type="gramEnd"/>
      <w:r w:rsidRPr="00B07CC2">
        <w:rPr>
          <w:color w:val="000000"/>
          <w:sz w:val="24"/>
          <w:szCs w:val="24"/>
        </w:rPr>
        <w:t xml:space="preserve"> and deliver to HUD a deed of conveyance to HUD as grantee conveying the said fee and interest and containing a covenant against the grantor's acts, but excepting therefrom acts of the tenant and those claiming by, through or under the tenant.  Nothing in this option shall require the landlord to pay any taxes or assessments that were due and payable by the tenant.</w:t>
      </w:r>
    </w:p>
    <w:p w:rsidRPr="00B07CC2" w:rsidR="00F950D4" w:rsidP="00F950D4" w:rsidRDefault="00F950D4" w14:paraId="7DC9ED8E" w14:textId="77777777">
      <w:pPr>
        <w:numPr>
          <w:ilvl w:val="12"/>
          <w:numId w:val="0"/>
        </w:numPr>
        <w:spacing w:line="240" w:lineRule="atLeast"/>
        <w:ind w:left="360" w:hanging="360"/>
        <w:rPr>
          <w:color w:val="000000"/>
          <w:sz w:val="24"/>
          <w:szCs w:val="24"/>
        </w:rPr>
      </w:pPr>
    </w:p>
    <w:p w:rsidRPr="00B07CC2" w:rsidR="00F950D4" w:rsidP="00F950D4" w:rsidRDefault="00F950D4" w14:paraId="46AB4C55" w14:textId="77777777">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rsidRPr="00B07CC2" w:rsidR="00F950D4" w:rsidP="00F950D4" w:rsidRDefault="00F950D4" w14:paraId="349C3A5D" w14:textId="77777777">
      <w:pPr>
        <w:spacing w:line="240" w:lineRule="atLeast"/>
        <w:rPr>
          <w:color w:val="000000"/>
          <w:sz w:val="24"/>
          <w:szCs w:val="24"/>
        </w:rPr>
      </w:pPr>
    </w:p>
    <w:p w:rsidRPr="00B07CC2" w:rsidR="00F950D4" w:rsidP="00F950D4" w:rsidRDefault="00F950D4" w14:paraId="6877C152" w14:textId="77777777">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rsidRPr="00B07CC2" w:rsidR="00F950D4" w:rsidP="00F950D4" w:rsidRDefault="00F950D4" w14:paraId="55406830" w14:textId="77777777">
      <w:pPr>
        <w:spacing w:line="240" w:lineRule="atLeast"/>
        <w:rPr>
          <w:color w:val="000000"/>
          <w:sz w:val="24"/>
          <w:szCs w:val="24"/>
        </w:rPr>
      </w:pPr>
    </w:p>
    <w:p w:rsidRPr="00B07CC2" w:rsidR="00F950D4" w:rsidP="00F950D4" w:rsidRDefault="00F950D4" w14:paraId="22E9EDE1" w14:textId="77777777">
      <w:pPr>
        <w:numPr>
          <w:ilvl w:val="0"/>
          <w:numId w:val="2"/>
        </w:numPr>
        <w:tabs>
          <w:tab w:val="clear" w:pos="1080"/>
        </w:tabs>
        <w:spacing w:line="240" w:lineRule="atLeast"/>
        <w:ind w:left="360" w:firstLine="0"/>
        <w:rPr>
          <w:color w:val="000000"/>
          <w:sz w:val="24"/>
          <w:szCs w:val="24"/>
        </w:rPr>
      </w:pPr>
      <w:r w:rsidRPr="00B07CC2">
        <w:rPr>
          <w:color w:val="000000"/>
          <w:sz w:val="24"/>
          <w:szCs w:val="24"/>
        </w:rPr>
        <w:t xml:space="preserve">The landlord shall not take out separate insurance concurrent in form or contributing </w:t>
      </w:r>
      <w:proofErr w:type="gramStart"/>
      <w:r w:rsidRPr="00B07CC2">
        <w:rPr>
          <w:color w:val="000000"/>
          <w:sz w:val="24"/>
          <w:szCs w:val="24"/>
        </w:rPr>
        <w:t>in</w:t>
      </w:r>
      <w:proofErr w:type="gramEnd"/>
      <w:r w:rsidRPr="00B07CC2">
        <w:rPr>
          <w:color w:val="000000"/>
          <w:sz w:val="24"/>
          <w:szCs w:val="24"/>
        </w:rPr>
        <w:t xml:space="preserve"> the event of loss with that specifically required to be furnished by the tenant to lender.  The landlord may at its own expense, however, take out separate insurance which is not concurrent in form or not contributing </w:t>
      </w:r>
      <w:proofErr w:type="gramStart"/>
      <w:r w:rsidRPr="00B07CC2">
        <w:rPr>
          <w:color w:val="000000"/>
          <w:sz w:val="24"/>
          <w:szCs w:val="24"/>
        </w:rPr>
        <w:t>in</w:t>
      </w:r>
      <w:proofErr w:type="gramEnd"/>
      <w:r w:rsidRPr="00B07CC2">
        <w:rPr>
          <w:color w:val="000000"/>
          <w:sz w:val="24"/>
          <w:szCs w:val="24"/>
        </w:rPr>
        <w:t xml:space="preserve"> the event of loss with that specifically required to be furnished by the tenant to lender.</w:t>
      </w:r>
    </w:p>
    <w:p w:rsidRPr="00B07CC2" w:rsidR="00F950D4" w:rsidP="00F950D4" w:rsidRDefault="00F950D4" w14:paraId="03578E8F" w14:textId="77777777">
      <w:pPr>
        <w:spacing w:line="240" w:lineRule="atLeast"/>
        <w:ind w:left="435"/>
        <w:rPr>
          <w:color w:val="000000"/>
          <w:sz w:val="24"/>
          <w:szCs w:val="24"/>
        </w:rPr>
      </w:pPr>
    </w:p>
    <w:p w:rsidRPr="00B07CC2" w:rsidR="00F950D4" w:rsidP="00F950D4" w:rsidRDefault="00F950D4" w14:paraId="5104B1CE" w14:textId="77777777">
      <w:pPr>
        <w:numPr>
          <w:ilvl w:val="0"/>
          <w:numId w:val="1"/>
        </w:numPr>
        <w:spacing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rsidRPr="00B07CC2" w:rsidR="00F950D4" w:rsidP="00F950D4" w:rsidRDefault="00F950D4" w14:paraId="3C260BF8" w14:textId="77777777">
      <w:pPr>
        <w:spacing w:line="240" w:lineRule="atLeast"/>
        <w:rPr>
          <w:color w:val="000000"/>
          <w:sz w:val="24"/>
          <w:szCs w:val="24"/>
        </w:rPr>
      </w:pPr>
    </w:p>
    <w:p w:rsidRPr="00B07CC2" w:rsidR="00F950D4" w:rsidP="00F950D4" w:rsidRDefault="00F950D4" w14:paraId="1AA604A9" w14:textId="77777777">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w:t>
      </w:r>
      <w:proofErr w:type="gramStart"/>
      <w:r w:rsidRPr="00B07CC2">
        <w:rPr>
          <w:color w:val="000000"/>
          <w:sz w:val="24"/>
          <w:szCs w:val="24"/>
        </w:rPr>
        <w:t>distributed</w:t>
      </w:r>
      <w:proofErr w:type="gramEnd"/>
      <w:r w:rsidRPr="00B07CC2">
        <w:rPr>
          <w:color w:val="000000"/>
          <w:sz w:val="24"/>
          <w:szCs w:val="24"/>
        </w:rPr>
        <w:t xml:space="preserve"> and annual ground rent reduced as provided in cases of condemnation, but the approval of HUD and lender shall be required as to the amount and division of the payments to be received.  </w:t>
      </w:r>
    </w:p>
    <w:p w:rsidRPr="00B07CC2" w:rsidR="00F950D4" w:rsidP="00F950D4" w:rsidRDefault="00F950D4" w14:paraId="6E0D7985" w14:textId="77777777">
      <w:pPr>
        <w:spacing w:line="240" w:lineRule="atLeast"/>
        <w:rPr>
          <w:color w:val="000000"/>
          <w:sz w:val="24"/>
          <w:szCs w:val="24"/>
        </w:rPr>
      </w:pPr>
    </w:p>
    <w:p w:rsidRPr="00B07CC2" w:rsidR="00F950D4" w:rsidP="00F950D4" w:rsidRDefault="00F950D4" w14:paraId="15FBD104" w14:textId="4F74B8A7">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w:t>
      </w:r>
      <w:proofErr w:type="gramStart"/>
      <w:r w:rsidRPr="00B07CC2">
        <w:rPr>
          <w:color w:val="000000"/>
          <w:sz w:val="24"/>
          <w:szCs w:val="24"/>
        </w:rPr>
        <w:t>lender</w:t>
      </w:r>
      <w:proofErr w:type="gramEnd"/>
      <w:r w:rsidRPr="00B07CC2">
        <w:rPr>
          <w:color w:val="000000"/>
          <w:sz w:val="24"/>
          <w:szCs w:val="24"/>
        </w:rPr>
        <w:t xml:space="preserve">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w:t>
      </w:r>
      <w:r w:rsidRPr="00B07CC2">
        <w:rPr>
          <w:color w:val="000000"/>
          <w:sz w:val="24"/>
          <w:szCs w:val="24"/>
        </w:rPr>
        <w:lastRenderedPageBreak/>
        <w:t>default and not combined with a non-monetary Ground Lease Event of Default.  Within sixty (60) days from the date of giving the Notice of Default to the tenant, the tenant must cure a monetary default by paying the landlord all amounts specified in the Notice of Default and must cure any specified Ground Lease Event of Default that is capable of being cured within such period.  During the period of 180 days commencing upon the date Notice of Default was given to lender and HUD, lender or HUD may</w:t>
      </w:r>
      <w:proofErr w:type="gramStart"/>
      <w:r w:rsidRPr="00B07CC2">
        <w:rPr>
          <w:color w:val="000000"/>
          <w:sz w:val="24"/>
          <w:szCs w:val="24"/>
        </w:rPr>
        <w:t>:  (</w:t>
      </w:r>
      <w:proofErr w:type="gramEnd"/>
      <w:r w:rsidRPr="00B07CC2">
        <w:rPr>
          <w:color w:val="000000"/>
          <w:sz w:val="24"/>
          <w:szCs w:val="24"/>
        </w:rPr>
        <w:t xml:space="preserve">a) cure any Ground Lease Event of Default; and (b) commence foreclosure proceedings or institute other state or federal procedures to enforce lender's or HUD's rights with respect to the leasehold or the tenant Improvements.  If the tenant, </w:t>
      </w:r>
      <w:proofErr w:type="gramStart"/>
      <w:r w:rsidRPr="00B07CC2">
        <w:rPr>
          <w:color w:val="000000"/>
          <w:sz w:val="24"/>
          <w:szCs w:val="24"/>
        </w:rPr>
        <w:t>lender</w:t>
      </w:r>
      <w:proofErr w:type="gramEnd"/>
      <w:r w:rsidRPr="00B07CC2">
        <w:rPr>
          <w:color w:val="000000"/>
          <w:sz w:val="24"/>
          <w:szCs w:val="24"/>
        </w:rPr>
        <w:t xml:space="preserve">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w:t>
      </w:r>
      <w:proofErr w:type="gramStart"/>
      <w:r w:rsidRPr="00B07CC2">
        <w:rPr>
          <w:color w:val="000000"/>
          <w:sz w:val="24"/>
          <w:szCs w:val="24"/>
        </w:rPr>
        <w:t>HUD</w:t>
      </w:r>
      <w:proofErr w:type="gramEnd"/>
      <w:r w:rsidRPr="00B07CC2">
        <w:rPr>
          <w:color w:val="000000"/>
          <w:sz w:val="24"/>
          <w:szCs w:val="24"/>
        </w:rPr>
        <w:t xml:space="preserve">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w:t>
      </w:r>
      <w:proofErr w:type="gramStart"/>
      <w:r w:rsidRPr="00B07CC2">
        <w:rPr>
          <w:color w:val="000000"/>
          <w:sz w:val="24"/>
          <w:szCs w:val="24"/>
        </w:rPr>
        <w:t>cease</w:t>
      </w:r>
      <w:proofErr w:type="gramEnd"/>
      <w:r w:rsidRPr="00B07CC2">
        <w:rPr>
          <w:color w:val="000000"/>
          <w:sz w:val="24"/>
          <w:szCs w:val="24"/>
        </w:rPr>
        <w:t xml:space="preserve"> and the Improvements shall be and become the property of the landlord.  All costs and expenses incurred by or on behalf of the landlord (including, without limitation, reasonable attorneys' </w:t>
      </w:r>
      <w:proofErr w:type="gramStart"/>
      <w:r w:rsidRPr="00B07CC2">
        <w:rPr>
          <w:color w:val="000000"/>
          <w:sz w:val="24"/>
          <w:szCs w:val="24"/>
        </w:rPr>
        <w:t>fees</w:t>
      </w:r>
      <w:proofErr w:type="gramEnd"/>
      <w:r w:rsidRPr="00B07CC2">
        <w:rPr>
          <w:color w:val="000000"/>
          <w:sz w:val="24"/>
          <w:szCs w:val="24"/>
        </w:rPr>
        <w:t xml:space="preserve"> and expenses) occasioned by any default by the tenant under this ground lease shall constitute additional rent hereunder.  The landlord shall have no right to terminate this ground lease except as provided in this paragraph (f).</w:t>
      </w:r>
    </w:p>
    <w:p w:rsidRPr="00B07CC2" w:rsidR="00F950D4" w:rsidP="00F950D4" w:rsidRDefault="00F950D4" w14:paraId="788E36EE" w14:textId="77777777">
      <w:pPr>
        <w:numPr>
          <w:ilvl w:val="12"/>
          <w:numId w:val="0"/>
        </w:numPr>
        <w:spacing w:line="240" w:lineRule="atLeast"/>
        <w:rPr>
          <w:color w:val="000000"/>
          <w:sz w:val="24"/>
          <w:szCs w:val="24"/>
          <w:u w:val="single"/>
        </w:rPr>
      </w:pPr>
    </w:p>
    <w:p w:rsidRPr="00B07CC2" w:rsidR="00F950D4" w:rsidP="00F950D4" w:rsidRDefault="00F950D4" w14:paraId="02DE364F" w14:textId="77777777">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w:t>
      </w:r>
      <w:r w:rsidRPr="00B07CC2">
        <w:rPr>
          <w:color w:val="000000"/>
          <w:sz w:val="24"/>
          <w:szCs w:val="24"/>
        </w:rPr>
        <w:lastRenderedPageBreak/>
        <w:t xml:space="preserve">have received on account of the Property and Improvements since the date of default under this ground lease.  </w:t>
      </w:r>
    </w:p>
    <w:p w:rsidRPr="00B07CC2" w:rsidR="00F950D4" w:rsidP="00F950D4" w:rsidRDefault="00F950D4" w14:paraId="21D6331E" w14:textId="77777777">
      <w:pPr>
        <w:numPr>
          <w:ilvl w:val="12"/>
          <w:numId w:val="0"/>
        </w:numPr>
        <w:spacing w:line="240" w:lineRule="atLeast"/>
        <w:rPr>
          <w:color w:val="000000"/>
          <w:sz w:val="24"/>
          <w:szCs w:val="24"/>
        </w:rPr>
      </w:pPr>
    </w:p>
    <w:p w:rsidRPr="00B07CC2" w:rsidR="00F950D4" w:rsidP="004F1489" w:rsidRDefault="00F950D4" w14:paraId="3173C524" w14:textId="77777777">
      <w:pPr>
        <w:numPr>
          <w:ilvl w:val="0"/>
          <w:numId w:val="1"/>
        </w:numPr>
        <w:rPr>
          <w:color w:val="000000"/>
          <w:sz w:val="24"/>
          <w:szCs w:val="24"/>
        </w:rPr>
      </w:pPr>
      <w:r w:rsidRPr="00B07CC2">
        <w:rPr>
          <w:color w:val="000000"/>
          <w:sz w:val="24"/>
          <w:szCs w:val="24"/>
        </w:rPr>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3"/>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rsidRPr="00B07CC2" w:rsidR="00F950D4" w:rsidP="004F1489" w:rsidRDefault="00F950D4" w14:paraId="415ECC3F" w14:textId="77777777">
      <w:pPr>
        <w:numPr>
          <w:ilvl w:val="12"/>
          <w:numId w:val="0"/>
        </w:numPr>
        <w:rPr>
          <w:color w:val="000000"/>
          <w:sz w:val="24"/>
          <w:szCs w:val="24"/>
        </w:rPr>
      </w:pPr>
    </w:p>
    <w:p w:rsidRPr="00B07CC2" w:rsidR="00F950D4" w:rsidP="004F1489" w:rsidRDefault="00F950D4" w14:paraId="6CCE6261" w14:textId="77777777">
      <w:pPr>
        <w:numPr>
          <w:ilvl w:val="0"/>
          <w:numId w:val="1"/>
        </w:numPr>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rsidRPr="00B07CC2" w:rsidR="00F950D4" w:rsidP="004F1489" w:rsidRDefault="00F950D4" w14:paraId="44A106BE" w14:textId="77777777">
      <w:pPr>
        <w:numPr>
          <w:ilvl w:val="12"/>
          <w:numId w:val="0"/>
        </w:numPr>
        <w:rPr>
          <w:color w:val="000000"/>
          <w:sz w:val="24"/>
          <w:szCs w:val="24"/>
        </w:rPr>
      </w:pPr>
    </w:p>
    <w:p w:rsidRPr="00B07CC2" w:rsidR="00F950D4" w:rsidP="004F1489" w:rsidRDefault="00F950D4" w14:paraId="708C8940" w14:textId="77777777">
      <w:pPr>
        <w:numPr>
          <w:ilvl w:val="12"/>
          <w:numId w:val="0"/>
        </w:numPr>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rsidRPr="00B07CC2" w:rsidR="00F950D4" w:rsidP="004F1489" w:rsidRDefault="00F950D4" w14:paraId="5A7A6179" w14:textId="77777777">
      <w:pPr>
        <w:numPr>
          <w:ilvl w:val="12"/>
          <w:numId w:val="0"/>
        </w:numPr>
        <w:rPr>
          <w:color w:val="000000"/>
          <w:sz w:val="24"/>
          <w:szCs w:val="24"/>
        </w:rPr>
      </w:pPr>
    </w:p>
    <w:p w:rsidRPr="00B07CC2" w:rsidR="00F950D4" w:rsidP="004F1489" w:rsidRDefault="00F950D4" w14:paraId="23FA3726" w14:textId="77777777">
      <w:pPr>
        <w:numPr>
          <w:ilvl w:val="12"/>
          <w:numId w:val="0"/>
        </w:numPr>
        <w:rPr>
          <w:color w:val="000000"/>
          <w:sz w:val="24"/>
          <w:szCs w:val="24"/>
        </w:rPr>
      </w:pPr>
    </w:p>
    <w:p w:rsidRPr="00B07CC2" w:rsidR="00F950D4" w:rsidP="004F1489" w:rsidRDefault="00F950D4" w14:paraId="51227EA0" w14:textId="77777777">
      <w:pPr>
        <w:numPr>
          <w:ilvl w:val="12"/>
          <w:numId w:val="0"/>
        </w:numPr>
        <w:rPr>
          <w:color w:val="000000"/>
          <w:sz w:val="24"/>
          <w:szCs w:val="24"/>
        </w:rPr>
      </w:pPr>
      <w:r w:rsidRPr="00B07CC2">
        <w:rPr>
          <w:color w:val="000000"/>
          <w:sz w:val="24"/>
          <w:szCs w:val="24"/>
        </w:rPr>
        <w:t>All notices to lender or HUD shall be addressed as follows:</w:t>
      </w:r>
    </w:p>
    <w:p w:rsidRPr="00B07CC2" w:rsidR="00F950D4" w:rsidP="004F1489" w:rsidRDefault="00F950D4" w14:paraId="3360A774" w14:textId="77777777">
      <w:pPr>
        <w:numPr>
          <w:ilvl w:val="12"/>
          <w:numId w:val="0"/>
        </w:numPr>
        <w:ind w:left="360" w:hanging="360"/>
        <w:rPr>
          <w:color w:val="000000"/>
          <w:sz w:val="24"/>
          <w:szCs w:val="24"/>
        </w:rPr>
      </w:pPr>
    </w:p>
    <w:p w:rsidRPr="00B07CC2" w:rsidR="00F950D4" w:rsidP="004F1489" w:rsidRDefault="00F950D4" w14:paraId="1E04D320" w14:textId="77777777">
      <w:pPr>
        <w:numPr>
          <w:ilvl w:val="12"/>
          <w:numId w:val="0"/>
        </w:numPr>
        <w:ind w:left="1080" w:hanging="360"/>
        <w:rPr>
          <w:color w:val="000000"/>
          <w:sz w:val="24"/>
          <w:szCs w:val="24"/>
        </w:rPr>
      </w:pPr>
      <w:r w:rsidRPr="00B07CC2">
        <w:rPr>
          <w:color w:val="000000"/>
          <w:sz w:val="24"/>
          <w:szCs w:val="24"/>
        </w:rPr>
        <w:t xml:space="preserve">If to Lender:            </w:t>
      </w:r>
      <w:r w:rsidR="00812C0C">
        <w:rPr>
          <w:color w:val="000000"/>
          <w:sz w:val="24"/>
          <w:szCs w:val="24"/>
        </w:rPr>
        <w:tab/>
      </w:r>
      <w:r w:rsidRPr="00B07CC2">
        <w:rPr>
          <w:color w:val="000000"/>
          <w:sz w:val="24"/>
          <w:szCs w:val="24"/>
        </w:rPr>
        <w:t>_____________________</w:t>
      </w:r>
    </w:p>
    <w:p w:rsidRPr="00B07CC2" w:rsidR="00F950D4" w:rsidP="004F1489" w:rsidRDefault="00F950D4" w14:paraId="3A243F21"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1B9699ED"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7B9BD0C4"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23A4EDD6" w14:textId="77777777">
      <w:pPr>
        <w:numPr>
          <w:ilvl w:val="12"/>
          <w:numId w:val="0"/>
        </w:numPr>
        <w:ind w:left="1080" w:hanging="360"/>
        <w:rPr>
          <w:color w:val="000000"/>
          <w:sz w:val="24"/>
          <w:szCs w:val="24"/>
        </w:rPr>
      </w:pPr>
    </w:p>
    <w:p w:rsidRPr="00B07CC2" w:rsidR="00F950D4" w:rsidP="004F1489" w:rsidRDefault="00F950D4" w14:paraId="0944DD2C" w14:textId="77777777">
      <w:pPr>
        <w:numPr>
          <w:ilvl w:val="12"/>
          <w:numId w:val="0"/>
        </w:numPr>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rsidRPr="00B07CC2" w:rsidR="00F950D4" w:rsidP="004F1489" w:rsidRDefault="00F950D4" w14:paraId="31E59DD4"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50E4945F"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6C1CEFDA"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2D2A7B41" w14:textId="77777777">
      <w:pPr>
        <w:numPr>
          <w:ilvl w:val="12"/>
          <w:numId w:val="0"/>
        </w:numPr>
        <w:ind w:left="360" w:hanging="360"/>
        <w:rPr>
          <w:color w:val="000000"/>
          <w:sz w:val="24"/>
          <w:szCs w:val="24"/>
        </w:rPr>
      </w:pPr>
    </w:p>
    <w:p w:rsidRPr="00B07CC2" w:rsidR="00F950D4" w:rsidP="004F1489" w:rsidRDefault="00F950D4" w14:paraId="51C7263B" w14:textId="77777777">
      <w:pPr>
        <w:numPr>
          <w:ilvl w:val="12"/>
          <w:numId w:val="0"/>
        </w:numPr>
        <w:ind w:left="1080" w:hanging="360"/>
        <w:rPr>
          <w:color w:val="000000"/>
          <w:sz w:val="24"/>
          <w:szCs w:val="24"/>
        </w:rPr>
      </w:pPr>
      <w:r w:rsidRPr="00B07CC2">
        <w:rPr>
          <w:color w:val="000000"/>
          <w:sz w:val="24"/>
          <w:szCs w:val="24"/>
        </w:rPr>
        <w:t xml:space="preserve">If to Tenant:             </w:t>
      </w:r>
      <w:r w:rsidR="00812C0C">
        <w:rPr>
          <w:color w:val="000000"/>
          <w:sz w:val="24"/>
          <w:szCs w:val="24"/>
        </w:rPr>
        <w:tab/>
      </w:r>
      <w:r w:rsidRPr="00B07CC2">
        <w:rPr>
          <w:color w:val="000000"/>
          <w:sz w:val="24"/>
          <w:szCs w:val="24"/>
        </w:rPr>
        <w:t>_____________________</w:t>
      </w:r>
    </w:p>
    <w:p w:rsidRPr="00B07CC2" w:rsidR="00F950D4" w:rsidP="004F1489" w:rsidRDefault="00F950D4" w14:paraId="6012996C"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4494A4F8"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158984AE" w14:textId="77777777">
      <w:pPr>
        <w:numPr>
          <w:ilvl w:val="12"/>
          <w:numId w:val="0"/>
        </w:numPr>
        <w:ind w:left="3240" w:hanging="360"/>
        <w:rPr>
          <w:color w:val="000000"/>
          <w:sz w:val="24"/>
          <w:szCs w:val="24"/>
        </w:rPr>
      </w:pPr>
      <w:r w:rsidRPr="00B07CC2">
        <w:rPr>
          <w:color w:val="000000"/>
          <w:sz w:val="24"/>
          <w:szCs w:val="24"/>
        </w:rPr>
        <w:lastRenderedPageBreak/>
        <w:t>_____________________</w:t>
      </w:r>
    </w:p>
    <w:p w:rsidRPr="00B07CC2" w:rsidR="00F950D4" w:rsidP="004F1489" w:rsidRDefault="00F950D4" w14:paraId="57B3BEBB" w14:textId="77777777">
      <w:pPr>
        <w:numPr>
          <w:ilvl w:val="12"/>
          <w:numId w:val="0"/>
        </w:numPr>
        <w:ind w:left="360" w:hanging="360"/>
        <w:rPr>
          <w:color w:val="000000"/>
          <w:sz w:val="24"/>
          <w:szCs w:val="24"/>
        </w:rPr>
      </w:pPr>
    </w:p>
    <w:p w:rsidRPr="00B07CC2" w:rsidR="00F950D4" w:rsidP="004F1489" w:rsidRDefault="00F950D4" w14:paraId="25A8FCA1" w14:textId="77777777">
      <w:pPr>
        <w:numPr>
          <w:ilvl w:val="12"/>
          <w:numId w:val="0"/>
        </w:numPr>
        <w:ind w:left="360" w:hanging="360"/>
        <w:rPr>
          <w:color w:val="000000"/>
          <w:sz w:val="24"/>
          <w:szCs w:val="24"/>
        </w:rPr>
      </w:pPr>
    </w:p>
    <w:p w:rsidRPr="00B07CC2" w:rsidR="00F950D4" w:rsidP="004F1489" w:rsidRDefault="00F950D4" w14:paraId="5EF06728" w14:textId="77777777">
      <w:pPr>
        <w:numPr>
          <w:ilvl w:val="12"/>
          <w:numId w:val="0"/>
        </w:numPr>
        <w:ind w:left="1080" w:hanging="360"/>
        <w:rPr>
          <w:color w:val="000000"/>
          <w:sz w:val="24"/>
          <w:szCs w:val="24"/>
        </w:rPr>
      </w:pPr>
      <w:r w:rsidRPr="00B07CC2">
        <w:rPr>
          <w:color w:val="000000"/>
          <w:sz w:val="24"/>
          <w:szCs w:val="24"/>
        </w:rPr>
        <w:t xml:space="preserve">If to Landlord:          </w:t>
      </w:r>
      <w:r w:rsidR="00812C0C">
        <w:rPr>
          <w:color w:val="000000"/>
          <w:sz w:val="24"/>
          <w:szCs w:val="24"/>
        </w:rPr>
        <w:tab/>
      </w:r>
      <w:r w:rsidRPr="00B07CC2">
        <w:rPr>
          <w:color w:val="000000"/>
          <w:sz w:val="24"/>
          <w:szCs w:val="24"/>
        </w:rPr>
        <w:t>_____________________</w:t>
      </w:r>
    </w:p>
    <w:p w:rsidRPr="00B07CC2" w:rsidR="00F950D4" w:rsidP="004F1489" w:rsidRDefault="00F950D4" w14:paraId="47B24BFD"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1E19F650"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650B26E3" w14:textId="77777777">
      <w:pPr>
        <w:numPr>
          <w:ilvl w:val="12"/>
          <w:numId w:val="0"/>
        </w:numPr>
        <w:ind w:left="3240" w:hanging="360"/>
        <w:rPr>
          <w:color w:val="000000"/>
          <w:sz w:val="24"/>
          <w:szCs w:val="24"/>
        </w:rPr>
      </w:pPr>
      <w:r w:rsidRPr="00B07CC2">
        <w:rPr>
          <w:color w:val="000000"/>
          <w:sz w:val="24"/>
          <w:szCs w:val="24"/>
        </w:rPr>
        <w:t>_____________________</w:t>
      </w:r>
    </w:p>
    <w:p w:rsidRPr="00B07CC2" w:rsidR="00F950D4" w:rsidP="004F1489" w:rsidRDefault="00F950D4" w14:paraId="77DFCBC5" w14:textId="77777777">
      <w:pPr>
        <w:numPr>
          <w:ilvl w:val="12"/>
          <w:numId w:val="0"/>
        </w:numPr>
        <w:ind w:left="360" w:hanging="360"/>
        <w:rPr>
          <w:color w:val="000000"/>
          <w:sz w:val="24"/>
          <w:szCs w:val="24"/>
        </w:rPr>
      </w:pPr>
    </w:p>
    <w:p w:rsidRPr="00B07CC2" w:rsidR="00F950D4" w:rsidP="004F1489" w:rsidRDefault="00F950D4" w14:paraId="5F9947B0" w14:textId="77777777">
      <w:pPr>
        <w:numPr>
          <w:ilvl w:val="0"/>
          <w:numId w:val="1"/>
        </w:numPr>
        <w:rPr>
          <w:color w:val="000000"/>
          <w:sz w:val="24"/>
          <w:szCs w:val="24"/>
        </w:rPr>
      </w:pPr>
      <w:r w:rsidRPr="00B07CC2">
        <w:rPr>
          <w:color w:val="000000"/>
          <w:sz w:val="24"/>
          <w:szCs w:val="24"/>
        </w:rPr>
        <w:t xml:space="preserve">This ground lease shall not be modified without the written consent of HUD and lender.  </w:t>
      </w:r>
    </w:p>
    <w:p w:rsidRPr="00B07CC2" w:rsidR="00F950D4" w:rsidP="004F1489" w:rsidRDefault="00F950D4" w14:paraId="16602633" w14:textId="77777777">
      <w:pPr>
        <w:numPr>
          <w:ilvl w:val="12"/>
          <w:numId w:val="0"/>
        </w:numPr>
        <w:rPr>
          <w:color w:val="000000"/>
          <w:sz w:val="24"/>
          <w:szCs w:val="24"/>
        </w:rPr>
      </w:pPr>
    </w:p>
    <w:p w:rsidRPr="00B07CC2" w:rsidR="00F950D4" w:rsidP="004F1489" w:rsidRDefault="00F950D4" w14:paraId="01A61E4A" w14:textId="77777777">
      <w:pPr>
        <w:numPr>
          <w:ilvl w:val="0"/>
          <w:numId w:val="1"/>
        </w:numPr>
        <w:rPr>
          <w:color w:val="000000"/>
          <w:sz w:val="24"/>
          <w:szCs w:val="24"/>
        </w:rPr>
      </w:pPr>
      <w:r w:rsidRPr="00B07CC2">
        <w:rPr>
          <w:color w:val="000000"/>
          <w:sz w:val="24"/>
          <w:szCs w:val="24"/>
        </w:rPr>
        <w:t xml:space="preserve">The provisions of this Lease Addendum benefit lender and HUD and are specifically declared to be enforceable against the parties to this lease and all other persons by lender and HUD.  In the event of any conflict, </w:t>
      </w:r>
      <w:proofErr w:type="gramStart"/>
      <w:r w:rsidRPr="00B07CC2">
        <w:rPr>
          <w:color w:val="000000"/>
          <w:sz w:val="24"/>
          <w:szCs w:val="24"/>
        </w:rPr>
        <w:t>inconsistency</w:t>
      </w:r>
      <w:proofErr w:type="gramEnd"/>
      <w:r w:rsidRPr="00B07CC2">
        <w:rPr>
          <w:color w:val="000000"/>
          <w:sz w:val="24"/>
          <w:szCs w:val="24"/>
        </w:rPr>
        <w:t xml:space="preserve"> or ambiguity between the provisions of this Lease Addendum and the provisions of any other part of this ground lease, the provisions of this Lease Addendum shall prevail and control.</w:t>
      </w:r>
    </w:p>
    <w:p w:rsidRPr="00B07CC2" w:rsidR="00F950D4" w:rsidP="004F1489" w:rsidRDefault="00F950D4" w14:paraId="5CE4B35B" w14:textId="77777777">
      <w:pPr>
        <w:ind w:left="360" w:hanging="360"/>
        <w:rPr>
          <w:color w:val="000000"/>
          <w:sz w:val="24"/>
          <w:szCs w:val="24"/>
        </w:rPr>
      </w:pPr>
    </w:p>
    <w:p w:rsidRPr="00B07CC2" w:rsidR="00F950D4" w:rsidP="004F1489" w:rsidRDefault="00F950D4" w14:paraId="4CC185EC" w14:textId="77777777">
      <w:pPr>
        <w:ind w:firstLine="720"/>
        <w:jc w:val="both"/>
        <w:rPr>
          <w:sz w:val="24"/>
          <w:szCs w:val="24"/>
        </w:rPr>
      </w:pPr>
    </w:p>
    <w:p w:rsidRPr="00B07CC2" w:rsidR="00F950D4" w:rsidP="004F1489" w:rsidRDefault="00F950D4" w14:paraId="373B8833" w14:textId="77777777">
      <w:pPr>
        <w:ind w:firstLine="720"/>
        <w:jc w:val="both"/>
        <w:rPr>
          <w:sz w:val="24"/>
          <w:szCs w:val="24"/>
        </w:rPr>
      </w:pPr>
    </w:p>
    <w:p w:rsidRPr="00B07CC2" w:rsidR="00F950D4" w:rsidP="004F1489" w:rsidRDefault="00F950D4" w14:paraId="01E4E1BA" w14:textId="77777777">
      <w:pPr>
        <w:jc w:val="center"/>
        <w:rPr>
          <w:sz w:val="24"/>
          <w:szCs w:val="24"/>
        </w:rPr>
      </w:pPr>
      <w:r w:rsidRPr="00B07CC2">
        <w:rPr>
          <w:sz w:val="24"/>
          <w:szCs w:val="24"/>
        </w:rPr>
        <w:t>[SIGNATURES BEGIN ON NEXT PAGE]</w:t>
      </w:r>
    </w:p>
    <w:p w:rsidRPr="00B07CC2" w:rsidR="00F950D4" w:rsidP="00F950D4" w:rsidRDefault="00F950D4" w14:paraId="44B43DD7" w14:textId="77777777">
      <w:pPr>
        <w:ind w:firstLine="720"/>
        <w:jc w:val="both"/>
        <w:rPr>
          <w:sz w:val="24"/>
          <w:szCs w:val="24"/>
        </w:rPr>
      </w:pPr>
    </w:p>
    <w:p w:rsidRPr="00B07CC2" w:rsidR="00F950D4" w:rsidP="00F950D4" w:rsidRDefault="00F950D4" w14:paraId="51B52D76" w14:textId="77777777">
      <w:pPr>
        <w:ind w:firstLine="720"/>
        <w:jc w:val="both"/>
        <w:rPr>
          <w:sz w:val="24"/>
          <w:szCs w:val="24"/>
        </w:rPr>
      </w:pPr>
    </w:p>
    <w:p w:rsidRPr="00B07CC2" w:rsidR="00F950D4" w:rsidP="00F950D4" w:rsidRDefault="00F950D4" w14:paraId="2E9DD5DE" w14:textId="77777777">
      <w:pPr>
        <w:ind w:firstLine="720"/>
        <w:jc w:val="both"/>
        <w:rPr>
          <w:sz w:val="24"/>
          <w:szCs w:val="24"/>
        </w:rPr>
      </w:pPr>
    </w:p>
    <w:p w:rsidRPr="00B07CC2" w:rsidR="00F950D4" w:rsidP="00F950D4" w:rsidRDefault="00F950D4" w14:paraId="782282DB" w14:textId="77777777">
      <w:pPr>
        <w:ind w:firstLine="720"/>
        <w:jc w:val="both"/>
        <w:rPr>
          <w:sz w:val="24"/>
          <w:szCs w:val="24"/>
        </w:rPr>
      </w:pPr>
    </w:p>
    <w:p w:rsidRPr="00B07CC2" w:rsidR="00F950D4" w:rsidP="00F950D4" w:rsidRDefault="00F950D4" w14:paraId="5F030A43" w14:textId="77777777">
      <w:pPr>
        <w:ind w:firstLine="720"/>
        <w:jc w:val="both"/>
        <w:rPr>
          <w:sz w:val="24"/>
          <w:szCs w:val="24"/>
        </w:rPr>
      </w:pPr>
    </w:p>
    <w:p w:rsidRPr="00B07CC2" w:rsidR="00F950D4" w:rsidP="00F950D4" w:rsidRDefault="00F950D4" w14:paraId="12AD8C2D" w14:textId="77777777">
      <w:pPr>
        <w:ind w:firstLine="720"/>
        <w:jc w:val="both"/>
        <w:rPr>
          <w:sz w:val="24"/>
          <w:szCs w:val="24"/>
        </w:rPr>
      </w:pPr>
    </w:p>
    <w:p w:rsidRPr="00B07CC2" w:rsidR="00F950D4" w:rsidP="00F950D4" w:rsidRDefault="00F950D4" w14:paraId="26E75A0A" w14:textId="77777777">
      <w:pPr>
        <w:ind w:firstLine="720"/>
        <w:jc w:val="both"/>
        <w:rPr>
          <w:sz w:val="24"/>
          <w:szCs w:val="24"/>
        </w:rPr>
      </w:pPr>
    </w:p>
    <w:p w:rsidRPr="00B07CC2" w:rsidR="00F950D4" w:rsidP="00F950D4" w:rsidRDefault="00F950D4" w14:paraId="1475F43F" w14:textId="77777777">
      <w:pPr>
        <w:ind w:firstLine="720"/>
        <w:jc w:val="both"/>
        <w:rPr>
          <w:sz w:val="24"/>
          <w:szCs w:val="24"/>
        </w:rPr>
      </w:pPr>
    </w:p>
    <w:p w:rsidRPr="00B07CC2" w:rsidR="00F950D4" w:rsidP="00F950D4" w:rsidRDefault="00F950D4" w14:paraId="0C27DAB9" w14:textId="77777777">
      <w:pPr>
        <w:ind w:firstLine="720"/>
        <w:jc w:val="both"/>
        <w:rPr>
          <w:sz w:val="24"/>
          <w:szCs w:val="24"/>
        </w:rPr>
      </w:pPr>
    </w:p>
    <w:p w:rsidRPr="00B07CC2" w:rsidR="00F950D4" w:rsidP="00F950D4" w:rsidRDefault="00F950D4" w14:paraId="6FFEA9C5" w14:textId="77777777">
      <w:pPr>
        <w:ind w:firstLine="720"/>
        <w:jc w:val="both"/>
        <w:rPr>
          <w:sz w:val="24"/>
          <w:szCs w:val="24"/>
        </w:rPr>
      </w:pPr>
    </w:p>
    <w:p w:rsidRPr="00B07CC2" w:rsidR="00F950D4" w:rsidP="00F950D4" w:rsidRDefault="00F950D4" w14:paraId="17C3DE1C" w14:textId="77777777">
      <w:pPr>
        <w:ind w:firstLine="720"/>
        <w:jc w:val="both"/>
        <w:rPr>
          <w:sz w:val="24"/>
          <w:szCs w:val="24"/>
        </w:rPr>
      </w:pPr>
    </w:p>
    <w:p w:rsidRPr="00B07CC2" w:rsidR="00F950D4" w:rsidP="00F950D4" w:rsidRDefault="00F950D4" w14:paraId="502C8F18" w14:textId="77777777">
      <w:pPr>
        <w:ind w:firstLine="720"/>
        <w:jc w:val="both"/>
        <w:rPr>
          <w:sz w:val="24"/>
          <w:szCs w:val="24"/>
        </w:rPr>
      </w:pPr>
    </w:p>
    <w:p w:rsidRPr="00B07CC2" w:rsidR="00F950D4" w:rsidP="00F950D4" w:rsidRDefault="00F950D4" w14:paraId="587A6B07" w14:textId="77777777">
      <w:pPr>
        <w:ind w:firstLine="720"/>
        <w:jc w:val="both"/>
        <w:rPr>
          <w:sz w:val="24"/>
          <w:szCs w:val="24"/>
        </w:rPr>
      </w:pPr>
    </w:p>
    <w:p w:rsidRPr="00B07CC2" w:rsidR="00F950D4" w:rsidP="00F950D4" w:rsidRDefault="00F950D4" w14:paraId="6B68C72E" w14:textId="77777777">
      <w:pPr>
        <w:ind w:firstLine="720"/>
        <w:jc w:val="both"/>
        <w:rPr>
          <w:sz w:val="24"/>
          <w:szCs w:val="24"/>
        </w:rPr>
      </w:pPr>
    </w:p>
    <w:p w:rsidRPr="00B07CC2" w:rsidR="00F950D4" w:rsidP="00F950D4" w:rsidRDefault="00F950D4" w14:paraId="2DAE0F2C" w14:textId="77777777">
      <w:pPr>
        <w:ind w:firstLine="720"/>
        <w:jc w:val="both"/>
        <w:rPr>
          <w:sz w:val="24"/>
          <w:szCs w:val="24"/>
        </w:rPr>
      </w:pPr>
    </w:p>
    <w:p w:rsidRPr="00B07CC2" w:rsidR="00F950D4" w:rsidP="00F950D4" w:rsidRDefault="00F950D4" w14:paraId="0988CE33" w14:textId="77777777">
      <w:pPr>
        <w:ind w:firstLine="720"/>
        <w:jc w:val="both"/>
        <w:rPr>
          <w:sz w:val="24"/>
          <w:szCs w:val="24"/>
        </w:rPr>
      </w:pPr>
    </w:p>
    <w:p w:rsidRPr="00B07CC2" w:rsidR="00F950D4" w:rsidP="00F950D4" w:rsidRDefault="00F950D4" w14:paraId="605B2B61" w14:textId="77777777">
      <w:pPr>
        <w:ind w:firstLine="720"/>
        <w:jc w:val="both"/>
        <w:rPr>
          <w:sz w:val="24"/>
          <w:szCs w:val="24"/>
        </w:rPr>
      </w:pPr>
    </w:p>
    <w:p w:rsidRPr="00B07CC2" w:rsidR="00F950D4" w:rsidP="00F950D4" w:rsidRDefault="00F950D4" w14:paraId="249C1290" w14:textId="77777777">
      <w:pPr>
        <w:ind w:firstLine="720"/>
        <w:jc w:val="both"/>
        <w:rPr>
          <w:sz w:val="24"/>
          <w:szCs w:val="24"/>
        </w:rPr>
      </w:pPr>
    </w:p>
    <w:p w:rsidRPr="00B07CC2" w:rsidR="00F950D4" w:rsidP="00F950D4" w:rsidRDefault="00F950D4" w14:paraId="1280EE7D" w14:textId="77777777">
      <w:pPr>
        <w:ind w:firstLine="720"/>
        <w:jc w:val="both"/>
        <w:rPr>
          <w:sz w:val="24"/>
          <w:szCs w:val="24"/>
        </w:rPr>
      </w:pPr>
    </w:p>
    <w:p w:rsidRPr="00B07CC2" w:rsidR="00F950D4" w:rsidP="00F950D4" w:rsidRDefault="00F950D4" w14:paraId="7749F285" w14:textId="77777777">
      <w:pPr>
        <w:ind w:firstLine="720"/>
        <w:jc w:val="both"/>
        <w:rPr>
          <w:sz w:val="24"/>
          <w:szCs w:val="24"/>
        </w:rPr>
      </w:pPr>
    </w:p>
    <w:p w:rsidRPr="00B07CC2" w:rsidR="00F950D4" w:rsidP="00F950D4" w:rsidRDefault="00F950D4" w14:paraId="6AE9D299" w14:textId="77777777">
      <w:pPr>
        <w:ind w:firstLine="720"/>
        <w:jc w:val="both"/>
        <w:rPr>
          <w:sz w:val="24"/>
          <w:szCs w:val="24"/>
        </w:rPr>
      </w:pPr>
    </w:p>
    <w:p w:rsidRPr="00B07CC2" w:rsidR="00F950D4" w:rsidP="00F950D4" w:rsidRDefault="00F950D4" w14:paraId="27412235" w14:textId="77777777">
      <w:pPr>
        <w:ind w:firstLine="720"/>
        <w:jc w:val="both"/>
        <w:rPr>
          <w:sz w:val="24"/>
          <w:szCs w:val="24"/>
        </w:rPr>
      </w:pPr>
    </w:p>
    <w:p w:rsidR="001C51EC" w:rsidP="00F950D4" w:rsidRDefault="001C51EC" w14:paraId="08CA1104" w14:textId="77777777">
      <w:pPr>
        <w:ind w:firstLine="720"/>
        <w:jc w:val="both"/>
        <w:rPr>
          <w:sz w:val="24"/>
          <w:szCs w:val="24"/>
        </w:rPr>
      </w:pPr>
    </w:p>
    <w:p w:rsidR="001C51EC" w:rsidP="00F950D4" w:rsidRDefault="001C51EC" w14:paraId="4AFB7E0D" w14:textId="77777777">
      <w:pPr>
        <w:ind w:firstLine="720"/>
        <w:jc w:val="both"/>
        <w:rPr>
          <w:sz w:val="24"/>
          <w:szCs w:val="24"/>
        </w:rPr>
      </w:pPr>
    </w:p>
    <w:p w:rsidR="001C51EC" w:rsidP="00F950D4" w:rsidRDefault="001C51EC" w14:paraId="2D1F8A05" w14:textId="77777777">
      <w:pPr>
        <w:ind w:firstLine="720"/>
        <w:jc w:val="both"/>
        <w:rPr>
          <w:sz w:val="24"/>
          <w:szCs w:val="24"/>
        </w:rPr>
      </w:pPr>
    </w:p>
    <w:p w:rsidR="001C51EC" w:rsidP="00F950D4" w:rsidRDefault="001C51EC" w14:paraId="2DFEBEBB" w14:textId="77777777">
      <w:pPr>
        <w:ind w:firstLine="720"/>
        <w:jc w:val="both"/>
        <w:rPr>
          <w:sz w:val="24"/>
          <w:szCs w:val="24"/>
        </w:rPr>
      </w:pPr>
    </w:p>
    <w:p w:rsidR="001C51EC" w:rsidP="00F950D4" w:rsidRDefault="001C51EC" w14:paraId="20E7C867" w14:textId="77777777">
      <w:pPr>
        <w:ind w:firstLine="720"/>
        <w:jc w:val="both"/>
        <w:rPr>
          <w:sz w:val="24"/>
          <w:szCs w:val="24"/>
        </w:rPr>
      </w:pPr>
    </w:p>
    <w:p w:rsidR="001C51EC" w:rsidP="00F950D4" w:rsidRDefault="001C51EC" w14:paraId="76FFE14B" w14:textId="77777777">
      <w:pPr>
        <w:ind w:firstLine="720"/>
        <w:jc w:val="both"/>
        <w:rPr>
          <w:sz w:val="24"/>
          <w:szCs w:val="24"/>
        </w:rPr>
      </w:pPr>
    </w:p>
    <w:p w:rsidRPr="00B07CC2" w:rsidR="00F950D4" w:rsidP="00F950D4" w:rsidRDefault="00F950D4" w14:paraId="5172FE32" w14:textId="05329E24">
      <w:pPr>
        <w:ind w:firstLine="720"/>
        <w:jc w:val="both"/>
        <w:rPr>
          <w:sz w:val="24"/>
          <w:szCs w:val="24"/>
        </w:rPr>
      </w:pPr>
      <w:r w:rsidRPr="00B07CC2">
        <w:rPr>
          <w:sz w:val="24"/>
          <w:szCs w:val="24"/>
        </w:rPr>
        <w:t xml:space="preserve">IN WITNESS WHEREOF, this Lease Addendum has been duly executed by </w:t>
      </w:r>
      <w:r w:rsidR="006C2BC4">
        <w:rPr>
          <w:sz w:val="24"/>
          <w:szCs w:val="24"/>
        </w:rPr>
        <w:t>HUD</w:t>
      </w:r>
      <w:r w:rsidRPr="00B07CC2">
        <w:rPr>
          <w:sz w:val="24"/>
          <w:szCs w:val="24"/>
        </w:rPr>
        <w:t xml:space="preserve"> </w:t>
      </w:r>
      <w:r w:rsidR="00D76535">
        <w:rPr>
          <w:sz w:val="24"/>
          <w:szCs w:val="24"/>
        </w:rPr>
        <w:t>Lender, landlord and tenant</w:t>
      </w:r>
      <w:r w:rsidRPr="00B07CC2">
        <w:rPr>
          <w:sz w:val="24"/>
          <w:szCs w:val="24"/>
        </w:rPr>
        <w:t xml:space="preserve"> as of this _____ day of ____________, 20__.</w:t>
      </w:r>
    </w:p>
    <w:p w:rsidRPr="00B07CC2" w:rsidR="00F950D4" w:rsidP="00F950D4" w:rsidRDefault="00F950D4" w14:paraId="438E990F" w14:textId="77777777">
      <w:pPr>
        <w:pStyle w:val="Signature"/>
        <w:ind w:hanging="4320"/>
        <w:rPr>
          <w:b/>
          <w:bCs/>
        </w:rPr>
      </w:pPr>
    </w:p>
    <w:p w:rsidRPr="00B07CC2" w:rsidR="00F950D4" w:rsidP="00F950D4" w:rsidRDefault="00F950D4" w14:paraId="5092A692" w14:textId="77777777">
      <w:pPr>
        <w:pStyle w:val="Signature"/>
        <w:ind w:hanging="4320"/>
        <w:rPr>
          <w:b/>
          <w:bCs/>
        </w:rPr>
      </w:pPr>
    </w:p>
    <w:p w:rsidRPr="00B07CC2" w:rsidR="00F950D4" w:rsidP="00F950D4" w:rsidRDefault="00F950D4" w14:paraId="250D0BE1" w14:textId="77777777">
      <w:pPr>
        <w:pStyle w:val="Signature"/>
        <w:ind w:hanging="4320"/>
        <w:rPr>
          <w:b/>
          <w:bCs/>
        </w:rPr>
      </w:pPr>
    </w:p>
    <w:p w:rsidRPr="00B07CC2" w:rsidR="00F950D4" w:rsidP="00F950D4" w:rsidRDefault="00F950D4" w14:paraId="008D6C3E" w14:textId="77777777">
      <w:pPr>
        <w:pStyle w:val="Signature"/>
        <w:ind w:hanging="4320"/>
        <w:rPr>
          <w:b/>
          <w:bCs/>
        </w:rPr>
      </w:pPr>
    </w:p>
    <w:p w:rsidRPr="00812C0C" w:rsidR="00F950D4" w:rsidP="00812C0C" w:rsidRDefault="00D76535" w14:paraId="4C7E2E29" w14:textId="200822D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LANDLORD</w:t>
      </w:r>
      <w:r w:rsidRPr="00B07CC2" w:rsidR="00F950D4">
        <w:rPr>
          <w:b/>
          <w:bCs/>
        </w:rPr>
        <w:t xml:space="preserve">:                     </w:t>
      </w:r>
      <w:r w:rsidRPr="00B07CC2" w:rsidR="00F950D4">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rsidRPr="00B07CC2" w:rsidR="00F950D4" w:rsidP="00812C0C" w:rsidRDefault="00F950D4" w14:paraId="1FBDB81C"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rsidRPr="00812C0C" w:rsidR="00812C0C" w:rsidP="00812C0C" w:rsidRDefault="00812C0C" w14:paraId="4C4CC79D"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rsidR="00F950D4">
        <w:t>By:</w:t>
      </w:r>
      <w:r>
        <w:tab/>
      </w:r>
      <w:r>
        <w:rPr>
          <w:u w:val="single"/>
        </w:rPr>
        <w:tab/>
      </w:r>
      <w:r>
        <w:rPr>
          <w:u w:val="single"/>
        </w:rPr>
        <w:tab/>
      </w:r>
      <w:r>
        <w:rPr>
          <w:u w:val="single"/>
        </w:rPr>
        <w:tab/>
      </w:r>
      <w:r>
        <w:rPr>
          <w:u w:val="single"/>
        </w:rPr>
        <w:tab/>
      </w:r>
      <w:r>
        <w:rPr>
          <w:u w:val="single"/>
        </w:rPr>
        <w:tab/>
      </w:r>
    </w:p>
    <w:p w:rsidRPr="00812C0C" w:rsidR="00F950D4" w:rsidP="00812C0C" w:rsidRDefault="00812C0C" w14:paraId="3892A9C7"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rsidR="00F950D4">
        <w:t>Name:</w:t>
      </w:r>
      <w:r>
        <w:rPr>
          <w:u w:val="single"/>
        </w:rPr>
        <w:tab/>
      </w:r>
      <w:r>
        <w:rPr>
          <w:u w:val="single"/>
        </w:rPr>
        <w:tab/>
      </w:r>
      <w:r>
        <w:rPr>
          <w:u w:val="single"/>
        </w:rPr>
        <w:tab/>
      </w:r>
      <w:r>
        <w:rPr>
          <w:u w:val="single"/>
        </w:rPr>
        <w:tab/>
      </w:r>
      <w:r>
        <w:rPr>
          <w:u w:val="single"/>
        </w:rPr>
        <w:tab/>
      </w:r>
    </w:p>
    <w:p w:rsidRPr="00812C0C" w:rsidR="00F950D4" w:rsidP="00812C0C" w:rsidRDefault="00812C0C" w14:paraId="6D8805AA"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rsidR="00F950D4">
        <w:t>Title:</w:t>
      </w:r>
      <w:r>
        <w:tab/>
      </w:r>
      <w:r>
        <w:rPr>
          <w:u w:val="single"/>
        </w:rPr>
        <w:tab/>
      </w:r>
      <w:r>
        <w:rPr>
          <w:u w:val="single"/>
        </w:rPr>
        <w:tab/>
      </w:r>
      <w:r>
        <w:rPr>
          <w:u w:val="single"/>
        </w:rPr>
        <w:tab/>
      </w:r>
      <w:r>
        <w:rPr>
          <w:u w:val="single"/>
        </w:rPr>
        <w:tab/>
      </w:r>
      <w:r>
        <w:rPr>
          <w:u w:val="single"/>
        </w:rPr>
        <w:tab/>
      </w:r>
    </w:p>
    <w:p w:rsidRPr="00B07CC2" w:rsidR="00F950D4" w:rsidP="00812C0C" w:rsidRDefault="00F950D4" w14:paraId="164E4AD0"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Pr="00B07CC2" w:rsidR="00F950D4" w:rsidP="00812C0C" w:rsidRDefault="00F950D4" w14:paraId="5498D15F"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rsidRPr="00812C0C" w:rsidR="00812C0C" w:rsidP="00812C0C" w:rsidRDefault="00D76535" w14:paraId="05A5121E" w14:textId="67F3FD96">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TENANT</w:t>
      </w:r>
      <w:r w:rsidRPr="00B07CC2" w:rsidR="00F950D4">
        <w:rPr>
          <w:b/>
          <w:bCs/>
        </w:rPr>
        <w:t xml:space="preserv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rsidRPr="00B07CC2" w:rsidR="00812C0C" w:rsidP="00812C0C" w:rsidRDefault="00812C0C" w14:paraId="28B4ABE4"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rsidRPr="00812C0C" w:rsidR="00812C0C" w:rsidP="00812C0C" w:rsidRDefault="00812C0C" w14:paraId="36331D00"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rsidRPr="00812C0C" w:rsidR="00812C0C" w:rsidP="00812C0C" w:rsidRDefault="00812C0C" w14:paraId="61EC544D"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rsidRPr="00812C0C" w:rsidR="00812C0C" w:rsidP="00812C0C" w:rsidRDefault="00812C0C" w14:paraId="426AFCDE"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rsidRPr="00B07CC2" w:rsidR="00812C0C" w:rsidP="00812C0C" w:rsidRDefault="00812C0C" w14:paraId="1D73A3E5"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F950D4" w:rsidP="00812C0C" w:rsidRDefault="00F950D4" w14:paraId="78635A76"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812C0C" w:rsidP="00812C0C" w:rsidRDefault="00812C0C" w14:paraId="16924BA5"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812C0C" w:rsidP="00812C0C" w:rsidRDefault="00812C0C" w14:paraId="056CA647"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Pr="00B07CC2" w:rsidR="00812C0C" w:rsidP="00812C0C" w:rsidRDefault="00812C0C" w14:paraId="3433A126"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Pr="00B07CC2" w:rsidR="00F950D4" w:rsidP="00812C0C" w:rsidRDefault="00B1320A" w14:paraId="3BBA00DA" w14:textId="07A773CF">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Pr="00B07CC2" w:rsidR="00F950D4">
        <w:rPr>
          <w:color w:val="000000"/>
        </w:rPr>
        <w:t xml:space="preserve"> acknowledged by </w:t>
      </w:r>
      <w:r w:rsidR="006C2BC4">
        <w:rPr>
          <w:color w:val="000000"/>
        </w:rPr>
        <w:t>HUD</w:t>
      </w:r>
      <w:r w:rsidRPr="00B07CC2" w:rsidR="00F950D4">
        <w:rPr>
          <w:color w:val="000000"/>
        </w:rPr>
        <w:t xml:space="preserve"> </w:t>
      </w:r>
      <w:r w:rsidR="00D76535">
        <w:rPr>
          <w:color w:val="000000"/>
        </w:rPr>
        <w:t>Lender</w:t>
      </w:r>
      <w:r w:rsidRPr="00B07CC2" w:rsidR="00D76535">
        <w:rPr>
          <w:color w:val="000000"/>
        </w:rPr>
        <w:t xml:space="preserve"> </w:t>
      </w:r>
      <w:r w:rsidRPr="00B07CC2" w:rsidR="006C2BC4">
        <w:rPr>
          <w:color w:val="000000"/>
        </w:rPr>
        <w:t>as</w:t>
      </w:r>
      <w:r w:rsidRPr="00B07CC2" w:rsidR="00F950D4">
        <w:rPr>
          <w:color w:val="000000"/>
        </w:rPr>
        <w:t xml:space="preserve"> of this </w:t>
      </w:r>
    </w:p>
    <w:p w:rsidRPr="00B07CC2" w:rsidR="00F950D4" w:rsidP="00812C0C" w:rsidRDefault="00F950D4" w14:paraId="69BF8110" w14:textId="69975681">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 xml:space="preserve">__________day of ________, </w:t>
      </w:r>
      <w:r w:rsidR="00C51E32">
        <w:rPr>
          <w:color w:val="000000"/>
        </w:rPr>
        <w:t>______</w:t>
      </w:r>
    </w:p>
    <w:p w:rsidRPr="00B07CC2" w:rsidR="00F950D4" w:rsidP="00812C0C" w:rsidRDefault="00F950D4" w14:paraId="72C722CB"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Pr="00B07CC2" w:rsidR="00F950D4" w:rsidP="00812C0C" w:rsidRDefault="00F950D4" w14:paraId="5C8EB9BC"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Pr="00812C0C" w:rsidR="00812C0C" w:rsidP="00812C0C" w:rsidRDefault="006C2BC4" w14:paraId="6A784207" w14:textId="79F55F75">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HUD</w:t>
      </w:r>
      <w:r w:rsidRPr="00B07CC2" w:rsidR="00F950D4">
        <w:rPr>
          <w:b/>
          <w:color w:val="000000"/>
        </w:rPr>
        <w:t xml:space="preserve"> </w:t>
      </w:r>
      <w:r w:rsidR="00803935">
        <w:rPr>
          <w:b/>
          <w:color w:val="000000"/>
        </w:rPr>
        <w:t xml:space="preserve">Lender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rsidRPr="00B07CC2" w:rsidR="00812C0C" w:rsidP="00812C0C" w:rsidRDefault="00812C0C" w14:paraId="2289F37E"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rsidRPr="00812C0C" w:rsidR="00812C0C" w:rsidP="00812C0C" w:rsidRDefault="00812C0C" w14:paraId="214EE04C"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rsidRPr="00812C0C" w:rsidR="00812C0C" w:rsidP="00812C0C" w:rsidRDefault="00812C0C" w14:paraId="69FF8DF0"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rsidRPr="00812C0C" w:rsidR="00812C0C" w:rsidP="00812C0C" w:rsidRDefault="00812C0C" w14:paraId="0BF51139"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rsidRPr="00B07CC2" w:rsidR="00812C0C" w:rsidP="00812C0C" w:rsidRDefault="00812C0C" w14:paraId="53A273CC" w14:textId="77777777">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sectPr w:rsidRPr="00B07CC2" w:rsidR="00812C0C" w:rsidSect="00FE6D3D">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A79" w:rsidP="00F950D4" w:rsidRDefault="00236A79" w14:paraId="6F1C6D2D" w14:textId="77777777">
      <w:r>
        <w:separator/>
      </w:r>
    </w:p>
  </w:endnote>
  <w:endnote w:type="continuationSeparator" w:id="0">
    <w:p w:rsidR="00236A79" w:rsidP="00F950D4" w:rsidRDefault="00236A79" w14:paraId="68757A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2278B" w:rsidP="001E1C53" w:rsidRDefault="00D2278B" w14:paraId="401A610F" w14:textId="28C4DA46">
    <w:pPr>
      <w:pStyle w:val="FootnoteText"/>
    </w:pPr>
    <w:r>
      <w:rPr>
        <w:noProof/>
      </w:rPr>
      <mc:AlternateContent>
        <mc:Choice Requires="wps">
          <w:drawing>
            <wp:anchor distT="0" distB="0" distL="114300" distR="114300" simplePos="0" relativeHeight="251657216" behindDoc="0" locked="0" layoutInCell="1" allowOverlap="1" wp14:anchorId="593AD0DA" wp14:editId="7F714C6D">
              <wp:simplePos x="0" y="0"/>
              <wp:positionH relativeFrom="column">
                <wp:posOffset>19050</wp:posOffset>
              </wp:positionH>
              <wp:positionV relativeFrom="paragraph">
                <wp:posOffset>58420</wp:posOffset>
              </wp:positionV>
              <wp:extent cx="5876925" cy="9525"/>
              <wp:effectExtent l="0" t="0" r="952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57BB4C6">
              <v:path fillok="f" arrowok="t" o:connecttype="none"/>
              <o:lock v:ext="edit" shapetype="t"/>
            </v:shapetype>
            <v:shape id="AutoShape 1" style="position:absolute;margin-left:1.5pt;margin-top:4.6pt;width:46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rsidR="00D2278B" w:rsidP="001E1C53" w:rsidRDefault="00D2278B" w14:paraId="4F0A40C9" w14:textId="20F49BA6">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77E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77EDA">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92070-ORCF</w:t>
    </w:r>
    <w:r w:rsidRPr="00515ACE">
      <w:rPr>
        <w:rFonts w:ascii="Helvetica" w:hAnsi="Helvetica" w:cs="Arial"/>
        <w:sz w:val="18"/>
        <w:szCs w:val="18"/>
      </w:rPr>
      <w:t xml:space="preserve"> </w:t>
    </w:r>
    <w:r w:rsidR="000A787B">
      <w:rPr>
        <w:rFonts w:ascii="Helvetica" w:hAnsi="Helvetica" w:cs="Arial"/>
        <w:sz w:val="18"/>
        <w:szCs w:val="18"/>
      </w:rPr>
      <w:t>(</w:t>
    </w:r>
    <w:r w:rsidR="000A787B">
      <w:rPr>
        <w:rFonts w:ascii="Arial" w:hAnsi="Arial" w:cs="Arial"/>
        <w:sz w:val="18"/>
        <w:szCs w:val="18"/>
      </w:rPr>
      <w:t>06/20</w:t>
    </w:r>
    <w:r w:rsidR="00B753C5">
      <w:rPr>
        <w:rFonts w:ascii="Arial" w:hAnsi="Arial" w:cs="Arial"/>
        <w:sz w:val="18"/>
        <w:szCs w:val="18"/>
      </w:rPr>
      <w:t>19</w:t>
    </w:r>
    <w:r w:rsidR="000A787B">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A79" w:rsidP="00F950D4" w:rsidRDefault="00236A79" w14:paraId="7606BDBF" w14:textId="77777777">
      <w:r>
        <w:separator/>
      </w:r>
    </w:p>
  </w:footnote>
  <w:footnote w:type="continuationSeparator" w:id="0">
    <w:p w:rsidR="00236A79" w:rsidP="00F950D4" w:rsidRDefault="00236A79" w14:paraId="4EF4977F" w14:textId="77777777">
      <w:r>
        <w:continuationSeparator/>
      </w:r>
    </w:p>
  </w:footnote>
  <w:footnote w:id="1">
    <w:p w:rsidR="0019401D" w:rsidRDefault="0019401D" w14:paraId="7EA5A673" w14:textId="590563D3">
      <w:pPr>
        <w:pStyle w:val="FootnoteText"/>
        <w:rPr>
          <w:sz w:val="16"/>
          <w:szCs w:val="16"/>
        </w:rPr>
      </w:pPr>
      <w:r w:rsidRPr="00725193">
        <w:rPr>
          <w:rStyle w:val="FootnoteReference"/>
          <w:sz w:val="16"/>
          <w:szCs w:val="16"/>
        </w:rPr>
        <w:footnoteRef/>
      </w:r>
      <w:r w:rsidRPr="00725193">
        <w:rPr>
          <w:sz w:val="16"/>
          <w:szCs w:val="16"/>
        </w:rPr>
        <w:t xml:space="preserve"> “Property” means the legally described land as defined in the ground lease, except it does not include the buildings and improvements now or hereafter located thereon.</w:t>
      </w:r>
    </w:p>
    <w:p w:rsidRPr="00725193" w:rsidR="0019401D" w:rsidRDefault="0019401D" w14:paraId="3ED375F0" w14:textId="77777777">
      <w:pPr>
        <w:pStyle w:val="FootnoteText"/>
        <w:rPr>
          <w:sz w:val="16"/>
          <w:szCs w:val="16"/>
        </w:rPr>
      </w:pPr>
    </w:p>
  </w:footnote>
  <w:footnote w:id="2">
    <w:p w:rsidRPr="000E0B4B" w:rsidR="00D2278B" w:rsidRDefault="00D2278B" w14:paraId="406B1436" w14:textId="77777777">
      <w:pPr>
        <w:pStyle w:val="FootnoteText"/>
        <w:rPr>
          <w:sz w:val="16"/>
          <w:szCs w:val="16"/>
        </w:rPr>
      </w:pPr>
      <w:r w:rsidRPr="000E0B4B">
        <w:rPr>
          <w:rStyle w:val="FootnoteReference"/>
        </w:rPr>
        <w:footnoteRef/>
      </w:r>
      <w:r w:rsidRPr="000E0B4B">
        <w:t xml:space="preserve"> </w:t>
      </w:r>
      <w:r w:rsidRPr="00725193">
        <w:rPr>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rsidRPr="000E0B4B" w:rsidR="00D2278B" w:rsidRDefault="00D2278B" w14:paraId="66F32D5D" w14:textId="77777777">
      <w:pPr>
        <w:pStyle w:val="FootnoteText"/>
      </w:pPr>
    </w:p>
  </w:footnote>
  <w:footnote w:id="3">
    <w:p w:rsidR="00D2278B" w:rsidP="00F536DC" w:rsidRDefault="00D2278B" w14:paraId="01EDD8FE" w14:textId="24CADE05">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w:t>
      </w:r>
      <w:proofErr w:type="gramStart"/>
      <w:r w:rsidRPr="007674CC">
        <w:rPr>
          <w:rFonts w:ascii="Arial" w:hAnsi="Arial"/>
          <w:color w:val="000000"/>
          <w:sz w:val="16"/>
          <w:szCs w:val="16"/>
        </w:rPr>
        <w:t>department</w:t>
      </w:r>
      <w:proofErr w:type="gramEnd"/>
      <w:r w:rsidRPr="007674CC">
        <w:rPr>
          <w:rFonts w:ascii="Arial" w:hAnsi="Arial"/>
          <w:color w:val="000000"/>
          <w:sz w:val="16"/>
          <w:szCs w:val="16"/>
        </w:rPr>
        <w:t xml:space="preserve">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7C22A3" w:rsidTr="047C22A3" w14:paraId="630F5D78" w14:textId="77777777">
      <w:tc>
        <w:tcPr>
          <w:tcW w:w="3120" w:type="dxa"/>
        </w:tcPr>
        <w:p w:rsidR="047C22A3" w:rsidP="047C22A3" w:rsidRDefault="047C22A3" w14:paraId="6CB27C67" w14:textId="3A8C2F94">
          <w:pPr>
            <w:pStyle w:val="Header"/>
            <w:ind w:left="-115"/>
          </w:pPr>
        </w:p>
      </w:tc>
      <w:tc>
        <w:tcPr>
          <w:tcW w:w="3120" w:type="dxa"/>
        </w:tcPr>
        <w:p w:rsidR="047C22A3" w:rsidP="047C22A3" w:rsidRDefault="047C22A3" w14:paraId="025C5423" w14:textId="59429D25">
          <w:pPr>
            <w:pStyle w:val="Header"/>
            <w:jc w:val="center"/>
          </w:pPr>
        </w:p>
      </w:tc>
      <w:tc>
        <w:tcPr>
          <w:tcW w:w="3120" w:type="dxa"/>
        </w:tcPr>
        <w:p w:rsidR="047C22A3" w:rsidP="047C22A3" w:rsidRDefault="047C22A3" w14:paraId="18FBFF49" w14:textId="364C2460">
          <w:pPr>
            <w:pStyle w:val="Header"/>
            <w:ind w:right="-115"/>
            <w:jc w:val="right"/>
          </w:pPr>
        </w:p>
      </w:tc>
    </w:tr>
  </w:tbl>
  <w:p w:rsidR="047C22A3" w:rsidP="047C22A3" w:rsidRDefault="047C22A3" w14:paraId="39360B62" w14:textId="56FA0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3167"/>
    <w:rsid w:val="000947F9"/>
    <w:rsid w:val="000A39D4"/>
    <w:rsid w:val="000A5089"/>
    <w:rsid w:val="000A787B"/>
    <w:rsid w:val="000B0E5E"/>
    <w:rsid w:val="000B3FD1"/>
    <w:rsid w:val="000B658A"/>
    <w:rsid w:val="000C0622"/>
    <w:rsid w:val="000C2703"/>
    <w:rsid w:val="000C3E4B"/>
    <w:rsid w:val="000C7817"/>
    <w:rsid w:val="000D0DFB"/>
    <w:rsid w:val="000D256A"/>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70753"/>
    <w:rsid w:val="001715C6"/>
    <w:rsid w:val="00173893"/>
    <w:rsid w:val="001779AA"/>
    <w:rsid w:val="00185F52"/>
    <w:rsid w:val="00192F8A"/>
    <w:rsid w:val="0019401D"/>
    <w:rsid w:val="001A36D9"/>
    <w:rsid w:val="001A473D"/>
    <w:rsid w:val="001A647F"/>
    <w:rsid w:val="001C2752"/>
    <w:rsid w:val="001C51EC"/>
    <w:rsid w:val="001D299E"/>
    <w:rsid w:val="001D4B71"/>
    <w:rsid w:val="001D52AD"/>
    <w:rsid w:val="001D6D85"/>
    <w:rsid w:val="001E1C53"/>
    <w:rsid w:val="001E2449"/>
    <w:rsid w:val="001E4803"/>
    <w:rsid w:val="001F661D"/>
    <w:rsid w:val="00201741"/>
    <w:rsid w:val="00202F43"/>
    <w:rsid w:val="00206215"/>
    <w:rsid w:val="0021542E"/>
    <w:rsid w:val="002222FD"/>
    <w:rsid w:val="00236A79"/>
    <w:rsid w:val="00283ACB"/>
    <w:rsid w:val="002844D2"/>
    <w:rsid w:val="00287610"/>
    <w:rsid w:val="00291BB4"/>
    <w:rsid w:val="00294CFC"/>
    <w:rsid w:val="00294FC2"/>
    <w:rsid w:val="00295309"/>
    <w:rsid w:val="002A21ED"/>
    <w:rsid w:val="002A451A"/>
    <w:rsid w:val="002A5290"/>
    <w:rsid w:val="002B2139"/>
    <w:rsid w:val="002C2CC5"/>
    <w:rsid w:val="002D13E0"/>
    <w:rsid w:val="002F3B9B"/>
    <w:rsid w:val="002F4144"/>
    <w:rsid w:val="00305255"/>
    <w:rsid w:val="0031018D"/>
    <w:rsid w:val="00312C25"/>
    <w:rsid w:val="00320849"/>
    <w:rsid w:val="0032325B"/>
    <w:rsid w:val="00327052"/>
    <w:rsid w:val="00330B7F"/>
    <w:rsid w:val="0035550A"/>
    <w:rsid w:val="003566D0"/>
    <w:rsid w:val="00366BE9"/>
    <w:rsid w:val="0038379F"/>
    <w:rsid w:val="003937E3"/>
    <w:rsid w:val="003A545A"/>
    <w:rsid w:val="003B263E"/>
    <w:rsid w:val="003B3BDF"/>
    <w:rsid w:val="003B6B77"/>
    <w:rsid w:val="003C2B4E"/>
    <w:rsid w:val="003D2742"/>
    <w:rsid w:val="003D3EDE"/>
    <w:rsid w:val="003D725B"/>
    <w:rsid w:val="003E1DD9"/>
    <w:rsid w:val="003F199F"/>
    <w:rsid w:val="003F3A08"/>
    <w:rsid w:val="003F552F"/>
    <w:rsid w:val="00413AD5"/>
    <w:rsid w:val="00415D93"/>
    <w:rsid w:val="00421E0B"/>
    <w:rsid w:val="004240C9"/>
    <w:rsid w:val="00431BC3"/>
    <w:rsid w:val="0043588D"/>
    <w:rsid w:val="0043601E"/>
    <w:rsid w:val="00454757"/>
    <w:rsid w:val="00457EE8"/>
    <w:rsid w:val="00473D11"/>
    <w:rsid w:val="00484904"/>
    <w:rsid w:val="004851B5"/>
    <w:rsid w:val="00494994"/>
    <w:rsid w:val="004A16EE"/>
    <w:rsid w:val="004A2EC8"/>
    <w:rsid w:val="004B0994"/>
    <w:rsid w:val="004B3CF2"/>
    <w:rsid w:val="004C5E04"/>
    <w:rsid w:val="004E0CCD"/>
    <w:rsid w:val="004E46AC"/>
    <w:rsid w:val="004F1489"/>
    <w:rsid w:val="0050298F"/>
    <w:rsid w:val="005063B8"/>
    <w:rsid w:val="00511E64"/>
    <w:rsid w:val="00514213"/>
    <w:rsid w:val="005210E4"/>
    <w:rsid w:val="005227E2"/>
    <w:rsid w:val="00524F23"/>
    <w:rsid w:val="005273AC"/>
    <w:rsid w:val="0052782F"/>
    <w:rsid w:val="00543DE3"/>
    <w:rsid w:val="00544FA5"/>
    <w:rsid w:val="00567D46"/>
    <w:rsid w:val="00573E5D"/>
    <w:rsid w:val="0058300B"/>
    <w:rsid w:val="0058329E"/>
    <w:rsid w:val="00585DBE"/>
    <w:rsid w:val="0059366A"/>
    <w:rsid w:val="005A4E58"/>
    <w:rsid w:val="005A62CA"/>
    <w:rsid w:val="005A77BA"/>
    <w:rsid w:val="005B637E"/>
    <w:rsid w:val="005D5177"/>
    <w:rsid w:val="005E4888"/>
    <w:rsid w:val="005E5887"/>
    <w:rsid w:val="005F19FB"/>
    <w:rsid w:val="005F1AB2"/>
    <w:rsid w:val="005F5F82"/>
    <w:rsid w:val="005F686F"/>
    <w:rsid w:val="00611FCB"/>
    <w:rsid w:val="0061433E"/>
    <w:rsid w:val="006414A9"/>
    <w:rsid w:val="00642786"/>
    <w:rsid w:val="00650940"/>
    <w:rsid w:val="00652AA4"/>
    <w:rsid w:val="00663074"/>
    <w:rsid w:val="00666BD2"/>
    <w:rsid w:val="0067281B"/>
    <w:rsid w:val="006743E0"/>
    <w:rsid w:val="006A0E43"/>
    <w:rsid w:val="006A0F81"/>
    <w:rsid w:val="006C2BC4"/>
    <w:rsid w:val="006C7DDA"/>
    <w:rsid w:val="006D37D7"/>
    <w:rsid w:val="006E08D8"/>
    <w:rsid w:val="006E64A0"/>
    <w:rsid w:val="00706FBF"/>
    <w:rsid w:val="007071C1"/>
    <w:rsid w:val="00716A1A"/>
    <w:rsid w:val="00721152"/>
    <w:rsid w:val="00723B91"/>
    <w:rsid w:val="00725193"/>
    <w:rsid w:val="00731915"/>
    <w:rsid w:val="0073656E"/>
    <w:rsid w:val="007371D8"/>
    <w:rsid w:val="007446AA"/>
    <w:rsid w:val="00754B7B"/>
    <w:rsid w:val="00754D51"/>
    <w:rsid w:val="00757D2C"/>
    <w:rsid w:val="0076100E"/>
    <w:rsid w:val="00761897"/>
    <w:rsid w:val="0076292A"/>
    <w:rsid w:val="00767BB8"/>
    <w:rsid w:val="00770CEC"/>
    <w:rsid w:val="007716A5"/>
    <w:rsid w:val="00776584"/>
    <w:rsid w:val="00777EDA"/>
    <w:rsid w:val="007917FE"/>
    <w:rsid w:val="00792CF6"/>
    <w:rsid w:val="007B29D3"/>
    <w:rsid w:val="007C1CBA"/>
    <w:rsid w:val="007C311A"/>
    <w:rsid w:val="007C439C"/>
    <w:rsid w:val="007D7950"/>
    <w:rsid w:val="007E1F60"/>
    <w:rsid w:val="007F298D"/>
    <w:rsid w:val="00803935"/>
    <w:rsid w:val="00803B19"/>
    <w:rsid w:val="00811F6C"/>
    <w:rsid w:val="00812C0C"/>
    <w:rsid w:val="00817373"/>
    <w:rsid w:val="00842834"/>
    <w:rsid w:val="00846FB9"/>
    <w:rsid w:val="008531EB"/>
    <w:rsid w:val="00853290"/>
    <w:rsid w:val="008618B6"/>
    <w:rsid w:val="00873988"/>
    <w:rsid w:val="00874DF0"/>
    <w:rsid w:val="0089348A"/>
    <w:rsid w:val="00893B08"/>
    <w:rsid w:val="008A3638"/>
    <w:rsid w:val="008A516B"/>
    <w:rsid w:val="008B6A73"/>
    <w:rsid w:val="008C0EE7"/>
    <w:rsid w:val="008C4BAE"/>
    <w:rsid w:val="008C5065"/>
    <w:rsid w:val="008D0AB7"/>
    <w:rsid w:val="008D5503"/>
    <w:rsid w:val="008E2A83"/>
    <w:rsid w:val="008E6C1B"/>
    <w:rsid w:val="008F37AB"/>
    <w:rsid w:val="008F408C"/>
    <w:rsid w:val="008F4604"/>
    <w:rsid w:val="008F7C12"/>
    <w:rsid w:val="0090170F"/>
    <w:rsid w:val="0090775D"/>
    <w:rsid w:val="00927E57"/>
    <w:rsid w:val="00940A17"/>
    <w:rsid w:val="00941545"/>
    <w:rsid w:val="009458CA"/>
    <w:rsid w:val="0094709B"/>
    <w:rsid w:val="00950132"/>
    <w:rsid w:val="009501DB"/>
    <w:rsid w:val="0096169B"/>
    <w:rsid w:val="00966FF2"/>
    <w:rsid w:val="00967816"/>
    <w:rsid w:val="009746C5"/>
    <w:rsid w:val="00976C69"/>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60F3"/>
    <w:rsid w:val="00A32562"/>
    <w:rsid w:val="00A37A01"/>
    <w:rsid w:val="00A46AAF"/>
    <w:rsid w:val="00A47655"/>
    <w:rsid w:val="00A52345"/>
    <w:rsid w:val="00A5592A"/>
    <w:rsid w:val="00A5717B"/>
    <w:rsid w:val="00A60610"/>
    <w:rsid w:val="00A60847"/>
    <w:rsid w:val="00A614BA"/>
    <w:rsid w:val="00A75B85"/>
    <w:rsid w:val="00AA032B"/>
    <w:rsid w:val="00AC0AED"/>
    <w:rsid w:val="00AD2A9E"/>
    <w:rsid w:val="00AE16A8"/>
    <w:rsid w:val="00AE562D"/>
    <w:rsid w:val="00B014FF"/>
    <w:rsid w:val="00B07CC2"/>
    <w:rsid w:val="00B1320A"/>
    <w:rsid w:val="00B23F33"/>
    <w:rsid w:val="00B3005E"/>
    <w:rsid w:val="00B321E8"/>
    <w:rsid w:val="00B322D4"/>
    <w:rsid w:val="00B35379"/>
    <w:rsid w:val="00B66651"/>
    <w:rsid w:val="00B753C5"/>
    <w:rsid w:val="00B80B32"/>
    <w:rsid w:val="00B84885"/>
    <w:rsid w:val="00B92665"/>
    <w:rsid w:val="00BA35FA"/>
    <w:rsid w:val="00BA5C13"/>
    <w:rsid w:val="00BB5F75"/>
    <w:rsid w:val="00BF0318"/>
    <w:rsid w:val="00BF3208"/>
    <w:rsid w:val="00C00582"/>
    <w:rsid w:val="00C02B96"/>
    <w:rsid w:val="00C06050"/>
    <w:rsid w:val="00C1378B"/>
    <w:rsid w:val="00C16D1F"/>
    <w:rsid w:val="00C17AB1"/>
    <w:rsid w:val="00C25162"/>
    <w:rsid w:val="00C44135"/>
    <w:rsid w:val="00C460F0"/>
    <w:rsid w:val="00C50DF3"/>
    <w:rsid w:val="00C51E32"/>
    <w:rsid w:val="00C55D18"/>
    <w:rsid w:val="00C62B87"/>
    <w:rsid w:val="00C64719"/>
    <w:rsid w:val="00C705C4"/>
    <w:rsid w:val="00C77DCC"/>
    <w:rsid w:val="00C936B0"/>
    <w:rsid w:val="00C95BCC"/>
    <w:rsid w:val="00CA18B2"/>
    <w:rsid w:val="00CB3187"/>
    <w:rsid w:val="00CC6124"/>
    <w:rsid w:val="00CE14A5"/>
    <w:rsid w:val="00CF2C47"/>
    <w:rsid w:val="00CF6846"/>
    <w:rsid w:val="00D0455A"/>
    <w:rsid w:val="00D159DB"/>
    <w:rsid w:val="00D222C6"/>
    <w:rsid w:val="00D2278B"/>
    <w:rsid w:val="00D23801"/>
    <w:rsid w:val="00D32065"/>
    <w:rsid w:val="00D415DB"/>
    <w:rsid w:val="00D510BD"/>
    <w:rsid w:val="00D51F2F"/>
    <w:rsid w:val="00D52318"/>
    <w:rsid w:val="00D6193B"/>
    <w:rsid w:val="00D64480"/>
    <w:rsid w:val="00D76535"/>
    <w:rsid w:val="00D76FB5"/>
    <w:rsid w:val="00D77CAA"/>
    <w:rsid w:val="00D85145"/>
    <w:rsid w:val="00DA3C49"/>
    <w:rsid w:val="00DB2E37"/>
    <w:rsid w:val="00DC524D"/>
    <w:rsid w:val="00DC5B18"/>
    <w:rsid w:val="00DD10D5"/>
    <w:rsid w:val="00DD27F8"/>
    <w:rsid w:val="00DD47CE"/>
    <w:rsid w:val="00DE57F5"/>
    <w:rsid w:val="00DE6233"/>
    <w:rsid w:val="00DE7027"/>
    <w:rsid w:val="00DF17C8"/>
    <w:rsid w:val="00E11639"/>
    <w:rsid w:val="00E24CAD"/>
    <w:rsid w:val="00E45375"/>
    <w:rsid w:val="00E557F1"/>
    <w:rsid w:val="00E81780"/>
    <w:rsid w:val="00E871B5"/>
    <w:rsid w:val="00E96146"/>
    <w:rsid w:val="00EA13AB"/>
    <w:rsid w:val="00EA48F4"/>
    <w:rsid w:val="00EA64CE"/>
    <w:rsid w:val="00EB63DA"/>
    <w:rsid w:val="00EB6573"/>
    <w:rsid w:val="00EC44BA"/>
    <w:rsid w:val="00EE71FF"/>
    <w:rsid w:val="00EF054D"/>
    <w:rsid w:val="00EF3658"/>
    <w:rsid w:val="00EF4E72"/>
    <w:rsid w:val="00EF750E"/>
    <w:rsid w:val="00F03B51"/>
    <w:rsid w:val="00F0732F"/>
    <w:rsid w:val="00F10879"/>
    <w:rsid w:val="00F31057"/>
    <w:rsid w:val="00F421FE"/>
    <w:rsid w:val="00F46C4C"/>
    <w:rsid w:val="00F476B7"/>
    <w:rsid w:val="00F52421"/>
    <w:rsid w:val="00F53334"/>
    <w:rsid w:val="00F536DC"/>
    <w:rsid w:val="00F566F6"/>
    <w:rsid w:val="00F61367"/>
    <w:rsid w:val="00F62D54"/>
    <w:rsid w:val="00F77412"/>
    <w:rsid w:val="00F870DD"/>
    <w:rsid w:val="00F950D4"/>
    <w:rsid w:val="00FA12BA"/>
    <w:rsid w:val="00FA26E1"/>
    <w:rsid w:val="00FB76E0"/>
    <w:rsid w:val="00FC2DE3"/>
    <w:rsid w:val="00FD327A"/>
    <w:rsid w:val="00FD5F11"/>
    <w:rsid w:val="00FE6D3D"/>
    <w:rsid w:val="00FF3B98"/>
    <w:rsid w:val="047C22A3"/>
    <w:rsid w:val="5DC1C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50D4"/>
    <w:pPr>
      <w:overflowPunct w:val="0"/>
      <w:autoSpaceDE w:val="0"/>
      <w:autoSpaceDN w:val="0"/>
      <w:adjustRightInd w:val="0"/>
      <w:textAlignment w:val="baseline"/>
    </w:pPr>
    <w:rPr>
      <w:rFonts w:ascii="Times New Roman" w:hAnsi="Times New Roman" w:eastAsia="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F950D4"/>
    <w:rPr>
      <w:rFonts w:ascii="Arial" w:hAnsi="Arial" w:eastAsia="Times New Roman"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styleId="BodyTextIndentChar" w:customStyle="1">
    <w:name w:val="Body Text Indent Char"/>
    <w:link w:val="BodyTextIndent"/>
    <w:semiHidden/>
    <w:rsid w:val="00F950D4"/>
    <w:rPr>
      <w:rFonts w:ascii="Arial" w:hAnsi="Arial" w:eastAsia="Times New Roman" w:cs="Arial"/>
      <w:sz w:val="24"/>
      <w:szCs w:val="20"/>
    </w:rPr>
  </w:style>
  <w:style w:type="paragraph" w:styleId="FootnoteText">
    <w:name w:val="footnote text"/>
    <w:basedOn w:val="Normal"/>
    <w:link w:val="FootnoteTextChar"/>
    <w:uiPriority w:val="99"/>
    <w:semiHidden/>
    <w:unhideWhenUsed/>
    <w:rsid w:val="00F950D4"/>
  </w:style>
  <w:style w:type="character" w:styleId="FootnoteTextChar" w:customStyle="1">
    <w:name w:val="Footnote Text Char"/>
    <w:link w:val="FootnoteText"/>
    <w:uiPriority w:val="99"/>
    <w:semiHidden/>
    <w:rsid w:val="00F950D4"/>
    <w:rPr>
      <w:rFonts w:ascii="Times New Roman" w:hAnsi="Times New Roman" w:eastAsia="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styleId="SignatureChar" w:customStyle="1">
    <w:name w:val="Signature Char"/>
    <w:uiPriority w:val="99"/>
    <w:semiHidden/>
    <w:rsid w:val="00F950D4"/>
    <w:rPr>
      <w:rFonts w:ascii="Times New Roman" w:hAnsi="Times New Roman" w:eastAsia="Times New Roman" w:cs="Times New Roman"/>
      <w:sz w:val="20"/>
      <w:szCs w:val="20"/>
    </w:rPr>
  </w:style>
  <w:style w:type="character" w:styleId="SignatureChar1" w:customStyle="1">
    <w:name w:val="Signature Char1"/>
    <w:link w:val="Signature"/>
    <w:rsid w:val="00F950D4"/>
    <w:rPr>
      <w:rFonts w:ascii="Times New Roman" w:hAnsi="Times New Roman" w:eastAsia="Times New Roman" w:cs="Times New Roman"/>
      <w:sz w:val="24"/>
      <w:szCs w:val="24"/>
    </w:rPr>
  </w:style>
  <w:style w:type="character" w:styleId="CommentReference">
    <w:name w:val="annotation reference"/>
    <w:unhideWhenUsed/>
    <w:rsid w:val="00F950D4"/>
    <w:rPr>
      <w:sz w:val="16"/>
      <w:szCs w:val="16"/>
    </w:rPr>
  </w:style>
  <w:style w:type="paragraph" w:styleId="CommentText">
    <w:name w:val="annotation text"/>
    <w:basedOn w:val="Normal"/>
    <w:link w:val="CommentTextChar"/>
    <w:unhideWhenUsed/>
    <w:rsid w:val="00F950D4"/>
  </w:style>
  <w:style w:type="character" w:styleId="CommentTextChar" w:customStyle="1">
    <w:name w:val="Comment Text Char"/>
    <w:link w:val="CommentText"/>
    <w:rsid w:val="00F950D4"/>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styleId="BalloonTextChar" w:customStyle="1">
    <w:name w:val="Balloon Text Char"/>
    <w:link w:val="BalloonText"/>
    <w:uiPriority w:val="99"/>
    <w:semiHidden/>
    <w:rsid w:val="00F950D4"/>
    <w:rPr>
      <w:rFonts w:ascii="Tahoma" w:hAnsi="Tahoma" w:eastAsia="Times New Roman"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styleId="HeaderChar" w:customStyle="1">
    <w:name w:val="Header Char"/>
    <w:link w:val="Header"/>
    <w:uiPriority w:val="99"/>
    <w:rsid w:val="001E1C53"/>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styleId="FooterChar" w:customStyle="1">
    <w:name w:val="Footer Char"/>
    <w:link w:val="Footer"/>
    <w:uiPriority w:val="99"/>
    <w:rsid w:val="001E1C5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styleId="CommentSubjectChar" w:customStyle="1">
    <w:name w:val="Comment Subject Char"/>
    <w:link w:val="CommentSubject"/>
    <w:uiPriority w:val="99"/>
    <w:semiHidden/>
    <w:rsid w:val="00723B91"/>
    <w:rPr>
      <w:rFonts w:ascii="Times New Roman" w:hAnsi="Times New Roman" w:eastAsia="Times New Roman" w:cs="Times New Roman"/>
      <w:b/>
      <w:bCs/>
      <w:sz w:val="20"/>
      <w:szCs w:val="20"/>
    </w:rPr>
  </w:style>
  <w:style w:type="character" w:styleId="LineNumber">
    <w:name w:val="line number"/>
    <w:basedOn w:val="DefaultParagraphFont"/>
    <w:uiPriority w:val="99"/>
    <w:semiHidden/>
    <w:unhideWhenUsed/>
    <w:rsid w:val="000C7817"/>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WUQRW3SEJQDQ-2105250395-5056</_dlc_DocId>
    <_dlc_DocIdUrl xmlns="d4a638c4-874f-49c0-bb2b-5cb8563c2b18">
      <Url>https://hudgov.sharepoint.com/sites/IHCF2/DEVL/pp/_layouts/15/DocIdRedir.aspx?ID=WUQRW3SEJQDQ-2105250395-5056</Url>
      <Description>WUQRW3SEJQDQ-2105250395-5056</Description>
    </_dlc_DocIdUrl>
  </documentManagement>
</p:properties>
</file>

<file path=customXml/itemProps1.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2.xml><?xml version="1.0" encoding="utf-8"?>
<ds:datastoreItem xmlns:ds="http://schemas.openxmlformats.org/officeDocument/2006/customXml" ds:itemID="{068492A4-8C16-4FFE-82CD-464DEF1F76FD}">
  <ds:schemaRefs>
    <ds:schemaRef ds:uri="http://schemas.microsoft.com/sharepoint/v3/contenttype/forms"/>
  </ds:schemaRefs>
</ds:datastoreItem>
</file>

<file path=customXml/itemProps3.xml><?xml version="1.0" encoding="utf-8"?>
<ds:datastoreItem xmlns:ds="http://schemas.openxmlformats.org/officeDocument/2006/customXml" ds:itemID="{12259EF1-7B36-4F30-B987-21204CBBF6E0}">
  <ds:schemaRefs>
    <ds:schemaRef ds:uri="http://schemas.microsoft.com/sharepoint/events"/>
  </ds:schemaRefs>
</ds:datastoreItem>
</file>

<file path=customXml/itemProps4.xml><?xml version="1.0" encoding="utf-8"?>
<ds:datastoreItem xmlns:ds="http://schemas.openxmlformats.org/officeDocument/2006/customXml" ds:itemID="{0DD94ACA-04E6-4B33-84D9-63BFFA52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903AF9-40C6-40DA-A6DA-E30E67B76088}">
  <ds:schemaRefs>
    <ds:schemaRef ds:uri="http://schemas.openxmlformats.org/officeDocument/2006/bibliography"/>
  </ds:schemaRefs>
</ds:datastoreItem>
</file>

<file path=customXml/itemProps6.xml><?xml version="1.0" encoding="utf-8"?>
<ds:datastoreItem xmlns:ds="http://schemas.openxmlformats.org/officeDocument/2006/customXml" ds:itemID="{F5EB13DB-2B98-4787-872E-B566B75F4EC3}">
  <ds:schemaRefs>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2018-02-02T16:00:00.0000000Z</dcterms:created>
  <dcterms:modified xsi:type="dcterms:W3CDTF">2022-08-09T19:15:10.1943388Z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HUDIHCF2-29-3103</vt:lpwstr>
  </property>
  <property fmtid="{D5CDD505-2E9C-101B-9397-08002B2CF9AE}" pid="3" name="_dlc_DocIdItemGuid">
    <vt:lpwstr>711d4915-90c3-4ae9-8d6a-75190e22cbc9</vt:lpwstr>
  </property>
  <property fmtid="{D5CDD505-2E9C-101B-9397-08002B2CF9AE}" pid="4" name="_dlc_DocIdUrl">
    <vt:lpwstr>http://hudsharepoint.hud.gov/sites/IHCF2/DEVL/pp/_layouts/DocIdRedir.aspx?ID=HUDIHCF2-29-3103, HUDIHCF2-29-3103</vt:lpwstr>
  </property>
  <property fmtid="{D5CDD505-2E9C-101B-9397-08002B2CF9AE}" pid="5" name="ContentTypeId">
    <vt:lpwstr>0x0101009BC1C42CB733FD42B046A8748BFD9BD3</vt:lpwstr>
  </property>
</Properties>
</file>