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63A4" w:rsidRPr="00483FED" w:rsidP="007763A4" w14:paraId="15DD7543" w14:textId="77777777">
      <w:pPr>
        <w:widowControl w:val="0"/>
        <w:tabs>
          <w:tab w:val="center" w:pos="4680"/>
        </w:tabs>
        <w:jc w:val="center"/>
        <w:rPr>
          <w:b/>
          <w:szCs w:val="24"/>
        </w:rPr>
      </w:pPr>
      <w:r w:rsidRPr="00483FED">
        <w:rPr>
          <w:szCs w:val="24"/>
        </w:rPr>
        <w:fldChar w:fldCharType="begin"/>
      </w:r>
      <w:r w:rsidRPr="00483FED">
        <w:rPr>
          <w:szCs w:val="24"/>
        </w:rPr>
        <w:instrText xml:space="preserve"> SEQ CHAPTER \h \r 1</w:instrText>
      </w:r>
      <w:r w:rsidR="00735D44">
        <w:rPr>
          <w:szCs w:val="24"/>
        </w:rPr>
        <w:fldChar w:fldCharType="separate"/>
      </w:r>
      <w:r w:rsidRPr="00483FED">
        <w:rPr>
          <w:szCs w:val="24"/>
        </w:rPr>
        <w:fldChar w:fldCharType="end"/>
      </w:r>
      <w:r w:rsidRPr="008A5B6D">
        <w:rPr>
          <w:szCs w:val="24"/>
        </w:rPr>
        <w:fldChar w:fldCharType="begin"/>
      </w:r>
      <w:r w:rsidRPr="008A5B6D">
        <w:rPr>
          <w:szCs w:val="24"/>
        </w:rPr>
        <w:instrText xml:space="preserve"> SEQ CHAPTER \h \r 1</w:instrText>
      </w:r>
      <w:r w:rsidR="00735D44">
        <w:rPr>
          <w:szCs w:val="24"/>
        </w:rPr>
        <w:fldChar w:fldCharType="separate"/>
      </w:r>
      <w:r w:rsidRPr="008A5B6D">
        <w:rPr>
          <w:szCs w:val="24"/>
        </w:rPr>
        <w:fldChar w:fldCharType="end"/>
      </w:r>
      <w:r w:rsidRPr="008A5B6D">
        <w:rPr>
          <w:szCs w:val="24"/>
        </w:rPr>
        <w:fldChar w:fldCharType="begin"/>
      </w:r>
      <w:r w:rsidRPr="008A5B6D">
        <w:rPr>
          <w:szCs w:val="24"/>
        </w:rPr>
        <w:instrText xml:space="preserve"> SEQ CHAPTER \h \r 1</w:instrText>
      </w:r>
      <w:r w:rsidR="00735D44">
        <w:rPr>
          <w:szCs w:val="24"/>
        </w:rPr>
        <w:fldChar w:fldCharType="separate"/>
      </w:r>
      <w:r w:rsidRPr="008A5B6D">
        <w:rPr>
          <w:szCs w:val="24"/>
        </w:rPr>
        <w:fldChar w:fldCharType="end"/>
      </w:r>
      <w:r w:rsidRPr="008A5B6D">
        <w:rPr>
          <w:szCs w:val="24"/>
        </w:rPr>
        <w:fldChar w:fldCharType="begin"/>
      </w:r>
      <w:r w:rsidRPr="008A5B6D">
        <w:rPr>
          <w:szCs w:val="24"/>
        </w:rPr>
        <w:instrText xml:space="preserve"> SEQ CHAPTER \h \r 1</w:instrText>
      </w:r>
      <w:r w:rsidR="00735D44">
        <w:rPr>
          <w:szCs w:val="24"/>
        </w:rPr>
        <w:fldChar w:fldCharType="separate"/>
      </w:r>
      <w:r w:rsidRPr="008A5B6D">
        <w:rPr>
          <w:szCs w:val="24"/>
        </w:rPr>
        <w:fldChar w:fldCharType="end"/>
      </w:r>
      <w:r w:rsidRPr="00483FED">
        <w:rPr>
          <w:b/>
          <w:szCs w:val="24"/>
        </w:rPr>
        <w:t>FEDERAL RAILROAD ADMINISTRATION</w:t>
      </w:r>
    </w:p>
    <w:p w:rsidR="007763A4" w:rsidRPr="008A5B6D" w:rsidP="007763A4" w14:paraId="6BE840D6" w14:textId="77777777">
      <w:pPr>
        <w:widowControl w:val="0"/>
        <w:tabs>
          <w:tab w:val="center" w:pos="4680"/>
        </w:tabs>
        <w:jc w:val="center"/>
        <w:rPr>
          <w:b/>
          <w:bCs/>
          <w:szCs w:val="24"/>
        </w:rPr>
      </w:pPr>
      <w:r w:rsidRPr="008A5B6D">
        <w:rPr>
          <w:b/>
          <w:bCs/>
          <w:szCs w:val="24"/>
        </w:rPr>
        <w:t xml:space="preserve">Use of Locomotive Horns at Highway-Rail Grade Crossings </w:t>
      </w:r>
    </w:p>
    <w:p w:rsidR="007763A4" w:rsidRPr="008A5B6D" w:rsidP="007763A4" w14:paraId="480C461B" w14:textId="77777777">
      <w:pPr>
        <w:widowControl w:val="0"/>
        <w:tabs>
          <w:tab w:val="center" w:pos="4680"/>
        </w:tabs>
        <w:jc w:val="center"/>
        <w:rPr>
          <w:b/>
          <w:szCs w:val="24"/>
        </w:rPr>
      </w:pPr>
      <w:r w:rsidRPr="008A5B6D">
        <w:rPr>
          <w:b/>
          <w:szCs w:val="24"/>
        </w:rPr>
        <w:t>(Title 49 Code of Federal Regulations (CFR) Part 222)</w:t>
      </w:r>
    </w:p>
    <w:p w:rsidR="007763A4" w:rsidRPr="008A5B6D" w:rsidP="007763A4" w14:paraId="19EA5719" w14:textId="77777777">
      <w:pPr>
        <w:widowControl w:val="0"/>
        <w:jc w:val="center"/>
        <w:rPr>
          <w:b/>
          <w:szCs w:val="24"/>
        </w:rPr>
      </w:pPr>
      <w:r w:rsidRPr="008A5B6D">
        <w:rPr>
          <w:b/>
          <w:szCs w:val="24"/>
        </w:rPr>
        <w:t>SUPPORTING JUSTIFICATION</w:t>
      </w:r>
    </w:p>
    <w:p w:rsidR="007763A4" w:rsidRPr="008A5B6D" w:rsidP="007763A4" w14:paraId="4E1C1307" w14:textId="77777777">
      <w:pPr>
        <w:widowControl w:val="0"/>
        <w:jc w:val="center"/>
        <w:rPr>
          <w:b/>
          <w:szCs w:val="24"/>
        </w:rPr>
      </w:pPr>
      <w:r w:rsidRPr="008A5B6D">
        <w:rPr>
          <w:b/>
          <w:szCs w:val="24"/>
        </w:rPr>
        <w:t>OMB Control No. 2130-0560</w:t>
      </w:r>
    </w:p>
    <w:p w:rsidR="007763A4" w:rsidRPr="008A5B6D" w:rsidP="007763A4" w14:paraId="2612CF2F" w14:textId="77777777">
      <w:pPr>
        <w:widowControl w:val="0"/>
        <w:rPr>
          <w:b/>
          <w:szCs w:val="24"/>
        </w:rPr>
      </w:pPr>
    </w:p>
    <w:p w:rsidR="007763A4" w:rsidRPr="008A5B6D" w:rsidP="007763A4" w14:paraId="3AA2F72C" w14:textId="77777777">
      <w:pPr>
        <w:widowControl w:val="0"/>
        <w:ind w:left="720"/>
        <w:rPr>
          <w:szCs w:val="24"/>
          <w:u w:val="single"/>
        </w:rPr>
      </w:pPr>
      <w:r w:rsidRPr="008A5B6D">
        <w:rPr>
          <w:szCs w:val="24"/>
          <w:u w:val="single"/>
        </w:rPr>
        <w:t>Summary of Submission</w:t>
      </w:r>
    </w:p>
    <w:p w:rsidR="007763A4" w:rsidRPr="008A5B6D" w:rsidP="007763A4" w14:paraId="18F11633" w14:textId="77777777">
      <w:pPr>
        <w:widowControl w:val="0"/>
        <w:ind w:left="720"/>
        <w:rPr>
          <w:szCs w:val="24"/>
          <w:u w:val="single"/>
        </w:rPr>
      </w:pPr>
    </w:p>
    <w:p w:rsidR="007763A4" w:rsidRPr="00B663C0" w:rsidP="00B663C0" w14:paraId="72A49A8F" w14:textId="51CBDC3E">
      <w:pPr>
        <w:pStyle w:val="ListParagraph"/>
        <w:numPr>
          <w:ilvl w:val="0"/>
          <w:numId w:val="10"/>
        </w:numPr>
      </w:pPr>
      <w:r w:rsidRPr="00B663C0">
        <w:t xml:space="preserve">This submission is a </w:t>
      </w:r>
      <w:r w:rsidRPr="00B663C0" w:rsidR="00FD77F5">
        <w:t xml:space="preserve">revision of the last three-year approval </w:t>
      </w:r>
      <w:r w:rsidRPr="00B663C0">
        <w:t xml:space="preserve">granted by the Office of Management and Budget (OMB) on </w:t>
      </w:r>
      <w:r w:rsidRPr="00B663C0" w:rsidR="008A425A">
        <w:t>November 9, 2022</w:t>
      </w:r>
      <w:r w:rsidRPr="00B663C0">
        <w:t xml:space="preserve">, </w:t>
      </w:r>
      <w:r w:rsidRPr="00B663C0" w:rsidR="00216EC2">
        <w:t xml:space="preserve">with an expiration date </w:t>
      </w:r>
      <w:r w:rsidR="35077F1F">
        <w:t>of</w:t>
      </w:r>
      <w:r w:rsidRPr="00B663C0" w:rsidR="00216EC2">
        <w:t xml:space="preserve"> November 30, 2025. </w:t>
      </w:r>
    </w:p>
    <w:p w:rsidR="00FD77F5" w:rsidRPr="00B663C0" w:rsidP="00B663C0" w14:paraId="7ABF5399" w14:textId="77777777"/>
    <w:p w:rsidR="007763A4" w:rsidRPr="00B663C0" w:rsidP="00B663C0" w14:paraId="2FCA5690" w14:textId="6A576D89">
      <w:pPr>
        <w:pStyle w:val="ListParagraph"/>
        <w:numPr>
          <w:ilvl w:val="0"/>
          <w:numId w:val="10"/>
        </w:numPr>
      </w:pPr>
      <w:r w:rsidRPr="00B663C0">
        <w:t>The Federal Railroad Administration (</w:t>
      </w:r>
      <w:r w:rsidRPr="00B663C0" w:rsidR="00216EC2">
        <w:t>hereafter “</w:t>
      </w:r>
      <w:r w:rsidRPr="00B663C0">
        <w:t>FRA</w:t>
      </w:r>
      <w:r w:rsidRPr="00B663C0" w:rsidR="00216EC2">
        <w:t>” or “the Agency”</w:t>
      </w:r>
      <w:r w:rsidRPr="00B663C0">
        <w:t xml:space="preserve">) published </w:t>
      </w:r>
      <w:r w:rsidRPr="00B663C0" w:rsidR="00FD77F5">
        <w:t>the</w:t>
      </w:r>
      <w:r w:rsidRPr="00B663C0" w:rsidR="00216EC2">
        <w:t xml:space="preserve"> </w:t>
      </w:r>
      <w:r w:rsidRPr="00B663C0">
        <w:t>required 60-day</w:t>
      </w:r>
      <w:r w:rsidRPr="00B663C0" w:rsidR="00216EC2">
        <w:t xml:space="preserve"> Notice in the</w:t>
      </w:r>
      <w:r w:rsidRPr="00B663C0">
        <w:t xml:space="preserve"> </w:t>
      </w:r>
      <w:r w:rsidRPr="00CB76AC">
        <w:rPr>
          <w:u w:val="single"/>
        </w:rPr>
        <w:t>Federal Register</w:t>
      </w:r>
      <w:r w:rsidRPr="00B663C0">
        <w:t xml:space="preserve"> on </w:t>
      </w:r>
      <w:r w:rsidR="00C02B74">
        <w:t>August 8</w:t>
      </w:r>
      <w:r w:rsidRPr="00CB76AC" w:rsidR="00216EC2">
        <w:t>, 2025</w:t>
      </w:r>
      <w:r w:rsidR="00224D9A">
        <w:t>.</w:t>
      </w:r>
      <w:r w:rsidRPr="00B663C0" w:rsidR="008A425A">
        <w:t xml:space="preserve"> </w:t>
      </w:r>
      <w:r w:rsidRPr="00B663C0" w:rsidR="009C090A">
        <w:t xml:space="preserve"> </w:t>
      </w:r>
      <w:r w:rsidRPr="00B663C0">
        <w:t xml:space="preserve">See </w:t>
      </w:r>
      <w:r w:rsidRPr="00B663C0" w:rsidR="00216EC2">
        <w:t>90</w:t>
      </w:r>
      <w:r w:rsidRPr="00B663C0">
        <w:t xml:space="preserve"> FR </w:t>
      </w:r>
      <w:r w:rsidR="00C02B74">
        <w:t>38586</w:t>
      </w:r>
      <w:r w:rsidRPr="00B663C0" w:rsidR="009C090A">
        <w:t xml:space="preserve">. </w:t>
      </w:r>
      <w:r w:rsidR="7288CD7C">
        <w:t xml:space="preserve"> </w:t>
      </w:r>
      <w:r w:rsidRPr="00B663C0">
        <w:t xml:space="preserve">FRA received </w:t>
      </w:r>
      <w:r w:rsidRPr="00CB76AC" w:rsidR="008E18D4">
        <w:t>no</w:t>
      </w:r>
      <w:r w:rsidRPr="00B663C0" w:rsidR="008A425A">
        <w:t xml:space="preserve"> </w:t>
      </w:r>
      <w:r w:rsidRPr="00B663C0">
        <w:t>comments in response to this Notice</w:t>
      </w:r>
      <w:r w:rsidRPr="00B663C0" w:rsidR="009C090A">
        <w:t xml:space="preserve">. </w:t>
      </w:r>
    </w:p>
    <w:p w:rsidR="007763A4" w:rsidRPr="00B663C0" w:rsidP="00B663C0" w14:paraId="00679A79" w14:textId="77777777"/>
    <w:p w:rsidR="007763A4" w:rsidRPr="00B663C0" w:rsidP="00B663C0" w14:paraId="219DC45D" w14:textId="371210A3">
      <w:pPr>
        <w:pStyle w:val="ListParagraph"/>
        <w:numPr>
          <w:ilvl w:val="0"/>
          <w:numId w:val="10"/>
        </w:numPr>
      </w:pPr>
      <w:r w:rsidRPr="00B663C0">
        <w:t>Overall, the adjust</w:t>
      </w:r>
      <w:r w:rsidRPr="00B663C0" w:rsidR="00216EC2">
        <w:t xml:space="preserve">ed estimates </w:t>
      </w:r>
      <w:r w:rsidRPr="00B663C0">
        <w:t xml:space="preserve">decreased the </w:t>
      </w:r>
      <w:r w:rsidRPr="00B663C0" w:rsidR="008B7227">
        <w:t xml:space="preserve">total annual </w:t>
      </w:r>
      <w:r w:rsidRPr="00B663C0">
        <w:t xml:space="preserve">burden by </w:t>
      </w:r>
      <w:r w:rsidRPr="00B663C0" w:rsidR="008B7227">
        <w:t>2</w:t>
      </w:r>
      <w:r w:rsidRPr="00B663C0" w:rsidR="00CC1F56">
        <w:t>1</w:t>
      </w:r>
      <w:r w:rsidRPr="00B663C0">
        <w:t xml:space="preserve"> hours and responses by </w:t>
      </w:r>
      <w:r w:rsidRPr="00B663C0" w:rsidR="008A425A">
        <w:t>84</w:t>
      </w:r>
      <w:r w:rsidRPr="00B663C0" w:rsidR="00216EC2">
        <w:t>.</w:t>
      </w:r>
      <w:r w:rsidRPr="00B663C0">
        <w:t xml:space="preserve"> </w:t>
      </w:r>
      <w:r w:rsidRPr="00B663C0" w:rsidR="002D1DF6">
        <w:t xml:space="preserve"> </w:t>
      </w:r>
      <w:r w:rsidRPr="00B663C0">
        <w:t xml:space="preserve"> </w:t>
      </w:r>
    </w:p>
    <w:p w:rsidR="007763A4" w:rsidRPr="00B663C0" w:rsidP="00B663C0" w14:paraId="3C82E44D" w14:textId="77777777"/>
    <w:p w:rsidR="007763A4" w:rsidRPr="00B663C0" w:rsidP="00B663C0" w14:paraId="047D2EE6" w14:textId="72E1CE80">
      <w:pPr>
        <w:pStyle w:val="ListParagraph"/>
        <w:numPr>
          <w:ilvl w:val="0"/>
          <w:numId w:val="10"/>
        </w:numPr>
      </w:pPr>
      <w:r w:rsidRPr="00B663C0">
        <w:t>The answer to question number 12 itemizes all information collection requirements</w:t>
      </w:r>
      <w:r w:rsidRPr="00B663C0" w:rsidR="009C090A">
        <w:t xml:space="preserve">. </w:t>
      </w:r>
    </w:p>
    <w:p w:rsidR="00F54593" w:rsidRPr="00B663C0" w:rsidP="00B663C0" w14:paraId="0E3CFC82" w14:textId="5E536B5D">
      <w:r w:rsidRPr="00B663C0">
        <w:fldChar w:fldCharType="begin"/>
      </w:r>
      <w:r w:rsidRPr="00B663C0">
        <w:instrText xml:space="preserve"> SEQ CHAPTER \h \r 1</w:instrText>
      </w:r>
      <w:r w:rsidR="00735D44">
        <w:fldChar w:fldCharType="separate"/>
      </w:r>
      <w:r w:rsidRPr="00B663C0">
        <w:fldChar w:fldCharType="end"/>
      </w:r>
      <w:r w:rsidRPr="00B663C0">
        <w:tab/>
      </w:r>
    </w:p>
    <w:p w:rsidR="00F54593" w:rsidRPr="008A5B6D" w:rsidP="00F54593" w14:paraId="54AFB90E" w14:textId="77777777">
      <w:pPr>
        <w:widowControl w:val="0"/>
        <w:numPr>
          <w:ilvl w:val="0"/>
          <w:numId w:val="6"/>
        </w:numPr>
        <w:ind w:left="0" w:firstLine="0"/>
        <w:rPr>
          <w:b/>
          <w:szCs w:val="24"/>
        </w:rPr>
      </w:pPr>
      <w:r w:rsidRPr="008A5B6D">
        <w:rPr>
          <w:b/>
          <w:szCs w:val="24"/>
          <w:u w:val="single"/>
        </w:rPr>
        <w:t>Circumstances that make collection of the information necessary</w:t>
      </w:r>
      <w:r w:rsidRPr="008A5B6D">
        <w:rPr>
          <w:b/>
          <w:szCs w:val="24"/>
        </w:rPr>
        <w:t>.</w:t>
      </w:r>
    </w:p>
    <w:p w:rsidR="00F54593" w:rsidRPr="008A5B6D" w14:paraId="745B1FE8" w14:textId="77777777">
      <w:pPr>
        <w:widowControl w:val="0"/>
        <w:tabs>
          <w:tab w:val="center" w:pos="4680"/>
        </w:tabs>
        <w:rPr>
          <w:b/>
          <w:szCs w:val="24"/>
        </w:rPr>
      </w:pPr>
    </w:p>
    <w:p w:rsidR="004C606E" w:rsidRPr="008A5B6D" w14:paraId="1D2B76B7" w14:textId="04391938">
      <w:pPr>
        <w:widowControl w:val="0"/>
        <w:ind w:left="720"/>
      </w:pPr>
      <w:r>
        <w:t>On November 2, 1994, Congress passed Public Law 103-440 (“Act”)</w:t>
      </w:r>
      <w:r w:rsidR="00B8320A">
        <w:t>,</w:t>
      </w:r>
      <w:r>
        <w:t xml:space="preserve"> which added section 20153 to title 49 of the United States Code (</w:t>
      </w:r>
      <w:r w:rsidR="00DB4803">
        <w:t>U.S.C.</w:t>
      </w:r>
      <w:r>
        <w:t xml:space="preserve">). </w:t>
      </w:r>
      <w:r w:rsidR="00804C94">
        <w:t xml:space="preserve"> </w:t>
      </w:r>
      <w:r>
        <w:t>Subsections (</w:t>
      </w:r>
      <w:r w:rsidR="0066522A">
        <w:t>i</w:t>
      </w:r>
      <w:r>
        <w:t>) and (j) were added on October 9, 1996</w:t>
      </w:r>
      <w:r w:rsidR="00D20B81">
        <w:t>,</w:t>
      </w:r>
      <w:r>
        <w:t xml:space="preserve"> when section 20153 was amended by Public Law 104-264. </w:t>
      </w:r>
      <w:r w:rsidR="00464299">
        <w:t>Section 20153</w:t>
      </w:r>
      <w:r>
        <w:t xml:space="preserve"> require</w:t>
      </w:r>
      <w:r w:rsidR="00424A82">
        <w:t>d</w:t>
      </w:r>
      <w:r w:rsidR="00CB70D4">
        <w:t xml:space="preserve"> </w:t>
      </w:r>
      <w:r w:rsidR="00AC3BDF">
        <w:t xml:space="preserve">that </w:t>
      </w:r>
      <w:r w:rsidR="00CB70D4">
        <w:t>the Secretary of Transportation prescribe regulations requiring that locomotive horn</w:t>
      </w:r>
      <w:r w:rsidR="00385930">
        <w:t>s</w:t>
      </w:r>
      <w:r w:rsidR="00CB70D4">
        <w:t xml:space="preserve"> be sounded </w:t>
      </w:r>
      <w:r w:rsidR="00C46A7F">
        <w:t>by</w:t>
      </w:r>
      <w:r w:rsidR="00F97E50">
        <w:t xml:space="preserve"> trains approaching and entering public highway-rail grade crossing</w:t>
      </w:r>
      <w:r w:rsidR="00385930">
        <w:t>s</w:t>
      </w:r>
      <w:r w:rsidR="007A7638">
        <w:t xml:space="preserve">.  FRA also was granted </w:t>
      </w:r>
      <w:r>
        <w:t>the authority to make reasonable exceptions</w:t>
      </w:r>
      <w:r w:rsidR="00F97E50">
        <w:t xml:space="preserve"> to this requirement</w:t>
      </w:r>
      <w:r>
        <w:t>.</w:t>
      </w:r>
      <w:r w:rsidR="00D20B81">
        <w:t xml:space="preserve">  </w:t>
      </w:r>
      <w:r w:rsidR="00B01047">
        <w:t xml:space="preserve">The </w:t>
      </w:r>
      <w:r w:rsidR="00C40726">
        <w:t>regulatory</w:t>
      </w:r>
      <w:r w:rsidR="00B01047">
        <w:t xml:space="preserve"> requirements pertaining to the use of locomotive horns at </w:t>
      </w:r>
      <w:r w:rsidR="002076B1">
        <w:t xml:space="preserve">public </w:t>
      </w:r>
      <w:r w:rsidR="00B01047">
        <w:t>highway-rail grade crossings</w:t>
      </w:r>
      <w:r w:rsidR="00C75996">
        <w:t xml:space="preserve"> are codified in </w:t>
      </w:r>
      <w:r w:rsidR="00FA14BC">
        <w:t xml:space="preserve">title </w:t>
      </w:r>
      <w:r w:rsidR="00B01047">
        <w:t xml:space="preserve">49 </w:t>
      </w:r>
      <w:r w:rsidR="00FA14BC">
        <w:t>of the Code of Federal Regulations (</w:t>
      </w:r>
      <w:r w:rsidR="00B01047">
        <w:t>CFR</w:t>
      </w:r>
      <w:r w:rsidR="49665DC1">
        <w:t>)</w:t>
      </w:r>
      <w:r w:rsidR="00C75996">
        <w:t xml:space="preserve"> part</w:t>
      </w:r>
      <w:r w:rsidR="00B01047">
        <w:t xml:space="preserve"> 222</w:t>
      </w:r>
      <w:r w:rsidR="00C75996">
        <w:t>.</w:t>
      </w:r>
    </w:p>
    <w:p w:rsidR="004C606E" w:rsidRPr="008A5B6D" w14:paraId="6755D3CC" w14:textId="62AB19EA">
      <w:pPr>
        <w:widowControl w:val="0"/>
        <w:ind w:left="720"/>
        <w:rPr>
          <w:szCs w:val="24"/>
        </w:rPr>
      </w:pPr>
    </w:p>
    <w:p w:rsidR="007763A4" w:rsidRPr="008A5B6D" w:rsidP="004C606E" w14:paraId="14B88343" w14:textId="24845DEC">
      <w:pPr>
        <w:widowControl w:val="0"/>
        <w:ind w:left="720"/>
        <w:rPr>
          <w:szCs w:val="24"/>
        </w:rPr>
      </w:pPr>
      <w:r>
        <w:rPr>
          <w:szCs w:val="24"/>
        </w:rPr>
        <w:t xml:space="preserve">Title </w:t>
      </w:r>
      <w:r w:rsidR="002076B1">
        <w:rPr>
          <w:szCs w:val="24"/>
        </w:rPr>
        <w:t xml:space="preserve">49 CFR </w:t>
      </w:r>
      <w:r w:rsidR="00A36783">
        <w:rPr>
          <w:szCs w:val="24"/>
        </w:rPr>
        <w:t>§</w:t>
      </w:r>
      <w:r w:rsidRPr="008A5B6D" w:rsidR="00305B21">
        <w:rPr>
          <w:szCs w:val="24"/>
        </w:rPr>
        <w:t xml:space="preserve"> 222.33 provides that a railroad operating over a public highway-rail grade crossing may, at its discretion, choose not to sound the locomotive horn if the locomotive speed is 15 miles per hour </w:t>
      </w:r>
      <w:r w:rsidR="002D2E40">
        <w:rPr>
          <w:szCs w:val="24"/>
        </w:rPr>
        <w:t xml:space="preserve">(mph) </w:t>
      </w:r>
      <w:r w:rsidRPr="008A5B6D" w:rsidR="00305B21">
        <w:rPr>
          <w:szCs w:val="24"/>
        </w:rPr>
        <w:t>or less and the train crew or appropriately equipped flaggers provide warning</w:t>
      </w:r>
      <w:r w:rsidR="00492408">
        <w:rPr>
          <w:szCs w:val="24"/>
        </w:rPr>
        <w:t>s</w:t>
      </w:r>
      <w:r w:rsidRPr="008A5B6D" w:rsidR="00305B21">
        <w:rPr>
          <w:szCs w:val="24"/>
        </w:rPr>
        <w:t xml:space="preserve"> to motorists. </w:t>
      </w:r>
      <w:r w:rsidR="00D20B81">
        <w:rPr>
          <w:szCs w:val="24"/>
        </w:rPr>
        <w:t xml:space="preserve"> </w:t>
      </w:r>
      <w:r w:rsidRPr="008A5B6D" w:rsidR="00305B21">
        <w:rPr>
          <w:szCs w:val="24"/>
        </w:rPr>
        <w:t>FRA has determined that these limited types of rail operations do not present a significant risk of loss of life or serious personal injury.</w:t>
      </w:r>
    </w:p>
    <w:p w:rsidR="007763A4" w:rsidRPr="008A5B6D" w:rsidP="004C606E" w14:paraId="0F5D0D38" w14:textId="4BB08F1A">
      <w:pPr>
        <w:widowControl w:val="0"/>
        <w:ind w:left="720"/>
        <w:rPr>
          <w:szCs w:val="24"/>
        </w:rPr>
      </w:pPr>
    </w:p>
    <w:p w:rsidR="00C00E41" w:rsidP="004C606E" w14:paraId="6E40154A" w14:textId="0513EEE5">
      <w:pPr>
        <w:widowControl w:val="0"/>
        <w:ind w:left="720"/>
        <w:rPr>
          <w:szCs w:val="24"/>
        </w:rPr>
      </w:pPr>
      <w:r>
        <w:rPr>
          <w:szCs w:val="24"/>
        </w:rPr>
        <w:t xml:space="preserve">As </w:t>
      </w:r>
      <w:r w:rsidR="00FA0C0E">
        <w:rPr>
          <w:szCs w:val="24"/>
        </w:rPr>
        <w:t xml:space="preserve">governed by </w:t>
      </w:r>
      <w:r w:rsidR="00A36783">
        <w:rPr>
          <w:szCs w:val="24"/>
        </w:rPr>
        <w:t>§§</w:t>
      </w:r>
      <w:r w:rsidR="00392DC5">
        <w:rPr>
          <w:szCs w:val="24"/>
        </w:rPr>
        <w:t xml:space="preserve"> 222.35 through</w:t>
      </w:r>
      <w:r w:rsidR="00512C12">
        <w:rPr>
          <w:szCs w:val="24"/>
        </w:rPr>
        <w:t xml:space="preserve"> 222.59, l</w:t>
      </w:r>
      <w:r w:rsidRPr="008A5B6D" w:rsidR="00305B21">
        <w:rPr>
          <w:szCs w:val="24"/>
        </w:rPr>
        <w:t xml:space="preserve">ocomotive horn sounding is also not required within </w:t>
      </w:r>
      <w:r w:rsidR="006F58C9">
        <w:rPr>
          <w:szCs w:val="24"/>
        </w:rPr>
        <w:t>quiet zones</w:t>
      </w:r>
      <w:r w:rsidRPr="008A5B6D" w:rsidR="00305B21">
        <w:rPr>
          <w:szCs w:val="24"/>
        </w:rPr>
        <w:t xml:space="preserve"> that are equipped with supplementary safety measures (SSMs) at each public highway-rail grade crossing. </w:t>
      </w:r>
      <w:r w:rsidR="00D20B81">
        <w:rPr>
          <w:szCs w:val="24"/>
        </w:rPr>
        <w:t xml:space="preserve"> </w:t>
      </w:r>
      <w:r w:rsidRPr="008A5B6D" w:rsidR="00305B21">
        <w:rPr>
          <w:szCs w:val="24"/>
        </w:rPr>
        <w:t xml:space="preserve">In addition, locomotive horn sounding is not required within </w:t>
      </w:r>
      <w:r w:rsidR="006F58C9">
        <w:rPr>
          <w:szCs w:val="24"/>
        </w:rPr>
        <w:t>quiet zones</w:t>
      </w:r>
      <w:r w:rsidRPr="008A5B6D" w:rsidR="00305B21">
        <w:rPr>
          <w:szCs w:val="24"/>
        </w:rPr>
        <w:t xml:space="preserve"> that have a Quiet Zone Risk Index at or below the </w:t>
      </w:r>
      <w:r w:rsidRPr="008A5B6D" w:rsidR="00305B21">
        <w:rPr>
          <w:szCs w:val="24"/>
        </w:rPr>
        <w:t xml:space="preserve">Nationwide Significant Risk Threshold or the Risk Index </w:t>
      </w:r>
      <w:r w:rsidRPr="008A5B6D" w:rsidR="000A273B">
        <w:rPr>
          <w:szCs w:val="24"/>
        </w:rPr>
        <w:t>with</w:t>
      </w:r>
      <w:r w:rsidRPr="008A5B6D" w:rsidR="00305B21">
        <w:rPr>
          <w:szCs w:val="24"/>
        </w:rPr>
        <w:t xml:space="preserve"> Horns. </w:t>
      </w:r>
      <w:r w:rsidR="00D20B81">
        <w:rPr>
          <w:szCs w:val="24"/>
        </w:rPr>
        <w:t xml:space="preserve"> </w:t>
      </w:r>
      <w:r w:rsidRPr="008A5B6D" w:rsidR="00305B21">
        <w:rPr>
          <w:szCs w:val="24"/>
        </w:rPr>
        <w:t xml:space="preserve">These highway-rail grade crossing corridors have been deemed, by the Administrator, to constitute categories of highway-rail grade crossings that do not present a significant risk with respect to loss of life or serious personal injury or that fully compensate for the absence of the warning provided by the locomotive horn. </w:t>
      </w:r>
      <w:r w:rsidR="00D20B81">
        <w:rPr>
          <w:szCs w:val="24"/>
        </w:rPr>
        <w:t xml:space="preserve"> </w:t>
      </w:r>
      <w:r w:rsidRPr="008A5B6D" w:rsidR="00305B21">
        <w:rPr>
          <w:szCs w:val="24"/>
        </w:rPr>
        <w:t xml:space="preserve">Therefore, communities with highway-rail grade crossing corridors that meet either of these standards may silence </w:t>
      </w:r>
      <w:r w:rsidR="00503A8B">
        <w:rPr>
          <w:szCs w:val="24"/>
        </w:rPr>
        <w:t xml:space="preserve">routine sounding of </w:t>
      </w:r>
      <w:r w:rsidRPr="008A5B6D" w:rsidR="00305B21">
        <w:rPr>
          <w:szCs w:val="24"/>
        </w:rPr>
        <w:t xml:space="preserve">the locomotive horn </w:t>
      </w:r>
      <w:r w:rsidR="00503A8B">
        <w:rPr>
          <w:szCs w:val="24"/>
        </w:rPr>
        <w:t xml:space="preserve">at grade crossings </w:t>
      </w:r>
      <w:r w:rsidRPr="008A5B6D" w:rsidR="00305B21">
        <w:rPr>
          <w:szCs w:val="24"/>
        </w:rPr>
        <w:t xml:space="preserve">within the crossing </w:t>
      </w:r>
      <w:r w:rsidRPr="008A5B6D" w:rsidR="000A273B">
        <w:rPr>
          <w:szCs w:val="24"/>
        </w:rPr>
        <w:t xml:space="preserve">corridor </w:t>
      </w:r>
      <w:r w:rsidR="00E522E5">
        <w:rPr>
          <w:szCs w:val="24"/>
        </w:rPr>
        <w:t xml:space="preserve">by establishing a quiet zone </w:t>
      </w:r>
      <w:r w:rsidRPr="008A5B6D" w:rsidR="000A273B">
        <w:rPr>
          <w:szCs w:val="24"/>
        </w:rPr>
        <w:t>if</w:t>
      </w:r>
      <w:r w:rsidRPr="008A5B6D" w:rsidR="00305B21">
        <w:rPr>
          <w:szCs w:val="24"/>
        </w:rPr>
        <w:t xml:space="preserve"> all other applicable quiet zone requirements have been met.</w:t>
      </w:r>
      <w:r w:rsidR="00D20B81">
        <w:rPr>
          <w:szCs w:val="24"/>
        </w:rPr>
        <w:t xml:space="preserve"> </w:t>
      </w:r>
      <w:r w:rsidRPr="008A5B6D" w:rsidR="00305B21">
        <w:rPr>
          <w:szCs w:val="24"/>
        </w:rPr>
        <w:t xml:space="preserve"> (See § 222.39.)</w:t>
      </w:r>
    </w:p>
    <w:p w:rsidR="001B77C9" w:rsidRPr="008A5B6D" w:rsidP="004C606E" w14:paraId="04A1FF67" w14:textId="77777777">
      <w:pPr>
        <w:widowControl w:val="0"/>
        <w:ind w:left="720"/>
        <w:rPr>
          <w:szCs w:val="24"/>
        </w:rPr>
      </w:pPr>
    </w:p>
    <w:p w:rsidR="002F775E" w:rsidRPr="008A5B6D" w:rsidP="006009DE" w14:paraId="1F408D37" w14:textId="77085443">
      <w:pPr>
        <w:widowControl w:val="0"/>
        <w:ind w:left="720"/>
        <w:rPr>
          <w:szCs w:val="24"/>
        </w:rPr>
      </w:pPr>
      <w:r w:rsidRPr="008A5B6D">
        <w:rPr>
          <w:szCs w:val="24"/>
        </w:rPr>
        <w:t xml:space="preserve">The collection of information under 49 CFR part 222 is mission critical and allows FRA </w:t>
      </w:r>
      <w:r w:rsidRPr="008A5B6D" w:rsidR="008A0371">
        <w:rPr>
          <w:szCs w:val="24"/>
        </w:rPr>
        <w:t>to promote and enhance rail safety throughout the United States</w:t>
      </w:r>
      <w:r w:rsidRPr="008A5B6D" w:rsidR="000A273B">
        <w:rPr>
          <w:szCs w:val="24"/>
        </w:rPr>
        <w:t xml:space="preserve">. </w:t>
      </w:r>
    </w:p>
    <w:p w:rsidR="002F775E" w:rsidRPr="008A5B6D" w:rsidP="006009DE" w14:paraId="72393CD2" w14:textId="77777777">
      <w:pPr>
        <w:widowControl w:val="0"/>
        <w:ind w:left="720"/>
        <w:rPr>
          <w:szCs w:val="24"/>
        </w:rPr>
      </w:pPr>
    </w:p>
    <w:p w:rsidR="00AB042C" w:rsidRPr="008A5B6D" w:rsidP="00AB042C" w14:paraId="3FA8BD0C" w14:textId="77777777">
      <w:pPr>
        <w:widowControl w:val="0"/>
        <w:ind w:left="720" w:hanging="720"/>
        <w:rPr>
          <w:b/>
          <w:szCs w:val="24"/>
        </w:rPr>
      </w:pPr>
      <w:r w:rsidRPr="008A5B6D">
        <w:rPr>
          <w:b/>
          <w:szCs w:val="24"/>
        </w:rPr>
        <w:t>2.</w:t>
      </w:r>
      <w:r w:rsidRPr="008A5B6D">
        <w:rPr>
          <w:b/>
          <w:szCs w:val="24"/>
        </w:rPr>
        <w:tab/>
      </w:r>
      <w:r w:rsidRPr="008A5B6D">
        <w:rPr>
          <w:b/>
          <w:szCs w:val="24"/>
          <w:u w:val="single"/>
        </w:rPr>
        <w:t>How, by whom, and for what purpose the information is to be used</w:t>
      </w:r>
      <w:r w:rsidRPr="008A5B6D">
        <w:rPr>
          <w:b/>
          <w:szCs w:val="24"/>
        </w:rPr>
        <w:t>.</w:t>
      </w:r>
    </w:p>
    <w:p w:rsidR="00D14763" w:rsidRPr="008A5B6D" w14:paraId="47693A71" w14:textId="77777777">
      <w:pPr>
        <w:widowControl w:val="0"/>
        <w:rPr>
          <w:szCs w:val="24"/>
        </w:rPr>
      </w:pPr>
    </w:p>
    <w:p w:rsidR="00D14763" w:rsidRPr="008A5B6D" w14:paraId="2AF3ED06" w14:textId="6DCCB524">
      <w:pPr>
        <w:widowControl w:val="0"/>
        <w:ind w:left="720"/>
      </w:pPr>
      <w:r>
        <w:t xml:space="preserve">FRA collects information from railroads and public authorities </w:t>
      </w:r>
      <w:r>
        <w:t>in order to</w:t>
      </w:r>
      <w:r>
        <w:t xml:space="preserve"> increase safety at highway-rail grade crossings nationwide</w:t>
      </w:r>
      <w:r w:rsidR="004F6A99">
        <w:t>.</w:t>
      </w:r>
      <w:r w:rsidR="008A0371">
        <w:t xml:space="preserve"> </w:t>
      </w:r>
      <w:r w:rsidR="00051ABA">
        <w:t xml:space="preserve"> </w:t>
      </w:r>
      <w:r w:rsidR="008A0371">
        <w:t xml:space="preserve">FRA reviews applications by public authorities intending to establish new quiet zones by implementing alternative safety measures and approves the effectiveness rate assigned to them. </w:t>
      </w:r>
      <w:r w:rsidR="6BA4B59A">
        <w:t xml:space="preserve"> </w:t>
      </w:r>
      <w:r w:rsidR="008A0371">
        <w:t>The following is a section-by-section overview that pertains to information collection activities.</w:t>
      </w:r>
    </w:p>
    <w:p w:rsidR="00164DED" w:rsidRPr="008A5B6D" w14:paraId="3F33586E" w14:textId="77777777">
      <w:pPr>
        <w:widowControl w:val="0"/>
        <w:ind w:left="720"/>
        <w:rPr>
          <w:szCs w:val="24"/>
        </w:rPr>
      </w:pPr>
    </w:p>
    <w:p w:rsidR="00D14763" w:rsidRPr="008A5B6D" w:rsidP="00164DED" w14:paraId="6AD8CF33" w14:textId="597D60A0">
      <w:pPr>
        <w:widowControl w:val="0"/>
        <w:numPr>
          <w:ilvl w:val="0"/>
          <w:numId w:val="8"/>
        </w:numPr>
        <w:rPr>
          <w:szCs w:val="24"/>
        </w:rPr>
      </w:pPr>
      <w:r w:rsidRPr="008A5B6D">
        <w:rPr>
          <w:szCs w:val="24"/>
        </w:rPr>
        <w:t xml:space="preserve">Under § 222.15, a railroad or </w:t>
      </w:r>
      <w:r w:rsidR="003A7A16">
        <w:rPr>
          <w:szCs w:val="24"/>
        </w:rPr>
        <w:t>public authority</w:t>
      </w:r>
      <w:r w:rsidRPr="008A5B6D">
        <w:rPr>
          <w:szCs w:val="24"/>
        </w:rPr>
        <w:t xml:space="preserve"> may seek a</w:t>
      </w:r>
      <w:r w:rsidR="00646742">
        <w:rPr>
          <w:szCs w:val="24"/>
        </w:rPr>
        <w:t xml:space="preserve"> waiver of </w:t>
      </w:r>
      <w:r w:rsidR="00C065A9">
        <w:rPr>
          <w:szCs w:val="24"/>
        </w:rPr>
        <w:t xml:space="preserve">a regulatory requirement in 49 CFR </w:t>
      </w:r>
      <w:r w:rsidR="00FD1CC9">
        <w:rPr>
          <w:szCs w:val="24"/>
        </w:rPr>
        <w:t>p</w:t>
      </w:r>
      <w:r w:rsidR="00C065A9">
        <w:rPr>
          <w:szCs w:val="24"/>
        </w:rPr>
        <w:t>art 222</w:t>
      </w:r>
      <w:r w:rsidRPr="008A5B6D">
        <w:rPr>
          <w:szCs w:val="24"/>
        </w:rPr>
        <w:t xml:space="preserve"> by submitting a waiver petition</w:t>
      </w:r>
      <w:r w:rsidR="00D57467">
        <w:rPr>
          <w:szCs w:val="24"/>
        </w:rPr>
        <w:t xml:space="preserve"> to FRA</w:t>
      </w:r>
      <w:r w:rsidRPr="008A5B6D" w:rsidR="000A273B">
        <w:rPr>
          <w:szCs w:val="24"/>
        </w:rPr>
        <w:t xml:space="preserve">. </w:t>
      </w:r>
      <w:r w:rsidR="00051ABA">
        <w:rPr>
          <w:szCs w:val="24"/>
        </w:rPr>
        <w:t xml:space="preserve"> </w:t>
      </w:r>
      <w:r w:rsidRPr="008A5B6D">
        <w:rPr>
          <w:szCs w:val="24"/>
        </w:rPr>
        <w:t xml:space="preserve">FRA reviews these </w:t>
      </w:r>
      <w:r w:rsidR="001E03BE">
        <w:rPr>
          <w:szCs w:val="24"/>
        </w:rPr>
        <w:t>waiver petitions</w:t>
      </w:r>
      <w:r w:rsidRPr="008A5B6D">
        <w:rPr>
          <w:szCs w:val="24"/>
        </w:rPr>
        <w:t xml:space="preserve"> to determine whether </w:t>
      </w:r>
      <w:r w:rsidR="001E03BE">
        <w:rPr>
          <w:szCs w:val="24"/>
        </w:rPr>
        <w:t>they are</w:t>
      </w:r>
      <w:r w:rsidRPr="008A5B6D">
        <w:rPr>
          <w:szCs w:val="24"/>
        </w:rPr>
        <w:t xml:space="preserve"> in the public interest and consistent with the safety of highway and railroad users. </w:t>
      </w:r>
    </w:p>
    <w:p w:rsidR="00D14763" w:rsidRPr="008A5B6D" w:rsidP="00164DED" w14:paraId="68027332" w14:textId="32ABFABD">
      <w:pPr>
        <w:widowControl w:val="0"/>
        <w:numPr>
          <w:ilvl w:val="0"/>
          <w:numId w:val="8"/>
        </w:numPr>
        <w:rPr>
          <w:szCs w:val="24"/>
        </w:rPr>
      </w:pPr>
      <w:r w:rsidRPr="008A5B6D">
        <w:rPr>
          <w:szCs w:val="24"/>
        </w:rPr>
        <w:t xml:space="preserve">Under § 222.17, FRA reviews applications from </w:t>
      </w:r>
      <w:r w:rsidR="00CB7516">
        <w:rPr>
          <w:szCs w:val="24"/>
        </w:rPr>
        <w:t>S</w:t>
      </w:r>
      <w:r w:rsidRPr="008A5B6D">
        <w:rPr>
          <w:szCs w:val="24"/>
        </w:rPr>
        <w:t>tate agencies to become a</w:t>
      </w:r>
      <w:r w:rsidR="00350ECC">
        <w:rPr>
          <w:szCs w:val="24"/>
        </w:rPr>
        <w:t>n</w:t>
      </w:r>
      <w:r w:rsidR="00697212">
        <w:rPr>
          <w:szCs w:val="24"/>
        </w:rPr>
        <w:t xml:space="preserve"> FRA-</w:t>
      </w:r>
      <w:r w:rsidRPr="008A5B6D">
        <w:rPr>
          <w:szCs w:val="24"/>
        </w:rPr>
        <w:t xml:space="preserve">recognized </w:t>
      </w:r>
      <w:r w:rsidR="00CB7516">
        <w:rPr>
          <w:szCs w:val="24"/>
        </w:rPr>
        <w:t>S</w:t>
      </w:r>
      <w:r w:rsidRPr="008A5B6D">
        <w:rPr>
          <w:szCs w:val="24"/>
        </w:rPr>
        <w:t xml:space="preserve">tate agency </w:t>
      </w:r>
      <w:r w:rsidR="00350ECC">
        <w:rPr>
          <w:szCs w:val="24"/>
        </w:rPr>
        <w:t xml:space="preserve">and </w:t>
      </w:r>
      <w:r w:rsidRPr="008A5B6D">
        <w:rPr>
          <w:szCs w:val="24"/>
        </w:rPr>
        <w:t xml:space="preserve">to determine whether the proposed scope of </w:t>
      </w:r>
      <w:r w:rsidR="009A3C0A">
        <w:rPr>
          <w:szCs w:val="24"/>
        </w:rPr>
        <w:t>S</w:t>
      </w:r>
      <w:r w:rsidRPr="008A5B6D">
        <w:rPr>
          <w:szCs w:val="24"/>
        </w:rPr>
        <w:t>tate agency involvement will facilitate safe and effective quiet zone development</w:t>
      </w:r>
      <w:r w:rsidRPr="008A5B6D" w:rsidR="000A273B">
        <w:rPr>
          <w:szCs w:val="24"/>
        </w:rPr>
        <w:t xml:space="preserve">. </w:t>
      </w:r>
    </w:p>
    <w:p w:rsidR="00111DD9" w:rsidRPr="008A5B6D" w:rsidP="003573EE" w14:paraId="581D99D3" w14:textId="647C6226">
      <w:pPr>
        <w:widowControl w:val="0"/>
        <w:numPr>
          <w:ilvl w:val="0"/>
          <w:numId w:val="8"/>
        </w:numPr>
        <w:rPr>
          <w:szCs w:val="24"/>
        </w:rPr>
      </w:pPr>
      <w:r w:rsidRPr="008A5B6D">
        <w:rPr>
          <w:szCs w:val="24"/>
        </w:rPr>
        <w:t xml:space="preserve">Under § 222.39, FRA reviews applications by public authorities intending to establish new or, in some cases, continue quiet zones </w:t>
      </w:r>
      <w:r w:rsidR="00AB66C5">
        <w:rPr>
          <w:szCs w:val="24"/>
        </w:rPr>
        <w:t xml:space="preserve">that contain </w:t>
      </w:r>
      <w:r w:rsidR="006A1E35">
        <w:rPr>
          <w:szCs w:val="24"/>
        </w:rPr>
        <w:t xml:space="preserve">one or more alternative safety measures (ASMs) </w:t>
      </w:r>
      <w:r w:rsidRPr="008A5B6D">
        <w:rPr>
          <w:szCs w:val="24"/>
        </w:rPr>
        <w:t>to ensure that the necessary level of safety is achieved</w:t>
      </w:r>
      <w:r w:rsidRPr="008A5B6D" w:rsidR="000A273B">
        <w:rPr>
          <w:szCs w:val="24"/>
        </w:rPr>
        <w:t xml:space="preserve">. </w:t>
      </w:r>
      <w:r w:rsidR="00D908DD">
        <w:rPr>
          <w:szCs w:val="24"/>
        </w:rPr>
        <w:t xml:space="preserve"> </w:t>
      </w:r>
      <w:r w:rsidRPr="008A5B6D">
        <w:rPr>
          <w:szCs w:val="24"/>
        </w:rPr>
        <w:t xml:space="preserve">Also, under § 222.39, FRA reviews comments from </w:t>
      </w:r>
      <w:r w:rsidR="00714510">
        <w:rPr>
          <w:szCs w:val="24"/>
        </w:rPr>
        <w:t>potentially affected</w:t>
      </w:r>
      <w:r w:rsidR="003178DF">
        <w:rPr>
          <w:szCs w:val="24"/>
        </w:rPr>
        <w:t xml:space="preserve"> parties (</w:t>
      </w:r>
      <w:r w:rsidR="00A4128D">
        <w:rPr>
          <w:szCs w:val="24"/>
        </w:rPr>
        <w:t xml:space="preserve">including </w:t>
      </w:r>
      <w:r w:rsidR="008F4882">
        <w:rPr>
          <w:szCs w:val="24"/>
        </w:rPr>
        <w:t xml:space="preserve">railroads operating </w:t>
      </w:r>
      <w:r w:rsidR="00864C10">
        <w:rPr>
          <w:szCs w:val="24"/>
        </w:rPr>
        <w:t>through</w:t>
      </w:r>
      <w:r w:rsidR="008F4882">
        <w:rPr>
          <w:szCs w:val="24"/>
        </w:rPr>
        <w:t xml:space="preserve"> grade crossings that will be included in the quiet zone</w:t>
      </w:r>
      <w:r w:rsidR="003E6432">
        <w:rPr>
          <w:szCs w:val="24"/>
        </w:rPr>
        <w:t xml:space="preserve"> and State agencies responsible for highway and road safety and grade crossing </w:t>
      </w:r>
      <w:r w:rsidR="00D15370">
        <w:rPr>
          <w:szCs w:val="24"/>
        </w:rPr>
        <w:t>safety)</w:t>
      </w:r>
      <w:r w:rsidR="00CD3D59">
        <w:rPr>
          <w:szCs w:val="24"/>
        </w:rPr>
        <w:t xml:space="preserve"> </w:t>
      </w:r>
      <w:r w:rsidRPr="008A5B6D">
        <w:rPr>
          <w:szCs w:val="24"/>
        </w:rPr>
        <w:t>concerning a public authority’s application</w:t>
      </w:r>
      <w:r w:rsidR="006E2FBA">
        <w:rPr>
          <w:szCs w:val="24"/>
        </w:rPr>
        <w:t>.</w:t>
      </w:r>
      <w:r w:rsidRPr="008A5B6D">
        <w:rPr>
          <w:szCs w:val="24"/>
        </w:rPr>
        <w:t xml:space="preserve"> </w:t>
      </w:r>
    </w:p>
    <w:p w:rsidR="00111DD9" w:rsidRPr="008A5B6D" w:rsidP="003573EE" w14:paraId="7BD14C06" w14:textId="2A2A6442">
      <w:pPr>
        <w:widowControl w:val="0"/>
        <w:numPr>
          <w:ilvl w:val="0"/>
          <w:numId w:val="8"/>
        </w:numPr>
        <w:rPr>
          <w:szCs w:val="24"/>
        </w:rPr>
      </w:pPr>
      <w:r w:rsidRPr="008A5B6D">
        <w:rPr>
          <w:szCs w:val="24"/>
        </w:rPr>
        <w:t xml:space="preserve">Under § 222.43, FRA reviews </w:t>
      </w:r>
      <w:r w:rsidR="00B229EC">
        <w:rPr>
          <w:szCs w:val="24"/>
        </w:rPr>
        <w:t xml:space="preserve">written </w:t>
      </w:r>
      <w:r w:rsidRPr="008A5B6D">
        <w:rPr>
          <w:szCs w:val="24"/>
        </w:rPr>
        <w:t>notices</w:t>
      </w:r>
      <w:r w:rsidR="00B229EC">
        <w:rPr>
          <w:szCs w:val="24"/>
        </w:rPr>
        <w:t>,</w:t>
      </w:r>
      <w:r w:rsidRPr="008A5B6D">
        <w:rPr>
          <w:szCs w:val="24"/>
        </w:rPr>
        <w:t xml:space="preserve"> </w:t>
      </w:r>
      <w:r w:rsidR="00AC2DB9">
        <w:rPr>
          <w:szCs w:val="24"/>
        </w:rPr>
        <w:t>submitted electronically</w:t>
      </w:r>
      <w:r w:rsidR="00B229EC">
        <w:rPr>
          <w:szCs w:val="24"/>
        </w:rPr>
        <w:t xml:space="preserve">, </w:t>
      </w:r>
      <w:r w:rsidRPr="008A5B6D">
        <w:rPr>
          <w:szCs w:val="24"/>
        </w:rPr>
        <w:t xml:space="preserve">to confirm that </w:t>
      </w:r>
      <w:r w:rsidRPr="008A5B6D" w:rsidR="003573EE">
        <w:rPr>
          <w:szCs w:val="24"/>
        </w:rPr>
        <w:t>FRA</w:t>
      </w:r>
      <w:r w:rsidRPr="008A5B6D">
        <w:rPr>
          <w:szCs w:val="24"/>
        </w:rPr>
        <w:t xml:space="preserve"> and other </w:t>
      </w:r>
      <w:r w:rsidR="004B016F">
        <w:rPr>
          <w:szCs w:val="24"/>
        </w:rPr>
        <w:t>potentially affected</w:t>
      </w:r>
      <w:r w:rsidRPr="008A5B6D">
        <w:rPr>
          <w:szCs w:val="24"/>
        </w:rPr>
        <w:t xml:space="preserve"> parties are notified by the public authority of </w:t>
      </w:r>
      <w:r w:rsidR="00325D17">
        <w:rPr>
          <w:szCs w:val="24"/>
        </w:rPr>
        <w:t>upcoming</w:t>
      </w:r>
      <w:r w:rsidRPr="008A5B6D">
        <w:rPr>
          <w:szCs w:val="24"/>
        </w:rPr>
        <w:t xml:space="preserve"> quiet zone</w:t>
      </w:r>
      <w:r w:rsidR="00325D17">
        <w:rPr>
          <w:szCs w:val="24"/>
        </w:rPr>
        <w:t>s</w:t>
      </w:r>
      <w:r w:rsidRPr="008A5B6D" w:rsidR="000A273B">
        <w:rPr>
          <w:szCs w:val="24"/>
        </w:rPr>
        <w:t xml:space="preserve">. </w:t>
      </w:r>
      <w:r w:rsidRPr="009253C5" w:rsidR="009253C5">
        <w:rPr>
          <w:szCs w:val="24"/>
        </w:rPr>
        <w:t xml:space="preserve">  </w:t>
      </w:r>
    </w:p>
    <w:p w:rsidR="00111DD9" w:rsidRPr="008A5B6D" w:rsidP="00111DD9" w14:paraId="1E4E0457" w14:textId="7226490E">
      <w:pPr>
        <w:widowControl w:val="0"/>
        <w:numPr>
          <w:ilvl w:val="0"/>
          <w:numId w:val="8"/>
        </w:numPr>
        <w:rPr>
          <w:szCs w:val="24"/>
        </w:rPr>
      </w:pPr>
      <w:r w:rsidRPr="008A5B6D">
        <w:rPr>
          <w:szCs w:val="24"/>
        </w:rPr>
        <w:t>Under § 222.47, FRA reviews written affirmations</w:t>
      </w:r>
      <w:r w:rsidR="00EC54C1">
        <w:rPr>
          <w:szCs w:val="24"/>
        </w:rPr>
        <w:t>, submitted electronically,</w:t>
      </w:r>
      <w:r w:rsidRPr="008A5B6D">
        <w:rPr>
          <w:szCs w:val="24"/>
        </w:rPr>
        <w:t xml:space="preserve"> to </w:t>
      </w:r>
      <w:r w:rsidR="00685FAC">
        <w:rPr>
          <w:szCs w:val="24"/>
        </w:rPr>
        <w:t xml:space="preserve">help </w:t>
      </w:r>
      <w:r w:rsidRPr="008A5B6D">
        <w:rPr>
          <w:szCs w:val="24"/>
        </w:rPr>
        <w:t xml:space="preserve">ensure that SSMs and alternative safety measures (ASMs) conform to the requirements of </w:t>
      </w:r>
      <w:r w:rsidR="00504F8E">
        <w:rPr>
          <w:szCs w:val="24"/>
        </w:rPr>
        <w:t>a</w:t>
      </w:r>
      <w:r w:rsidRPr="008A5B6D">
        <w:rPr>
          <w:szCs w:val="24"/>
        </w:rPr>
        <w:t xml:space="preserve">ppendices A and B </w:t>
      </w:r>
      <w:r w:rsidR="00B754B5">
        <w:rPr>
          <w:szCs w:val="24"/>
        </w:rPr>
        <w:t xml:space="preserve">to 49 CFR </w:t>
      </w:r>
      <w:r w:rsidR="00FD1CC9">
        <w:rPr>
          <w:szCs w:val="24"/>
        </w:rPr>
        <w:t>p</w:t>
      </w:r>
      <w:r w:rsidR="00B754B5">
        <w:rPr>
          <w:szCs w:val="24"/>
        </w:rPr>
        <w:t xml:space="preserve">art 222 </w:t>
      </w:r>
      <w:r w:rsidRPr="008A5B6D">
        <w:rPr>
          <w:szCs w:val="24"/>
        </w:rPr>
        <w:t>or to the terms of the quiet zone approval</w:t>
      </w:r>
      <w:r w:rsidRPr="008A5B6D" w:rsidR="000A273B">
        <w:rPr>
          <w:szCs w:val="24"/>
        </w:rPr>
        <w:t xml:space="preserve">. </w:t>
      </w:r>
      <w:r w:rsidR="00051ABA">
        <w:rPr>
          <w:szCs w:val="24"/>
        </w:rPr>
        <w:t xml:space="preserve"> </w:t>
      </w:r>
      <w:r w:rsidRPr="008A5B6D">
        <w:rPr>
          <w:szCs w:val="24"/>
        </w:rPr>
        <w:t xml:space="preserve">FRA also reviews updated grade crossing inventory forms to </w:t>
      </w:r>
      <w:r w:rsidR="007C383F">
        <w:rPr>
          <w:szCs w:val="24"/>
        </w:rPr>
        <w:t>en</w:t>
      </w:r>
      <w:r w:rsidRPr="008A5B6D">
        <w:rPr>
          <w:szCs w:val="24"/>
        </w:rPr>
        <w:t xml:space="preserve">sure that </w:t>
      </w:r>
      <w:r w:rsidR="006B23E5">
        <w:rPr>
          <w:szCs w:val="24"/>
        </w:rPr>
        <w:t>FRA</w:t>
      </w:r>
      <w:r w:rsidRPr="008A5B6D">
        <w:rPr>
          <w:szCs w:val="24"/>
        </w:rPr>
        <w:t xml:space="preserve"> has an up-to-date, accurate, and complete grade crossing inventory form for each public highway-rail grade crossing, private highway-rail grade crossing, and pedestrian crossing within the quiet zone</w:t>
      </w:r>
      <w:r w:rsidRPr="008A5B6D" w:rsidR="000A273B">
        <w:rPr>
          <w:szCs w:val="24"/>
        </w:rPr>
        <w:t xml:space="preserve">. </w:t>
      </w:r>
    </w:p>
    <w:p w:rsidR="00111DD9" w:rsidRPr="008A5B6D" w:rsidP="00111DD9" w14:paraId="668C86C1" w14:textId="41CD93B9">
      <w:pPr>
        <w:widowControl w:val="0"/>
        <w:numPr>
          <w:ilvl w:val="0"/>
          <w:numId w:val="8"/>
        </w:numPr>
        <w:rPr>
          <w:szCs w:val="24"/>
        </w:rPr>
      </w:pPr>
      <w:r w:rsidRPr="008A5B6D">
        <w:rPr>
          <w:szCs w:val="24"/>
        </w:rPr>
        <w:t xml:space="preserve">Under § 222.51, FRA reviews documentation provided by public authorities wishing to retain quiet zones that </w:t>
      </w:r>
      <w:r w:rsidR="0013514D">
        <w:rPr>
          <w:szCs w:val="24"/>
        </w:rPr>
        <w:t xml:space="preserve">have elevated risk levels </w:t>
      </w:r>
      <w:r w:rsidR="008E0100">
        <w:rPr>
          <w:szCs w:val="24"/>
        </w:rPr>
        <w:t>or quiet zones that</w:t>
      </w:r>
      <w:r w:rsidR="00CC4A09">
        <w:rPr>
          <w:szCs w:val="24"/>
        </w:rPr>
        <w:t xml:space="preserve"> </w:t>
      </w:r>
      <w:r w:rsidR="00F46B15">
        <w:rPr>
          <w:szCs w:val="24"/>
        </w:rPr>
        <w:t>are</w:t>
      </w:r>
      <w:r w:rsidR="00CC4A09">
        <w:rPr>
          <w:szCs w:val="24"/>
        </w:rPr>
        <w:t xml:space="preserve"> </w:t>
      </w:r>
      <w:r w:rsidR="005C33DB">
        <w:rPr>
          <w:szCs w:val="24"/>
        </w:rPr>
        <w:t>under</w:t>
      </w:r>
      <w:r w:rsidR="008E0100">
        <w:rPr>
          <w:szCs w:val="24"/>
        </w:rPr>
        <w:t xml:space="preserve"> </w:t>
      </w:r>
      <w:r w:rsidR="00B60442">
        <w:rPr>
          <w:szCs w:val="24"/>
        </w:rPr>
        <w:t>FRA</w:t>
      </w:r>
      <w:r w:rsidRPr="008A5B6D">
        <w:rPr>
          <w:szCs w:val="24"/>
        </w:rPr>
        <w:t xml:space="preserve"> </w:t>
      </w:r>
      <w:r w:rsidR="00CC4A09">
        <w:rPr>
          <w:szCs w:val="24"/>
        </w:rPr>
        <w:t>review</w:t>
      </w:r>
      <w:r w:rsidRPr="008A5B6D" w:rsidR="000A273B">
        <w:rPr>
          <w:szCs w:val="24"/>
        </w:rPr>
        <w:t xml:space="preserve">. </w:t>
      </w:r>
      <w:r w:rsidR="00051ABA">
        <w:rPr>
          <w:szCs w:val="24"/>
        </w:rPr>
        <w:t xml:space="preserve"> </w:t>
      </w:r>
      <w:r w:rsidRPr="008A5B6D">
        <w:rPr>
          <w:szCs w:val="24"/>
        </w:rPr>
        <w:t xml:space="preserve">FRA reviews this documentation to verify that the public authority has made a written commitment to lower the potential risk to the traveling public at </w:t>
      </w:r>
      <w:r w:rsidR="00D30ADE">
        <w:rPr>
          <w:szCs w:val="24"/>
        </w:rPr>
        <w:t>grade</w:t>
      </w:r>
      <w:r w:rsidRPr="008A5B6D">
        <w:rPr>
          <w:szCs w:val="24"/>
        </w:rPr>
        <w:t xml:space="preserve"> crossings within the quiet zone to </w:t>
      </w:r>
      <w:r w:rsidR="00D30ADE">
        <w:rPr>
          <w:szCs w:val="24"/>
        </w:rPr>
        <w:t xml:space="preserve">a level at or </w:t>
      </w:r>
      <w:r w:rsidRPr="008A5B6D">
        <w:rPr>
          <w:szCs w:val="24"/>
        </w:rPr>
        <w:t>below the Nationwide Significant Risk Threshold, or to a level fully compensating for the absence of the train horn.</w:t>
      </w:r>
    </w:p>
    <w:p w:rsidR="00111DD9" w:rsidRPr="008A5B6D" w:rsidP="00111DD9" w14:paraId="67260B51" w14:textId="1EB1657C">
      <w:pPr>
        <w:widowControl w:val="0"/>
        <w:numPr>
          <w:ilvl w:val="0"/>
          <w:numId w:val="8"/>
        </w:numPr>
        <w:rPr>
          <w:szCs w:val="24"/>
        </w:rPr>
      </w:pPr>
      <w:r w:rsidRPr="008A5B6D">
        <w:rPr>
          <w:szCs w:val="24"/>
        </w:rPr>
        <w:t>Under § 222.55, FRA reviews requests from public authorities for new SSMs or ASMs to determine whether they are effective substitutes for the locomotive horn in the prevention of collisions and casualties at public highway-rail grade crossings.</w:t>
      </w:r>
    </w:p>
    <w:p w:rsidR="00C056C2" w:rsidRPr="008A5B6D" w:rsidP="00111DD9" w14:paraId="5F1A7EE7" w14:textId="06A900F1">
      <w:pPr>
        <w:widowControl w:val="0"/>
        <w:numPr>
          <w:ilvl w:val="0"/>
          <w:numId w:val="8"/>
        </w:numPr>
        <w:rPr>
          <w:szCs w:val="24"/>
        </w:rPr>
      </w:pPr>
      <w:r w:rsidRPr="008A5B6D">
        <w:rPr>
          <w:szCs w:val="24"/>
        </w:rPr>
        <w:t>Under § 222.57, a public authority or other interested party may petition the Administrator for review of any decision by the Associate Administrator granting or denying an application for approval of a new SSM or ASM under § 222.55.</w:t>
      </w:r>
    </w:p>
    <w:p w:rsidR="00111DD9" w:rsidRPr="008A5B6D" w:rsidP="00111DD9" w14:paraId="258DA885" w14:textId="1C95E423">
      <w:pPr>
        <w:widowControl w:val="0"/>
        <w:numPr>
          <w:ilvl w:val="0"/>
          <w:numId w:val="8"/>
        </w:numPr>
        <w:rPr>
          <w:szCs w:val="24"/>
        </w:rPr>
      </w:pPr>
      <w:r w:rsidRPr="008A5B6D">
        <w:rPr>
          <w:szCs w:val="24"/>
        </w:rPr>
        <w:t>Under § 222.59, a public authority installing a wayside horn at a grade crossing within a quiet zone must provide written notice that a wayside horn is being installed to all railroads operating over the public highway-rail grade crossings within the quiet zone, the highway or traffic control authority or law enforcement authority having control over vehicular traffic at the crossings within the quiet zone, the landowner having control over any private crossings within the quiet zone, the State agency responsible for grade crossing safety, the State agency responsible for highway and road safety, and the Associate Administrator.</w:t>
      </w:r>
    </w:p>
    <w:p w:rsidR="00D14763" w:rsidRPr="008A5B6D" w:rsidP="00111DD9" w14:paraId="259E4E32" w14:textId="3D5DCA3D">
      <w:pPr>
        <w:widowControl w:val="0"/>
        <w:numPr>
          <w:ilvl w:val="0"/>
          <w:numId w:val="8"/>
        </w:numPr>
        <w:rPr>
          <w:szCs w:val="24"/>
        </w:rPr>
      </w:pPr>
      <w:r w:rsidRPr="008A5B6D">
        <w:rPr>
          <w:szCs w:val="24"/>
        </w:rPr>
        <w:t xml:space="preserve">Finally, under </w:t>
      </w:r>
      <w:r w:rsidR="0026740C">
        <w:rPr>
          <w:szCs w:val="24"/>
        </w:rPr>
        <w:t>a</w:t>
      </w:r>
      <w:r w:rsidRPr="008A5B6D">
        <w:rPr>
          <w:szCs w:val="24"/>
        </w:rPr>
        <w:t>ppendix B, FRA reviews required records pertaining to non-engineering ASMs, such as programmed enforcement, public education and awareness, and photo enforcement, to make sure that the public authority performs monitoring and sampling efforts at the grade crossing for a period of not less than five (5) years and that safety is not jeopardized or compromised.</w:t>
      </w:r>
    </w:p>
    <w:p w:rsidR="00D14763" w:rsidRPr="008A5B6D" w14:paraId="7FCA97B8" w14:textId="77777777">
      <w:pPr>
        <w:widowControl w:val="0"/>
        <w:rPr>
          <w:b/>
          <w:szCs w:val="24"/>
        </w:rPr>
      </w:pPr>
    </w:p>
    <w:p w:rsidR="00D65EA6" w:rsidRPr="008A5B6D" w:rsidP="00D65EA6" w14:paraId="1A2B6AE7" w14:textId="77777777">
      <w:pPr>
        <w:widowControl w:val="0"/>
        <w:ind w:left="720" w:hanging="720"/>
        <w:rPr>
          <w:szCs w:val="24"/>
        </w:rPr>
      </w:pPr>
      <w:r w:rsidRPr="008A5B6D">
        <w:rPr>
          <w:b/>
          <w:szCs w:val="24"/>
        </w:rPr>
        <w:t>3.</w:t>
      </w:r>
      <w:r w:rsidRPr="008A5B6D">
        <w:rPr>
          <w:b/>
          <w:szCs w:val="24"/>
        </w:rPr>
        <w:tab/>
      </w:r>
      <w:r w:rsidRPr="008A5B6D">
        <w:rPr>
          <w:b/>
          <w:szCs w:val="24"/>
          <w:u w:val="single"/>
        </w:rPr>
        <w:t>Extent of automated information collection</w:t>
      </w:r>
      <w:r w:rsidRPr="008A5B6D">
        <w:rPr>
          <w:b/>
          <w:szCs w:val="24"/>
        </w:rPr>
        <w:t>.</w:t>
      </w:r>
    </w:p>
    <w:p w:rsidR="00D14763" w:rsidRPr="008A5B6D" w14:paraId="0EB0D98B" w14:textId="77777777">
      <w:pPr>
        <w:widowControl w:val="0"/>
        <w:rPr>
          <w:szCs w:val="24"/>
        </w:rPr>
      </w:pPr>
    </w:p>
    <w:p w:rsidR="00735AB0" w:rsidP="00075D9A" w14:paraId="1656BB6F" w14:textId="646A1EC4">
      <w:pPr>
        <w:widowControl w:val="0"/>
        <w:ind w:left="720"/>
        <w:rPr>
          <w:szCs w:val="24"/>
        </w:rPr>
      </w:pPr>
      <w:r>
        <w:t>On July 1, 2025, FRA published a final rule</w:t>
      </w:r>
      <w:r w:rsidR="00235BEE">
        <w:t>,</w:t>
      </w:r>
      <w:r w:rsidRPr="008F2702" w:rsidR="008F2702">
        <w:t xml:space="preserve"> </w:t>
      </w:r>
      <w:r w:rsidR="008F2702">
        <w:t>titled Administrative Updates to the Use of Locomotive Horns at Public Highway-Rail Grade Crossings Regulations</w:t>
      </w:r>
      <w:r>
        <w:t xml:space="preserve"> that</w:t>
      </w:r>
      <w:r w:rsidR="00223B8E">
        <w:t xml:space="preserve"> (in</w:t>
      </w:r>
      <w:r w:rsidR="00DE023B">
        <w:t xml:space="preserve"> addition to other </w:t>
      </w:r>
      <w:r w:rsidR="004B3AE3">
        <w:t xml:space="preserve">administrative </w:t>
      </w:r>
      <w:r w:rsidR="00DE023B">
        <w:t>updates</w:t>
      </w:r>
      <w:r w:rsidR="00223B8E">
        <w:t>)</w:t>
      </w:r>
      <w:r w:rsidR="00DE023B">
        <w:t xml:space="preserve"> remove</w:t>
      </w:r>
      <w:r w:rsidR="00DF2919">
        <w:t>d</w:t>
      </w:r>
      <w:r w:rsidR="00DE023B">
        <w:t xml:space="preserve"> the certified mail</w:t>
      </w:r>
      <w:r w:rsidR="008F4F08">
        <w:t xml:space="preserve"> notice</w:t>
      </w:r>
      <w:r w:rsidR="00DE023B">
        <w:t xml:space="preserve"> requirement</w:t>
      </w:r>
      <w:r w:rsidR="008F4F08">
        <w:t>s</w:t>
      </w:r>
      <w:r w:rsidRPr="008F4F08" w:rsidR="008F4F08">
        <w:t xml:space="preserve"> </w:t>
      </w:r>
      <w:r w:rsidR="00995274">
        <w:t>in §§</w:t>
      </w:r>
      <w:r w:rsidR="000C6006">
        <w:t xml:space="preserve"> 222.39, 222.43, 222.47</w:t>
      </w:r>
      <w:r w:rsidR="00EF01CD">
        <w:t>,</w:t>
      </w:r>
      <w:r w:rsidR="000C6006">
        <w:t xml:space="preserve"> and 222.51 and </w:t>
      </w:r>
      <w:r w:rsidR="00C14FA3">
        <w:t>replace</w:t>
      </w:r>
      <w:r w:rsidR="004A4E4D">
        <w:t>d</w:t>
      </w:r>
      <w:r w:rsidR="00C14FA3">
        <w:t xml:space="preserve"> them with</w:t>
      </w:r>
      <w:r w:rsidR="008F4F08">
        <w:t xml:space="preserve"> </w:t>
      </w:r>
      <w:r w:rsidR="009938E4">
        <w:t>requiremen</w:t>
      </w:r>
      <w:r w:rsidR="00F22ACD">
        <w:t>ts</w:t>
      </w:r>
      <w:r w:rsidRPr="00594890" w:rsidR="00594890">
        <w:t xml:space="preserve"> </w:t>
      </w:r>
      <w:r w:rsidR="00594890">
        <w:t>to</w:t>
      </w:r>
      <w:r w:rsidR="00C14FA3">
        <w:t xml:space="preserve"> </w:t>
      </w:r>
      <w:r w:rsidR="00DF2919">
        <w:t xml:space="preserve">electronically </w:t>
      </w:r>
      <w:r w:rsidR="00C14FA3">
        <w:t>submit</w:t>
      </w:r>
      <w:r w:rsidR="004A4E4D">
        <w:t xml:space="preserve"> the</w:t>
      </w:r>
      <w:r w:rsidR="00C14FA3">
        <w:t xml:space="preserve"> no</w:t>
      </w:r>
      <w:r w:rsidR="00DF2919">
        <w:t xml:space="preserve">tices to </w:t>
      </w:r>
      <w:r w:rsidR="00594890">
        <w:t>FRA’s Grade Crossing and Trespasser Outreach Division</w:t>
      </w:r>
      <w:r w:rsidR="009938E4">
        <w:t>.</w:t>
      </w:r>
      <w:r>
        <w:rPr>
          <w:rStyle w:val="FootnoteReference"/>
        </w:rPr>
        <w:footnoteReference w:id="3"/>
      </w:r>
      <w:r w:rsidR="009938E4">
        <w:t xml:space="preserve"> </w:t>
      </w:r>
      <w:r w:rsidR="00DA6EE0">
        <w:t xml:space="preserve"> </w:t>
      </w:r>
      <w:r w:rsidR="005075CD">
        <w:t>T</w:t>
      </w:r>
      <w:r w:rsidR="00F60AC0">
        <w:t>his final rule</w:t>
      </w:r>
      <w:r w:rsidR="00F769C7">
        <w:t xml:space="preserve"> </w:t>
      </w:r>
      <w:r w:rsidR="005075CD">
        <w:t xml:space="preserve">also amended these sections to remove the requirement </w:t>
      </w:r>
      <w:r w:rsidR="007F2D6F">
        <w:t>that</w:t>
      </w:r>
      <w:r w:rsidR="00395970">
        <w:t xml:space="preserve"> </w:t>
      </w:r>
      <w:r w:rsidR="002E69B7">
        <w:t>notifications required to be</w:t>
      </w:r>
      <w:r w:rsidR="00395970">
        <w:t xml:space="preserve"> provided to other parties</w:t>
      </w:r>
      <w:r w:rsidR="002E69B7">
        <w:t xml:space="preserve"> also be sent</w:t>
      </w:r>
      <w:r w:rsidR="00395970">
        <w:t xml:space="preserve"> by certified mail, thereby</w:t>
      </w:r>
      <w:r w:rsidR="005075CD">
        <w:t xml:space="preserve"> allowing</w:t>
      </w:r>
      <w:r w:rsidR="00F60AC0">
        <w:t xml:space="preserve"> electronic service of </w:t>
      </w:r>
      <w:r w:rsidR="002E69B7">
        <w:t>these notifications</w:t>
      </w:r>
      <w:r w:rsidR="000466DE">
        <w:t xml:space="preserve"> as well</w:t>
      </w:r>
      <w:r w:rsidR="00F60AC0">
        <w:t xml:space="preserve">. </w:t>
      </w:r>
    </w:p>
    <w:p w:rsidR="00D14763" w:rsidRPr="008A5B6D" w:rsidP="00735AB0" w14:paraId="4B78F533" w14:textId="53690B98">
      <w:pPr>
        <w:widowControl w:val="0"/>
        <w:ind w:left="720"/>
      </w:pPr>
      <w:r>
        <w:t>T</w:t>
      </w:r>
      <w:r w:rsidR="00305B21">
        <w:t>he information that must be collected and supplied to FRA may take a variety of forms, depending on the safety measures proposed by the public authority</w:t>
      </w:r>
      <w:r w:rsidR="000A273B">
        <w:t>.</w:t>
      </w:r>
      <w:r w:rsidR="00310EA1">
        <w:t xml:space="preserve"> </w:t>
      </w:r>
      <w:r w:rsidR="000A273B">
        <w:t xml:space="preserve"> </w:t>
      </w:r>
      <w:r w:rsidR="00305B21">
        <w:t>For example, a proposal to employ “photo enforcement” would include the use of advanced electronic automatic cameras to monitor driver compliance at crossings</w:t>
      </w:r>
      <w:r w:rsidR="000A273B">
        <w:t xml:space="preserve">. </w:t>
      </w:r>
      <w:r w:rsidR="00310EA1">
        <w:t xml:space="preserve"> </w:t>
      </w:r>
      <w:r w:rsidR="00305B21">
        <w:t xml:space="preserve">Other possible safety measures, such as the temporary closing of a crossing, will require </w:t>
      </w:r>
      <w:r w:rsidR="003C0AE4">
        <w:t xml:space="preserve">a </w:t>
      </w:r>
      <w:r w:rsidR="00305B21">
        <w:t>written notification of the proposed safety measure and the evidence for its effectiveness</w:t>
      </w:r>
      <w:r w:rsidR="00CA7A58">
        <w:t xml:space="preserve"> (submitted electronically)</w:t>
      </w:r>
      <w:r w:rsidR="00305B21">
        <w:t>.</w:t>
      </w:r>
    </w:p>
    <w:p w:rsidR="00D14763" w:rsidRPr="008A5B6D" w14:paraId="7A63838F" w14:textId="77777777">
      <w:pPr>
        <w:widowControl w:val="0"/>
        <w:rPr>
          <w:szCs w:val="24"/>
        </w:rPr>
      </w:pPr>
    </w:p>
    <w:p w:rsidR="00D14763" w:rsidRPr="008A5B6D" w14:paraId="56BB0394" w14:textId="24AE481F">
      <w:pPr>
        <w:widowControl w:val="0"/>
        <w:ind w:left="720"/>
        <w:rPr>
          <w:szCs w:val="24"/>
        </w:rPr>
      </w:pPr>
      <w:r w:rsidRPr="008A5B6D">
        <w:rPr>
          <w:szCs w:val="24"/>
        </w:rPr>
        <w:t>While the public authority is given maximum latitude in the methods used for the collection of the necessary information, and electronic and/or automatic methods are encouraged where appropriate, the actual notification of the alternative measures selected must be in writing</w:t>
      </w:r>
      <w:r w:rsidR="00230E3D">
        <w:rPr>
          <w:szCs w:val="24"/>
        </w:rPr>
        <w:t>, even when submitted electr</w:t>
      </w:r>
      <w:r w:rsidR="007F52BB">
        <w:rPr>
          <w:szCs w:val="24"/>
        </w:rPr>
        <w:t>o</w:t>
      </w:r>
      <w:r w:rsidR="00230E3D">
        <w:rPr>
          <w:szCs w:val="24"/>
        </w:rPr>
        <w:t>nically</w:t>
      </w:r>
      <w:r w:rsidRPr="008A5B6D" w:rsidR="000A273B">
        <w:rPr>
          <w:szCs w:val="24"/>
        </w:rPr>
        <w:t xml:space="preserve">. </w:t>
      </w:r>
      <w:r w:rsidR="000668C5">
        <w:rPr>
          <w:szCs w:val="24"/>
        </w:rPr>
        <w:t xml:space="preserve"> As noted above, t</w:t>
      </w:r>
      <w:r w:rsidRPr="008A5B6D">
        <w:rPr>
          <w:szCs w:val="24"/>
        </w:rPr>
        <w:t xml:space="preserve">his is necessary because </w:t>
      </w:r>
      <w:r w:rsidRPr="008A5B6D" w:rsidR="00C056C2">
        <w:rPr>
          <w:szCs w:val="24"/>
        </w:rPr>
        <w:t>FRA</w:t>
      </w:r>
      <w:r w:rsidRPr="008A5B6D">
        <w:rPr>
          <w:szCs w:val="24"/>
        </w:rPr>
        <w:t xml:space="preserve"> is not the sole recipient of the information</w:t>
      </w:r>
      <w:r w:rsidRPr="008A5B6D" w:rsidR="000A273B">
        <w:rPr>
          <w:szCs w:val="24"/>
        </w:rPr>
        <w:t xml:space="preserve">. </w:t>
      </w:r>
      <w:r w:rsidR="00310EA1">
        <w:rPr>
          <w:szCs w:val="24"/>
        </w:rPr>
        <w:t xml:space="preserve"> </w:t>
      </w:r>
      <w:r w:rsidRPr="008A5B6D">
        <w:rPr>
          <w:szCs w:val="24"/>
        </w:rPr>
        <w:t xml:space="preserve">All railroads operating over the </w:t>
      </w:r>
      <w:r w:rsidR="001A39F3">
        <w:rPr>
          <w:szCs w:val="24"/>
        </w:rPr>
        <w:t>affected grade</w:t>
      </w:r>
      <w:r w:rsidRPr="008A5B6D">
        <w:rPr>
          <w:szCs w:val="24"/>
        </w:rPr>
        <w:t xml:space="preserve"> crossings, the highway or</w:t>
      </w:r>
      <w:r w:rsidRPr="008A5B6D">
        <w:rPr>
          <w:b/>
          <w:szCs w:val="24"/>
        </w:rPr>
        <w:t xml:space="preserve"> </w:t>
      </w:r>
      <w:r w:rsidRPr="008A5B6D">
        <w:rPr>
          <w:szCs w:val="24"/>
        </w:rPr>
        <w:t xml:space="preserve">traffic control authority or law enforcement authority, and the </w:t>
      </w:r>
      <w:r w:rsidR="001C10DD">
        <w:rPr>
          <w:szCs w:val="24"/>
        </w:rPr>
        <w:t>S</w:t>
      </w:r>
      <w:r w:rsidRPr="008A5B6D">
        <w:rPr>
          <w:szCs w:val="24"/>
        </w:rPr>
        <w:t>tate agency responsible for highway and road safety must also be notified.</w:t>
      </w:r>
    </w:p>
    <w:p w:rsidR="00D14763" w:rsidRPr="008A5B6D" w14:paraId="5F851DB4" w14:textId="77777777">
      <w:pPr>
        <w:widowControl w:val="0"/>
        <w:rPr>
          <w:szCs w:val="24"/>
        </w:rPr>
      </w:pPr>
    </w:p>
    <w:p w:rsidR="00D14763" w:rsidRPr="008A5B6D" w14:paraId="10D17389" w14:textId="7FEE9BB5">
      <w:pPr>
        <w:widowControl w:val="0"/>
        <w:ind w:left="720"/>
        <w:rPr>
          <w:b/>
          <w:szCs w:val="24"/>
        </w:rPr>
      </w:pPr>
      <w:r w:rsidRPr="008A5B6D">
        <w:rPr>
          <w:szCs w:val="24"/>
        </w:rPr>
        <w:t xml:space="preserve">To assist respondents and to reduce the burden on them, FRA has made Form FRA F 6180.71, U.S. DOT Crossing Inventory Form, available </w:t>
      </w:r>
      <w:r w:rsidRPr="008A5B6D" w:rsidR="007005ED">
        <w:rPr>
          <w:szCs w:val="24"/>
        </w:rPr>
        <w:t>in a PDF</w:t>
      </w:r>
      <w:r w:rsidR="00EF5D12">
        <w:rPr>
          <w:szCs w:val="24"/>
        </w:rPr>
        <w:t>, web-based</w:t>
      </w:r>
      <w:r w:rsidRPr="008A5B6D" w:rsidR="007005ED">
        <w:rPr>
          <w:szCs w:val="24"/>
        </w:rPr>
        <w:t xml:space="preserve"> fillable format</w:t>
      </w:r>
      <w:r w:rsidRPr="008A5B6D" w:rsidR="000A273B">
        <w:rPr>
          <w:szCs w:val="24"/>
        </w:rPr>
        <w:t xml:space="preserve">. </w:t>
      </w:r>
      <w:r w:rsidR="00AB304A">
        <w:rPr>
          <w:szCs w:val="24"/>
        </w:rPr>
        <w:t xml:space="preserve"> </w:t>
      </w:r>
      <w:r w:rsidRPr="008A5B6D">
        <w:rPr>
          <w:szCs w:val="24"/>
        </w:rPr>
        <w:t>This form is used to collect highway-grade crossing information from States and railroads</w:t>
      </w:r>
      <w:r w:rsidRPr="008A5B6D" w:rsidR="000A273B">
        <w:rPr>
          <w:szCs w:val="24"/>
        </w:rPr>
        <w:t xml:space="preserve">. </w:t>
      </w:r>
    </w:p>
    <w:p w:rsidR="00D14763" w:rsidRPr="008A5B6D" w14:paraId="4E4A0CE2" w14:textId="77777777">
      <w:pPr>
        <w:widowControl w:val="0"/>
        <w:rPr>
          <w:b/>
          <w:szCs w:val="24"/>
        </w:rPr>
      </w:pPr>
    </w:p>
    <w:p w:rsidR="008060FF" w:rsidRPr="008A5B6D" w:rsidP="008060FF" w14:paraId="09DD2A33" w14:textId="77777777">
      <w:pPr>
        <w:widowControl w:val="0"/>
        <w:ind w:left="720" w:hanging="720"/>
        <w:rPr>
          <w:b/>
          <w:szCs w:val="24"/>
        </w:rPr>
      </w:pPr>
      <w:r w:rsidRPr="008A5B6D">
        <w:rPr>
          <w:b/>
          <w:szCs w:val="24"/>
        </w:rPr>
        <w:t>4.</w:t>
      </w:r>
      <w:r w:rsidRPr="008A5B6D">
        <w:rPr>
          <w:b/>
          <w:szCs w:val="24"/>
        </w:rPr>
        <w:tab/>
      </w:r>
      <w:r w:rsidRPr="008A5B6D">
        <w:rPr>
          <w:b/>
          <w:szCs w:val="24"/>
          <w:u w:val="single"/>
        </w:rPr>
        <w:t>Efforts to identify duplication</w:t>
      </w:r>
      <w:r w:rsidRPr="008A5B6D">
        <w:rPr>
          <w:b/>
          <w:szCs w:val="24"/>
        </w:rPr>
        <w:t>.</w:t>
      </w:r>
    </w:p>
    <w:p w:rsidR="00D14763" w:rsidRPr="008A5B6D" w14:paraId="04A88FD1" w14:textId="77777777">
      <w:pPr>
        <w:widowControl w:val="0"/>
        <w:rPr>
          <w:szCs w:val="24"/>
        </w:rPr>
      </w:pPr>
    </w:p>
    <w:p w:rsidR="00D14763" w:rsidRPr="008A425A" w:rsidP="008A425A" w14:paraId="171E0655" w14:textId="7FD8789E">
      <w:pPr>
        <w:widowControl w:val="0"/>
        <w:ind w:left="720"/>
        <w:rPr>
          <w:b/>
          <w:szCs w:val="24"/>
        </w:rPr>
      </w:pPr>
      <w:r w:rsidRPr="008A5B6D">
        <w:rPr>
          <w:szCs w:val="24"/>
        </w:rPr>
        <w:t>The information collect</w:t>
      </w:r>
      <w:r w:rsidRPr="008A5B6D" w:rsidR="00612315">
        <w:rPr>
          <w:szCs w:val="24"/>
        </w:rPr>
        <w:t xml:space="preserve">ed is </w:t>
      </w:r>
      <w:r w:rsidRPr="008A5B6D">
        <w:rPr>
          <w:szCs w:val="24"/>
        </w:rPr>
        <w:t>not duplicated anywhere.</w:t>
      </w:r>
      <w:r w:rsidR="008A425A">
        <w:rPr>
          <w:b/>
          <w:szCs w:val="24"/>
        </w:rPr>
        <w:t xml:space="preserve">  </w:t>
      </w:r>
      <w:r w:rsidRPr="008A5B6D">
        <w:rPr>
          <w:szCs w:val="24"/>
        </w:rPr>
        <w:t xml:space="preserve">Similar data </w:t>
      </w:r>
      <w:r w:rsidR="00FA46DA">
        <w:rPr>
          <w:szCs w:val="24"/>
        </w:rPr>
        <w:t>is</w:t>
      </w:r>
      <w:r w:rsidRPr="008A5B6D">
        <w:rPr>
          <w:szCs w:val="24"/>
        </w:rPr>
        <w:t xml:space="preserve"> not available from any other source</w:t>
      </w:r>
      <w:r w:rsidRPr="008A5B6D" w:rsidR="000A273B">
        <w:rPr>
          <w:szCs w:val="24"/>
        </w:rPr>
        <w:t xml:space="preserve">. </w:t>
      </w:r>
    </w:p>
    <w:p w:rsidR="001401EB" w:rsidRPr="008A5B6D" w14:paraId="520D211E" w14:textId="77777777">
      <w:pPr>
        <w:widowControl w:val="0"/>
        <w:ind w:left="720"/>
        <w:rPr>
          <w:szCs w:val="24"/>
        </w:rPr>
      </w:pPr>
    </w:p>
    <w:p w:rsidR="0023401B" w:rsidRPr="008A5B6D" w:rsidP="0023401B" w14:paraId="08E9CD57" w14:textId="77777777">
      <w:pPr>
        <w:tabs>
          <w:tab w:val="left" w:pos="-360"/>
          <w:tab w:val="left" w:pos="0"/>
          <w:tab w:val="left" w:pos="720"/>
          <w:tab w:val="left" w:pos="1440"/>
          <w:tab w:val="left" w:pos="2160"/>
          <w:tab w:val="left" w:pos="2880"/>
          <w:tab w:val="left" w:pos="3600"/>
          <w:tab w:val="left" w:pos="4320"/>
          <w:tab w:val="left" w:pos="4680"/>
          <w:tab w:val="left" w:pos="6300"/>
          <w:tab w:val="left" w:pos="6480"/>
          <w:tab w:val="left" w:pos="7200"/>
          <w:tab w:val="left" w:pos="7920"/>
          <w:tab w:val="left" w:pos="84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A5B6D">
        <w:rPr>
          <w:b/>
          <w:szCs w:val="24"/>
        </w:rPr>
        <w:t>5.</w:t>
      </w:r>
      <w:r w:rsidRPr="008A5B6D">
        <w:rPr>
          <w:b/>
          <w:szCs w:val="24"/>
        </w:rPr>
        <w:tab/>
      </w:r>
      <w:r w:rsidRPr="008A5B6D">
        <w:rPr>
          <w:b/>
          <w:szCs w:val="24"/>
          <w:u w:val="single"/>
        </w:rPr>
        <w:t>Efforts to minimize the burden on small businesses</w:t>
      </w:r>
      <w:r w:rsidRPr="008A5B6D">
        <w:rPr>
          <w:b/>
          <w:szCs w:val="24"/>
        </w:rPr>
        <w:t>.</w:t>
      </w:r>
    </w:p>
    <w:p w:rsidR="00342D66" w:rsidRPr="008A5B6D" w14:paraId="492EE866" w14:textId="77777777">
      <w:pPr>
        <w:widowControl w:val="0"/>
        <w:rPr>
          <w:b/>
          <w:szCs w:val="24"/>
        </w:rPr>
      </w:pPr>
    </w:p>
    <w:p w:rsidR="00612315" w:rsidRPr="008A5B6D" w14:paraId="31DB61E8" w14:textId="56D761E3">
      <w:pPr>
        <w:widowControl w:val="0"/>
        <w:ind w:left="720"/>
        <w:rPr>
          <w:szCs w:val="24"/>
        </w:rPr>
      </w:pPr>
      <w:r w:rsidRPr="008A5B6D">
        <w:rPr>
          <w:szCs w:val="24"/>
        </w:rPr>
        <w:t xml:space="preserve">FRA </w:t>
      </w:r>
      <w:r w:rsidR="003202A7">
        <w:rPr>
          <w:szCs w:val="24"/>
        </w:rPr>
        <w:t xml:space="preserve">has </w:t>
      </w:r>
      <w:r w:rsidRPr="008A5B6D">
        <w:rPr>
          <w:szCs w:val="24"/>
        </w:rPr>
        <w:t>certifie</w:t>
      </w:r>
      <w:r w:rsidR="004F3D4A">
        <w:rPr>
          <w:szCs w:val="24"/>
        </w:rPr>
        <w:t>d</w:t>
      </w:r>
      <w:r w:rsidRPr="008A5B6D">
        <w:rPr>
          <w:szCs w:val="24"/>
        </w:rPr>
        <w:t xml:space="preserve"> that this </w:t>
      </w:r>
      <w:r w:rsidRPr="008A5B6D" w:rsidR="00EF54AE">
        <w:rPr>
          <w:szCs w:val="24"/>
        </w:rPr>
        <w:t>regulation</w:t>
      </w:r>
      <w:r w:rsidRPr="008A5B6D">
        <w:rPr>
          <w:szCs w:val="24"/>
        </w:rPr>
        <w:t xml:space="preserve"> </w:t>
      </w:r>
      <w:r w:rsidR="004F3D4A">
        <w:rPr>
          <w:szCs w:val="24"/>
        </w:rPr>
        <w:t>would</w:t>
      </w:r>
      <w:r w:rsidRPr="008A5B6D" w:rsidR="004F3D4A">
        <w:rPr>
          <w:szCs w:val="24"/>
        </w:rPr>
        <w:t xml:space="preserve"> </w:t>
      </w:r>
      <w:r w:rsidRPr="008A5B6D">
        <w:rPr>
          <w:szCs w:val="24"/>
        </w:rPr>
        <w:t>not have a significant economic impact on a substantial number of small entities.</w:t>
      </w:r>
    </w:p>
    <w:p w:rsidR="00612315" w:rsidRPr="008A5B6D" w14:paraId="066654AE" w14:textId="77777777">
      <w:pPr>
        <w:widowControl w:val="0"/>
        <w:ind w:left="720"/>
        <w:rPr>
          <w:szCs w:val="24"/>
        </w:rPr>
      </w:pPr>
    </w:p>
    <w:p w:rsidR="00EF54AE" w:rsidRPr="008A5B6D" w14:paraId="6E2CD0B3" w14:textId="2B1E6836">
      <w:pPr>
        <w:widowControl w:val="0"/>
        <w:ind w:left="720"/>
        <w:rPr>
          <w:szCs w:val="24"/>
        </w:rPr>
      </w:pPr>
      <w:r w:rsidRPr="00A51240">
        <w:rPr>
          <w:szCs w:val="24"/>
        </w:rPr>
        <w:t xml:space="preserve">The costs of implementing </w:t>
      </w:r>
      <w:r w:rsidRPr="00A51240" w:rsidR="003F00A9">
        <w:rPr>
          <w:szCs w:val="24"/>
        </w:rPr>
        <w:t>this regulation</w:t>
      </w:r>
      <w:r w:rsidRPr="00A51240">
        <w:rPr>
          <w:szCs w:val="24"/>
        </w:rPr>
        <w:t xml:space="preserve"> </w:t>
      </w:r>
      <w:r w:rsidR="003202A7">
        <w:rPr>
          <w:szCs w:val="24"/>
        </w:rPr>
        <w:t>a</w:t>
      </w:r>
      <w:r w:rsidRPr="00A51240" w:rsidR="00E578F1">
        <w:rPr>
          <w:szCs w:val="24"/>
        </w:rPr>
        <w:t xml:space="preserve">re </w:t>
      </w:r>
      <w:r w:rsidRPr="00A51240">
        <w:rPr>
          <w:szCs w:val="24"/>
        </w:rPr>
        <w:t xml:space="preserve">predominately on governmental </w:t>
      </w:r>
      <w:r w:rsidRPr="00A51240" w:rsidR="002D1DF6">
        <w:rPr>
          <w:szCs w:val="24"/>
        </w:rPr>
        <w:t>jurisdictions</w:t>
      </w:r>
      <w:r w:rsidR="002D1DF6">
        <w:rPr>
          <w:szCs w:val="24"/>
        </w:rPr>
        <w:t>,</w:t>
      </w:r>
      <w:r w:rsidRPr="00A51240" w:rsidR="002D1DF6">
        <w:rPr>
          <w:szCs w:val="24"/>
        </w:rPr>
        <w:t xml:space="preserve"> some</w:t>
      </w:r>
      <w:r w:rsidRPr="00A51240">
        <w:rPr>
          <w:szCs w:val="24"/>
        </w:rPr>
        <w:t xml:space="preserve"> of which are “small governmental jurisdictions.” </w:t>
      </w:r>
      <w:r w:rsidR="00C13B7C">
        <w:rPr>
          <w:szCs w:val="24"/>
        </w:rPr>
        <w:t xml:space="preserve"> </w:t>
      </w:r>
      <w:r w:rsidRPr="00A51240">
        <w:rPr>
          <w:szCs w:val="24"/>
        </w:rPr>
        <w:t>As defined by the S</w:t>
      </w:r>
      <w:r w:rsidR="00191FE0">
        <w:rPr>
          <w:szCs w:val="24"/>
        </w:rPr>
        <w:t xml:space="preserve">mall </w:t>
      </w:r>
      <w:r w:rsidRPr="00A51240">
        <w:rPr>
          <w:szCs w:val="24"/>
        </w:rPr>
        <w:t>B</w:t>
      </w:r>
      <w:r w:rsidR="00191FE0">
        <w:rPr>
          <w:szCs w:val="24"/>
        </w:rPr>
        <w:t xml:space="preserve">usiness </w:t>
      </w:r>
      <w:r w:rsidRPr="00A51240">
        <w:rPr>
          <w:szCs w:val="24"/>
        </w:rPr>
        <w:t>A</w:t>
      </w:r>
      <w:r w:rsidR="00191FE0">
        <w:rPr>
          <w:szCs w:val="24"/>
        </w:rPr>
        <w:t>dministration,</w:t>
      </w:r>
      <w:r w:rsidRPr="00A51240">
        <w:rPr>
          <w:szCs w:val="24"/>
        </w:rPr>
        <w:t xml:space="preserve"> this term means governments of cities, counties, towns, townships, villages, school districts, or special districts with a population of less than fifty thousand. </w:t>
      </w:r>
      <w:r w:rsidR="00C13B7C">
        <w:rPr>
          <w:szCs w:val="24"/>
        </w:rPr>
        <w:t xml:space="preserve"> </w:t>
      </w:r>
      <w:r w:rsidRPr="00A51240">
        <w:rPr>
          <w:szCs w:val="24"/>
        </w:rPr>
        <w:t xml:space="preserve">The most significant impacts </w:t>
      </w:r>
      <w:r w:rsidR="00176BA3">
        <w:rPr>
          <w:szCs w:val="24"/>
        </w:rPr>
        <w:t>of</w:t>
      </w:r>
      <w:r w:rsidRPr="00A51240" w:rsidR="00176BA3">
        <w:rPr>
          <w:szCs w:val="24"/>
        </w:rPr>
        <w:t xml:space="preserve"> </w:t>
      </w:r>
      <w:r w:rsidRPr="00A51240">
        <w:rPr>
          <w:szCs w:val="24"/>
        </w:rPr>
        <w:t>this r</w:t>
      </w:r>
      <w:r w:rsidRPr="00A51240" w:rsidR="003F00A9">
        <w:rPr>
          <w:szCs w:val="24"/>
        </w:rPr>
        <w:t>egulation</w:t>
      </w:r>
      <w:r w:rsidRPr="00A51240">
        <w:rPr>
          <w:szCs w:val="24"/>
        </w:rPr>
        <w:t xml:space="preserve"> </w:t>
      </w:r>
      <w:r w:rsidR="00176BA3">
        <w:rPr>
          <w:szCs w:val="24"/>
        </w:rPr>
        <w:t>are</w:t>
      </w:r>
      <w:r w:rsidRPr="00A51240">
        <w:rPr>
          <w:szCs w:val="24"/>
        </w:rPr>
        <w:t xml:space="preserve"> on governmental jurisdictions whose communities currently have either formal or informal whistle bans in place. </w:t>
      </w:r>
      <w:r w:rsidR="00C13B7C">
        <w:rPr>
          <w:szCs w:val="24"/>
        </w:rPr>
        <w:t xml:space="preserve"> </w:t>
      </w:r>
      <w:r w:rsidRPr="00A51240">
        <w:rPr>
          <w:szCs w:val="24"/>
        </w:rPr>
        <w:t>FRA estimates that approximately 70 percent of these governmental jurisdictions are considered small entities.</w:t>
      </w:r>
    </w:p>
    <w:p w:rsidR="00EF54AE" w:rsidRPr="008A5B6D" w14:paraId="265CDA40" w14:textId="77777777">
      <w:pPr>
        <w:widowControl w:val="0"/>
        <w:ind w:left="720"/>
        <w:rPr>
          <w:szCs w:val="24"/>
        </w:rPr>
      </w:pPr>
    </w:p>
    <w:p w:rsidR="00D14763" w:rsidRPr="008A5B6D" w14:paraId="27966F9E" w14:textId="0FD47251">
      <w:pPr>
        <w:widowControl w:val="0"/>
        <w:ind w:left="720"/>
        <w:rPr>
          <w:szCs w:val="24"/>
        </w:rPr>
      </w:pPr>
      <w:r w:rsidRPr="008A5B6D">
        <w:rPr>
          <w:szCs w:val="24"/>
        </w:rPr>
        <w:t xml:space="preserve">The information collection requirements contained in this </w:t>
      </w:r>
      <w:r w:rsidRPr="008A5B6D" w:rsidR="003F00A9">
        <w:rPr>
          <w:szCs w:val="24"/>
        </w:rPr>
        <w:t xml:space="preserve">regulation </w:t>
      </w:r>
      <w:r w:rsidRPr="008A5B6D" w:rsidR="009620D4">
        <w:rPr>
          <w:szCs w:val="24"/>
        </w:rPr>
        <w:t xml:space="preserve">with respect to </w:t>
      </w:r>
      <w:r w:rsidR="005D4C3E">
        <w:rPr>
          <w:szCs w:val="24"/>
        </w:rPr>
        <w:t>quiet zones</w:t>
      </w:r>
      <w:r w:rsidRPr="008A5B6D" w:rsidR="009620D4">
        <w:rPr>
          <w:szCs w:val="24"/>
        </w:rPr>
        <w:t xml:space="preserve"> </w:t>
      </w:r>
      <w:r w:rsidRPr="008A5B6D">
        <w:rPr>
          <w:szCs w:val="24"/>
        </w:rPr>
        <w:t>are discretiona</w:t>
      </w:r>
      <w:r w:rsidR="0067781C">
        <w:rPr>
          <w:szCs w:val="24"/>
        </w:rPr>
        <w:t>ry</w:t>
      </w:r>
      <w:r w:rsidRPr="008A5B6D" w:rsidR="000A273B">
        <w:rPr>
          <w:szCs w:val="24"/>
        </w:rPr>
        <w:t xml:space="preserve">. </w:t>
      </w:r>
    </w:p>
    <w:p w:rsidR="0083609C" w:rsidRPr="008A5B6D" w:rsidP="009452F0" w14:paraId="55089AC9" w14:textId="285B67BA">
      <w:pPr>
        <w:widowControl w:val="0"/>
        <w:ind w:left="720"/>
        <w:rPr>
          <w:szCs w:val="24"/>
        </w:rPr>
      </w:pPr>
      <w:r w:rsidRPr="008A5B6D">
        <w:rPr>
          <w:szCs w:val="24"/>
        </w:rPr>
        <w:t xml:space="preserve">FRA expects that </w:t>
      </w:r>
      <w:r w:rsidRPr="008A5B6D">
        <w:rPr>
          <w:szCs w:val="24"/>
        </w:rPr>
        <w:t>the majority of</w:t>
      </w:r>
      <w:r w:rsidRPr="008A5B6D">
        <w:rPr>
          <w:szCs w:val="24"/>
        </w:rPr>
        <w:t xml:space="preserve"> “communities” </w:t>
      </w:r>
      <w:r w:rsidR="00BE3A0D">
        <w:rPr>
          <w:szCs w:val="24"/>
        </w:rPr>
        <w:t>establishing</w:t>
      </w:r>
      <w:r w:rsidRPr="008A5B6D">
        <w:rPr>
          <w:szCs w:val="24"/>
        </w:rPr>
        <w:t xml:space="preserve"> </w:t>
      </w:r>
      <w:r w:rsidR="006B2876">
        <w:rPr>
          <w:szCs w:val="24"/>
        </w:rPr>
        <w:t>quiet zones</w:t>
      </w:r>
      <w:r w:rsidRPr="008A5B6D">
        <w:rPr>
          <w:szCs w:val="24"/>
        </w:rPr>
        <w:t xml:space="preserve"> in this updated submission will be </w:t>
      </w:r>
      <w:r w:rsidR="006B2876">
        <w:rPr>
          <w:szCs w:val="24"/>
        </w:rPr>
        <w:t>“</w:t>
      </w:r>
      <w:r w:rsidRPr="008A5B6D">
        <w:rPr>
          <w:szCs w:val="24"/>
        </w:rPr>
        <w:t>large communities.”  To the extent that small communities</w:t>
      </w:r>
      <w:r w:rsidR="00BE3A0D">
        <w:rPr>
          <w:szCs w:val="24"/>
        </w:rPr>
        <w:t xml:space="preserve"> establish quiet zones</w:t>
      </w:r>
      <w:r w:rsidRPr="008A5B6D">
        <w:rPr>
          <w:szCs w:val="24"/>
        </w:rPr>
        <w:t xml:space="preserve">, the number of </w:t>
      </w:r>
      <w:r w:rsidR="003C1B61">
        <w:rPr>
          <w:szCs w:val="24"/>
        </w:rPr>
        <w:t xml:space="preserve">grade </w:t>
      </w:r>
      <w:r w:rsidRPr="008A5B6D">
        <w:rPr>
          <w:szCs w:val="24"/>
        </w:rPr>
        <w:t>crossings will also be small and, therefore, the amount of information to be collected will be very minimal.</w:t>
      </w:r>
      <w:r w:rsidRPr="008A5B6D">
        <w:rPr>
          <w:szCs w:val="24"/>
        </w:rPr>
        <w:tab/>
      </w:r>
    </w:p>
    <w:p w:rsidR="00C056C2" w:rsidRPr="008A5B6D" w:rsidP="009452F0" w14:paraId="72AB3244" w14:textId="77777777">
      <w:pPr>
        <w:widowControl w:val="0"/>
        <w:ind w:left="720"/>
        <w:rPr>
          <w:szCs w:val="24"/>
        </w:rPr>
      </w:pPr>
    </w:p>
    <w:p w:rsidR="00D14763" w:rsidRPr="008A5B6D" w14:paraId="17ED8E1E" w14:textId="4890A0F4">
      <w:pPr>
        <w:widowControl w:val="0"/>
        <w:ind w:left="720"/>
        <w:rPr>
          <w:szCs w:val="24"/>
        </w:rPr>
      </w:pPr>
      <w:r w:rsidRPr="008A5B6D">
        <w:rPr>
          <w:szCs w:val="24"/>
        </w:rPr>
        <w:t>Additionally, the regulation does not apply to (1) railroads exclusively operating freight trains only on track which is not part of the general system of transportation; (2) passenger railroads that operate only on track which is not part of the general system of transportation</w:t>
      </w:r>
      <w:r w:rsidRPr="008A5B6D">
        <w:rPr>
          <w:b/>
          <w:szCs w:val="24"/>
        </w:rPr>
        <w:t xml:space="preserve"> </w:t>
      </w:r>
      <w:r w:rsidRPr="008A5B6D">
        <w:rPr>
          <w:szCs w:val="24"/>
        </w:rPr>
        <w:t xml:space="preserve">and that operate at a maximum of 15 </w:t>
      </w:r>
      <w:r w:rsidR="001E76C0">
        <w:rPr>
          <w:szCs w:val="24"/>
        </w:rPr>
        <w:t>mph</w:t>
      </w:r>
      <w:r w:rsidRPr="008A5B6D">
        <w:rPr>
          <w:szCs w:val="24"/>
        </w:rPr>
        <w:t xml:space="preserve"> over public grade crossings; and (3) rapid transit operations within an urban area that are not connected to the general system of transportation.  </w:t>
      </w:r>
    </w:p>
    <w:p w:rsidR="00D14763" w:rsidRPr="008A5B6D" w14:paraId="31676927" w14:textId="77777777">
      <w:pPr>
        <w:widowControl w:val="0"/>
        <w:rPr>
          <w:szCs w:val="24"/>
        </w:rPr>
      </w:pPr>
    </w:p>
    <w:p w:rsidR="002620D8" w:rsidRPr="008A5B6D" w:rsidP="002620D8" w14:paraId="6739B86F" w14:textId="77777777">
      <w:pPr>
        <w:widowControl w:val="0"/>
        <w:rPr>
          <w:b/>
          <w:szCs w:val="24"/>
        </w:rPr>
      </w:pPr>
      <w:r w:rsidRPr="008A5B6D">
        <w:rPr>
          <w:b/>
          <w:szCs w:val="24"/>
        </w:rPr>
        <w:t>6.</w:t>
      </w:r>
      <w:r w:rsidRPr="008A5B6D">
        <w:rPr>
          <w:b/>
          <w:szCs w:val="24"/>
        </w:rPr>
        <w:tab/>
      </w:r>
      <w:r w:rsidRPr="008A5B6D">
        <w:rPr>
          <w:b/>
          <w:szCs w:val="24"/>
          <w:u w:val="single"/>
        </w:rPr>
        <w:t>Impact of less frequent collection of information</w:t>
      </w:r>
      <w:r w:rsidRPr="008A5B6D">
        <w:rPr>
          <w:b/>
          <w:szCs w:val="24"/>
        </w:rPr>
        <w:t>.</w:t>
      </w:r>
    </w:p>
    <w:p w:rsidR="00D14763" w:rsidRPr="008A5B6D" w14:paraId="2C656E2A" w14:textId="77777777">
      <w:pPr>
        <w:widowControl w:val="0"/>
        <w:rPr>
          <w:b/>
          <w:szCs w:val="24"/>
        </w:rPr>
      </w:pPr>
    </w:p>
    <w:p w:rsidR="00D14763" w:rsidRPr="008A5B6D" w14:paraId="4A40140E" w14:textId="72D8D0BA">
      <w:pPr>
        <w:widowControl w:val="0"/>
        <w:ind w:left="720"/>
        <w:rPr>
          <w:szCs w:val="24"/>
        </w:rPr>
      </w:pPr>
      <w:r w:rsidRPr="008A5B6D">
        <w:rPr>
          <w:szCs w:val="24"/>
        </w:rPr>
        <w:t>The sounding of train horns is a long-established method of providing safety at highway-rail grade crossings</w:t>
      </w:r>
      <w:r w:rsidRPr="008A5B6D" w:rsidR="000A273B">
        <w:rPr>
          <w:szCs w:val="24"/>
        </w:rPr>
        <w:t xml:space="preserve">. </w:t>
      </w:r>
      <w:r w:rsidR="00772D88">
        <w:rPr>
          <w:szCs w:val="24"/>
        </w:rPr>
        <w:t xml:space="preserve"> </w:t>
      </w:r>
      <w:r w:rsidRPr="008A5B6D">
        <w:rPr>
          <w:szCs w:val="24"/>
        </w:rPr>
        <w:t xml:space="preserve">FRA believes, and </w:t>
      </w:r>
      <w:r w:rsidR="00A148CD">
        <w:rPr>
          <w:szCs w:val="24"/>
        </w:rPr>
        <w:t xml:space="preserve">the </w:t>
      </w:r>
      <w:r w:rsidRPr="008A5B6D">
        <w:rPr>
          <w:szCs w:val="24"/>
        </w:rPr>
        <w:t>data support</w:t>
      </w:r>
      <w:r w:rsidR="008967F6">
        <w:rPr>
          <w:szCs w:val="24"/>
        </w:rPr>
        <w:t>s</w:t>
      </w:r>
      <w:r w:rsidRPr="008A5B6D">
        <w:rPr>
          <w:szCs w:val="24"/>
        </w:rPr>
        <w:t xml:space="preserve">, that train horns provide an effective warning to motorists and </w:t>
      </w:r>
      <w:r w:rsidR="002772D6">
        <w:rPr>
          <w:szCs w:val="24"/>
        </w:rPr>
        <w:t>may</w:t>
      </w:r>
      <w:r w:rsidRPr="008A5B6D">
        <w:rPr>
          <w:szCs w:val="24"/>
        </w:rPr>
        <w:t xml:space="preserve"> </w:t>
      </w:r>
      <w:r w:rsidR="009F368C">
        <w:rPr>
          <w:szCs w:val="24"/>
        </w:rPr>
        <w:t xml:space="preserve">thereby </w:t>
      </w:r>
      <w:r w:rsidRPr="008A5B6D">
        <w:rPr>
          <w:szCs w:val="24"/>
        </w:rPr>
        <w:t>reduce the number of collisions involving motorists and trains, the number of incidents involving trains and pedestrians at crossings</w:t>
      </w:r>
      <w:r w:rsidR="00D31E05">
        <w:rPr>
          <w:szCs w:val="24"/>
        </w:rPr>
        <w:t>,</w:t>
      </w:r>
      <w:r w:rsidRPr="008A5B6D">
        <w:rPr>
          <w:szCs w:val="24"/>
        </w:rPr>
        <w:t xml:space="preserve"> and corresponding casualties.  </w:t>
      </w:r>
    </w:p>
    <w:p w:rsidR="00D14763" w:rsidRPr="008A5B6D" w14:paraId="174E2BEA" w14:textId="77777777">
      <w:pPr>
        <w:widowControl w:val="0"/>
        <w:rPr>
          <w:szCs w:val="24"/>
        </w:rPr>
      </w:pPr>
    </w:p>
    <w:p w:rsidR="00D14763" w:rsidRPr="008A5B6D" w:rsidP="008A5B6D" w14:paraId="5D0CD5F1" w14:textId="423B1857">
      <w:pPr>
        <w:widowControl w:val="0"/>
        <w:ind w:left="720"/>
        <w:rPr>
          <w:szCs w:val="24"/>
        </w:rPr>
      </w:pPr>
      <w:r w:rsidRPr="009B0E90">
        <w:rPr>
          <w:szCs w:val="24"/>
        </w:rPr>
        <w:t xml:space="preserve">Without this collection of information, FRA </w:t>
      </w:r>
      <w:r w:rsidRPr="009B0E90" w:rsidR="00EF54AE">
        <w:rPr>
          <w:szCs w:val="24"/>
        </w:rPr>
        <w:t>w</w:t>
      </w:r>
      <w:r w:rsidRPr="009B0E90" w:rsidR="00A148CD">
        <w:rPr>
          <w:szCs w:val="24"/>
        </w:rPr>
        <w:t>ould</w:t>
      </w:r>
      <w:r w:rsidRPr="009B0E90">
        <w:rPr>
          <w:szCs w:val="24"/>
        </w:rPr>
        <w:t xml:space="preserve"> have no means of ensuring that </w:t>
      </w:r>
      <w:r w:rsidR="007A62C9">
        <w:rPr>
          <w:szCs w:val="24"/>
        </w:rPr>
        <w:t>quiet zones</w:t>
      </w:r>
      <w:r w:rsidRPr="009B0E90">
        <w:rPr>
          <w:szCs w:val="24"/>
        </w:rPr>
        <w:t xml:space="preserve"> where train horns do not </w:t>
      </w:r>
      <w:r w:rsidR="007A62C9">
        <w:rPr>
          <w:szCs w:val="24"/>
        </w:rPr>
        <w:t xml:space="preserve">routinely </w:t>
      </w:r>
      <w:r w:rsidRPr="009B0E90">
        <w:rPr>
          <w:szCs w:val="24"/>
        </w:rPr>
        <w:t xml:space="preserve">sound will have a risk level that is no higher than the average risk level at gated crossings nationwide where locomotive horns are sounded regularly, or that the effectiveness of </w:t>
      </w:r>
      <w:r w:rsidR="002F6048">
        <w:rPr>
          <w:szCs w:val="24"/>
        </w:rPr>
        <w:t xml:space="preserve">routine locomotive </w:t>
      </w:r>
      <w:r w:rsidRPr="009B0E90">
        <w:rPr>
          <w:szCs w:val="24"/>
        </w:rPr>
        <w:t>horn</w:t>
      </w:r>
      <w:r w:rsidR="002F6048">
        <w:rPr>
          <w:szCs w:val="24"/>
        </w:rPr>
        <w:t xml:space="preserve"> </w:t>
      </w:r>
      <w:r w:rsidRPr="009B0E90">
        <w:rPr>
          <w:szCs w:val="24"/>
        </w:rPr>
        <w:t>s</w:t>
      </w:r>
      <w:r w:rsidR="002F6048">
        <w:rPr>
          <w:szCs w:val="24"/>
        </w:rPr>
        <w:t>ounding</w:t>
      </w:r>
      <w:r w:rsidRPr="009B0E90">
        <w:rPr>
          <w:szCs w:val="24"/>
        </w:rPr>
        <w:t xml:space="preserve"> is compensated for in </w:t>
      </w:r>
      <w:r w:rsidR="002F6048">
        <w:rPr>
          <w:szCs w:val="24"/>
        </w:rPr>
        <w:t>quiet zones</w:t>
      </w:r>
      <w:r w:rsidRPr="009B0E90">
        <w:rPr>
          <w:szCs w:val="24"/>
        </w:rPr>
        <w:t xml:space="preserve"> where trains do not sound regularly.</w:t>
      </w:r>
      <w:r w:rsidRPr="008A5B6D">
        <w:rPr>
          <w:szCs w:val="24"/>
        </w:rPr>
        <w:t xml:space="preserve">  </w:t>
      </w:r>
    </w:p>
    <w:p w:rsidR="001401EB" w:rsidP="001401EB" w14:paraId="6728C0F4" w14:textId="77777777">
      <w:pPr>
        <w:widowControl w:val="0"/>
        <w:ind w:left="720"/>
        <w:rPr>
          <w:szCs w:val="24"/>
        </w:rPr>
      </w:pPr>
    </w:p>
    <w:p w:rsidR="001401EB" w:rsidP="001401EB" w14:paraId="42E3E64B" w14:textId="4A861CC6">
      <w:pPr>
        <w:widowControl w:val="0"/>
        <w:ind w:left="720"/>
        <w:rPr>
          <w:szCs w:val="24"/>
        </w:rPr>
      </w:pPr>
      <w:r w:rsidRPr="008A5B6D">
        <w:rPr>
          <w:szCs w:val="24"/>
        </w:rPr>
        <w:t>In sum, this collection of information both complies with the law and helps FRA to fulfill its mission, which is to promote and enhance rail safety throughout the United States.</w:t>
      </w:r>
    </w:p>
    <w:p w:rsidR="008A425A" w:rsidP="001401EB" w14:paraId="2875FFC3" w14:textId="77777777">
      <w:pPr>
        <w:widowControl w:val="0"/>
        <w:ind w:left="720"/>
        <w:rPr>
          <w:szCs w:val="24"/>
        </w:rPr>
      </w:pPr>
    </w:p>
    <w:p w:rsidR="001401EB" w:rsidRPr="008A5B6D" w:rsidP="001401EB" w14:paraId="2A02DA86" w14:textId="77777777">
      <w:pPr>
        <w:widowControl w:val="0"/>
        <w:ind w:left="720" w:hanging="720"/>
        <w:rPr>
          <w:szCs w:val="24"/>
        </w:rPr>
      </w:pPr>
      <w:r w:rsidRPr="008A5B6D">
        <w:rPr>
          <w:b/>
          <w:szCs w:val="24"/>
        </w:rPr>
        <w:t>7.</w:t>
      </w:r>
      <w:r w:rsidRPr="008A5B6D">
        <w:rPr>
          <w:b/>
          <w:szCs w:val="24"/>
        </w:rPr>
        <w:tab/>
      </w:r>
      <w:r w:rsidRPr="008A5B6D">
        <w:rPr>
          <w:b/>
          <w:szCs w:val="24"/>
          <w:u w:val="single"/>
        </w:rPr>
        <w:t>Special circumstances</w:t>
      </w:r>
      <w:r w:rsidRPr="008A5B6D">
        <w:rPr>
          <w:b/>
          <w:szCs w:val="24"/>
        </w:rPr>
        <w:t>.</w:t>
      </w:r>
    </w:p>
    <w:p w:rsidR="00E867AF" w:rsidP="007E5844" w14:paraId="2DD0CE0A" w14:textId="77777777">
      <w:pPr>
        <w:widowControl w:val="0"/>
        <w:ind w:left="720"/>
        <w:rPr>
          <w:szCs w:val="24"/>
        </w:rPr>
      </w:pPr>
    </w:p>
    <w:p w:rsidR="00216EC2" w:rsidRPr="008A5B6D" w:rsidP="00216EC2" w14:paraId="03418824" w14:textId="0C591D10">
      <w:pPr>
        <w:widowControl w:val="0"/>
        <w:ind w:left="720"/>
        <w:rPr>
          <w:szCs w:val="24"/>
        </w:rPr>
      </w:pPr>
      <w:r w:rsidRPr="008A5B6D">
        <w:rPr>
          <w:szCs w:val="24"/>
        </w:rPr>
        <w:t xml:space="preserve">Under </w:t>
      </w:r>
      <w:r w:rsidR="00772D88">
        <w:rPr>
          <w:szCs w:val="24"/>
        </w:rPr>
        <w:t>a</w:t>
      </w:r>
      <w:r w:rsidRPr="008A5B6D">
        <w:rPr>
          <w:szCs w:val="24"/>
        </w:rPr>
        <w:t xml:space="preserve">ppendix B </w:t>
      </w:r>
      <w:r w:rsidR="00772D88">
        <w:rPr>
          <w:szCs w:val="24"/>
        </w:rPr>
        <w:t>to p</w:t>
      </w:r>
      <w:r w:rsidRPr="008A5B6D">
        <w:rPr>
          <w:szCs w:val="24"/>
        </w:rPr>
        <w:t xml:space="preserve">art 222, the public authority must retain records pertaining to monitoring and sampling efforts at the grade crossings for a period of not less than five (5) years for non-engineering ASMs. </w:t>
      </w:r>
      <w:r w:rsidR="00772D88">
        <w:rPr>
          <w:szCs w:val="24"/>
        </w:rPr>
        <w:t xml:space="preserve"> </w:t>
      </w:r>
      <w:r w:rsidRPr="008A5B6D">
        <w:rPr>
          <w:szCs w:val="24"/>
        </w:rPr>
        <w:t>These records must be made available to FRA</w:t>
      </w:r>
      <w:r w:rsidR="001E3325">
        <w:rPr>
          <w:szCs w:val="24"/>
        </w:rPr>
        <w:t xml:space="preserve"> upon request</w:t>
      </w:r>
      <w:r>
        <w:rPr>
          <w:szCs w:val="24"/>
        </w:rPr>
        <w:t>,</w:t>
      </w:r>
      <w:r w:rsidRPr="008A5B6D">
        <w:rPr>
          <w:szCs w:val="24"/>
        </w:rPr>
        <w:t xml:space="preserve"> as provided by 49 U.S.C. 20107. </w:t>
      </w:r>
    </w:p>
    <w:p w:rsidR="00216EC2" w:rsidRPr="008A5B6D" w:rsidP="00216EC2" w14:paraId="04107B2A" w14:textId="77777777">
      <w:pPr>
        <w:widowControl w:val="0"/>
        <w:ind w:left="720"/>
        <w:rPr>
          <w:szCs w:val="24"/>
        </w:rPr>
      </w:pPr>
    </w:p>
    <w:p w:rsidR="00216EC2" w:rsidRPr="008A5B6D" w:rsidP="00216EC2" w14:paraId="0751A293" w14:textId="51BC9CAB">
      <w:pPr>
        <w:widowControl w:val="0"/>
        <w:ind w:left="720"/>
        <w:rPr>
          <w:szCs w:val="24"/>
        </w:rPr>
      </w:pPr>
      <w:r w:rsidRPr="008A5B6D">
        <w:rPr>
          <w:szCs w:val="24"/>
        </w:rPr>
        <w:t xml:space="preserve">All other information collection requirements </w:t>
      </w:r>
      <w:r w:rsidRPr="008A5B6D">
        <w:rPr>
          <w:szCs w:val="24"/>
        </w:rPr>
        <w:t>are in compliance with</w:t>
      </w:r>
      <w:r w:rsidRPr="008A5B6D">
        <w:rPr>
          <w:szCs w:val="24"/>
        </w:rPr>
        <w:t xml:space="preserve"> </w:t>
      </w:r>
      <w:r w:rsidR="004A5408">
        <w:rPr>
          <w:szCs w:val="24"/>
        </w:rPr>
        <w:t xml:space="preserve">5 CFR </w:t>
      </w:r>
      <w:r w:rsidR="000633C9">
        <w:rPr>
          <w:szCs w:val="24"/>
        </w:rPr>
        <w:t>§</w:t>
      </w:r>
      <w:r w:rsidR="004A5408">
        <w:rPr>
          <w:szCs w:val="24"/>
        </w:rPr>
        <w:t xml:space="preserve"> 1320.5(d)(2).</w:t>
      </w:r>
    </w:p>
    <w:p w:rsidR="00216EC2" w:rsidP="007E5844" w14:paraId="7038C234" w14:textId="77777777">
      <w:pPr>
        <w:widowControl w:val="0"/>
        <w:ind w:left="720"/>
        <w:rPr>
          <w:szCs w:val="24"/>
        </w:rPr>
      </w:pPr>
    </w:p>
    <w:p w:rsidR="00216EC2" w:rsidRPr="008A5B6D" w:rsidP="00216EC2" w14:paraId="7C87008C" w14:textId="1B805AA9">
      <w:pPr>
        <w:widowControl w:val="0"/>
        <w:ind w:left="720" w:hanging="720"/>
        <w:rPr>
          <w:szCs w:val="24"/>
        </w:rPr>
      </w:pPr>
      <w:r w:rsidRPr="008A5B6D">
        <w:rPr>
          <w:b/>
          <w:szCs w:val="24"/>
        </w:rPr>
        <w:t>8.</w:t>
      </w:r>
      <w:r w:rsidRPr="008A5B6D">
        <w:rPr>
          <w:b/>
          <w:szCs w:val="24"/>
        </w:rPr>
        <w:tab/>
      </w:r>
      <w:r w:rsidRPr="008A5B6D">
        <w:rPr>
          <w:b/>
          <w:szCs w:val="24"/>
          <w:u w:val="single"/>
        </w:rPr>
        <w:t xml:space="preserve">Compliance with 5 CFR </w:t>
      </w:r>
      <w:r w:rsidR="000633C9">
        <w:rPr>
          <w:b/>
          <w:szCs w:val="24"/>
          <w:u w:val="single"/>
        </w:rPr>
        <w:t xml:space="preserve">§ </w:t>
      </w:r>
      <w:r w:rsidRPr="008A5B6D">
        <w:rPr>
          <w:b/>
          <w:szCs w:val="24"/>
          <w:u w:val="single"/>
        </w:rPr>
        <w:t>1320.8.</w:t>
      </w:r>
      <w:r w:rsidRPr="008A5B6D">
        <w:rPr>
          <w:b/>
          <w:szCs w:val="24"/>
        </w:rPr>
        <w:t xml:space="preserve"> </w:t>
      </w:r>
    </w:p>
    <w:p w:rsidR="00216EC2" w:rsidRPr="008A5B6D" w:rsidP="00216EC2" w14:paraId="622D015B" w14:textId="77777777">
      <w:pPr>
        <w:widowControl w:val="0"/>
        <w:rPr>
          <w:b/>
          <w:szCs w:val="24"/>
        </w:rPr>
      </w:pPr>
    </w:p>
    <w:p w:rsidR="00216EC2" w:rsidRPr="008A5B6D" w:rsidP="00216EC2" w14:paraId="7399DBB1" w14:textId="7285D166">
      <w:pPr>
        <w:widowControl w:val="0"/>
        <w:ind w:left="720"/>
        <w:rPr>
          <w:szCs w:val="24"/>
        </w:rPr>
      </w:pPr>
      <w:r w:rsidRPr="008A5B6D">
        <w:rPr>
          <w:szCs w:val="24"/>
        </w:rPr>
        <w:t xml:space="preserve">As required by the Paperwork Reduction Act of 1995 (PRA) and 5 CFR </w:t>
      </w:r>
      <w:r>
        <w:rPr>
          <w:szCs w:val="24"/>
        </w:rPr>
        <w:t xml:space="preserve">part </w:t>
      </w:r>
      <w:r w:rsidRPr="008A5B6D">
        <w:rPr>
          <w:szCs w:val="24"/>
        </w:rPr>
        <w:t xml:space="preserve">1320, FRA </w:t>
      </w:r>
      <w:r w:rsidRPr="008A5B6D">
        <w:rPr>
          <w:szCs w:val="24"/>
        </w:rPr>
        <w:t xml:space="preserve">published a notice in the </w:t>
      </w:r>
      <w:r w:rsidRPr="008A5B6D">
        <w:rPr>
          <w:iCs/>
          <w:szCs w:val="24"/>
          <w:u w:val="single"/>
        </w:rPr>
        <w:t>Federal</w:t>
      </w:r>
      <w:r w:rsidRPr="008A5B6D">
        <w:rPr>
          <w:iCs/>
          <w:szCs w:val="24"/>
        </w:rPr>
        <w:t xml:space="preserve"> </w:t>
      </w:r>
      <w:r w:rsidRPr="008A5B6D">
        <w:rPr>
          <w:iCs/>
          <w:szCs w:val="24"/>
          <w:u w:val="single"/>
        </w:rPr>
        <w:t xml:space="preserve">Register </w:t>
      </w:r>
      <w:r w:rsidRPr="008A5B6D">
        <w:rPr>
          <w:szCs w:val="24"/>
        </w:rPr>
        <w:t xml:space="preserve">on </w:t>
      </w:r>
      <w:r w:rsidR="005A2414">
        <w:rPr>
          <w:szCs w:val="24"/>
        </w:rPr>
        <w:t>August 8</w:t>
      </w:r>
      <w:r>
        <w:rPr>
          <w:szCs w:val="24"/>
        </w:rPr>
        <w:t>, 2025</w:t>
      </w:r>
      <w:r w:rsidR="0066697A">
        <w:rPr>
          <w:szCs w:val="24"/>
        </w:rPr>
        <w:t>,</w:t>
      </w:r>
      <w:r>
        <w:rPr>
          <w:rStyle w:val="FootnoteReference"/>
          <w:szCs w:val="24"/>
        </w:rPr>
        <w:footnoteReference w:id="4"/>
      </w:r>
      <w:r w:rsidRPr="008A5B6D">
        <w:rPr>
          <w:szCs w:val="24"/>
        </w:rPr>
        <w:t xml:space="preserve"> soliciting comment</w:t>
      </w:r>
      <w:r>
        <w:rPr>
          <w:szCs w:val="24"/>
        </w:rPr>
        <w:t>s from the public, railroads, and other interested parties on these information collection requirements</w:t>
      </w:r>
      <w:r w:rsidRPr="008A5B6D">
        <w:rPr>
          <w:szCs w:val="24"/>
        </w:rPr>
        <w:t>.</w:t>
      </w:r>
      <w:r w:rsidRPr="00483FED">
        <w:rPr>
          <w:szCs w:val="24"/>
        </w:rPr>
        <w:t xml:space="preserve">  FRA received </w:t>
      </w:r>
      <w:r w:rsidRPr="00735D44" w:rsidR="005B2D69">
        <w:rPr>
          <w:szCs w:val="24"/>
        </w:rPr>
        <w:t>no</w:t>
      </w:r>
      <w:r w:rsidRPr="00CB76AC" w:rsidR="005B2D69">
        <w:rPr>
          <w:szCs w:val="24"/>
        </w:rPr>
        <w:t xml:space="preserve"> </w:t>
      </w:r>
      <w:r w:rsidRPr="008A5B6D">
        <w:rPr>
          <w:szCs w:val="24"/>
        </w:rPr>
        <w:t>comments in response to this notice.</w:t>
      </w:r>
    </w:p>
    <w:p w:rsidR="00216EC2" w:rsidRPr="008A5B6D" w:rsidP="00216EC2" w14:paraId="708E1B1F" w14:textId="77777777">
      <w:pPr>
        <w:widowControl w:val="0"/>
        <w:ind w:left="720"/>
        <w:rPr>
          <w:szCs w:val="24"/>
        </w:rPr>
      </w:pPr>
    </w:p>
    <w:p w:rsidR="00216EC2" w:rsidRPr="008A5B6D" w:rsidP="00216EC2" w14:paraId="16B35DFD" w14:textId="77777777">
      <w:pPr>
        <w:ind w:left="720"/>
        <w:rPr>
          <w:i/>
          <w:iCs/>
          <w:color w:val="000000"/>
          <w:szCs w:val="24"/>
          <w:u w:val="single"/>
        </w:rPr>
      </w:pPr>
      <w:r w:rsidRPr="008A5B6D">
        <w:rPr>
          <w:i/>
          <w:iCs/>
          <w:color w:val="000000"/>
          <w:szCs w:val="24"/>
          <w:u w:val="single"/>
        </w:rPr>
        <w:t>Consultations with representatives of the affected population:</w:t>
      </w:r>
    </w:p>
    <w:p w:rsidR="00216EC2" w:rsidP="00216EC2" w14:paraId="7A2971C6" w14:textId="77777777">
      <w:pPr>
        <w:widowControl w:val="0"/>
        <w:ind w:left="720"/>
        <w:rPr>
          <w:szCs w:val="24"/>
        </w:rPr>
      </w:pPr>
    </w:p>
    <w:p w:rsidR="00216EC2" w:rsidP="00CB76AC" w14:paraId="106D273B" w14:textId="77777777">
      <w:pPr>
        <w:spacing w:after="160"/>
        <w:ind w:left="720"/>
        <w:rPr>
          <w:rFonts w:eastAsiaTheme="minorHAnsi"/>
          <w:kern w:val="2"/>
          <w:szCs w:val="24"/>
          <w14:ligatures w14:val="standardContextual"/>
        </w:rPr>
      </w:pPr>
      <w:r w:rsidRPr="00D62768">
        <w:rPr>
          <w:rFonts w:eastAsiaTheme="minorHAnsi"/>
          <w:kern w:val="2"/>
          <w:szCs w:val="24"/>
          <w14:ligatures w14:val="standardContextual"/>
        </w:rPr>
        <w:t xml:space="preserve">FRA maintains frequent contact with representatives from the rail industry to obtain their views and feedback on the information collection, as well as to solicit recommendations on how FRA can improve the collection </w:t>
      </w:r>
      <w:r>
        <w:rPr>
          <w:rFonts w:eastAsiaTheme="minorHAnsi"/>
          <w:kern w:val="2"/>
          <w:szCs w:val="24"/>
          <w14:ligatures w14:val="standardContextual"/>
        </w:rPr>
        <w:t xml:space="preserve">of information </w:t>
      </w:r>
      <w:r w:rsidRPr="00D62768">
        <w:rPr>
          <w:rFonts w:eastAsiaTheme="minorHAnsi"/>
          <w:kern w:val="2"/>
          <w:szCs w:val="24"/>
          <w14:ligatures w14:val="standardContextual"/>
        </w:rPr>
        <w:t xml:space="preserve">to reduce the response burden.  </w:t>
      </w:r>
    </w:p>
    <w:p w:rsidR="00216EC2" w:rsidP="00216EC2" w14:paraId="22FEA1FB" w14:textId="6BC598A7">
      <w:pPr>
        <w:widowControl w:val="0"/>
        <w:ind w:left="720"/>
        <w:rPr>
          <w:szCs w:val="24"/>
        </w:rPr>
      </w:pPr>
      <w:r>
        <w:rPr>
          <w:szCs w:val="24"/>
        </w:rPr>
        <w:t>I</w:t>
      </w:r>
      <w:r w:rsidRPr="008A5B6D">
        <w:rPr>
          <w:szCs w:val="24"/>
        </w:rPr>
        <w:t>ndividuals from the railroad industry and public authorities are generally in direct contact with FRA and can provide any comments or concerns to FRA.</w:t>
      </w:r>
    </w:p>
    <w:p w:rsidR="00AF6357" w:rsidP="00216EC2" w14:paraId="1511D649" w14:textId="77777777">
      <w:pPr>
        <w:widowControl w:val="0"/>
        <w:ind w:left="720"/>
        <w:rPr>
          <w:szCs w:val="24"/>
        </w:rPr>
      </w:pPr>
    </w:p>
    <w:p w:rsidR="00AF6357" w:rsidRPr="008A5B6D" w:rsidP="00AF6357" w14:paraId="17B30E5F" w14:textId="77777777">
      <w:pPr>
        <w:widowControl w:val="0"/>
        <w:rPr>
          <w:b/>
          <w:szCs w:val="24"/>
        </w:rPr>
      </w:pPr>
      <w:r w:rsidRPr="008A5B6D">
        <w:rPr>
          <w:b/>
          <w:szCs w:val="24"/>
        </w:rPr>
        <w:t>9.</w:t>
      </w:r>
      <w:r w:rsidRPr="008A5B6D">
        <w:rPr>
          <w:b/>
          <w:szCs w:val="24"/>
        </w:rPr>
        <w:tab/>
      </w:r>
      <w:r w:rsidRPr="008A5B6D">
        <w:rPr>
          <w:b/>
          <w:szCs w:val="24"/>
          <w:u w:val="single"/>
        </w:rPr>
        <w:t>Payments or gifts to respondents</w:t>
      </w:r>
      <w:r w:rsidRPr="008A5B6D">
        <w:rPr>
          <w:b/>
          <w:szCs w:val="24"/>
        </w:rPr>
        <w:t>.</w:t>
      </w:r>
    </w:p>
    <w:p w:rsidR="00AF6357" w:rsidRPr="008A5B6D" w:rsidP="00AF6357" w14:paraId="4B3B0C0E" w14:textId="77777777">
      <w:pPr>
        <w:tabs>
          <w:tab w:val="left" w:pos="-360"/>
          <w:tab w:val="left" w:pos="0"/>
          <w:tab w:val="left" w:pos="720"/>
          <w:tab w:val="left" w:pos="1440"/>
          <w:tab w:val="left" w:pos="2160"/>
          <w:tab w:val="left" w:pos="2880"/>
          <w:tab w:val="left" w:pos="3600"/>
          <w:tab w:val="left" w:pos="4320"/>
          <w:tab w:val="left" w:pos="4680"/>
          <w:tab w:val="left" w:pos="6300"/>
          <w:tab w:val="left" w:pos="6480"/>
          <w:tab w:val="left" w:pos="7200"/>
          <w:tab w:val="left" w:pos="7920"/>
          <w:tab w:val="left" w:pos="84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AF6357" w:rsidRPr="008A5B6D" w:rsidP="00AF6357" w14:paraId="334A621C" w14:textId="77777777">
      <w:pPr>
        <w:widowControl w:val="0"/>
        <w:ind w:left="720"/>
        <w:rPr>
          <w:szCs w:val="24"/>
        </w:rPr>
      </w:pPr>
      <w:r w:rsidRPr="008A5B6D">
        <w:rPr>
          <w:szCs w:val="24"/>
        </w:rPr>
        <w:t>There are no monetary payments or gifts made to respondents associated with the information collection requirements contained in this regulation.</w:t>
      </w:r>
    </w:p>
    <w:p w:rsidR="00AF6357" w:rsidRPr="008A5B6D" w:rsidP="00AF6357" w14:paraId="47A28AA9" w14:textId="77777777">
      <w:pPr>
        <w:widowControl w:val="0"/>
        <w:ind w:left="720"/>
        <w:rPr>
          <w:b/>
          <w:szCs w:val="24"/>
        </w:rPr>
      </w:pPr>
    </w:p>
    <w:p w:rsidR="00AF6357" w:rsidRPr="008A5B6D" w:rsidP="00AF6357" w14:paraId="41AE61F7" w14:textId="77777777">
      <w:pPr>
        <w:widowControl w:val="0"/>
        <w:rPr>
          <w:b/>
          <w:szCs w:val="24"/>
        </w:rPr>
      </w:pPr>
      <w:r w:rsidRPr="008A5B6D">
        <w:rPr>
          <w:b/>
          <w:szCs w:val="24"/>
        </w:rPr>
        <w:t>10.</w:t>
      </w:r>
      <w:r w:rsidRPr="008A5B6D">
        <w:rPr>
          <w:b/>
          <w:szCs w:val="24"/>
        </w:rPr>
        <w:tab/>
      </w:r>
      <w:r w:rsidRPr="008A5B6D">
        <w:rPr>
          <w:b/>
          <w:szCs w:val="24"/>
          <w:u w:val="single"/>
        </w:rPr>
        <w:t>Assurance of confidentiality</w:t>
      </w:r>
      <w:r w:rsidRPr="008A5B6D">
        <w:rPr>
          <w:b/>
          <w:szCs w:val="24"/>
        </w:rPr>
        <w:t>.</w:t>
      </w:r>
    </w:p>
    <w:p w:rsidR="00AF6357" w:rsidRPr="008A5B6D" w:rsidP="00AF6357" w14:paraId="59F12223" w14:textId="77777777">
      <w:pPr>
        <w:widowControl w:val="0"/>
        <w:rPr>
          <w:szCs w:val="24"/>
        </w:rPr>
      </w:pPr>
    </w:p>
    <w:p w:rsidR="00AF6357" w:rsidP="00AF6357" w14:paraId="12B777A7" w14:textId="77777777">
      <w:pPr>
        <w:widowControl w:val="0"/>
        <w:ind w:left="720"/>
        <w:rPr>
          <w:szCs w:val="24"/>
        </w:rPr>
      </w:pPr>
      <w:r>
        <w:rPr>
          <w:szCs w:val="24"/>
        </w:rPr>
        <w:t>The i</w:t>
      </w:r>
      <w:r w:rsidRPr="008A5B6D">
        <w:rPr>
          <w:szCs w:val="24"/>
        </w:rPr>
        <w:t>nformation collected is not of a confidential nature, and FRA pledges no confidentiality.</w:t>
      </w:r>
    </w:p>
    <w:p w:rsidR="00AF6357" w:rsidP="00AF6357" w14:paraId="2375FA77" w14:textId="77777777">
      <w:pPr>
        <w:widowControl w:val="0"/>
        <w:ind w:left="720"/>
        <w:rPr>
          <w:szCs w:val="24"/>
        </w:rPr>
      </w:pPr>
    </w:p>
    <w:p w:rsidR="00AF6357" w:rsidRPr="008A5B6D" w:rsidP="00AF6357" w14:paraId="3D54D044" w14:textId="77777777">
      <w:pPr>
        <w:widowControl w:val="0"/>
        <w:ind w:left="720" w:hanging="720"/>
        <w:rPr>
          <w:b/>
          <w:szCs w:val="24"/>
        </w:rPr>
      </w:pPr>
      <w:r w:rsidRPr="008A5B6D">
        <w:rPr>
          <w:b/>
          <w:szCs w:val="24"/>
        </w:rPr>
        <w:t>11.</w:t>
      </w:r>
      <w:r w:rsidRPr="008A5B6D">
        <w:rPr>
          <w:b/>
          <w:szCs w:val="24"/>
        </w:rPr>
        <w:tab/>
      </w:r>
      <w:r w:rsidRPr="008A5B6D">
        <w:rPr>
          <w:b/>
          <w:szCs w:val="24"/>
          <w:u w:val="single"/>
        </w:rPr>
        <w:t>Justification for any questions of a sensitive nature.</w:t>
      </w:r>
    </w:p>
    <w:p w:rsidR="00AF6357" w:rsidP="00AF6357" w14:paraId="6ED0CF4E" w14:textId="77777777">
      <w:pPr>
        <w:widowControl w:val="0"/>
        <w:ind w:left="720"/>
        <w:rPr>
          <w:szCs w:val="24"/>
        </w:rPr>
      </w:pPr>
    </w:p>
    <w:p w:rsidR="00E279A3" w:rsidP="00CB76AC" w14:paraId="65DB2465" w14:textId="77777777">
      <w:pPr>
        <w:ind w:left="720"/>
        <w:rPr>
          <w:szCs w:val="24"/>
        </w:rPr>
      </w:pPr>
      <w:r w:rsidRPr="008A5B6D">
        <w:rPr>
          <w:szCs w:val="24"/>
        </w:rPr>
        <w:t>There are no sensitive questions, and no sensitive information is requested.</w:t>
      </w:r>
    </w:p>
    <w:p w:rsidR="00E279A3" w:rsidP="00831F8B" w14:paraId="682651CD" w14:textId="77777777">
      <w:pPr>
        <w:rPr>
          <w:szCs w:val="24"/>
        </w:rPr>
      </w:pPr>
    </w:p>
    <w:p w:rsidR="00E279A3" w:rsidP="00831F8B" w14:paraId="558A0545" w14:textId="77777777">
      <w:pPr>
        <w:rPr>
          <w:b/>
          <w:bCs/>
          <w:szCs w:val="24"/>
        </w:rPr>
        <w:sectPr w:rsidSect="00E279A3">
          <w:headerReference w:type="even" r:id="rId9"/>
          <w:headerReference w:type="default" r:id="rId10"/>
          <w:footerReference w:type="even" r:id="rId11"/>
          <w:footerReference w:type="default" r:id="rId12"/>
          <w:pgSz w:w="12240" w:h="15840"/>
          <w:pgMar w:top="1440" w:right="1440" w:bottom="1440" w:left="1440" w:header="1350" w:footer="1800" w:gutter="0"/>
          <w:cols w:space="720"/>
          <w:docGrid w:linePitch="326"/>
        </w:sectPr>
      </w:pPr>
    </w:p>
    <w:p w:rsidR="00831F8B" w:rsidRPr="008A5B6D" w:rsidP="00831F8B" w14:paraId="010D03EB" w14:textId="0797DDD8">
      <w:pPr>
        <w:rPr>
          <w:b/>
          <w:bCs/>
          <w:szCs w:val="24"/>
        </w:rPr>
      </w:pPr>
      <w:r w:rsidRPr="008A5B6D">
        <w:rPr>
          <w:b/>
          <w:bCs/>
          <w:szCs w:val="24"/>
        </w:rPr>
        <w:t>12.       </w:t>
      </w:r>
      <w:r w:rsidRPr="008A5B6D">
        <w:rPr>
          <w:b/>
          <w:bCs/>
          <w:szCs w:val="24"/>
          <w:u w:val="single"/>
        </w:rPr>
        <w:t>Estimate of burden hours for information collected</w:t>
      </w:r>
      <w:r w:rsidRPr="008A5B6D">
        <w:rPr>
          <w:b/>
          <w:bCs/>
          <w:szCs w:val="24"/>
        </w:rPr>
        <w:t>.</w:t>
      </w:r>
    </w:p>
    <w:p w:rsidR="00831F8B" w:rsidRPr="008A5B6D" w:rsidP="00831F8B" w14:paraId="72C8524B" w14:textId="77777777">
      <w:pPr>
        <w:rPr>
          <w:b/>
          <w:bCs/>
          <w:szCs w:val="24"/>
        </w:rPr>
      </w:pPr>
    </w:p>
    <w:p w:rsidR="00831F8B" w:rsidP="00831F8B" w14:paraId="6B5BFC86" w14:textId="6E92705E">
      <w:pPr>
        <w:ind w:left="720"/>
        <w:rPr>
          <w:szCs w:val="24"/>
        </w:rPr>
      </w:pPr>
      <w:r w:rsidRPr="008A5B6D">
        <w:rPr>
          <w:szCs w:val="24"/>
        </w:rPr>
        <w:t>The estimates for the respondent universe, annual responses, and average time per responses are based on the experience and expertise of FRA’s Office of Regional Operations and Outreach</w:t>
      </w:r>
      <w:r w:rsidRPr="008A5B6D" w:rsidR="000A273B">
        <w:rPr>
          <w:szCs w:val="24"/>
        </w:rPr>
        <w:t xml:space="preserve">. </w:t>
      </w:r>
    </w:p>
    <w:p w:rsidR="004A5408" w:rsidP="00831F8B" w14:paraId="01C81212" w14:textId="77777777">
      <w:pPr>
        <w:ind w:left="720"/>
        <w:rPr>
          <w:szCs w:val="24"/>
        </w:rPr>
      </w:pPr>
    </w:p>
    <w:tbl>
      <w:tblPr>
        <w:tblW w:w="13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74"/>
        <w:gridCol w:w="1169"/>
        <w:gridCol w:w="1350"/>
        <w:gridCol w:w="990"/>
        <w:gridCol w:w="990"/>
        <w:gridCol w:w="900"/>
        <w:gridCol w:w="1442"/>
        <w:gridCol w:w="3872"/>
      </w:tblGrid>
      <w:tr w14:paraId="37F2D1FD" w14:textId="77777777" w:rsidTr="00B663C0">
        <w:tblPrEx>
          <w:tblW w:w="13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trPr>
        <w:tc>
          <w:tcPr>
            <w:tcW w:w="2874" w:type="dxa"/>
            <w:hideMark/>
          </w:tcPr>
          <w:p w:rsidR="00B663C0" w:rsidRPr="00B663C0" w:rsidP="00B663C0" w14:paraId="1E82AD2F" w14:textId="77777777">
            <w:pPr>
              <w:rPr>
                <w:sz w:val="20"/>
              </w:rPr>
            </w:pPr>
            <w:bookmarkStart w:id="0" w:name="_Hlk197092865"/>
            <w:bookmarkStart w:id="1" w:name="_Hlk99528178"/>
            <w:r w:rsidRPr="00B663C0">
              <w:rPr>
                <w:sz w:val="20"/>
              </w:rPr>
              <w:t>CFR Section</w:t>
            </w:r>
          </w:p>
        </w:tc>
        <w:tc>
          <w:tcPr>
            <w:tcW w:w="1169" w:type="dxa"/>
            <w:hideMark/>
          </w:tcPr>
          <w:p w:rsidR="00B663C0" w:rsidRPr="00B663C0" w:rsidP="00B663C0" w14:paraId="163AB380" w14:textId="77777777">
            <w:pPr>
              <w:jc w:val="center"/>
              <w:rPr>
                <w:sz w:val="20"/>
              </w:rPr>
            </w:pPr>
            <w:r w:rsidRPr="00B663C0">
              <w:rPr>
                <w:sz w:val="20"/>
              </w:rPr>
              <w:t>Respondent Universe</w:t>
            </w:r>
          </w:p>
        </w:tc>
        <w:tc>
          <w:tcPr>
            <w:tcW w:w="1350" w:type="dxa"/>
            <w:hideMark/>
          </w:tcPr>
          <w:p w:rsidR="00B663C0" w:rsidRPr="00B663C0" w:rsidP="00B663C0" w14:paraId="6504FDA7" w14:textId="77777777">
            <w:pPr>
              <w:jc w:val="center"/>
              <w:rPr>
                <w:sz w:val="20"/>
              </w:rPr>
            </w:pPr>
            <w:r w:rsidRPr="00B663C0">
              <w:rPr>
                <w:sz w:val="20"/>
              </w:rPr>
              <w:t xml:space="preserve">Total </w:t>
            </w:r>
          </w:p>
          <w:p w:rsidR="00B663C0" w:rsidRPr="00B663C0" w:rsidP="00B663C0" w14:paraId="0B83ECCD" w14:textId="77777777">
            <w:pPr>
              <w:jc w:val="center"/>
              <w:rPr>
                <w:sz w:val="20"/>
              </w:rPr>
            </w:pPr>
            <w:r w:rsidRPr="00B663C0">
              <w:rPr>
                <w:sz w:val="20"/>
              </w:rPr>
              <w:t>Annual</w:t>
            </w:r>
          </w:p>
          <w:p w:rsidR="00B663C0" w:rsidRPr="00B663C0" w:rsidP="00B663C0" w14:paraId="5F2034FC" w14:textId="77777777">
            <w:pPr>
              <w:jc w:val="center"/>
              <w:rPr>
                <w:sz w:val="20"/>
              </w:rPr>
            </w:pPr>
            <w:r w:rsidRPr="00B663C0">
              <w:rPr>
                <w:sz w:val="20"/>
              </w:rPr>
              <w:t>Responses</w:t>
            </w:r>
            <w:r w:rsidRPr="00B663C0">
              <w:rPr>
                <w:sz w:val="20"/>
              </w:rPr>
              <w:br/>
            </w:r>
            <w:r w:rsidRPr="00B663C0">
              <w:rPr>
                <w:sz w:val="16"/>
                <w:szCs w:val="16"/>
              </w:rPr>
              <w:t>(A)</w:t>
            </w:r>
          </w:p>
        </w:tc>
        <w:tc>
          <w:tcPr>
            <w:tcW w:w="990" w:type="dxa"/>
            <w:hideMark/>
          </w:tcPr>
          <w:p w:rsidR="00B663C0" w:rsidRPr="00B663C0" w:rsidP="00B663C0" w14:paraId="719D9072" w14:textId="77777777">
            <w:pPr>
              <w:jc w:val="center"/>
              <w:rPr>
                <w:sz w:val="20"/>
              </w:rPr>
            </w:pPr>
            <w:r w:rsidRPr="00B663C0">
              <w:rPr>
                <w:sz w:val="20"/>
              </w:rPr>
              <w:t xml:space="preserve">Average Time </w:t>
            </w:r>
          </w:p>
          <w:p w:rsidR="00B663C0" w:rsidRPr="00B663C0" w:rsidP="00B663C0" w14:paraId="44BB4AA4" w14:textId="77777777">
            <w:pPr>
              <w:jc w:val="center"/>
              <w:rPr>
                <w:sz w:val="20"/>
              </w:rPr>
            </w:pPr>
            <w:r w:rsidRPr="00B663C0">
              <w:rPr>
                <w:sz w:val="20"/>
              </w:rPr>
              <w:t>Per</w:t>
            </w:r>
          </w:p>
          <w:p w:rsidR="00B663C0" w:rsidRPr="00B663C0" w:rsidP="00B663C0" w14:paraId="602B5EB3" w14:textId="77777777">
            <w:pPr>
              <w:jc w:val="center"/>
              <w:rPr>
                <w:sz w:val="20"/>
              </w:rPr>
            </w:pPr>
            <w:r w:rsidRPr="00B663C0">
              <w:rPr>
                <w:sz w:val="20"/>
              </w:rPr>
              <w:t xml:space="preserve">Response </w:t>
            </w:r>
          </w:p>
          <w:p w:rsidR="00B663C0" w:rsidRPr="00B663C0" w:rsidP="00B663C0" w14:paraId="7ADCF328" w14:textId="77777777">
            <w:pPr>
              <w:jc w:val="center"/>
              <w:rPr>
                <w:sz w:val="20"/>
              </w:rPr>
            </w:pPr>
            <w:r w:rsidRPr="00B663C0">
              <w:rPr>
                <w:sz w:val="16"/>
                <w:szCs w:val="16"/>
              </w:rPr>
              <w:t>(B)</w:t>
            </w:r>
          </w:p>
        </w:tc>
        <w:tc>
          <w:tcPr>
            <w:tcW w:w="990" w:type="dxa"/>
            <w:hideMark/>
          </w:tcPr>
          <w:p w:rsidR="00B663C0" w:rsidRPr="00B663C0" w:rsidP="00B663C0" w14:paraId="09694896" w14:textId="77777777">
            <w:pPr>
              <w:jc w:val="center"/>
              <w:rPr>
                <w:sz w:val="20"/>
              </w:rPr>
            </w:pPr>
            <w:r w:rsidRPr="00B663C0">
              <w:rPr>
                <w:sz w:val="20"/>
              </w:rPr>
              <w:t>Total</w:t>
            </w:r>
          </w:p>
          <w:p w:rsidR="00B663C0" w:rsidRPr="00B663C0" w:rsidP="00B663C0" w14:paraId="27124A22" w14:textId="77777777">
            <w:pPr>
              <w:jc w:val="center"/>
              <w:rPr>
                <w:sz w:val="20"/>
              </w:rPr>
            </w:pPr>
            <w:r w:rsidRPr="00B663C0">
              <w:rPr>
                <w:sz w:val="20"/>
              </w:rPr>
              <w:t xml:space="preserve"> Annual</w:t>
            </w:r>
          </w:p>
          <w:p w:rsidR="00B663C0" w:rsidRPr="00B663C0" w:rsidP="00B663C0" w14:paraId="03B2B134" w14:textId="77777777">
            <w:pPr>
              <w:jc w:val="center"/>
              <w:rPr>
                <w:sz w:val="20"/>
              </w:rPr>
            </w:pPr>
            <w:r w:rsidRPr="00B663C0">
              <w:rPr>
                <w:sz w:val="20"/>
              </w:rPr>
              <w:t xml:space="preserve"> Burden</w:t>
            </w:r>
          </w:p>
          <w:p w:rsidR="00B663C0" w:rsidRPr="00B663C0" w:rsidP="00B663C0" w14:paraId="7944C9DD" w14:textId="77777777">
            <w:pPr>
              <w:jc w:val="center"/>
              <w:rPr>
                <w:sz w:val="20"/>
              </w:rPr>
            </w:pPr>
            <w:r w:rsidRPr="00B663C0">
              <w:rPr>
                <w:sz w:val="20"/>
              </w:rPr>
              <w:t xml:space="preserve"> Hours</w:t>
            </w:r>
            <w:r w:rsidRPr="00B663C0">
              <w:rPr>
                <w:sz w:val="20"/>
              </w:rPr>
              <w:br/>
            </w:r>
            <w:r w:rsidRPr="00B663C0">
              <w:rPr>
                <w:sz w:val="16"/>
                <w:szCs w:val="16"/>
              </w:rPr>
              <w:t>(C) = A * B</w:t>
            </w:r>
          </w:p>
        </w:tc>
        <w:tc>
          <w:tcPr>
            <w:tcW w:w="900" w:type="dxa"/>
          </w:tcPr>
          <w:p w:rsidR="00B663C0" w:rsidRPr="00B663C0" w:rsidP="00B663C0" w14:paraId="5F012968" w14:textId="77777777">
            <w:pPr>
              <w:jc w:val="center"/>
              <w:rPr>
                <w:sz w:val="20"/>
              </w:rPr>
            </w:pPr>
            <w:r w:rsidRPr="00B663C0">
              <w:rPr>
                <w:sz w:val="20"/>
              </w:rPr>
              <w:t xml:space="preserve">Wage </w:t>
            </w:r>
          </w:p>
          <w:p w:rsidR="00B663C0" w:rsidRPr="00B663C0" w:rsidP="00B663C0" w14:paraId="4A9E5A04" w14:textId="77777777">
            <w:pPr>
              <w:jc w:val="center"/>
              <w:rPr>
                <w:sz w:val="20"/>
              </w:rPr>
            </w:pPr>
            <w:r w:rsidRPr="00B663C0">
              <w:rPr>
                <w:sz w:val="20"/>
              </w:rPr>
              <w:t xml:space="preserve">Rate </w:t>
            </w:r>
          </w:p>
          <w:p w:rsidR="00B663C0" w:rsidRPr="00B663C0" w:rsidP="00B663C0" w14:paraId="37F0201F" w14:textId="77777777">
            <w:pPr>
              <w:jc w:val="center"/>
              <w:rPr>
                <w:sz w:val="20"/>
              </w:rPr>
            </w:pPr>
            <w:r w:rsidRPr="00B663C0">
              <w:rPr>
                <w:sz w:val="16"/>
                <w:szCs w:val="16"/>
              </w:rPr>
              <w:t>(D)</w:t>
            </w:r>
            <w:r>
              <w:rPr>
                <w:sz w:val="16"/>
                <w:szCs w:val="16"/>
                <w:vertAlign w:val="superscript"/>
              </w:rPr>
              <w:footnoteReference w:id="5"/>
            </w:r>
          </w:p>
        </w:tc>
        <w:tc>
          <w:tcPr>
            <w:tcW w:w="1442" w:type="dxa"/>
            <w:hideMark/>
          </w:tcPr>
          <w:p w:rsidR="00B663C0" w:rsidRPr="00B663C0" w:rsidP="00B663C0" w14:paraId="120D28D8" w14:textId="77777777">
            <w:pPr>
              <w:jc w:val="center"/>
              <w:rPr>
                <w:sz w:val="20"/>
              </w:rPr>
            </w:pPr>
            <w:r w:rsidRPr="00B663C0">
              <w:rPr>
                <w:sz w:val="20"/>
              </w:rPr>
              <w:t>Total</w:t>
            </w:r>
          </w:p>
          <w:p w:rsidR="00B663C0" w:rsidRPr="00B663C0" w:rsidP="00B663C0" w14:paraId="1DE4A94F" w14:textId="77777777">
            <w:pPr>
              <w:jc w:val="center"/>
              <w:rPr>
                <w:sz w:val="20"/>
              </w:rPr>
            </w:pPr>
            <w:r w:rsidRPr="00B663C0">
              <w:rPr>
                <w:sz w:val="20"/>
              </w:rPr>
              <w:t xml:space="preserve"> Cost </w:t>
            </w:r>
          </w:p>
          <w:p w:rsidR="00B663C0" w:rsidRPr="00B663C0" w:rsidP="00B663C0" w14:paraId="683FF012" w14:textId="77777777">
            <w:pPr>
              <w:jc w:val="center"/>
              <w:rPr>
                <w:sz w:val="20"/>
              </w:rPr>
            </w:pPr>
            <w:r w:rsidRPr="00B663C0">
              <w:rPr>
                <w:sz w:val="20"/>
              </w:rPr>
              <w:t>equivalent</w:t>
            </w:r>
            <w:r w:rsidRPr="00B663C0">
              <w:rPr>
                <w:sz w:val="20"/>
              </w:rPr>
              <w:br/>
            </w:r>
            <w:r w:rsidRPr="00B663C0">
              <w:rPr>
                <w:sz w:val="16"/>
                <w:szCs w:val="16"/>
              </w:rPr>
              <w:t>(E) = C * D</w:t>
            </w:r>
          </w:p>
        </w:tc>
        <w:tc>
          <w:tcPr>
            <w:tcW w:w="3872" w:type="dxa"/>
          </w:tcPr>
          <w:p w:rsidR="00B663C0" w:rsidRPr="00B663C0" w:rsidP="00B663C0" w14:paraId="77E9E177" w14:textId="77777777">
            <w:pPr>
              <w:jc w:val="center"/>
              <w:rPr>
                <w:sz w:val="20"/>
              </w:rPr>
            </w:pPr>
            <w:r w:rsidRPr="00B663C0">
              <w:rPr>
                <w:sz w:val="20"/>
              </w:rPr>
              <w:t>PRA Analyses</w:t>
            </w:r>
          </w:p>
          <w:p w:rsidR="00B663C0" w:rsidRPr="00B663C0" w:rsidP="00B663C0" w14:paraId="627B86E4" w14:textId="77777777">
            <w:pPr>
              <w:jc w:val="center"/>
              <w:rPr>
                <w:sz w:val="20"/>
              </w:rPr>
            </w:pPr>
            <w:r w:rsidRPr="00B663C0">
              <w:rPr>
                <w:sz w:val="20"/>
              </w:rPr>
              <w:t xml:space="preserve"> and Estimates</w:t>
            </w:r>
          </w:p>
        </w:tc>
      </w:tr>
      <w:tr w14:paraId="24D8FA6F" w14:textId="77777777" w:rsidTr="00A16454">
        <w:tblPrEx>
          <w:tblW w:w="13587" w:type="dxa"/>
          <w:tblLayout w:type="fixed"/>
          <w:tblLook w:val="04A0"/>
        </w:tblPrEx>
        <w:trPr>
          <w:trHeight w:val="224"/>
        </w:trPr>
        <w:tc>
          <w:tcPr>
            <w:tcW w:w="13587" w:type="dxa"/>
            <w:gridSpan w:val="8"/>
          </w:tcPr>
          <w:p w:rsidR="00B663C0" w:rsidRPr="00B663C0" w:rsidP="00B663C0" w14:paraId="796EA5BB" w14:textId="77777777">
            <w:pPr>
              <w:rPr>
                <w:sz w:val="20"/>
              </w:rPr>
            </w:pPr>
            <w:r w:rsidRPr="00B663C0">
              <w:rPr>
                <w:b/>
                <w:bCs/>
                <w:sz w:val="20"/>
              </w:rPr>
              <w:t>222.15 How does one obtain a waiver of a provision of this regulation?</w:t>
            </w:r>
          </w:p>
        </w:tc>
      </w:tr>
      <w:tr w14:paraId="3595C8B2" w14:textId="77777777" w:rsidTr="00B663C0">
        <w:tblPrEx>
          <w:tblW w:w="13587" w:type="dxa"/>
          <w:tblLayout w:type="fixed"/>
          <w:tblLook w:val="04A0"/>
        </w:tblPrEx>
        <w:trPr>
          <w:trHeight w:val="1853"/>
        </w:trPr>
        <w:tc>
          <w:tcPr>
            <w:tcW w:w="2874" w:type="dxa"/>
            <w:hideMark/>
          </w:tcPr>
          <w:p w:rsidR="00B663C0" w:rsidRPr="00B663C0" w:rsidP="00B663C0" w14:paraId="330C45C6" w14:textId="77777777">
            <w:pPr>
              <w:rPr>
                <w:sz w:val="20"/>
              </w:rPr>
            </w:pPr>
            <w:r w:rsidRPr="00B663C0">
              <w:rPr>
                <w:sz w:val="20"/>
              </w:rPr>
              <w:t>—Petition for waiver</w:t>
            </w:r>
          </w:p>
        </w:tc>
        <w:tc>
          <w:tcPr>
            <w:tcW w:w="1169" w:type="dxa"/>
            <w:hideMark/>
          </w:tcPr>
          <w:p w:rsidR="00B663C0" w:rsidRPr="00B663C0" w:rsidP="00B663C0" w14:paraId="78DD8169" w14:textId="77777777">
            <w:pPr>
              <w:jc w:val="center"/>
              <w:rPr>
                <w:sz w:val="20"/>
              </w:rPr>
            </w:pPr>
            <w:r w:rsidRPr="00B663C0">
              <w:rPr>
                <w:sz w:val="20"/>
              </w:rPr>
              <w:t xml:space="preserve">754 </w:t>
            </w:r>
          </w:p>
          <w:p w:rsidR="00B663C0" w:rsidRPr="00B663C0" w:rsidP="00B663C0" w14:paraId="64BA9A18" w14:textId="77777777">
            <w:pPr>
              <w:jc w:val="center"/>
              <w:rPr>
                <w:sz w:val="20"/>
              </w:rPr>
            </w:pPr>
            <w:r w:rsidRPr="00B663C0">
              <w:rPr>
                <w:sz w:val="20"/>
              </w:rPr>
              <w:t xml:space="preserve">railroads  </w:t>
            </w:r>
          </w:p>
          <w:p w:rsidR="00B663C0" w:rsidRPr="00B663C0" w:rsidP="00B663C0" w14:paraId="65B67BC9" w14:textId="77777777">
            <w:pPr>
              <w:jc w:val="center"/>
              <w:rPr>
                <w:sz w:val="20"/>
              </w:rPr>
            </w:pPr>
            <w:r w:rsidRPr="00B663C0">
              <w:rPr>
                <w:sz w:val="20"/>
              </w:rPr>
              <w:t xml:space="preserve">645 </w:t>
            </w:r>
          </w:p>
          <w:p w:rsidR="00B663C0" w:rsidRPr="00B663C0" w:rsidP="00B663C0" w14:paraId="24B7AB88" w14:textId="77777777">
            <w:pPr>
              <w:jc w:val="center"/>
              <w:rPr>
                <w:sz w:val="20"/>
              </w:rPr>
            </w:pPr>
            <w:r w:rsidRPr="00B663C0">
              <w:rPr>
                <w:sz w:val="20"/>
              </w:rPr>
              <w:t>public authorities</w:t>
            </w:r>
          </w:p>
        </w:tc>
        <w:tc>
          <w:tcPr>
            <w:tcW w:w="1350" w:type="dxa"/>
            <w:hideMark/>
          </w:tcPr>
          <w:p w:rsidR="00B663C0" w:rsidRPr="00B663C0" w:rsidP="00B663C0" w14:paraId="353C4E42" w14:textId="77777777">
            <w:pPr>
              <w:jc w:val="center"/>
              <w:rPr>
                <w:sz w:val="20"/>
              </w:rPr>
            </w:pPr>
            <w:r w:rsidRPr="00B663C0">
              <w:rPr>
                <w:sz w:val="20"/>
              </w:rPr>
              <w:t>2</w:t>
            </w:r>
          </w:p>
          <w:p w:rsidR="00B663C0" w:rsidRPr="00B663C0" w:rsidP="00B663C0" w14:paraId="65930940" w14:textId="77777777">
            <w:pPr>
              <w:jc w:val="center"/>
              <w:rPr>
                <w:sz w:val="20"/>
              </w:rPr>
            </w:pPr>
            <w:r w:rsidRPr="00B663C0">
              <w:rPr>
                <w:sz w:val="20"/>
              </w:rPr>
              <w:t>petitions</w:t>
            </w:r>
          </w:p>
        </w:tc>
        <w:tc>
          <w:tcPr>
            <w:tcW w:w="990" w:type="dxa"/>
            <w:hideMark/>
          </w:tcPr>
          <w:p w:rsidR="00B663C0" w:rsidRPr="00B663C0" w:rsidP="00B663C0" w14:paraId="54D6BCD5" w14:textId="77777777">
            <w:pPr>
              <w:jc w:val="center"/>
              <w:rPr>
                <w:sz w:val="20"/>
              </w:rPr>
            </w:pPr>
            <w:r w:rsidRPr="00B663C0">
              <w:rPr>
                <w:sz w:val="20"/>
              </w:rPr>
              <w:t>4</w:t>
            </w:r>
          </w:p>
          <w:p w:rsidR="00B663C0" w:rsidRPr="00B663C0" w:rsidP="00B663C0" w14:paraId="4D171663" w14:textId="77777777">
            <w:pPr>
              <w:jc w:val="center"/>
              <w:rPr>
                <w:sz w:val="20"/>
              </w:rPr>
            </w:pPr>
            <w:r w:rsidRPr="00B663C0">
              <w:rPr>
                <w:sz w:val="20"/>
              </w:rPr>
              <w:t>hours</w:t>
            </w:r>
          </w:p>
        </w:tc>
        <w:tc>
          <w:tcPr>
            <w:tcW w:w="990" w:type="dxa"/>
            <w:hideMark/>
          </w:tcPr>
          <w:p w:rsidR="00B663C0" w:rsidRPr="00B663C0" w:rsidP="00B663C0" w14:paraId="09C2BA19" w14:textId="77777777">
            <w:pPr>
              <w:jc w:val="center"/>
              <w:rPr>
                <w:sz w:val="20"/>
              </w:rPr>
            </w:pPr>
            <w:r w:rsidRPr="00B663C0">
              <w:rPr>
                <w:sz w:val="20"/>
              </w:rPr>
              <w:t>8</w:t>
            </w:r>
          </w:p>
          <w:p w:rsidR="00B663C0" w:rsidRPr="00B663C0" w:rsidP="00B663C0" w14:paraId="0E69F44D" w14:textId="77777777">
            <w:pPr>
              <w:jc w:val="center"/>
              <w:rPr>
                <w:sz w:val="20"/>
              </w:rPr>
            </w:pPr>
          </w:p>
        </w:tc>
        <w:tc>
          <w:tcPr>
            <w:tcW w:w="900" w:type="dxa"/>
          </w:tcPr>
          <w:p w:rsidR="00B663C0" w:rsidRPr="00B663C0" w:rsidP="00B663C0" w14:paraId="11CDEFB0" w14:textId="77777777">
            <w:pPr>
              <w:jc w:val="center"/>
              <w:rPr>
                <w:sz w:val="20"/>
              </w:rPr>
            </w:pPr>
            <w:r w:rsidRPr="00B663C0">
              <w:rPr>
                <w:sz w:val="20"/>
              </w:rPr>
              <w:t>$89.13</w:t>
            </w:r>
          </w:p>
        </w:tc>
        <w:tc>
          <w:tcPr>
            <w:tcW w:w="1442" w:type="dxa"/>
            <w:hideMark/>
          </w:tcPr>
          <w:p w:rsidR="00B663C0" w:rsidRPr="00B663C0" w:rsidP="00B663C0" w14:paraId="2470F1E1" w14:textId="77777777">
            <w:pPr>
              <w:jc w:val="center"/>
              <w:rPr>
                <w:sz w:val="20"/>
              </w:rPr>
            </w:pPr>
            <w:r w:rsidRPr="00B663C0">
              <w:rPr>
                <w:sz w:val="20"/>
              </w:rPr>
              <w:t>$713.04</w:t>
            </w:r>
          </w:p>
          <w:p w:rsidR="00B663C0" w:rsidRPr="00B663C0" w:rsidP="00B663C0" w14:paraId="1BFC0E65" w14:textId="77777777">
            <w:pPr>
              <w:jc w:val="center"/>
              <w:rPr>
                <w:sz w:val="20"/>
              </w:rPr>
            </w:pPr>
          </w:p>
        </w:tc>
        <w:tc>
          <w:tcPr>
            <w:tcW w:w="3872" w:type="dxa"/>
          </w:tcPr>
          <w:p w:rsidR="00B663C0" w:rsidRPr="00B663C0" w:rsidP="00B663C0" w14:paraId="2FC10160" w14:textId="77777777">
            <w:pPr>
              <w:rPr>
                <w:sz w:val="20"/>
              </w:rPr>
            </w:pPr>
            <w:r w:rsidRPr="00B663C0">
              <w:rPr>
                <w:sz w:val="20"/>
              </w:rPr>
              <w:t xml:space="preserve">Two parties may jointly file a petition for a waiver.  They are the railroad owning or controlling operations over the railroad tracks crossing the public highway-rail grade crossing and the public authority which has jurisdiction over the roadway crossing the railroad tracks. </w:t>
            </w:r>
          </w:p>
          <w:p w:rsidR="00B663C0" w:rsidRPr="00B663C0" w:rsidP="00B663C0" w14:paraId="1A5E7AB2" w14:textId="77777777">
            <w:pPr>
              <w:rPr>
                <w:sz w:val="20"/>
              </w:rPr>
            </w:pPr>
            <w:r w:rsidRPr="00B663C0">
              <w:rPr>
                <w:sz w:val="20"/>
              </w:rPr>
              <w:t>Each petition for waiver must be filed in accordance with 49 CFR part 211.</w:t>
            </w:r>
          </w:p>
        </w:tc>
      </w:tr>
      <w:tr w14:paraId="3288803B" w14:textId="77777777" w:rsidTr="00A16454">
        <w:tblPrEx>
          <w:tblW w:w="13587" w:type="dxa"/>
          <w:tblLayout w:type="fixed"/>
          <w:tblLook w:val="04A0"/>
        </w:tblPrEx>
        <w:trPr>
          <w:trHeight w:val="206"/>
        </w:trPr>
        <w:tc>
          <w:tcPr>
            <w:tcW w:w="13587" w:type="dxa"/>
            <w:gridSpan w:val="8"/>
          </w:tcPr>
          <w:p w:rsidR="00B663C0" w:rsidRPr="00B663C0" w:rsidP="00B663C0" w14:paraId="4E4119D3" w14:textId="77777777">
            <w:pPr>
              <w:rPr>
                <w:b/>
                <w:bCs/>
                <w:sz w:val="20"/>
              </w:rPr>
            </w:pPr>
            <w:r w:rsidRPr="00B663C0">
              <w:rPr>
                <w:b/>
                <w:bCs/>
                <w:sz w:val="20"/>
              </w:rPr>
              <w:t>222.17 How can a State agency become a recognized State agency?</w:t>
            </w:r>
          </w:p>
        </w:tc>
      </w:tr>
      <w:tr w14:paraId="4078FB2C" w14:textId="77777777" w:rsidTr="00A16454">
        <w:tblPrEx>
          <w:tblW w:w="13587" w:type="dxa"/>
          <w:tblLayout w:type="fixed"/>
          <w:tblLook w:val="04A0"/>
        </w:tblPrEx>
        <w:trPr>
          <w:trHeight w:val="764"/>
        </w:trPr>
        <w:tc>
          <w:tcPr>
            <w:tcW w:w="2874" w:type="dxa"/>
            <w:hideMark/>
          </w:tcPr>
          <w:p w:rsidR="00B663C0" w:rsidRPr="00B663C0" w:rsidP="00B663C0" w14:paraId="39AC2356" w14:textId="77777777">
            <w:pPr>
              <w:rPr>
                <w:sz w:val="20"/>
              </w:rPr>
            </w:pPr>
            <w:r w:rsidRPr="00B663C0">
              <w:rPr>
                <w:sz w:val="20"/>
              </w:rPr>
              <w:t xml:space="preserve">—Any State agency responsible for highway-rail grade crossing safety and/or highway and road safety may become a recognized State agency by </w:t>
            </w:r>
            <w:r w:rsidRPr="00B663C0">
              <w:rPr>
                <w:sz w:val="20"/>
              </w:rPr>
              <w:t>submitting an application</w:t>
            </w:r>
            <w:r w:rsidRPr="00B663C0">
              <w:rPr>
                <w:sz w:val="20"/>
              </w:rPr>
              <w:t xml:space="preserve"> to the Associate Administrator</w:t>
            </w:r>
          </w:p>
        </w:tc>
        <w:tc>
          <w:tcPr>
            <w:tcW w:w="10713" w:type="dxa"/>
            <w:gridSpan w:val="7"/>
          </w:tcPr>
          <w:p w:rsidR="00B663C0" w:rsidRPr="00B663C0" w:rsidP="00B663C0" w14:paraId="1BD47429" w14:textId="12BF1FC8">
            <w:pPr>
              <w:rPr>
                <w:sz w:val="20"/>
              </w:rPr>
            </w:pPr>
            <w:r w:rsidRPr="00B663C0">
              <w:rPr>
                <w:sz w:val="20"/>
              </w:rPr>
              <w:t>FRA anticipates zero submissions over the next three-year period.</w:t>
            </w:r>
          </w:p>
        </w:tc>
      </w:tr>
      <w:tr w14:paraId="089F3837" w14:textId="77777777" w:rsidTr="00A16454">
        <w:tblPrEx>
          <w:tblW w:w="13587" w:type="dxa"/>
          <w:tblLayout w:type="fixed"/>
          <w:tblLook w:val="04A0"/>
        </w:tblPrEx>
        <w:trPr>
          <w:trHeight w:val="288"/>
        </w:trPr>
        <w:tc>
          <w:tcPr>
            <w:tcW w:w="13587" w:type="dxa"/>
            <w:gridSpan w:val="8"/>
          </w:tcPr>
          <w:p w:rsidR="00B663C0" w:rsidRPr="00B663C0" w:rsidP="00B663C0" w14:paraId="7C489C40" w14:textId="77777777">
            <w:pPr>
              <w:rPr>
                <w:sz w:val="20"/>
              </w:rPr>
            </w:pPr>
            <w:r w:rsidRPr="00B663C0">
              <w:rPr>
                <w:b/>
                <w:bCs/>
                <w:sz w:val="20"/>
              </w:rPr>
              <w:t>222.39 How is a quiet zone established?</w:t>
            </w:r>
          </w:p>
        </w:tc>
      </w:tr>
      <w:tr w14:paraId="42B5251C" w14:textId="77777777" w:rsidTr="00B663C0">
        <w:tblPrEx>
          <w:tblW w:w="13587" w:type="dxa"/>
          <w:tblLayout w:type="fixed"/>
          <w:tblLook w:val="04A0"/>
        </w:tblPrEx>
        <w:trPr>
          <w:trHeight w:val="3140"/>
        </w:trPr>
        <w:tc>
          <w:tcPr>
            <w:tcW w:w="2874" w:type="dxa"/>
            <w:hideMark/>
          </w:tcPr>
          <w:p w:rsidR="00B663C0" w:rsidRPr="00B663C0" w:rsidP="00B663C0" w14:paraId="5F3C5E49" w14:textId="77777777">
            <w:pPr>
              <w:rPr>
                <w:sz w:val="20"/>
              </w:rPr>
            </w:pPr>
            <w:r w:rsidRPr="00B663C0">
              <w:rPr>
                <w:sz w:val="20"/>
              </w:rPr>
              <w:t>—(b)(1)-(2) Public authority application to FRA to establish a quiet zone</w:t>
            </w:r>
          </w:p>
          <w:p w:rsidR="00B663C0" w:rsidRPr="00B663C0" w:rsidP="00B663C0" w14:paraId="29F9FB3A" w14:textId="77777777">
            <w:pPr>
              <w:rPr>
                <w:sz w:val="20"/>
              </w:rPr>
            </w:pPr>
          </w:p>
        </w:tc>
        <w:tc>
          <w:tcPr>
            <w:tcW w:w="1169" w:type="dxa"/>
            <w:hideMark/>
          </w:tcPr>
          <w:p w:rsidR="00B663C0" w:rsidRPr="00B663C0" w:rsidP="00B663C0" w14:paraId="76279857" w14:textId="77777777">
            <w:pPr>
              <w:jc w:val="center"/>
              <w:rPr>
                <w:sz w:val="20"/>
              </w:rPr>
            </w:pPr>
            <w:r w:rsidRPr="00B663C0">
              <w:rPr>
                <w:sz w:val="20"/>
              </w:rPr>
              <w:t xml:space="preserve">645 </w:t>
            </w:r>
          </w:p>
          <w:p w:rsidR="00B663C0" w:rsidRPr="00B663C0" w:rsidP="00B663C0" w14:paraId="680C2B41" w14:textId="77777777">
            <w:pPr>
              <w:jc w:val="center"/>
              <w:rPr>
                <w:sz w:val="20"/>
              </w:rPr>
            </w:pPr>
            <w:r w:rsidRPr="00B663C0">
              <w:rPr>
                <w:sz w:val="20"/>
              </w:rPr>
              <w:t>public authorities</w:t>
            </w:r>
          </w:p>
        </w:tc>
        <w:tc>
          <w:tcPr>
            <w:tcW w:w="1350" w:type="dxa"/>
            <w:hideMark/>
          </w:tcPr>
          <w:p w:rsidR="00B663C0" w:rsidRPr="00B663C0" w:rsidP="00B663C0" w14:paraId="35E43AF3" w14:textId="77777777">
            <w:pPr>
              <w:jc w:val="center"/>
              <w:rPr>
                <w:sz w:val="20"/>
              </w:rPr>
            </w:pPr>
            <w:r w:rsidRPr="00B663C0">
              <w:rPr>
                <w:sz w:val="20"/>
              </w:rPr>
              <w:t>15</w:t>
            </w:r>
          </w:p>
          <w:p w:rsidR="00B663C0" w:rsidRPr="00B663C0" w:rsidP="00B663C0" w14:paraId="0FB64A0E" w14:textId="77777777">
            <w:pPr>
              <w:jc w:val="center"/>
              <w:rPr>
                <w:sz w:val="20"/>
              </w:rPr>
            </w:pPr>
            <w:r w:rsidRPr="00B663C0">
              <w:rPr>
                <w:sz w:val="20"/>
              </w:rPr>
              <w:t>applications</w:t>
            </w:r>
          </w:p>
        </w:tc>
        <w:tc>
          <w:tcPr>
            <w:tcW w:w="990" w:type="dxa"/>
            <w:hideMark/>
          </w:tcPr>
          <w:p w:rsidR="00B663C0" w:rsidRPr="00B663C0" w:rsidP="00B663C0" w14:paraId="5F43C364" w14:textId="77777777">
            <w:pPr>
              <w:jc w:val="center"/>
              <w:rPr>
                <w:sz w:val="20"/>
              </w:rPr>
            </w:pPr>
            <w:r w:rsidRPr="00B663C0">
              <w:rPr>
                <w:sz w:val="20"/>
              </w:rPr>
              <w:t>85.7</w:t>
            </w:r>
          </w:p>
          <w:p w:rsidR="00B663C0" w:rsidRPr="00B663C0" w:rsidP="00B663C0" w14:paraId="45ABB808" w14:textId="77777777">
            <w:pPr>
              <w:jc w:val="center"/>
              <w:rPr>
                <w:sz w:val="20"/>
              </w:rPr>
            </w:pPr>
            <w:r w:rsidRPr="00B663C0">
              <w:rPr>
                <w:sz w:val="20"/>
              </w:rPr>
              <w:t>hours</w:t>
            </w:r>
          </w:p>
        </w:tc>
        <w:tc>
          <w:tcPr>
            <w:tcW w:w="990" w:type="dxa"/>
            <w:hideMark/>
          </w:tcPr>
          <w:p w:rsidR="00B663C0" w:rsidRPr="00B663C0" w:rsidP="00B663C0" w14:paraId="67BFE98A" w14:textId="77777777">
            <w:pPr>
              <w:jc w:val="center"/>
              <w:rPr>
                <w:sz w:val="20"/>
              </w:rPr>
            </w:pPr>
            <w:r w:rsidRPr="00B663C0">
              <w:rPr>
                <w:sz w:val="20"/>
              </w:rPr>
              <w:t>1,285.50</w:t>
            </w:r>
          </w:p>
          <w:p w:rsidR="00B663C0" w:rsidRPr="00B663C0" w:rsidP="00B663C0" w14:paraId="486F3CC8" w14:textId="77777777">
            <w:pPr>
              <w:jc w:val="center"/>
              <w:rPr>
                <w:sz w:val="20"/>
              </w:rPr>
            </w:pPr>
          </w:p>
        </w:tc>
        <w:tc>
          <w:tcPr>
            <w:tcW w:w="900" w:type="dxa"/>
          </w:tcPr>
          <w:p w:rsidR="00B663C0" w:rsidRPr="00B663C0" w:rsidP="00B663C0" w14:paraId="6E7BA2D7" w14:textId="77777777">
            <w:pPr>
              <w:jc w:val="center"/>
              <w:rPr>
                <w:sz w:val="20"/>
              </w:rPr>
            </w:pPr>
            <w:r w:rsidRPr="00B663C0">
              <w:rPr>
                <w:sz w:val="20"/>
              </w:rPr>
              <w:t>$73.40</w:t>
            </w:r>
          </w:p>
        </w:tc>
        <w:tc>
          <w:tcPr>
            <w:tcW w:w="1442" w:type="dxa"/>
            <w:hideMark/>
          </w:tcPr>
          <w:p w:rsidR="00B663C0" w:rsidRPr="00B663C0" w:rsidP="00B663C0" w14:paraId="1822F84F" w14:textId="77777777">
            <w:pPr>
              <w:jc w:val="right"/>
              <w:rPr>
                <w:sz w:val="20"/>
              </w:rPr>
            </w:pPr>
            <w:r w:rsidRPr="00B663C0">
              <w:rPr>
                <w:sz w:val="20"/>
              </w:rPr>
              <w:t>$94,355.70</w:t>
            </w:r>
          </w:p>
        </w:tc>
        <w:tc>
          <w:tcPr>
            <w:tcW w:w="3872" w:type="dxa"/>
          </w:tcPr>
          <w:p w:rsidR="00B663C0" w:rsidRPr="00B663C0" w:rsidP="00B663C0" w14:paraId="109CBF40" w14:textId="43C1A95E">
            <w:pPr>
              <w:rPr>
                <w:sz w:val="20"/>
              </w:rPr>
            </w:pPr>
            <w:r w:rsidRPr="00B663C0">
              <w:rPr>
                <w:sz w:val="20"/>
              </w:rPr>
              <w:t xml:space="preserve">A public authority may apply to the Associate Administrator for approval of a quiet zone that does not meet the standards for public authority designation under paragraph (a) of </w:t>
            </w:r>
            <w:r w:rsidR="002C12DA">
              <w:rPr>
                <w:sz w:val="20"/>
              </w:rPr>
              <w:t>§ 222.39</w:t>
            </w:r>
            <w:r w:rsidRPr="00B663C0">
              <w:rPr>
                <w:sz w:val="20"/>
              </w:rPr>
              <w:t>, but in which it is proposed that one or more safety measures be implemented.  Each application must include the requirements listed under 222.39(b)(1)-(2):</w:t>
            </w:r>
          </w:p>
          <w:p w:rsidR="00B663C0" w:rsidRPr="00B663C0" w:rsidP="005C6497" w14:paraId="6861B7D7" w14:textId="77777777">
            <w:pPr>
              <w:numPr>
                <w:ilvl w:val="0"/>
                <w:numId w:val="9"/>
              </w:numPr>
              <w:spacing w:after="160" w:line="259" w:lineRule="auto"/>
              <w:ind w:left="521"/>
              <w:contextualSpacing/>
              <w:rPr>
                <w:sz w:val="20"/>
              </w:rPr>
            </w:pPr>
            <w:r w:rsidRPr="00B663C0">
              <w:rPr>
                <w:sz w:val="20"/>
              </w:rPr>
              <w:t>Current Grade Crossing Inventory Form.</w:t>
            </w:r>
          </w:p>
          <w:p w:rsidR="00B663C0" w:rsidRPr="00B663C0" w:rsidP="005C6497" w14:paraId="07D698C9" w14:textId="778B47F2">
            <w:pPr>
              <w:numPr>
                <w:ilvl w:val="0"/>
                <w:numId w:val="9"/>
              </w:numPr>
              <w:spacing w:after="160" w:line="259" w:lineRule="auto"/>
              <w:ind w:left="521"/>
              <w:contextualSpacing/>
              <w:rPr>
                <w:sz w:val="20"/>
              </w:rPr>
            </w:pPr>
            <w:r>
              <w:rPr>
                <w:sz w:val="20"/>
              </w:rPr>
              <w:t>Information on p</w:t>
            </w:r>
            <w:r w:rsidRPr="00B663C0">
              <w:rPr>
                <w:sz w:val="20"/>
              </w:rPr>
              <w:t>resent safety measures at each grade crossing in the proposed Quiet Zone.</w:t>
            </w:r>
          </w:p>
          <w:p w:rsidR="00B663C0" w:rsidRPr="00B663C0" w:rsidP="005C6497" w14:paraId="4EB01D27" w14:textId="0D0CD6AE">
            <w:pPr>
              <w:numPr>
                <w:ilvl w:val="0"/>
                <w:numId w:val="9"/>
              </w:numPr>
              <w:spacing w:after="160" w:line="259" w:lineRule="auto"/>
              <w:ind w:left="521"/>
              <w:contextualSpacing/>
              <w:rPr>
                <w:sz w:val="20"/>
              </w:rPr>
            </w:pPr>
            <w:r w:rsidRPr="00B663C0">
              <w:rPr>
                <w:sz w:val="20"/>
              </w:rPr>
              <w:t>Diagnostic team review</w:t>
            </w:r>
            <w:r w:rsidR="0032447D">
              <w:rPr>
                <w:sz w:val="20"/>
              </w:rPr>
              <w:t xml:space="preserve"> information</w:t>
            </w:r>
            <w:r w:rsidRPr="00B663C0">
              <w:rPr>
                <w:sz w:val="20"/>
              </w:rPr>
              <w:t>.</w:t>
            </w:r>
          </w:p>
          <w:p w:rsidR="00B663C0" w:rsidRPr="00B663C0" w:rsidP="005C6497" w14:paraId="555B3B9B" w14:textId="75E0178A">
            <w:pPr>
              <w:numPr>
                <w:ilvl w:val="0"/>
                <w:numId w:val="9"/>
              </w:numPr>
              <w:spacing w:after="160" w:line="259" w:lineRule="auto"/>
              <w:ind w:left="521"/>
              <w:contextualSpacing/>
              <w:rPr>
                <w:sz w:val="20"/>
              </w:rPr>
            </w:pPr>
            <w:r w:rsidRPr="00B663C0">
              <w:rPr>
                <w:sz w:val="20"/>
              </w:rPr>
              <w:t xml:space="preserve">Efforts taken to address comments </w:t>
            </w:r>
            <w:r w:rsidR="00E85399">
              <w:rPr>
                <w:sz w:val="20"/>
              </w:rPr>
              <w:t>on the Notice of Intent</w:t>
            </w:r>
            <w:r w:rsidRPr="00B663C0">
              <w:rPr>
                <w:sz w:val="20"/>
              </w:rPr>
              <w:t>.</w:t>
            </w:r>
          </w:p>
          <w:p w:rsidR="00B663C0" w:rsidRPr="00B663C0" w:rsidP="005C6497" w14:paraId="280A8C5E" w14:textId="77777777">
            <w:pPr>
              <w:numPr>
                <w:ilvl w:val="0"/>
                <w:numId w:val="9"/>
              </w:numPr>
              <w:spacing w:after="160" w:line="259" w:lineRule="auto"/>
              <w:ind w:left="521"/>
              <w:contextualSpacing/>
              <w:rPr>
                <w:sz w:val="20"/>
              </w:rPr>
            </w:pPr>
            <w:r w:rsidRPr="00B663C0">
              <w:rPr>
                <w:sz w:val="20"/>
              </w:rPr>
              <w:t>Detailed information on proposed safety improvements to be implemented.</w:t>
            </w:r>
          </w:p>
          <w:p w:rsidR="00B663C0" w:rsidRPr="00B663C0" w:rsidP="005C6497" w14:paraId="37B7AA92" w14:textId="77777777">
            <w:pPr>
              <w:numPr>
                <w:ilvl w:val="0"/>
                <w:numId w:val="9"/>
              </w:numPr>
              <w:spacing w:after="160" w:line="259" w:lineRule="auto"/>
              <w:ind w:left="521"/>
              <w:contextualSpacing/>
              <w:rPr>
                <w:sz w:val="20"/>
              </w:rPr>
            </w:pPr>
            <w:r w:rsidRPr="00B663C0">
              <w:rPr>
                <w:sz w:val="20"/>
              </w:rPr>
              <w:t>Commitment to implement proposed safety improvements.</w:t>
            </w:r>
          </w:p>
          <w:p w:rsidR="00B663C0" w:rsidRPr="00B663C0" w:rsidP="005C6497" w14:paraId="1C177444" w14:textId="30F40943">
            <w:pPr>
              <w:numPr>
                <w:ilvl w:val="0"/>
                <w:numId w:val="9"/>
              </w:numPr>
              <w:spacing w:after="160" w:line="259" w:lineRule="auto"/>
              <w:ind w:left="521"/>
              <w:contextualSpacing/>
              <w:rPr>
                <w:sz w:val="20"/>
              </w:rPr>
            </w:pPr>
            <w:r w:rsidRPr="00B663C0">
              <w:rPr>
                <w:sz w:val="20"/>
              </w:rPr>
              <w:t xml:space="preserve">Data analysis </w:t>
            </w:r>
            <w:r w:rsidR="000F7EE4">
              <w:rPr>
                <w:sz w:val="20"/>
              </w:rPr>
              <w:t xml:space="preserve">to demonstrate how the proposed safety improvements </w:t>
            </w:r>
            <w:r w:rsidR="009B4BC8">
              <w:rPr>
                <w:sz w:val="20"/>
              </w:rPr>
              <w:t>will reduce the</w:t>
            </w:r>
            <w:r w:rsidRPr="00B663C0">
              <w:rPr>
                <w:sz w:val="20"/>
              </w:rPr>
              <w:t xml:space="preserve"> Quiet Zone Risk Index</w:t>
            </w:r>
          </w:p>
          <w:p w:rsidR="00B663C0" w:rsidRPr="00B663C0" w:rsidP="005C6497" w14:paraId="4AD40448" w14:textId="77777777">
            <w:pPr>
              <w:numPr>
                <w:ilvl w:val="0"/>
                <w:numId w:val="9"/>
              </w:numPr>
              <w:spacing w:after="160" w:line="259" w:lineRule="auto"/>
              <w:ind w:left="521"/>
              <w:contextualSpacing/>
              <w:rPr>
                <w:sz w:val="20"/>
              </w:rPr>
            </w:pPr>
            <w:r w:rsidRPr="00B663C0">
              <w:rPr>
                <w:sz w:val="20"/>
              </w:rPr>
              <w:t xml:space="preserve">Five-year projected vehicle and rail traffic counts for newly established crossings. </w:t>
            </w:r>
          </w:p>
        </w:tc>
      </w:tr>
      <w:tr w14:paraId="28243C38" w14:textId="77777777" w:rsidTr="00B663C0">
        <w:tblPrEx>
          <w:tblW w:w="13587" w:type="dxa"/>
          <w:tblLayout w:type="fixed"/>
          <w:tblLook w:val="04A0"/>
        </w:tblPrEx>
        <w:trPr>
          <w:trHeight w:val="1160"/>
        </w:trPr>
        <w:tc>
          <w:tcPr>
            <w:tcW w:w="2874" w:type="dxa"/>
            <w:vMerge w:val="restart"/>
            <w:hideMark/>
          </w:tcPr>
          <w:p w:rsidR="00B663C0" w:rsidRPr="00B663C0" w:rsidP="00B663C0" w14:paraId="3A5D6CAD" w14:textId="77777777">
            <w:pPr>
              <w:rPr>
                <w:sz w:val="20"/>
              </w:rPr>
            </w:pPr>
            <w:r w:rsidRPr="00B663C0">
              <w:rPr>
                <w:sz w:val="20"/>
              </w:rPr>
              <w:t>—(b)(3)</w:t>
            </w:r>
          </w:p>
          <w:p w:rsidR="00B663C0" w:rsidRPr="00B663C0" w:rsidP="00B663C0" w14:paraId="2D1F09F5" w14:textId="0EA7173B">
            <w:pPr>
              <w:rPr>
                <w:sz w:val="20"/>
              </w:rPr>
            </w:pPr>
            <w:r w:rsidRPr="00B663C0">
              <w:rPr>
                <w:sz w:val="20"/>
              </w:rPr>
              <w:t>—</w:t>
            </w:r>
            <w:r w:rsidRPr="00B663C0">
              <w:rPr>
                <w:sz w:val="20"/>
              </w:rPr>
              <w:t>(</w:t>
            </w:r>
            <w:r w:rsidRPr="00B663C0">
              <w:rPr>
                <w:sz w:val="20"/>
              </w:rPr>
              <w:t>i</w:t>
            </w:r>
            <w:r w:rsidRPr="00B663C0">
              <w:rPr>
                <w:sz w:val="20"/>
              </w:rPr>
              <w:t>) Application copies</w:t>
            </w:r>
          </w:p>
          <w:p w:rsidR="00B663C0" w:rsidRPr="00B663C0" w:rsidP="00B663C0" w14:paraId="1ACDBF11" w14:textId="77777777">
            <w:pPr>
              <w:rPr>
                <w:sz w:val="20"/>
              </w:rPr>
            </w:pPr>
          </w:p>
          <w:p w:rsidR="00B663C0" w:rsidRPr="00B663C0" w:rsidP="00B663C0" w14:paraId="6227B874" w14:textId="597F6B7D">
            <w:pPr>
              <w:rPr>
                <w:sz w:val="20"/>
              </w:rPr>
            </w:pPr>
            <w:r w:rsidRPr="00B663C0">
              <w:rPr>
                <w:sz w:val="20"/>
              </w:rPr>
              <w:t>—(ii)</w:t>
            </w:r>
            <w:r w:rsidR="00072B8C">
              <w:rPr>
                <w:sz w:val="20"/>
              </w:rPr>
              <w:t xml:space="preserve"> </w:t>
            </w:r>
            <w:r w:rsidRPr="00B663C0">
              <w:rPr>
                <w:sz w:val="20"/>
              </w:rPr>
              <w:t>Comments to FRA on public authority application</w:t>
            </w:r>
          </w:p>
          <w:p w:rsidR="00B663C0" w:rsidRPr="00B663C0" w:rsidP="00B663C0" w14:paraId="21ABEB2E" w14:textId="77777777">
            <w:pPr>
              <w:rPr>
                <w:i/>
                <w:iCs/>
                <w:sz w:val="20"/>
              </w:rPr>
            </w:pPr>
            <w:r w:rsidRPr="00B663C0">
              <w:rPr>
                <w:i/>
                <w:iCs/>
                <w:sz w:val="20"/>
              </w:rPr>
              <w:t xml:space="preserve">(Revised requirement. </w:t>
            </w:r>
          </w:p>
          <w:p w:rsidR="00B663C0" w:rsidRPr="00B663C0" w:rsidP="00B663C0" w14:paraId="5B6A0BDE" w14:textId="2D0950F2">
            <w:pPr>
              <w:rPr>
                <w:sz w:val="20"/>
              </w:rPr>
            </w:pPr>
            <w:r w:rsidRPr="00B663C0">
              <w:rPr>
                <w:i/>
                <w:iCs/>
                <w:sz w:val="20"/>
              </w:rPr>
              <w:t>FRA amend</w:t>
            </w:r>
            <w:r w:rsidR="001146B9">
              <w:rPr>
                <w:i/>
                <w:iCs/>
                <w:sz w:val="20"/>
              </w:rPr>
              <w:t>ed</w:t>
            </w:r>
            <w:r w:rsidRPr="00B663C0">
              <w:rPr>
                <w:i/>
                <w:iCs/>
                <w:sz w:val="20"/>
              </w:rPr>
              <w:t xml:space="preserve"> § 222.39(b)(</w:t>
            </w:r>
            <w:r w:rsidRPr="00B663C0">
              <w:rPr>
                <w:i/>
                <w:iCs/>
                <w:sz w:val="20"/>
              </w:rPr>
              <w:t>3</w:t>
            </w:r>
            <w:r w:rsidR="00FA1B5D">
              <w:rPr>
                <w:i/>
                <w:iCs/>
                <w:sz w:val="20"/>
              </w:rPr>
              <w:t>)</w:t>
            </w:r>
            <w:r w:rsidRPr="00B663C0">
              <w:rPr>
                <w:i/>
                <w:iCs/>
                <w:sz w:val="20"/>
              </w:rPr>
              <w:t>to</w:t>
            </w:r>
            <w:r w:rsidRPr="00B663C0">
              <w:rPr>
                <w:i/>
                <w:iCs/>
                <w:sz w:val="20"/>
              </w:rPr>
              <w:t xml:space="preserve"> require electronic submittal of the application to FRA</w:t>
            </w:r>
            <w:r w:rsidR="007C71EF">
              <w:rPr>
                <w:i/>
                <w:iCs/>
                <w:sz w:val="20"/>
              </w:rPr>
              <w:t xml:space="preserve"> (replacing the previous certified mail requirement)</w:t>
            </w:r>
            <w:r w:rsidRPr="00B663C0">
              <w:rPr>
                <w:i/>
                <w:iCs/>
                <w:sz w:val="20"/>
              </w:rPr>
              <w:t xml:space="preserve">, and to </w:t>
            </w:r>
            <w:r w:rsidR="00916FF3">
              <w:rPr>
                <w:i/>
                <w:iCs/>
                <w:sz w:val="20"/>
              </w:rPr>
              <w:t xml:space="preserve">remove the certified mail requirement for </w:t>
            </w:r>
            <w:r w:rsidR="00A07A53">
              <w:rPr>
                <w:i/>
                <w:iCs/>
                <w:sz w:val="20"/>
              </w:rPr>
              <w:t>service of the application to other interested parties (thereby allowing electronic service</w:t>
            </w:r>
            <w:r w:rsidR="007C71EF">
              <w:rPr>
                <w:i/>
                <w:iCs/>
                <w:sz w:val="20"/>
              </w:rPr>
              <w:t xml:space="preserve"> to all parties</w:t>
            </w:r>
            <w:r w:rsidR="00A07A53">
              <w:rPr>
                <w:i/>
                <w:iCs/>
                <w:sz w:val="20"/>
              </w:rPr>
              <w:t xml:space="preserve">).  </w:t>
            </w:r>
          </w:p>
        </w:tc>
        <w:tc>
          <w:tcPr>
            <w:tcW w:w="1169" w:type="dxa"/>
            <w:hideMark/>
          </w:tcPr>
          <w:p w:rsidR="00B663C0" w:rsidRPr="00B663C0" w:rsidP="00B663C0" w14:paraId="0E561A6B" w14:textId="77777777">
            <w:pPr>
              <w:jc w:val="center"/>
              <w:rPr>
                <w:sz w:val="20"/>
              </w:rPr>
            </w:pPr>
            <w:r w:rsidRPr="00B663C0">
              <w:rPr>
                <w:sz w:val="20"/>
              </w:rPr>
              <w:t>645</w:t>
            </w:r>
          </w:p>
          <w:p w:rsidR="00B663C0" w:rsidRPr="00B663C0" w:rsidP="00B663C0" w14:paraId="18403B63" w14:textId="77777777">
            <w:pPr>
              <w:jc w:val="center"/>
              <w:rPr>
                <w:sz w:val="20"/>
              </w:rPr>
            </w:pPr>
            <w:r w:rsidRPr="00B663C0">
              <w:rPr>
                <w:sz w:val="20"/>
              </w:rPr>
              <w:t>public authorities</w:t>
            </w:r>
          </w:p>
        </w:tc>
        <w:tc>
          <w:tcPr>
            <w:tcW w:w="1350" w:type="dxa"/>
            <w:hideMark/>
          </w:tcPr>
          <w:p w:rsidR="00B663C0" w:rsidRPr="00B663C0" w:rsidP="00B663C0" w14:paraId="73330780" w14:textId="77777777">
            <w:pPr>
              <w:jc w:val="center"/>
              <w:rPr>
                <w:sz w:val="20"/>
              </w:rPr>
            </w:pPr>
            <w:r w:rsidRPr="00B663C0">
              <w:rPr>
                <w:sz w:val="20"/>
              </w:rPr>
              <w:t xml:space="preserve">90 </w:t>
            </w:r>
          </w:p>
          <w:p w:rsidR="00B663C0" w:rsidRPr="00B663C0" w:rsidP="00B663C0" w14:paraId="07B39EBB" w14:textId="77777777">
            <w:pPr>
              <w:jc w:val="center"/>
              <w:rPr>
                <w:sz w:val="20"/>
              </w:rPr>
            </w:pPr>
            <w:r w:rsidRPr="00B663C0">
              <w:rPr>
                <w:sz w:val="20"/>
              </w:rPr>
              <w:t>copies</w:t>
            </w:r>
          </w:p>
        </w:tc>
        <w:tc>
          <w:tcPr>
            <w:tcW w:w="990" w:type="dxa"/>
            <w:hideMark/>
          </w:tcPr>
          <w:p w:rsidR="00B663C0" w:rsidRPr="00B663C0" w:rsidP="00B663C0" w14:paraId="10DD2EB3" w14:textId="77777777">
            <w:pPr>
              <w:jc w:val="center"/>
              <w:rPr>
                <w:sz w:val="20"/>
              </w:rPr>
            </w:pPr>
            <w:r w:rsidRPr="00B663C0">
              <w:rPr>
                <w:sz w:val="20"/>
              </w:rPr>
              <w:t xml:space="preserve">2 </w:t>
            </w:r>
          </w:p>
          <w:p w:rsidR="00B663C0" w:rsidRPr="00B663C0" w:rsidP="00B663C0" w14:paraId="10553670" w14:textId="77777777">
            <w:pPr>
              <w:jc w:val="center"/>
              <w:rPr>
                <w:sz w:val="20"/>
              </w:rPr>
            </w:pPr>
            <w:r w:rsidRPr="00B663C0">
              <w:rPr>
                <w:sz w:val="20"/>
              </w:rPr>
              <w:t>minutes</w:t>
            </w:r>
          </w:p>
        </w:tc>
        <w:tc>
          <w:tcPr>
            <w:tcW w:w="990" w:type="dxa"/>
            <w:hideMark/>
          </w:tcPr>
          <w:p w:rsidR="00B663C0" w:rsidRPr="00B663C0" w:rsidP="00B663C0" w14:paraId="30161D03" w14:textId="77777777">
            <w:pPr>
              <w:jc w:val="center"/>
              <w:rPr>
                <w:sz w:val="20"/>
              </w:rPr>
            </w:pPr>
            <w:r w:rsidRPr="00B663C0">
              <w:rPr>
                <w:sz w:val="20"/>
              </w:rPr>
              <w:t>3</w:t>
            </w:r>
          </w:p>
          <w:p w:rsidR="00B663C0" w:rsidRPr="00B663C0" w:rsidP="00B663C0" w14:paraId="5B63CA04" w14:textId="77777777">
            <w:pPr>
              <w:jc w:val="center"/>
              <w:rPr>
                <w:sz w:val="20"/>
              </w:rPr>
            </w:pPr>
          </w:p>
        </w:tc>
        <w:tc>
          <w:tcPr>
            <w:tcW w:w="900" w:type="dxa"/>
          </w:tcPr>
          <w:p w:rsidR="00B663C0" w:rsidRPr="00B663C0" w:rsidP="00B663C0" w14:paraId="1E49D1B3" w14:textId="77777777">
            <w:pPr>
              <w:jc w:val="right"/>
              <w:rPr>
                <w:sz w:val="20"/>
              </w:rPr>
            </w:pPr>
            <w:r w:rsidRPr="00B663C0">
              <w:rPr>
                <w:sz w:val="20"/>
              </w:rPr>
              <w:t>$73.40</w:t>
            </w:r>
          </w:p>
        </w:tc>
        <w:tc>
          <w:tcPr>
            <w:tcW w:w="1442" w:type="dxa"/>
            <w:hideMark/>
          </w:tcPr>
          <w:p w:rsidR="00B663C0" w:rsidRPr="00B663C0" w:rsidP="00B663C0" w14:paraId="10FE7621" w14:textId="77777777">
            <w:pPr>
              <w:jc w:val="right"/>
              <w:rPr>
                <w:sz w:val="20"/>
              </w:rPr>
            </w:pPr>
            <w:r w:rsidRPr="00B663C0">
              <w:rPr>
                <w:sz w:val="20"/>
              </w:rPr>
              <w:t>$220.20</w:t>
            </w:r>
          </w:p>
        </w:tc>
        <w:tc>
          <w:tcPr>
            <w:tcW w:w="3872" w:type="dxa"/>
            <w:vMerge w:val="restart"/>
          </w:tcPr>
          <w:p w:rsidR="00B663C0" w:rsidRPr="00B663C0" w:rsidP="00B663C0" w14:paraId="0D068903" w14:textId="367D9402">
            <w:pPr>
              <w:rPr>
                <w:sz w:val="20"/>
              </w:rPr>
            </w:pPr>
            <w:r w:rsidRPr="00B663C0">
              <w:rPr>
                <w:sz w:val="20"/>
              </w:rPr>
              <w:t xml:space="preserve">Copies of public authority application for FRA approval of the proposed quiet zone shall be provided to all parties listed under </w:t>
            </w:r>
            <w:r w:rsidR="00796A52">
              <w:rPr>
                <w:sz w:val="20"/>
              </w:rPr>
              <w:t>§ </w:t>
            </w:r>
            <w:r w:rsidRPr="00B663C0">
              <w:rPr>
                <w:sz w:val="20"/>
              </w:rPr>
              <w:t>222.39(b)(3)(</w:t>
            </w:r>
            <w:r w:rsidRPr="00B663C0">
              <w:rPr>
                <w:sz w:val="20"/>
              </w:rPr>
              <w:t>i</w:t>
            </w:r>
            <w:r w:rsidRPr="00B663C0">
              <w:rPr>
                <w:sz w:val="20"/>
              </w:rPr>
              <w:t xml:space="preserve">).  A copy of the public authority application shall also be submitted </w:t>
            </w:r>
            <w:r w:rsidRPr="00B663C0">
              <w:rPr>
                <w:sz w:val="20"/>
              </w:rPr>
              <w:t>electronically to the Grade Crossing and Trespasser Outreach Division of FRA’s Office of Railroad Safety.</w:t>
            </w:r>
          </w:p>
          <w:p w:rsidR="00B663C0" w:rsidRPr="00B663C0" w:rsidP="00B663C0" w14:paraId="4EC2F455" w14:textId="59732D74">
            <w:pPr>
              <w:rPr>
                <w:sz w:val="20"/>
              </w:rPr>
            </w:pPr>
            <w:r w:rsidRPr="00B663C0">
              <w:rPr>
                <w:sz w:val="20"/>
              </w:rPr>
              <w:t xml:space="preserve">Any party that receives a copy of the public authority application may submit comments on the public authority application to the </w:t>
            </w:r>
            <w:r w:rsidRPr="00B663C0" w:rsidR="00251CE6">
              <w:rPr>
                <w:sz w:val="20"/>
              </w:rPr>
              <w:t xml:space="preserve">Grade Crossing and Trespasser Outreach Division of FRA’s Office of Railroad Safety </w:t>
            </w:r>
            <w:r w:rsidRPr="00B663C0">
              <w:rPr>
                <w:sz w:val="20"/>
              </w:rPr>
              <w:t>during the 60-day period after the date on which the public authority application was mailed.</w:t>
            </w:r>
          </w:p>
        </w:tc>
      </w:tr>
      <w:tr w14:paraId="7AC7AA76" w14:textId="77777777" w:rsidTr="00B663C0">
        <w:tblPrEx>
          <w:tblW w:w="13587" w:type="dxa"/>
          <w:tblLayout w:type="fixed"/>
          <w:tblLook w:val="04A0"/>
        </w:tblPrEx>
        <w:trPr>
          <w:trHeight w:val="765"/>
        </w:trPr>
        <w:tc>
          <w:tcPr>
            <w:tcW w:w="2874" w:type="dxa"/>
            <w:vMerge/>
            <w:hideMark/>
          </w:tcPr>
          <w:p w:rsidR="00B663C0" w:rsidRPr="00B663C0" w:rsidP="00B663C0" w14:paraId="1126F3EF" w14:textId="77777777">
            <w:pPr>
              <w:rPr>
                <w:sz w:val="20"/>
              </w:rPr>
            </w:pPr>
          </w:p>
        </w:tc>
        <w:tc>
          <w:tcPr>
            <w:tcW w:w="1169" w:type="dxa"/>
            <w:hideMark/>
          </w:tcPr>
          <w:p w:rsidR="00B663C0" w:rsidRPr="00B663C0" w:rsidP="00B663C0" w14:paraId="1E68C529" w14:textId="77777777">
            <w:pPr>
              <w:jc w:val="center"/>
              <w:rPr>
                <w:sz w:val="20"/>
              </w:rPr>
            </w:pPr>
            <w:r w:rsidRPr="00B663C0">
              <w:rPr>
                <w:sz w:val="20"/>
              </w:rPr>
              <w:t>754</w:t>
            </w:r>
          </w:p>
          <w:p w:rsidR="00B663C0" w:rsidRPr="00B663C0" w:rsidP="00B663C0" w14:paraId="34606540" w14:textId="77777777">
            <w:pPr>
              <w:jc w:val="center"/>
              <w:rPr>
                <w:sz w:val="20"/>
              </w:rPr>
            </w:pPr>
            <w:r w:rsidRPr="00B663C0">
              <w:rPr>
                <w:sz w:val="20"/>
              </w:rPr>
              <w:t>railroads</w:t>
            </w:r>
          </w:p>
        </w:tc>
        <w:tc>
          <w:tcPr>
            <w:tcW w:w="1350" w:type="dxa"/>
          </w:tcPr>
          <w:p w:rsidR="00B663C0" w:rsidRPr="00B663C0" w:rsidP="00B663C0" w14:paraId="71191A4B" w14:textId="77777777">
            <w:pPr>
              <w:jc w:val="center"/>
              <w:rPr>
                <w:sz w:val="20"/>
              </w:rPr>
            </w:pPr>
            <w:r w:rsidRPr="00B663C0">
              <w:rPr>
                <w:sz w:val="20"/>
              </w:rPr>
              <w:t>30</w:t>
            </w:r>
          </w:p>
          <w:p w:rsidR="00B663C0" w:rsidRPr="00B663C0" w:rsidP="00B663C0" w14:paraId="6B12AB7A" w14:textId="77777777">
            <w:pPr>
              <w:jc w:val="center"/>
              <w:rPr>
                <w:sz w:val="20"/>
              </w:rPr>
            </w:pPr>
            <w:r w:rsidRPr="00B663C0">
              <w:rPr>
                <w:sz w:val="20"/>
              </w:rPr>
              <w:t>comments</w:t>
            </w:r>
          </w:p>
        </w:tc>
        <w:tc>
          <w:tcPr>
            <w:tcW w:w="990" w:type="dxa"/>
          </w:tcPr>
          <w:p w:rsidR="00B663C0" w:rsidRPr="00B663C0" w:rsidP="00B663C0" w14:paraId="46494774" w14:textId="77777777">
            <w:pPr>
              <w:jc w:val="center"/>
              <w:rPr>
                <w:sz w:val="20"/>
              </w:rPr>
            </w:pPr>
            <w:r w:rsidRPr="00B663C0">
              <w:rPr>
                <w:sz w:val="20"/>
              </w:rPr>
              <w:t>1.5</w:t>
            </w:r>
          </w:p>
          <w:p w:rsidR="00B663C0" w:rsidRPr="00B663C0" w:rsidP="00B663C0" w14:paraId="044708C8" w14:textId="77777777">
            <w:pPr>
              <w:jc w:val="center"/>
              <w:rPr>
                <w:sz w:val="20"/>
              </w:rPr>
            </w:pPr>
            <w:r w:rsidRPr="00B663C0">
              <w:rPr>
                <w:sz w:val="20"/>
              </w:rPr>
              <w:t>hours</w:t>
            </w:r>
          </w:p>
        </w:tc>
        <w:tc>
          <w:tcPr>
            <w:tcW w:w="990" w:type="dxa"/>
          </w:tcPr>
          <w:p w:rsidR="00B663C0" w:rsidRPr="00B663C0" w:rsidP="00B663C0" w14:paraId="342899C1" w14:textId="77777777">
            <w:pPr>
              <w:jc w:val="center"/>
              <w:rPr>
                <w:sz w:val="20"/>
              </w:rPr>
            </w:pPr>
            <w:r w:rsidRPr="00B663C0">
              <w:rPr>
                <w:sz w:val="20"/>
              </w:rPr>
              <w:t>45</w:t>
            </w:r>
          </w:p>
          <w:p w:rsidR="00B663C0" w:rsidRPr="00B663C0" w:rsidP="00B663C0" w14:paraId="149F4454" w14:textId="77777777">
            <w:pPr>
              <w:jc w:val="center"/>
              <w:rPr>
                <w:sz w:val="20"/>
              </w:rPr>
            </w:pPr>
          </w:p>
        </w:tc>
        <w:tc>
          <w:tcPr>
            <w:tcW w:w="900" w:type="dxa"/>
          </w:tcPr>
          <w:p w:rsidR="00B663C0" w:rsidRPr="00B663C0" w:rsidP="00B663C0" w14:paraId="3D0CFB5F" w14:textId="32A3974E">
            <w:pPr>
              <w:jc w:val="center"/>
              <w:rPr>
                <w:sz w:val="20"/>
              </w:rPr>
            </w:pPr>
            <w:r w:rsidRPr="00B663C0">
              <w:rPr>
                <w:sz w:val="20"/>
              </w:rPr>
              <w:t>$89.13</w:t>
            </w:r>
          </w:p>
        </w:tc>
        <w:tc>
          <w:tcPr>
            <w:tcW w:w="1442" w:type="dxa"/>
          </w:tcPr>
          <w:p w:rsidR="00B663C0" w:rsidRPr="00B663C0" w:rsidP="00B663C0" w14:paraId="36142F79" w14:textId="77777777">
            <w:pPr>
              <w:jc w:val="right"/>
              <w:rPr>
                <w:sz w:val="20"/>
              </w:rPr>
            </w:pPr>
            <w:r w:rsidRPr="00B663C0">
              <w:rPr>
                <w:sz w:val="20"/>
              </w:rPr>
              <w:t>$4,010.85</w:t>
            </w:r>
          </w:p>
        </w:tc>
        <w:tc>
          <w:tcPr>
            <w:tcW w:w="3872" w:type="dxa"/>
            <w:vMerge/>
          </w:tcPr>
          <w:p w:rsidR="00B663C0" w:rsidRPr="00B663C0" w:rsidP="00B663C0" w14:paraId="3F6E0521" w14:textId="77777777">
            <w:pPr>
              <w:rPr>
                <w:sz w:val="20"/>
              </w:rPr>
            </w:pPr>
          </w:p>
        </w:tc>
      </w:tr>
      <w:tr w14:paraId="3995F0A5" w14:textId="77777777" w:rsidTr="00A16454">
        <w:tblPrEx>
          <w:tblW w:w="13587" w:type="dxa"/>
          <w:tblLayout w:type="fixed"/>
          <w:tblLook w:val="04A0"/>
        </w:tblPrEx>
        <w:trPr>
          <w:trHeight w:val="710"/>
        </w:trPr>
        <w:tc>
          <w:tcPr>
            <w:tcW w:w="2874" w:type="dxa"/>
          </w:tcPr>
          <w:p w:rsidR="00B663C0" w:rsidRPr="00B663C0" w:rsidP="00B663C0" w14:paraId="58E36B26" w14:textId="77777777">
            <w:pPr>
              <w:rPr>
                <w:sz w:val="20"/>
              </w:rPr>
            </w:pPr>
            <w:r w:rsidRPr="00B663C0">
              <w:rPr>
                <w:sz w:val="20"/>
              </w:rPr>
              <w:t>—(iii) Written statements of waived rights to comment on public authority application</w:t>
            </w:r>
          </w:p>
        </w:tc>
        <w:tc>
          <w:tcPr>
            <w:tcW w:w="10713" w:type="dxa"/>
            <w:gridSpan w:val="7"/>
          </w:tcPr>
          <w:p w:rsidR="00B663C0" w:rsidRPr="00B663C0" w:rsidP="00B663C0" w14:paraId="27927B6E" w14:textId="48F04ED9">
            <w:pPr>
              <w:rPr>
                <w:sz w:val="20"/>
              </w:rPr>
            </w:pPr>
            <w:r w:rsidRPr="00B663C0">
              <w:rPr>
                <w:sz w:val="20"/>
              </w:rPr>
              <w:t>FRA anticipates receiving zero submissions over the next three-year period.</w:t>
            </w:r>
          </w:p>
        </w:tc>
      </w:tr>
      <w:tr w14:paraId="43A2350F" w14:textId="77777777" w:rsidTr="00CB76AC">
        <w:tblPrEx>
          <w:tblW w:w="13587" w:type="dxa"/>
          <w:tblLayout w:type="fixed"/>
          <w:tblLook w:val="04A0"/>
        </w:tblPrEx>
        <w:trPr>
          <w:trHeight w:val="62"/>
        </w:trPr>
        <w:tc>
          <w:tcPr>
            <w:tcW w:w="13587" w:type="dxa"/>
            <w:gridSpan w:val="8"/>
          </w:tcPr>
          <w:p w:rsidR="00DF0A2D" w:rsidRPr="00B663C0" w:rsidP="00B663C0" w14:paraId="041F663F" w14:textId="35AD098C">
            <w:pPr>
              <w:rPr>
                <w:sz w:val="20"/>
              </w:rPr>
            </w:pPr>
            <w:r w:rsidRPr="00B663C0">
              <w:rPr>
                <w:b/>
                <w:bCs/>
                <w:sz w:val="20"/>
              </w:rPr>
              <w:t>222.43 What notices and other information are required to create or continue a quiet zone?</w:t>
            </w:r>
          </w:p>
        </w:tc>
      </w:tr>
      <w:tr w14:paraId="4A62FA62" w14:textId="77777777" w:rsidTr="00B663C0">
        <w:tblPrEx>
          <w:tblW w:w="13587" w:type="dxa"/>
          <w:tblLayout w:type="fixed"/>
          <w:tblLook w:val="04A0"/>
        </w:tblPrEx>
        <w:trPr>
          <w:trHeight w:val="620"/>
        </w:trPr>
        <w:tc>
          <w:tcPr>
            <w:tcW w:w="2874" w:type="dxa"/>
            <w:vMerge w:val="restart"/>
            <w:hideMark/>
          </w:tcPr>
          <w:p w:rsidR="00B663C0" w:rsidRPr="00B663C0" w:rsidP="00B663C0" w14:paraId="40DA66CD" w14:textId="460DA78F">
            <w:pPr>
              <w:rPr>
                <w:sz w:val="20"/>
              </w:rPr>
            </w:pPr>
            <w:r w:rsidRPr="00B663C0">
              <w:rPr>
                <w:sz w:val="20"/>
              </w:rPr>
              <w:t>—Written notice of public authority</w:t>
            </w:r>
            <w:r w:rsidR="00116884">
              <w:rPr>
                <w:sz w:val="20"/>
              </w:rPr>
              <w:t>’</w:t>
            </w:r>
            <w:r w:rsidRPr="00B663C0">
              <w:rPr>
                <w:sz w:val="20"/>
              </w:rPr>
              <w:t xml:space="preserve">s intent to create new quiet zone </w:t>
            </w:r>
          </w:p>
          <w:p w:rsidR="00B663C0" w:rsidRPr="00B663C0" w:rsidP="00B663C0" w14:paraId="15A6A4F6" w14:textId="77777777">
            <w:pPr>
              <w:rPr>
                <w:sz w:val="20"/>
              </w:rPr>
            </w:pPr>
            <w:r w:rsidRPr="00B663C0">
              <w:rPr>
                <w:sz w:val="20"/>
              </w:rPr>
              <w:t>— notification to required parties</w:t>
            </w:r>
          </w:p>
          <w:p w:rsidR="00B663C0" w:rsidRPr="00B663C0" w:rsidP="00B663C0" w14:paraId="351326B8" w14:textId="22314F7A">
            <w:pPr>
              <w:rPr>
                <w:sz w:val="20"/>
              </w:rPr>
            </w:pPr>
            <w:r w:rsidRPr="00B663C0">
              <w:rPr>
                <w:i/>
                <w:iCs/>
                <w:sz w:val="20"/>
              </w:rPr>
              <w:t>(Revised requirement.  FRA amend</w:t>
            </w:r>
            <w:r w:rsidR="001146B9">
              <w:rPr>
                <w:i/>
                <w:iCs/>
                <w:sz w:val="20"/>
              </w:rPr>
              <w:t>ed</w:t>
            </w:r>
            <w:r w:rsidRPr="00B663C0">
              <w:rPr>
                <w:i/>
                <w:iCs/>
                <w:sz w:val="20"/>
              </w:rPr>
              <w:t xml:space="preserve"> § 222.43 to </w:t>
            </w:r>
            <w:r w:rsidRPr="00B663C0" w:rsidR="004E08DA">
              <w:rPr>
                <w:i/>
                <w:iCs/>
                <w:sz w:val="20"/>
              </w:rPr>
              <w:t>require electronic submittal of the application to FRA</w:t>
            </w:r>
            <w:r w:rsidR="004E08DA">
              <w:rPr>
                <w:i/>
                <w:iCs/>
                <w:sz w:val="20"/>
              </w:rPr>
              <w:t xml:space="preserve"> (replacing the previous certified mail requirement)</w:t>
            </w:r>
            <w:r w:rsidRPr="00B663C0" w:rsidR="004E08DA">
              <w:rPr>
                <w:i/>
                <w:iCs/>
                <w:sz w:val="20"/>
              </w:rPr>
              <w:t xml:space="preserve">, and to </w:t>
            </w:r>
            <w:r w:rsidR="004E08DA">
              <w:rPr>
                <w:i/>
                <w:iCs/>
                <w:sz w:val="20"/>
              </w:rPr>
              <w:t>remove the certified mail requirement for service of the application to other interested parties (thereby allowing electronic service to all parties</w:t>
            </w:r>
            <w:r w:rsidRPr="00B663C0">
              <w:rPr>
                <w:i/>
                <w:iCs/>
                <w:sz w:val="20"/>
              </w:rPr>
              <w:t>.)</w:t>
            </w:r>
          </w:p>
        </w:tc>
        <w:tc>
          <w:tcPr>
            <w:tcW w:w="1169" w:type="dxa"/>
            <w:vMerge w:val="restart"/>
            <w:hideMark/>
          </w:tcPr>
          <w:p w:rsidR="00B663C0" w:rsidRPr="00B663C0" w:rsidP="00B663C0" w14:paraId="3AC120E8" w14:textId="77777777">
            <w:pPr>
              <w:jc w:val="center"/>
              <w:rPr>
                <w:sz w:val="20"/>
              </w:rPr>
            </w:pPr>
            <w:r w:rsidRPr="00B663C0">
              <w:rPr>
                <w:sz w:val="20"/>
              </w:rPr>
              <w:t>Public authorities, railroads, and state agencies</w:t>
            </w:r>
          </w:p>
        </w:tc>
        <w:tc>
          <w:tcPr>
            <w:tcW w:w="1350" w:type="dxa"/>
            <w:hideMark/>
          </w:tcPr>
          <w:p w:rsidR="00B663C0" w:rsidRPr="00B663C0" w:rsidP="00B663C0" w14:paraId="1E1849BD" w14:textId="77777777">
            <w:pPr>
              <w:jc w:val="center"/>
              <w:rPr>
                <w:sz w:val="20"/>
              </w:rPr>
            </w:pPr>
            <w:r w:rsidRPr="00B663C0">
              <w:rPr>
                <w:sz w:val="20"/>
              </w:rPr>
              <w:t>60</w:t>
            </w:r>
          </w:p>
          <w:p w:rsidR="00B663C0" w:rsidRPr="00B663C0" w:rsidP="00B663C0" w14:paraId="24D188E4" w14:textId="77777777">
            <w:pPr>
              <w:jc w:val="center"/>
              <w:rPr>
                <w:sz w:val="20"/>
              </w:rPr>
            </w:pPr>
            <w:r w:rsidRPr="00B663C0">
              <w:rPr>
                <w:sz w:val="20"/>
              </w:rPr>
              <w:t xml:space="preserve">notices </w:t>
            </w:r>
          </w:p>
        </w:tc>
        <w:tc>
          <w:tcPr>
            <w:tcW w:w="990" w:type="dxa"/>
            <w:hideMark/>
          </w:tcPr>
          <w:p w:rsidR="00B663C0" w:rsidRPr="00B663C0" w:rsidP="00B663C0" w14:paraId="157D5345" w14:textId="77777777">
            <w:pPr>
              <w:jc w:val="center"/>
              <w:rPr>
                <w:sz w:val="20"/>
              </w:rPr>
            </w:pPr>
            <w:r w:rsidRPr="00B663C0">
              <w:rPr>
                <w:sz w:val="20"/>
              </w:rPr>
              <w:t>40</w:t>
            </w:r>
          </w:p>
          <w:p w:rsidR="00B663C0" w:rsidRPr="00B663C0" w:rsidP="00B663C0" w14:paraId="03F039A3" w14:textId="77777777">
            <w:pPr>
              <w:jc w:val="center"/>
              <w:rPr>
                <w:sz w:val="20"/>
              </w:rPr>
            </w:pPr>
            <w:r w:rsidRPr="00B663C0">
              <w:rPr>
                <w:sz w:val="20"/>
              </w:rPr>
              <w:t>hours</w:t>
            </w:r>
          </w:p>
        </w:tc>
        <w:tc>
          <w:tcPr>
            <w:tcW w:w="990" w:type="dxa"/>
            <w:hideMark/>
          </w:tcPr>
          <w:p w:rsidR="00B663C0" w:rsidRPr="00B663C0" w:rsidP="00B663C0" w14:paraId="31DFE534" w14:textId="77777777">
            <w:pPr>
              <w:jc w:val="center"/>
              <w:rPr>
                <w:sz w:val="20"/>
              </w:rPr>
            </w:pPr>
            <w:r w:rsidRPr="00B663C0">
              <w:rPr>
                <w:sz w:val="20"/>
              </w:rPr>
              <w:t>2,400</w:t>
            </w:r>
          </w:p>
          <w:p w:rsidR="00B663C0" w:rsidRPr="00B663C0" w:rsidP="00B663C0" w14:paraId="7568BE33" w14:textId="77777777">
            <w:pPr>
              <w:jc w:val="center"/>
              <w:rPr>
                <w:sz w:val="20"/>
              </w:rPr>
            </w:pPr>
          </w:p>
        </w:tc>
        <w:tc>
          <w:tcPr>
            <w:tcW w:w="900" w:type="dxa"/>
          </w:tcPr>
          <w:p w:rsidR="00B663C0" w:rsidRPr="00B663C0" w:rsidP="00B663C0" w14:paraId="4E55A137" w14:textId="77777777">
            <w:pPr>
              <w:jc w:val="right"/>
              <w:rPr>
                <w:sz w:val="20"/>
              </w:rPr>
            </w:pPr>
            <w:r w:rsidRPr="00B663C0">
              <w:rPr>
                <w:sz w:val="20"/>
              </w:rPr>
              <w:t>$73.40</w:t>
            </w:r>
          </w:p>
        </w:tc>
        <w:tc>
          <w:tcPr>
            <w:tcW w:w="1442" w:type="dxa"/>
            <w:hideMark/>
          </w:tcPr>
          <w:p w:rsidR="00B663C0" w:rsidRPr="00B663C0" w:rsidP="00B663C0" w14:paraId="46168A08" w14:textId="77777777">
            <w:pPr>
              <w:jc w:val="center"/>
              <w:rPr>
                <w:sz w:val="20"/>
              </w:rPr>
            </w:pPr>
            <w:r w:rsidRPr="00B663C0">
              <w:rPr>
                <w:sz w:val="20"/>
              </w:rPr>
              <w:t>$176,160.00</w:t>
            </w:r>
          </w:p>
        </w:tc>
        <w:tc>
          <w:tcPr>
            <w:tcW w:w="3872" w:type="dxa"/>
            <w:vMerge w:val="restart"/>
          </w:tcPr>
          <w:p w:rsidR="00B663C0" w:rsidRPr="00B663C0" w:rsidP="00B663C0" w14:paraId="69BA2095" w14:textId="70221203">
            <w:pPr>
              <w:rPr>
                <w:sz w:val="20"/>
              </w:rPr>
            </w:pPr>
            <w:r w:rsidRPr="00B663C0">
              <w:rPr>
                <w:sz w:val="20"/>
              </w:rPr>
              <w:t xml:space="preserve">The public authority shall provide written notice of its intent to create a New Quiet Zone or New Partial Quiet Zone under § 222.39 or to implement new SSMs or ASMs within a Pre-Rule Quiet Zone or Pre-Rule Partial Quiet Zone under § 222.41(c) or (d). </w:t>
            </w:r>
          </w:p>
          <w:p w:rsidR="00B663C0" w:rsidRPr="00B663C0" w:rsidP="00B663C0" w14:paraId="2480DF81" w14:textId="77777777">
            <w:pPr>
              <w:rPr>
                <w:sz w:val="20"/>
              </w:rPr>
            </w:pPr>
          </w:p>
          <w:p w:rsidR="00B663C0" w:rsidRPr="00B663C0" w:rsidP="00B663C0" w14:paraId="7F0B1680" w14:textId="77777777">
            <w:pPr>
              <w:rPr>
                <w:sz w:val="20"/>
              </w:rPr>
            </w:pPr>
            <w:r w:rsidRPr="00B663C0">
              <w:rPr>
                <w:sz w:val="20"/>
              </w:rPr>
              <w:t>Such notification shall be provided to: All railroads operating over the public highway-rail grade crossings within the quiet zone; the State agency responsible for highway and road safety; and the State agency responsible for grade crossing safety.</w:t>
            </w:r>
          </w:p>
          <w:p w:rsidR="00B663C0" w:rsidRPr="00B663C0" w:rsidP="00B663C0" w14:paraId="676B2701" w14:textId="77777777">
            <w:pPr>
              <w:rPr>
                <w:sz w:val="20"/>
              </w:rPr>
            </w:pPr>
          </w:p>
          <w:p w:rsidR="00B663C0" w:rsidRPr="00B663C0" w:rsidP="00B663C0" w14:paraId="14C450F8" w14:textId="6619DDF8">
            <w:pPr>
              <w:rPr>
                <w:sz w:val="20"/>
              </w:rPr>
            </w:pPr>
            <w:r w:rsidRPr="00B663C0">
              <w:rPr>
                <w:sz w:val="20"/>
              </w:rPr>
              <w:t xml:space="preserve">FRA estimates that each written notice of intent will take 40 hours to complete. It is estimated that each public authority will send an average of 3 notifications to the required parties (60 x 3 = 180). </w:t>
            </w:r>
          </w:p>
        </w:tc>
      </w:tr>
      <w:tr w14:paraId="4A2570DB" w14:textId="77777777" w:rsidTr="00B663C0">
        <w:tblPrEx>
          <w:tblW w:w="13587" w:type="dxa"/>
          <w:tblLayout w:type="fixed"/>
          <w:tblLook w:val="04A0"/>
        </w:tblPrEx>
        <w:trPr>
          <w:trHeight w:val="2224"/>
        </w:trPr>
        <w:tc>
          <w:tcPr>
            <w:tcW w:w="2874" w:type="dxa"/>
            <w:vMerge/>
          </w:tcPr>
          <w:p w:rsidR="00B663C0" w:rsidRPr="00B663C0" w:rsidP="00B663C0" w14:paraId="522C5598" w14:textId="77777777">
            <w:pPr>
              <w:rPr>
                <w:sz w:val="20"/>
              </w:rPr>
            </w:pPr>
          </w:p>
        </w:tc>
        <w:tc>
          <w:tcPr>
            <w:tcW w:w="1169" w:type="dxa"/>
            <w:vMerge/>
          </w:tcPr>
          <w:p w:rsidR="00B663C0" w:rsidRPr="00B663C0" w:rsidP="00B663C0" w14:paraId="09DC99D0" w14:textId="77777777">
            <w:pPr>
              <w:rPr>
                <w:sz w:val="20"/>
              </w:rPr>
            </w:pPr>
          </w:p>
        </w:tc>
        <w:tc>
          <w:tcPr>
            <w:tcW w:w="1350" w:type="dxa"/>
          </w:tcPr>
          <w:p w:rsidR="00B663C0" w:rsidRPr="00B663C0" w:rsidP="00B663C0" w14:paraId="6F05821F" w14:textId="77777777">
            <w:pPr>
              <w:jc w:val="center"/>
              <w:rPr>
                <w:sz w:val="20"/>
              </w:rPr>
            </w:pPr>
            <w:r w:rsidRPr="00B663C0">
              <w:rPr>
                <w:sz w:val="20"/>
              </w:rPr>
              <w:t>180</w:t>
            </w:r>
          </w:p>
          <w:p w:rsidR="00B663C0" w:rsidRPr="00B663C0" w:rsidP="00B663C0" w14:paraId="415DDCFE" w14:textId="77777777">
            <w:pPr>
              <w:jc w:val="center"/>
              <w:rPr>
                <w:sz w:val="20"/>
              </w:rPr>
            </w:pPr>
            <w:r w:rsidRPr="00B663C0">
              <w:rPr>
                <w:sz w:val="20"/>
              </w:rPr>
              <w:t>notifications</w:t>
            </w:r>
          </w:p>
        </w:tc>
        <w:tc>
          <w:tcPr>
            <w:tcW w:w="990" w:type="dxa"/>
          </w:tcPr>
          <w:p w:rsidR="00B663C0" w:rsidRPr="00B663C0" w:rsidP="00B663C0" w14:paraId="48F3CE52" w14:textId="77777777">
            <w:pPr>
              <w:jc w:val="center"/>
              <w:rPr>
                <w:sz w:val="20"/>
              </w:rPr>
            </w:pPr>
            <w:r w:rsidRPr="00B663C0">
              <w:rPr>
                <w:sz w:val="20"/>
              </w:rPr>
              <w:t>2</w:t>
            </w:r>
          </w:p>
          <w:p w:rsidR="00B663C0" w:rsidRPr="00B663C0" w:rsidP="00B663C0" w14:paraId="4C3EF5A8" w14:textId="77777777">
            <w:pPr>
              <w:jc w:val="center"/>
              <w:rPr>
                <w:sz w:val="20"/>
              </w:rPr>
            </w:pPr>
            <w:r w:rsidRPr="00B663C0">
              <w:rPr>
                <w:sz w:val="20"/>
              </w:rPr>
              <w:t>mins</w:t>
            </w:r>
          </w:p>
        </w:tc>
        <w:tc>
          <w:tcPr>
            <w:tcW w:w="990" w:type="dxa"/>
          </w:tcPr>
          <w:p w:rsidR="00B663C0" w:rsidRPr="00B663C0" w:rsidP="00B663C0" w14:paraId="26630E04" w14:textId="77777777">
            <w:pPr>
              <w:jc w:val="center"/>
              <w:rPr>
                <w:sz w:val="20"/>
              </w:rPr>
            </w:pPr>
            <w:r w:rsidRPr="00B663C0">
              <w:rPr>
                <w:sz w:val="20"/>
              </w:rPr>
              <w:t>6</w:t>
            </w:r>
          </w:p>
          <w:p w:rsidR="00B663C0" w:rsidRPr="00B663C0" w:rsidP="00B663C0" w14:paraId="411D7D14" w14:textId="77777777">
            <w:pPr>
              <w:rPr>
                <w:sz w:val="20"/>
              </w:rPr>
            </w:pPr>
            <w:r w:rsidRPr="00B663C0">
              <w:rPr>
                <w:sz w:val="20"/>
              </w:rPr>
              <w:t xml:space="preserve"> </w:t>
            </w:r>
          </w:p>
        </w:tc>
        <w:tc>
          <w:tcPr>
            <w:tcW w:w="900" w:type="dxa"/>
          </w:tcPr>
          <w:p w:rsidR="00B663C0" w:rsidRPr="00B663C0" w:rsidP="00B663C0" w14:paraId="23544900" w14:textId="77777777">
            <w:pPr>
              <w:jc w:val="center"/>
              <w:rPr>
                <w:sz w:val="20"/>
              </w:rPr>
            </w:pPr>
            <w:r w:rsidRPr="00B663C0">
              <w:rPr>
                <w:sz w:val="20"/>
              </w:rPr>
              <w:t>$73.40</w:t>
            </w:r>
          </w:p>
        </w:tc>
        <w:tc>
          <w:tcPr>
            <w:tcW w:w="1442" w:type="dxa"/>
          </w:tcPr>
          <w:p w:rsidR="00B663C0" w:rsidRPr="00B663C0" w:rsidP="00B663C0" w14:paraId="73814B94" w14:textId="77777777">
            <w:pPr>
              <w:jc w:val="center"/>
              <w:rPr>
                <w:sz w:val="20"/>
              </w:rPr>
            </w:pPr>
            <w:r w:rsidRPr="00B663C0">
              <w:rPr>
                <w:sz w:val="20"/>
              </w:rPr>
              <w:t>$440.40</w:t>
            </w:r>
          </w:p>
        </w:tc>
        <w:tc>
          <w:tcPr>
            <w:tcW w:w="3872" w:type="dxa"/>
            <w:vMerge/>
          </w:tcPr>
          <w:p w:rsidR="00B663C0" w:rsidRPr="00B663C0" w:rsidP="00B663C0" w14:paraId="423D7104" w14:textId="77777777">
            <w:pPr>
              <w:rPr>
                <w:sz w:val="20"/>
              </w:rPr>
            </w:pPr>
          </w:p>
        </w:tc>
      </w:tr>
      <w:tr w14:paraId="00D6BA93" w14:textId="77777777" w:rsidTr="005C6497">
        <w:tblPrEx>
          <w:tblW w:w="13587" w:type="dxa"/>
          <w:tblLayout w:type="fixed"/>
          <w:tblLook w:val="04A0"/>
        </w:tblPrEx>
        <w:trPr>
          <w:trHeight w:val="341"/>
        </w:trPr>
        <w:tc>
          <w:tcPr>
            <w:tcW w:w="2874" w:type="dxa"/>
            <w:hideMark/>
          </w:tcPr>
          <w:p w:rsidR="00B663C0" w:rsidRPr="00B663C0" w:rsidP="00B663C0" w14:paraId="19676990" w14:textId="77777777">
            <w:pPr>
              <w:rPr>
                <w:sz w:val="20"/>
              </w:rPr>
            </w:pPr>
            <w:r w:rsidRPr="00B663C0">
              <w:rPr>
                <w:sz w:val="20"/>
              </w:rPr>
              <w:t>—(b)(3) Notice of Intent –60-day comment period</w:t>
            </w:r>
          </w:p>
        </w:tc>
        <w:tc>
          <w:tcPr>
            <w:tcW w:w="1169" w:type="dxa"/>
            <w:hideMark/>
          </w:tcPr>
          <w:p w:rsidR="00B663C0" w:rsidRPr="00B663C0" w:rsidP="00B663C0" w14:paraId="2F497149" w14:textId="77777777">
            <w:pPr>
              <w:jc w:val="center"/>
              <w:rPr>
                <w:sz w:val="20"/>
              </w:rPr>
            </w:pPr>
            <w:r w:rsidRPr="00B663C0">
              <w:rPr>
                <w:sz w:val="20"/>
              </w:rPr>
              <w:t>754 railroads</w:t>
            </w:r>
          </w:p>
          <w:p w:rsidR="00B663C0" w:rsidRPr="00B663C0" w:rsidP="00B663C0" w14:paraId="2F8BCB4C" w14:textId="77777777">
            <w:pPr>
              <w:jc w:val="center"/>
              <w:rPr>
                <w:sz w:val="20"/>
              </w:rPr>
            </w:pPr>
            <w:r w:rsidRPr="00B663C0">
              <w:rPr>
                <w:sz w:val="20"/>
              </w:rPr>
              <w:t>and state</w:t>
            </w:r>
          </w:p>
          <w:p w:rsidR="00B663C0" w:rsidRPr="00B663C0" w:rsidP="00B663C0" w14:paraId="2102EAEB" w14:textId="77777777">
            <w:pPr>
              <w:jc w:val="center"/>
              <w:rPr>
                <w:sz w:val="20"/>
              </w:rPr>
            </w:pPr>
            <w:r w:rsidRPr="00B663C0">
              <w:rPr>
                <w:sz w:val="20"/>
              </w:rPr>
              <w:t>agencies</w:t>
            </w:r>
          </w:p>
        </w:tc>
        <w:tc>
          <w:tcPr>
            <w:tcW w:w="1350" w:type="dxa"/>
            <w:hideMark/>
          </w:tcPr>
          <w:p w:rsidR="00B663C0" w:rsidRPr="00B663C0" w:rsidP="00B663C0" w14:paraId="07FAF7B7" w14:textId="77777777">
            <w:pPr>
              <w:jc w:val="center"/>
              <w:rPr>
                <w:sz w:val="20"/>
              </w:rPr>
            </w:pPr>
            <w:r w:rsidRPr="00B663C0">
              <w:rPr>
                <w:sz w:val="20"/>
              </w:rPr>
              <w:t>120</w:t>
            </w:r>
          </w:p>
          <w:p w:rsidR="00B663C0" w:rsidRPr="00B663C0" w:rsidP="00B663C0" w14:paraId="41FDDFC0" w14:textId="77777777">
            <w:pPr>
              <w:jc w:val="center"/>
              <w:rPr>
                <w:sz w:val="20"/>
              </w:rPr>
            </w:pPr>
            <w:r w:rsidRPr="00B663C0">
              <w:rPr>
                <w:sz w:val="20"/>
              </w:rPr>
              <w:t>comments</w:t>
            </w:r>
          </w:p>
        </w:tc>
        <w:tc>
          <w:tcPr>
            <w:tcW w:w="990" w:type="dxa"/>
            <w:hideMark/>
          </w:tcPr>
          <w:p w:rsidR="00B663C0" w:rsidRPr="00B663C0" w:rsidP="00B663C0" w14:paraId="437DB266" w14:textId="77777777">
            <w:pPr>
              <w:jc w:val="center"/>
              <w:rPr>
                <w:sz w:val="20"/>
              </w:rPr>
            </w:pPr>
            <w:r w:rsidRPr="00B663C0">
              <w:rPr>
                <w:sz w:val="20"/>
              </w:rPr>
              <w:t>1.5</w:t>
            </w:r>
          </w:p>
          <w:p w:rsidR="00B663C0" w:rsidRPr="00B663C0" w:rsidP="00B663C0" w14:paraId="4831D13D" w14:textId="77777777">
            <w:pPr>
              <w:jc w:val="center"/>
              <w:rPr>
                <w:sz w:val="20"/>
              </w:rPr>
            </w:pPr>
            <w:r w:rsidRPr="00B663C0">
              <w:rPr>
                <w:sz w:val="20"/>
              </w:rPr>
              <w:t>hours</w:t>
            </w:r>
          </w:p>
        </w:tc>
        <w:tc>
          <w:tcPr>
            <w:tcW w:w="990" w:type="dxa"/>
            <w:hideMark/>
          </w:tcPr>
          <w:p w:rsidR="00B663C0" w:rsidRPr="00B663C0" w:rsidP="00B663C0" w14:paraId="3A34F75D" w14:textId="77777777">
            <w:pPr>
              <w:jc w:val="center"/>
              <w:rPr>
                <w:sz w:val="20"/>
              </w:rPr>
            </w:pPr>
            <w:r w:rsidRPr="00B663C0">
              <w:rPr>
                <w:sz w:val="20"/>
              </w:rPr>
              <w:t>180</w:t>
            </w:r>
          </w:p>
          <w:p w:rsidR="00B663C0" w:rsidRPr="00B663C0" w:rsidP="00B663C0" w14:paraId="1D027B56" w14:textId="77777777">
            <w:pPr>
              <w:jc w:val="center"/>
              <w:rPr>
                <w:sz w:val="20"/>
              </w:rPr>
            </w:pPr>
            <w:r w:rsidRPr="00B663C0">
              <w:rPr>
                <w:sz w:val="20"/>
              </w:rPr>
              <w:t xml:space="preserve"> </w:t>
            </w:r>
          </w:p>
        </w:tc>
        <w:tc>
          <w:tcPr>
            <w:tcW w:w="900" w:type="dxa"/>
          </w:tcPr>
          <w:p w:rsidR="00B663C0" w:rsidRPr="00B663C0" w:rsidP="00B663C0" w14:paraId="03424FD6" w14:textId="77777777">
            <w:pPr>
              <w:jc w:val="right"/>
              <w:rPr>
                <w:sz w:val="20"/>
              </w:rPr>
            </w:pPr>
            <w:r w:rsidRPr="00B663C0">
              <w:rPr>
                <w:sz w:val="20"/>
              </w:rPr>
              <w:t>$89.13</w:t>
            </w:r>
          </w:p>
        </w:tc>
        <w:tc>
          <w:tcPr>
            <w:tcW w:w="1442" w:type="dxa"/>
            <w:hideMark/>
          </w:tcPr>
          <w:p w:rsidR="00B663C0" w:rsidRPr="00B663C0" w:rsidP="00B663C0" w14:paraId="21FD840F" w14:textId="77777777">
            <w:pPr>
              <w:jc w:val="right"/>
              <w:rPr>
                <w:sz w:val="20"/>
              </w:rPr>
            </w:pPr>
            <w:r w:rsidRPr="00B663C0">
              <w:rPr>
                <w:sz w:val="20"/>
              </w:rPr>
              <w:t>$16,043.40</w:t>
            </w:r>
          </w:p>
        </w:tc>
        <w:tc>
          <w:tcPr>
            <w:tcW w:w="3872" w:type="dxa"/>
          </w:tcPr>
          <w:p w:rsidR="00B663C0" w:rsidRPr="00B663C0" w:rsidP="00B663C0" w14:paraId="15BFF996" w14:textId="09656E0E">
            <w:pPr>
              <w:rPr>
                <w:sz w:val="20"/>
              </w:rPr>
            </w:pPr>
            <w:r w:rsidRPr="00B663C0">
              <w:rPr>
                <w:sz w:val="20"/>
              </w:rPr>
              <w:t>A party that receives a copy of the public authority</w:t>
            </w:r>
            <w:r w:rsidR="004B756F">
              <w:rPr>
                <w:sz w:val="20"/>
              </w:rPr>
              <w:t>’</w:t>
            </w:r>
            <w:r w:rsidRPr="00B663C0">
              <w:rPr>
                <w:sz w:val="20"/>
              </w:rPr>
              <w:t xml:space="preserve">s Notice of Intent may submit </w:t>
            </w:r>
            <w:r w:rsidRPr="00B663C0">
              <w:rPr>
                <w:sz w:val="20"/>
              </w:rPr>
              <w:t>information or comments about the proposed quiet zone to the public authority during the 60-day period after the date on which the Notice of Intent was mailed.</w:t>
            </w:r>
          </w:p>
        </w:tc>
      </w:tr>
      <w:tr w14:paraId="6AD74480" w14:textId="77777777" w:rsidTr="00B663C0">
        <w:tblPrEx>
          <w:tblW w:w="13587" w:type="dxa"/>
          <w:tblLayout w:type="fixed"/>
          <w:tblLook w:val="04A0"/>
        </w:tblPrEx>
        <w:trPr>
          <w:trHeight w:val="620"/>
        </w:trPr>
        <w:tc>
          <w:tcPr>
            <w:tcW w:w="2874" w:type="dxa"/>
            <w:vMerge w:val="restart"/>
            <w:hideMark/>
          </w:tcPr>
          <w:p w:rsidR="00B663C0" w:rsidRPr="00B663C0" w:rsidP="00B663C0" w14:paraId="48C04D07" w14:textId="133BC556">
            <w:pPr>
              <w:rPr>
                <w:sz w:val="20"/>
              </w:rPr>
            </w:pPr>
            <w:r w:rsidRPr="00B663C0">
              <w:rPr>
                <w:sz w:val="20"/>
              </w:rPr>
              <w:t>—(d) Notice of Quiet Zone Establishment</w:t>
            </w:r>
          </w:p>
          <w:p w:rsidR="00B663C0" w:rsidRPr="00B663C0" w:rsidP="00B663C0" w14:paraId="1457E528" w14:textId="77777777">
            <w:pPr>
              <w:rPr>
                <w:sz w:val="20"/>
              </w:rPr>
            </w:pPr>
            <w:r w:rsidRPr="00B663C0">
              <w:rPr>
                <w:sz w:val="20"/>
              </w:rPr>
              <w:t>—Notification to required parties</w:t>
            </w:r>
          </w:p>
        </w:tc>
        <w:tc>
          <w:tcPr>
            <w:tcW w:w="1169" w:type="dxa"/>
            <w:vMerge w:val="restart"/>
            <w:hideMark/>
          </w:tcPr>
          <w:p w:rsidR="00B663C0" w:rsidRPr="00B663C0" w:rsidP="00B663C0" w14:paraId="0AFEE5C8" w14:textId="77777777">
            <w:pPr>
              <w:jc w:val="center"/>
              <w:rPr>
                <w:sz w:val="20"/>
              </w:rPr>
            </w:pPr>
            <w:r w:rsidRPr="00B663C0">
              <w:rPr>
                <w:sz w:val="20"/>
              </w:rPr>
              <w:t>645</w:t>
            </w:r>
          </w:p>
          <w:p w:rsidR="00B663C0" w:rsidRPr="00B663C0" w:rsidP="00B663C0" w14:paraId="6FC1F09C" w14:textId="77777777">
            <w:pPr>
              <w:jc w:val="center"/>
              <w:rPr>
                <w:sz w:val="20"/>
              </w:rPr>
            </w:pPr>
            <w:r w:rsidRPr="00B663C0">
              <w:rPr>
                <w:sz w:val="20"/>
              </w:rPr>
              <w:t>public authorities</w:t>
            </w:r>
          </w:p>
        </w:tc>
        <w:tc>
          <w:tcPr>
            <w:tcW w:w="1350" w:type="dxa"/>
            <w:hideMark/>
          </w:tcPr>
          <w:p w:rsidR="00B663C0" w:rsidRPr="00B663C0" w:rsidP="00B663C0" w14:paraId="7E389165" w14:textId="77777777">
            <w:pPr>
              <w:jc w:val="center"/>
              <w:rPr>
                <w:sz w:val="20"/>
              </w:rPr>
            </w:pPr>
            <w:r w:rsidRPr="00B663C0">
              <w:rPr>
                <w:sz w:val="20"/>
              </w:rPr>
              <w:t>60</w:t>
            </w:r>
          </w:p>
          <w:p w:rsidR="00B663C0" w:rsidRPr="00B663C0" w:rsidP="00B663C0" w14:paraId="5B2ED24A" w14:textId="77777777">
            <w:pPr>
              <w:jc w:val="center"/>
              <w:rPr>
                <w:sz w:val="20"/>
              </w:rPr>
            </w:pPr>
            <w:r w:rsidRPr="00B663C0">
              <w:rPr>
                <w:sz w:val="20"/>
              </w:rPr>
              <w:t>notices</w:t>
            </w:r>
          </w:p>
        </w:tc>
        <w:tc>
          <w:tcPr>
            <w:tcW w:w="990" w:type="dxa"/>
            <w:hideMark/>
          </w:tcPr>
          <w:p w:rsidR="00B663C0" w:rsidRPr="00B663C0" w:rsidP="00B663C0" w14:paraId="2E4651CD" w14:textId="77777777">
            <w:pPr>
              <w:jc w:val="center"/>
              <w:rPr>
                <w:sz w:val="20"/>
              </w:rPr>
            </w:pPr>
            <w:r w:rsidRPr="00B663C0">
              <w:rPr>
                <w:sz w:val="20"/>
              </w:rPr>
              <w:t>40</w:t>
            </w:r>
          </w:p>
          <w:p w:rsidR="00B663C0" w:rsidRPr="00B663C0" w:rsidP="00B663C0" w14:paraId="5ABCF50C" w14:textId="77777777">
            <w:pPr>
              <w:jc w:val="center"/>
              <w:rPr>
                <w:sz w:val="20"/>
              </w:rPr>
            </w:pPr>
            <w:r w:rsidRPr="00B663C0">
              <w:rPr>
                <w:sz w:val="20"/>
              </w:rPr>
              <w:t xml:space="preserve">hours </w:t>
            </w:r>
          </w:p>
        </w:tc>
        <w:tc>
          <w:tcPr>
            <w:tcW w:w="990" w:type="dxa"/>
            <w:hideMark/>
          </w:tcPr>
          <w:p w:rsidR="00B663C0" w:rsidRPr="00B663C0" w:rsidP="00B663C0" w14:paraId="1E11A374" w14:textId="77777777">
            <w:pPr>
              <w:jc w:val="center"/>
              <w:rPr>
                <w:sz w:val="20"/>
              </w:rPr>
            </w:pPr>
            <w:r w:rsidRPr="00B663C0">
              <w:rPr>
                <w:sz w:val="20"/>
              </w:rPr>
              <w:t>2,400</w:t>
            </w:r>
          </w:p>
          <w:p w:rsidR="00B663C0" w:rsidRPr="00B663C0" w:rsidP="00B663C0" w14:paraId="25B867AB" w14:textId="77777777">
            <w:pPr>
              <w:jc w:val="center"/>
              <w:rPr>
                <w:sz w:val="20"/>
              </w:rPr>
            </w:pPr>
          </w:p>
        </w:tc>
        <w:tc>
          <w:tcPr>
            <w:tcW w:w="900" w:type="dxa"/>
          </w:tcPr>
          <w:p w:rsidR="00B663C0" w:rsidRPr="00B663C0" w:rsidP="00B663C0" w14:paraId="2E6DCC63" w14:textId="77777777">
            <w:pPr>
              <w:jc w:val="right"/>
              <w:rPr>
                <w:sz w:val="20"/>
              </w:rPr>
            </w:pPr>
            <w:r w:rsidRPr="00B663C0">
              <w:rPr>
                <w:sz w:val="20"/>
              </w:rPr>
              <w:t>$73.40</w:t>
            </w:r>
          </w:p>
        </w:tc>
        <w:tc>
          <w:tcPr>
            <w:tcW w:w="1442" w:type="dxa"/>
          </w:tcPr>
          <w:p w:rsidR="00B663C0" w:rsidRPr="00B663C0" w:rsidP="00B663C0" w14:paraId="4546AD75" w14:textId="77777777">
            <w:pPr>
              <w:jc w:val="right"/>
              <w:rPr>
                <w:sz w:val="20"/>
              </w:rPr>
            </w:pPr>
            <w:r w:rsidRPr="00B663C0">
              <w:rPr>
                <w:sz w:val="20"/>
              </w:rPr>
              <w:t>$176,160.00</w:t>
            </w:r>
          </w:p>
        </w:tc>
        <w:tc>
          <w:tcPr>
            <w:tcW w:w="3872" w:type="dxa"/>
            <w:vMerge w:val="restart"/>
          </w:tcPr>
          <w:p w:rsidR="00B663C0" w:rsidRPr="00B663C0" w:rsidP="00B663C0" w14:paraId="437943E3" w14:textId="7801EDE3">
            <w:pPr>
              <w:rPr>
                <w:sz w:val="20"/>
              </w:rPr>
            </w:pPr>
            <w:r w:rsidRPr="00B663C0">
              <w:rPr>
                <w:sz w:val="20"/>
              </w:rPr>
              <w:t xml:space="preserve">The notice of quiet zone establishment must state with specificity the grade crossings within the quiet zone, identified by both U.S. DOT National Highway-Rail Grade Crossing Inventory Number and street or highway name, as well as the other information stipulated in paragraph (d) of </w:t>
            </w:r>
            <w:r w:rsidR="00E742F4">
              <w:rPr>
                <w:sz w:val="20"/>
              </w:rPr>
              <w:t>§ 222.43</w:t>
            </w:r>
            <w:r w:rsidRPr="00B663C0">
              <w:rPr>
                <w:sz w:val="20"/>
              </w:rPr>
              <w:t xml:space="preserve">. </w:t>
            </w:r>
          </w:p>
          <w:p w:rsidR="00B663C0" w:rsidRPr="00B663C0" w:rsidP="00B663C0" w14:paraId="1E2E21E6" w14:textId="6EAAF6BA">
            <w:pPr>
              <w:rPr>
                <w:sz w:val="20"/>
              </w:rPr>
            </w:pPr>
            <w:r w:rsidRPr="00B663C0">
              <w:rPr>
                <w:sz w:val="20"/>
              </w:rPr>
              <w:t xml:space="preserve">FRA estimates that each written notice of establishment will take approximately 40 hours to compose, and each notification will take approximately </w:t>
            </w:r>
            <w:r w:rsidR="00D27199">
              <w:rPr>
                <w:sz w:val="20"/>
              </w:rPr>
              <w:t>2</w:t>
            </w:r>
            <w:r w:rsidRPr="00B663C0">
              <w:rPr>
                <w:sz w:val="20"/>
              </w:rPr>
              <w:t xml:space="preserve"> minutes to </w:t>
            </w:r>
            <w:r w:rsidR="00D27199">
              <w:rPr>
                <w:sz w:val="20"/>
              </w:rPr>
              <w:t>provide</w:t>
            </w:r>
            <w:r w:rsidRPr="00B663C0">
              <w:rPr>
                <w:sz w:val="20"/>
              </w:rPr>
              <w:t>. It is estimated that each public authority will approximately 6 notifications to the required parties (60 x 6 = 360).</w:t>
            </w:r>
          </w:p>
        </w:tc>
      </w:tr>
      <w:tr w14:paraId="0558357A" w14:textId="77777777" w:rsidTr="00B663C0">
        <w:tblPrEx>
          <w:tblW w:w="13587" w:type="dxa"/>
          <w:tblLayout w:type="fixed"/>
          <w:tblLook w:val="04A0"/>
        </w:tblPrEx>
        <w:trPr>
          <w:trHeight w:val="1402"/>
        </w:trPr>
        <w:tc>
          <w:tcPr>
            <w:tcW w:w="2874" w:type="dxa"/>
            <w:vMerge/>
          </w:tcPr>
          <w:p w:rsidR="00B663C0" w:rsidRPr="00B663C0" w:rsidP="00B663C0" w14:paraId="5F6BDB6F" w14:textId="77777777">
            <w:pPr>
              <w:rPr>
                <w:sz w:val="20"/>
              </w:rPr>
            </w:pPr>
          </w:p>
        </w:tc>
        <w:tc>
          <w:tcPr>
            <w:tcW w:w="1169" w:type="dxa"/>
            <w:vMerge/>
          </w:tcPr>
          <w:p w:rsidR="00B663C0" w:rsidRPr="00B663C0" w:rsidP="00B663C0" w14:paraId="47CE11C2" w14:textId="77777777">
            <w:pPr>
              <w:rPr>
                <w:sz w:val="20"/>
              </w:rPr>
            </w:pPr>
          </w:p>
        </w:tc>
        <w:tc>
          <w:tcPr>
            <w:tcW w:w="1350" w:type="dxa"/>
          </w:tcPr>
          <w:p w:rsidR="00B663C0" w:rsidRPr="00B663C0" w:rsidP="00B663C0" w14:paraId="478C108D" w14:textId="77777777">
            <w:pPr>
              <w:jc w:val="center"/>
              <w:rPr>
                <w:sz w:val="20"/>
              </w:rPr>
            </w:pPr>
            <w:r w:rsidRPr="00B663C0">
              <w:rPr>
                <w:sz w:val="20"/>
              </w:rPr>
              <w:t>360</w:t>
            </w:r>
          </w:p>
          <w:p w:rsidR="00B663C0" w:rsidRPr="00B663C0" w:rsidP="00B663C0" w14:paraId="6363B93A" w14:textId="77777777">
            <w:pPr>
              <w:jc w:val="center"/>
              <w:rPr>
                <w:sz w:val="20"/>
              </w:rPr>
            </w:pPr>
            <w:r w:rsidRPr="00B663C0">
              <w:rPr>
                <w:sz w:val="20"/>
              </w:rPr>
              <w:t>notifications</w:t>
            </w:r>
          </w:p>
        </w:tc>
        <w:tc>
          <w:tcPr>
            <w:tcW w:w="990" w:type="dxa"/>
          </w:tcPr>
          <w:p w:rsidR="00B663C0" w:rsidRPr="00B663C0" w:rsidP="00B663C0" w14:paraId="03C5D545" w14:textId="77777777">
            <w:pPr>
              <w:jc w:val="center"/>
              <w:rPr>
                <w:sz w:val="20"/>
              </w:rPr>
            </w:pPr>
            <w:r w:rsidRPr="00B663C0">
              <w:rPr>
                <w:sz w:val="20"/>
              </w:rPr>
              <w:t>2</w:t>
            </w:r>
          </w:p>
          <w:p w:rsidR="00B663C0" w:rsidRPr="00B663C0" w:rsidP="00B663C0" w14:paraId="57935A75" w14:textId="77777777">
            <w:pPr>
              <w:jc w:val="center"/>
              <w:rPr>
                <w:sz w:val="20"/>
              </w:rPr>
            </w:pPr>
            <w:r w:rsidRPr="00B663C0">
              <w:rPr>
                <w:sz w:val="20"/>
              </w:rPr>
              <w:t>minutes</w:t>
            </w:r>
          </w:p>
        </w:tc>
        <w:tc>
          <w:tcPr>
            <w:tcW w:w="990" w:type="dxa"/>
          </w:tcPr>
          <w:p w:rsidR="00B663C0" w:rsidRPr="00B663C0" w:rsidP="00B663C0" w14:paraId="4B0222A7" w14:textId="77777777">
            <w:pPr>
              <w:jc w:val="center"/>
              <w:rPr>
                <w:sz w:val="20"/>
              </w:rPr>
            </w:pPr>
            <w:r w:rsidRPr="00B663C0">
              <w:rPr>
                <w:sz w:val="20"/>
              </w:rPr>
              <w:t>12</w:t>
            </w:r>
          </w:p>
          <w:p w:rsidR="00B663C0" w:rsidRPr="00B663C0" w:rsidP="00B663C0" w14:paraId="2BF84CF1" w14:textId="77777777">
            <w:pPr>
              <w:jc w:val="center"/>
              <w:rPr>
                <w:sz w:val="20"/>
              </w:rPr>
            </w:pPr>
          </w:p>
        </w:tc>
        <w:tc>
          <w:tcPr>
            <w:tcW w:w="900" w:type="dxa"/>
          </w:tcPr>
          <w:p w:rsidR="00B663C0" w:rsidRPr="00B663C0" w:rsidP="00B663C0" w14:paraId="6FAC7F15" w14:textId="77777777">
            <w:pPr>
              <w:jc w:val="center"/>
              <w:rPr>
                <w:sz w:val="20"/>
              </w:rPr>
            </w:pPr>
            <w:r w:rsidRPr="00B663C0">
              <w:rPr>
                <w:sz w:val="20"/>
              </w:rPr>
              <w:t>$73.40</w:t>
            </w:r>
          </w:p>
        </w:tc>
        <w:tc>
          <w:tcPr>
            <w:tcW w:w="1442" w:type="dxa"/>
          </w:tcPr>
          <w:p w:rsidR="00B663C0" w:rsidRPr="00B663C0" w:rsidP="00B663C0" w14:paraId="4794380C" w14:textId="77777777">
            <w:pPr>
              <w:jc w:val="right"/>
              <w:rPr>
                <w:sz w:val="20"/>
              </w:rPr>
            </w:pPr>
            <w:r w:rsidRPr="00B663C0">
              <w:rPr>
                <w:sz w:val="20"/>
              </w:rPr>
              <w:t>$880.80</w:t>
            </w:r>
          </w:p>
        </w:tc>
        <w:tc>
          <w:tcPr>
            <w:tcW w:w="3872" w:type="dxa"/>
            <w:vMerge/>
          </w:tcPr>
          <w:p w:rsidR="00B663C0" w:rsidRPr="00B663C0" w:rsidP="00B663C0" w14:paraId="1C370219" w14:textId="77777777">
            <w:pPr>
              <w:rPr>
                <w:sz w:val="20"/>
              </w:rPr>
            </w:pPr>
          </w:p>
        </w:tc>
      </w:tr>
      <w:tr w14:paraId="2DE1D5FE" w14:textId="77777777" w:rsidTr="00B663C0">
        <w:tblPrEx>
          <w:tblW w:w="13587" w:type="dxa"/>
          <w:tblLayout w:type="fixed"/>
          <w:tblLook w:val="04A0"/>
        </w:tblPrEx>
        <w:trPr>
          <w:trHeight w:val="1020"/>
        </w:trPr>
        <w:tc>
          <w:tcPr>
            <w:tcW w:w="2874" w:type="dxa"/>
            <w:hideMark/>
          </w:tcPr>
          <w:p w:rsidR="00B663C0" w:rsidRPr="00B663C0" w:rsidP="00B663C0" w14:paraId="24084C3C" w14:textId="2FC83395">
            <w:pPr>
              <w:rPr>
                <w:sz w:val="20"/>
              </w:rPr>
            </w:pPr>
            <w:r w:rsidRPr="00B663C0">
              <w:rPr>
                <w:sz w:val="20"/>
              </w:rPr>
              <w:t>—(d)(2)(v) - (vi) Required contents—Crossing Inventory Forms (includes requirements under</w:t>
            </w:r>
            <w:r w:rsidR="001146B9">
              <w:rPr>
                <w:sz w:val="20"/>
              </w:rPr>
              <w:t xml:space="preserve"> §</w:t>
            </w:r>
            <w:r w:rsidRPr="00B663C0">
              <w:rPr>
                <w:sz w:val="20"/>
              </w:rPr>
              <w:t xml:space="preserve"> 222.49(a))</w:t>
            </w:r>
          </w:p>
        </w:tc>
        <w:tc>
          <w:tcPr>
            <w:tcW w:w="1169" w:type="dxa"/>
            <w:hideMark/>
          </w:tcPr>
          <w:p w:rsidR="00B663C0" w:rsidRPr="00B663C0" w:rsidP="00B663C0" w14:paraId="6D615523" w14:textId="77777777">
            <w:pPr>
              <w:jc w:val="center"/>
              <w:rPr>
                <w:sz w:val="20"/>
              </w:rPr>
            </w:pPr>
            <w:r w:rsidRPr="00B663C0">
              <w:rPr>
                <w:sz w:val="20"/>
              </w:rPr>
              <w:t>645</w:t>
            </w:r>
          </w:p>
          <w:p w:rsidR="00B663C0" w:rsidRPr="00B663C0" w:rsidP="00B663C0" w14:paraId="4A0C1A86" w14:textId="77777777">
            <w:pPr>
              <w:jc w:val="center"/>
              <w:rPr>
                <w:sz w:val="20"/>
              </w:rPr>
            </w:pPr>
            <w:r w:rsidRPr="00B663C0">
              <w:rPr>
                <w:sz w:val="20"/>
              </w:rPr>
              <w:t>public authorities</w:t>
            </w:r>
          </w:p>
        </w:tc>
        <w:tc>
          <w:tcPr>
            <w:tcW w:w="1350" w:type="dxa"/>
            <w:hideMark/>
          </w:tcPr>
          <w:p w:rsidR="00B663C0" w:rsidRPr="00B663C0" w:rsidP="00B663C0" w14:paraId="4D62556E" w14:textId="77777777">
            <w:pPr>
              <w:jc w:val="center"/>
              <w:rPr>
                <w:sz w:val="20"/>
              </w:rPr>
            </w:pPr>
            <w:r w:rsidRPr="00B663C0">
              <w:rPr>
                <w:sz w:val="20"/>
              </w:rPr>
              <w:t>300</w:t>
            </w:r>
          </w:p>
          <w:p w:rsidR="00B663C0" w:rsidRPr="00B663C0" w:rsidP="00B663C0" w14:paraId="50743321" w14:textId="77777777">
            <w:pPr>
              <w:jc w:val="center"/>
              <w:rPr>
                <w:sz w:val="20"/>
              </w:rPr>
            </w:pPr>
            <w:r w:rsidRPr="00B663C0">
              <w:rPr>
                <w:sz w:val="20"/>
              </w:rPr>
              <w:t>updated forms</w:t>
            </w:r>
          </w:p>
        </w:tc>
        <w:tc>
          <w:tcPr>
            <w:tcW w:w="990" w:type="dxa"/>
            <w:hideMark/>
          </w:tcPr>
          <w:p w:rsidR="00B663C0" w:rsidRPr="00B663C0" w:rsidP="00B663C0" w14:paraId="14DA4E7C" w14:textId="77777777">
            <w:pPr>
              <w:jc w:val="center"/>
              <w:rPr>
                <w:sz w:val="20"/>
              </w:rPr>
            </w:pPr>
            <w:r w:rsidRPr="00B663C0">
              <w:rPr>
                <w:sz w:val="20"/>
              </w:rPr>
              <w:t>30 minutes</w:t>
            </w:r>
          </w:p>
        </w:tc>
        <w:tc>
          <w:tcPr>
            <w:tcW w:w="990" w:type="dxa"/>
            <w:hideMark/>
          </w:tcPr>
          <w:p w:rsidR="00B663C0" w:rsidRPr="00B663C0" w:rsidP="00B663C0" w14:paraId="1601A831" w14:textId="77777777">
            <w:pPr>
              <w:jc w:val="center"/>
              <w:rPr>
                <w:sz w:val="20"/>
              </w:rPr>
            </w:pPr>
            <w:r w:rsidRPr="00B663C0">
              <w:rPr>
                <w:sz w:val="20"/>
              </w:rPr>
              <w:t xml:space="preserve">150 </w:t>
            </w:r>
          </w:p>
        </w:tc>
        <w:tc>
          <w:tcPr>
            <w:tcW w:w="900" w:type="dxa"/>
          </w:tcPr>
          <w:p w:rsidR="00B663C0" w:rsidRPr="00B663C0" w:rsidP="00B663C0" w14:paraId="589E1BAB" w14:textId="77777777">
            <w:pPr>
              <w:jc w:val="right"/>
              <w:rPr>
                <w:sz w:val="20"/>
              </w:rPr>
            </w:pPr>
            <w:r w:rsidRPr="00B663C0">
              <w:rPr>
                <w:sz w:val="20"/>
              </w:rPr>
              <w:t>$73.40</w:t>
            </w:r>
          </w:p>
        </w:tc>
        <w:tc>
          <w:tcPr>
            <w:tcW w:w="1442" w:type="dxa"/>
            <w:hideMark/>
          </w:tcPr>
          <w:p w:rsidR="00B663C0" w:rsidRPr="00B663C0" w:rsidP="00B663C0" w14:paraId="44984DFB" w14:textId="77777777">
            <w:pPr>
              <w:jc w:val="right"/>
              <w:rPr>
                <w:sz w:val="20"/>
              </w:rPr>
            </w:pPr>
            <w:r w:rsidRPr="00B663C0">
              <w:rPr>
                <w:sz w:val="20"/>
              </w:rPr>
              <w:t>$11,010.00</w:t>
            </w:r>
          </w:p>
        </w:tc>
        <w:tc>
          <w:tcPr>
            <w:tcW w:w="3872" w:type="dxa"/>
          </w:tcPr>
          <w:p w:rsidR="00B663C0" w:rsidRPr="00B663C0" w:rsidP="00B663C0" w14:paraId="393B2AB3" w14:textId="0EFCDA14">
            <w:pPr>
              <w:rPr>
                <w:sz w:val="20"/>
              </w:rPr>
            </w:pPr>
            <w:r w:rsidRPr="00B663C0">
              <w:rPr>
                <w:sz w:val="20"/>
              </w:rPr>
              <w:t>An accurate and complete Grade Crossing Inventory Form for each public, private, and pedestrian grade crossing within the quiet zone that reflects: 1) the conditions existing at the crossing before any new SSMs or ASMs were implemented and 2) SSMs and ASMs in place upon establishment of the quiet zone. SSMs and ASMs that cannot be fully described on the Inventory Form shall be separately described.</w:t>
            </w:r>
          </w:p>
        </w:tc>
      </w:tr>
      <w:tr w14:paraId="61056DCE" w14:textId="77777777" w:rsidTr="005C6497">
        <w:tblPrEx>
          <w:tblW w:w="13587" w:type="dxa"/>
          <w:tblLayout w:type="fixed"/>
          <w:tblLook w:val="04A0"/>
        </w:tblPrEx>
        <w:trPr>
          <w:trHeight w:val="521"/>
        </w:trPr>
        <w:tc>
          <w:tcPr>
            <w:tcW w:w="2874" w:type="dxa"/>
            <w:hideMark/>
          </w:tcPr>
          <w:p w:rsidR="00B663C0" w:rsidRPr="00B663C0" w:rsidP="00B663C0" w14:paraId="4BDB3742" w14:textId="77777777">
            <w:pPr>
              <w:rPr>
                <w:sz w:val="20"/>
              </w:rPr>
            </w:pPr>
            <w:r w:rsidRPr="00B663C0">
              <w:rPr>
                <w:sz w:val="20"/>
              </w:rPr>
              <w:t>—(d)(2)(xi) Certification by chief executive officer that the information submitted by the public authority is accurate</w:t>
            </w:r>
          </w:p>
        </w:tc>
        <w:tc>
          <w:tcPr>
            <w:tcW w:w="1169" w:type="dxa"/>
            <w:hideMark/>
          </w:tcPr>
          <w:p w:rsidR="00B663C0" w:rsidRPr="00B663C0" w:rsidP="00B663C0" w14:paraId="33E3AB7B" w14:textId="77777777">
            <w:pPr>
              <w:jc w:val="center"/>
              <w:rPr>
                <w:sz w:val="20"/>
              </w:rPr>
            </w:pPr>
            <w:r w:rsidRPr="00B663C0">
              <w:rPr>
                <w:sz w:val="20"/>
              </w:rPr>
              <w:t>645</w:t>
            </w:r>
          </w:p>
          <w:p w:rsidR="00B663C0" w:rsidRPr="00B663C0" w:rsidP="00B663C0" w14:paraId="4036529E" w14:textId="77777777">
            <w:pPr>
              <w:jc w:val="center"/>
              <w:rPr>
                <w:sz w:val="20"/>
              </w:rPr>
            </w:pPr>
            <w:r w:rsidRPr="00B663C0">
              <w:rPr>
                <w:sz w:val="20"/>
              </w:rPr>
              <w:t>public authorities</w:t>
            </w:r>
          </w:p>
        </w:tc>
        <w:tc>
          <w:tcPr>
            <w:tcW w:w="1350" w:type="dxa"/>
            <w:hideMark/>
          </w:tcPr>
          <w:p w:rsidR="00B663C0" w:rsidRPr="00B663C0" w:rsidP="00B663C0" w14:paraId="7F0C556E" w14:textId="77777777">
            <w:pPr>
              <w:jc w:val="center"/>
              <w:rPr>
                <w:sz w:val="20"/>
              </w:rPr>
            </w:pPr>
            <w:r w:rsidRPr="00B663C0">
              <w:rPr>
                <w:sz w:val="20"/>
              </w:rPr>
              <w:t>60 certifications</w:t>
            </w:r>
          </w:p>
        </w:tc>
        <w:tc>
          <w:tcPr>
            <w:tcW w:w="990" w:type="dxa"/>
            <w:hideMark/>
          </w:tcPr>
          <w:p w:rsidR="00B663C0" w:rsidRPr="00B663C0" w:rsidP="00B663C0" w14:paraId="17365B98" w14:textId="77777777">
            <w:pPr>
              <w:jc w:val="center"/>
              <w:rPr>
                <w:sz w:val="20"/>
              </w:rPr>
            </w:pPr>
            <w:r w:rsidRPr="00B663C0">
              <w:rPr>
                <w:sz w:val="20"/>
              </w:rPr>
              <w:t>5 minutes</w:t>
            </w:r>
          </w:p>
        </w:tc>
        <w:tc>
          <w:tcPr>
            <w:tcW w:w="990" w:type="dxa"/>
            <w:hideMark/>
          </w:tcPr>
          <w:p w:rsidR="00B663C0" w:rsidRPr="00B663C0" w:rsidP="00B663C0" w14:paraId="1B6488CC" w14:textId="77777777">
            <w:pPr>
              <w:jc w:val="center"/>
              <w:rPr>
                <w:sz w:val="20"/>
              </w:rPr>
            </w:pPr>
            <w:r w:rsidRPr="00B663C0">
              <w:rPr>
                <w:sz w:val="20"/>
              </w:rPr>
              <w:t>5</w:t>
            </w:r>
          </w:p>
          <w:p w:rsidR="00B663C0" w:rsidRPr="00B663C0" w:rsidP="00B663C0" w14:paraId="7AE0C4E2" w14:textId="77777777">
            <w:pPr>
              <w:jc w:val="center"/>
              <w:rPr>
                <w:sz w:val="20"/>
              </w:rPr>
            </w:pPr>
          </w:p>
        </w:tc>
        <w:tc>
          <w:tcPr>
            <w:tcW w:w="900" w:type="dxa"/>
          </w:tcPr>
          <w:p w:rsidR="00B663C0" w:rsidRPr="00B663C0" w:rsidP="00B663C0" w14:paraId="1BEE1CF2" w14:textId="77777777">
            <w:pPr>
              <w:jc w:val="right"/>
              <w:rPr>
                <w:sz w:val="20"/>
              </w:rPr>
            </w:pPr>
            <w:r w:rsidRPr="00B663C0">
              <w:rPr>
                <w:sz w:val="20"/>
              </w:rPr>
              <w:t>$73.40</w:t>
            </w:r>
          </w:p>
        </w:tc>
        <w:tc>
          <w:tcPr>
            <w:tcW w:w="1442" w:type="dxa"/>
            <w:hideMark/>
          </w:tcPr>
          <w:p w:rsidR="00B663C0" w:rsidRPr="00B663C0" w:rsidP="00B663C0" w14:paraId="18D939B9" w14:textId="77777777">
            <w:pPr>
              <w:jc w:val="right"/>
              <w:rPr>
                <w:sz w:val="20"/>
              </w:rPr>
            </w:pPr>
            <w:r w:rsidRPr="00B663C0">
              <w:rPr>
                <w:sz w:val="20"/>
              </w:rPr>
              <w:t xml:space="preserve">$367.00 </w:t>
            </w:r>
          </w:p>
        </w:tc>
        <w:tc>
          <w:tcPr>
            <w:tcW w:w="3872" w:type="dxa"/>
          </w:tcPr>
          <w:p w:rsidR="00B663C0" w:rsidRPr="00B663C0" w:rsidP="00B663C0" w14:paraId="60881E76" w14:textId="1546EEC9">
            <w:pPr>
              <w:rPr>
                <w:sz w:val="20"/>
              </w:rPr>
            </w:pPr>
            <w:r w:rsidRPr="00B663C0">
              <w:rPr>
                <w:sz w:val="20"/>
              </w:rPr>
              <w:t>The chief executive officer of each public authority participating in the establishment of the quiet zone provides a signed statement certify</w:t>
            </w:r>
            <w:r w:rsidR="003B4723">
              <w:rPr>
                <w:sz w:val="20"/>
              </w:rPr>
              <w:t>ing</w:t>
            </w:r>
            <w:r w:rsidRPr="00B663C0">
              <w:rPr>
                <w:sz w:val="20"/>
              </w:rPr>
              <w:t xml:space="preserve"> that the information submitted by the public authority is accurate and complete to the best of his/her knowledge and belief.</w:t>
            </w:r>
          </w:p>
        </w:tc>
      </w:tr>
      <w:tr w14:paraId="7C92234C" w14:textId="77777777" w:rsidTr="00CB76AC">
        <w:tblPrEx>
          <w:tblW w:w="13587" w:type="dxa"/>
          <w:tblLayout w:type="fixed"/>
          <w:tblLook w:val="04A0"/>
        </w:tblPrEx>
        <w:trPr>
          <w:trHeight w:val="170"/>
        </w:trPr>
        <w:tc>
          <w:tcPr>
            <w:tcW w:w="13587" w:type="dxa"/>
            <w:gridSpan w:val="8"/>
          </w:tcPr>
          <w:p w:rsidR="00B663C0" w:rsidRPr="00B663C0" w:rsidP="00B663C0" w14:paraId="285268FB" w14:textId="77777777">
            <w:pPr>
              <w:rPr>
                <w:b/>
                <w:bCs/>
                <w:sz w:val="20"/>
              </w:rPr>
            </w:pPr>
            <w:r w:rsidRPr="00B663C0">
              <w:rPr>
                <w:b/>
                <w:bCs/>
                <w:sz w:val="20"/>
              </w:rPr>
              <w:t>222.45 When is a railroad required to cease routine sounding of locomotive horns at crossings?</w:t>
            </w:r>
          </w:p>
        </w:tc>
      </w:tr>
      <w:tr w14:paraId="7BEB3BB1" w14:textId="77777777" w:rsidTr="00A16454">
        <w:tblPrEx>
          <w:tblW w:w="13587" w:type="dxa"/>
          <w:tblLayout w:type="fixed"/>
          <w:tblLook w:val="04A0"/>
        </w:tblPrEx>
        <w:trPr>
          <w:trHeight w:val="917"/>
        </w:trPr>
        <w:tc>
          <w:tcPr>
            <w:tcW w:w="2874" w:type="dxa"/>
          </w:tcPr>
          <w:p w:rsidR="00B663C0" w:rsidRPr="00B663C0" w:rsidP="00B663C0" w14:paraId="0D610AB5" w14:textId="79FBD966">
            <w:pPr>
              <w:rPr>
                <w:sz w:val="20"/>
              </w:rPr>
            </w:pPr>
            <w:r w:rsidRPr="00B663C0">
              <w:rPr>
                <w:sz w:val="20"/>
              </w:rPr>
              <w:t>—</w:t>
            </w:r>
            <w:r w:rsidRPr="00B663C0">
              <w:rPr>
                <w:rFonts w:asciiTheme="minorHAnsi" w:eastAsiaTheme="minorHAnsi" w:hAnsiTheme="minorHAnsi" w:cstheme="minorBidi"/>
                <w:kern w:val="2"/>
                <w:sz w:val="22"/>
                <w:szCs w:val="22"/>
                <w14:ligatures w14:val="standardContextual"/>
              </w:rPr>
              <w:t xml:space="preserve"> </w:t>
            </w:r>
            <w:r w:rsidRPr="00B663C0">
              <w:rPr>
                <w:sz w:val="20"/>
              </w:rPr>
              <w:t xml:space="preserve">On the date specified in a Notice of Quiet Zone Continuation or Notice of Quiet Zone Establishment that complies with the requirements set forth in </w:t>
            </w:r>
            <w:r w:rsidR="001E5DF7">
              <w:rPr>
                <w:sz w:val="20"/>
              </w:rPr>
              <w:t>§ 222.43</w:t>
            </w:r>
            <w:r w:rsidRPr="00B663C0">
              <w:rPr>
                <w:sz w:val="20"/>
              </w:rPr>
              <w:t>, a railroad shall refrain from, or cease, routine sounding of the locomotive horn at all public, private and pedestrian grade crossings identified in the Notice.</w:t>
            </w:r>
          </w:p>
        </w:tc>
        <w:tc>
          <w:tcPr>
            <w:tcW w:w="10713" w:type="dxa"/>
            <w:gridSpan w:val="7"/>
          </w:tcPr>
          <w:p w:rsidR="00B663C0" w:rsidRPr="00B663C0" w:rsidP="00B663C0" w14:paraId="5EE46B0A" w14:textId="442E3B69">
            <w:pPr>
              <w:rPr>
                <w:sz w:val="20"/>
              </w:rPr>
            </w:pPr>
            <w:r w:rsidRPr="00B663C0">
              <w:rPr>
                <w:sz w:val="20"/>
              </w:rPr>
              <w:t>The estimated paperwork burden for this requirement is covered under § 222.43(d)(1)(</w:t>
            </w:r>
            <w:r w:rsidRPr="00B663C0">
              <w:rPr>
                <w:sz w:val="20"/>
              </w:rPr>
              <w:t>i</w:t>
            </w:r>
            <w:r w:rsidRPr="00B663C0">
              <w:rPr>
                <w:sz w:val="20"/>
              </w:rPr>
              <w:t>).</w:t>
            </w:r>
          </w:p>
        </w:tc>
      </w:tr>
      <w:tr w14:paraId="4F500240" w14:textId="77777777" w:rsidTr="00CB76AC">
        <w:tblPrEx>
          <w:tblW w:w="13587" w:type="dxa"/>
          <w:tblLayout w:type="fixed"/>
          <w:tblLook w:val="04A0"/>
        </w:tblPrEx>
        <w:trPr>
          <w:trHeight w:val="89"/>
        </w:trPr>
        <w:tc>
          <w:tcPr>
            <w:tcW w:w="13587" w:type="dxa"/>
            <w:gridSpan w:val="8"/>
          </w:tcPr>
          <w:p w:rsidR="00B663C0" w:rsidRPr="00B663C0" w:rsidP="00B663C0" w14:paraId="0A5DE612" w14:textId="77777777">
            <w:pPr>
              <w:rPr>
                <w:b/>
                <w:bCs/>
                <w:sz w:val="20"/>
              </w:rPr>
            </w:pPr>
            <w:r w:rsidRPr="00B663C0">
              <w:rPr>
                <w:b/>
                <w:bCs/>
                <w:sz w:val="20"/>
              </w:rPr>
              <w:t>222.47 What periodic updates are required?</w:t>
            </w:r>
          </w:p>
        </w:tc>
      </w:tr>
      <w:tr w14:paraId="6C13045A" w14:textId="77777777" w:rsidTr="00B663C0">
        <w:tblPrEx>
          <w:tblW w:w="13587" w:type="dxa"/>
          <w:tblLayout w:type="fixed"/>
          <w:tblLook w:val="04A0"/>
        </w:tblPrEx>
        <w:trPr>
          <w:trHeight w:val="872"/>
        </w:trPr>
        <w:tc>
          <w:tcPr>
            <w:tcW w:w="2874" w:type="dxa"/>
            <w:vMerge w:val="restart"/>
            <w:hideMark/>
          </w:tcPr>
          <w:p w:rsidR="00B663C0" w:rsidRPr="00B663C0" w:rsidP="00B663C0" w14:paraId="4B73368D" w14:textId="7B9A5821">
            <w:pPr>
              <w:rPr>
                <w:sz w:val="20"/>
              </w:rPr>
            </w:pPr>
            <w:r w:rsidRPr="00B663C0">
              <w:rPr>
                <w:sz w:val="20"/>
              </w:rPr>
              <w:t>—(a)(1)</w:t>
            </w:r>
            <w:r w:rsidR="001146B9">
              <w:rPr>
                <w:sz w:val="20"/>
              </w:rPr>
              <w:t xml:space="preserve"> </w:t>
            </w:r>
            <w:r w:rsidRPr="00B663C0">
              <w:rPr>
                <w:sz w:val="20"/>
              </w:rPr>
              <w:t>and</w:t>
            </w:r>
            <w:r w:rsidR="001146B9">
              <w:rPr>
                <w:sz w:val="20"/>
              </w:rPr>
              <w:t xml:space="preserve"> </w:t>
            </w:r>
            <w:r w:rsidRPr="00B663C0">
              <w:rPr>
                <w:sz w:val="20"/>
              </w:rPr>
              <w:t xml:space="preserve">(b)(1) Written affirmation that SSMs and ASMs continue to conform </w:t>
            </w:r>
          </w:p>
          <w:p w:rsidR="00B663C0" w:rsidRPr="00B663C0" w:rsidP="00B663C0" w14:paraId="1E00AF3E" w14:textId="77777777">
            <w:pPr>
              <w:rPr>
                <w:sz w:val="20"/>
              </w:rPr>
            </w:pPr>
          </w:p>
          <w:p w:rsidR="00B663C0" w:rsidRPr="00B663C0" w:rsidP="00B663C0" w14:paraId="1B4FA635" w14:textId="77777777">
            <w:pPr>
              <w:rPr>
                <w:sz w:val="20"/>
              </w:rPr>
            </w:pPr>
            <w:r w:rsidRPr="00B663C0">
              <w:rPr>
                <w:sz w:val="20"/>
              </w:rPr>
              <w:t>—Copies of such notification must be provided to the required parties</w:t>
            </w:r>
          </w:p>
          <w:p w:rsidR="00B663C0" w:rsidRPr="00B663C0" w:rsidP="00B663C0" w14:paraId="59A7FA12" w14:textId="3CAA061C">
            <w:pPr>
              <w:rPr>
                <w:sz w:val="20"/>
              </w:rPr>
            </w:pPr>
            <w:r w:rsidRPr="00B663C0">
              <w:rPr>
                <w:i/>
                <w:iCs/>
                <w:sz w:val="20"/>
              </w:rPr>
              <w:t>(Revised requirement.  FRA amend</w:t>
            </w:r>
            <w:r w:rsidR="001146B9">
              <w:rPr>
                <w:i/>
                <w:iCs/>
                <w:sz w:val="20"/>
              </w:rPr>
              <w:t>ed</w:t>
            </w:r>
            <w:r w:rsidRPr="00B663C0">
              <w:rPr>
                <w:i/>
                <w:iCs/>
                <w:sz w:val="20"/>
              </w:rPr>
              <w:t xml:space="preserve"> § 222.47(a)(1) and (b)(1) to remove the certified mail requirements</w:t>
            </w:r>
            <w:r w:rsidR="006A521B">
              <w:rPr>
                <w:i/>
                <w:iCs/>
                <w:sz w:val="20"/>
              </w:rPr>
              <w:t xml:space="preserve"> and</w:t>
            </w:r>
            <w:r w:rsidRPr="00B663C0">
              <w:rPr>
                <w:i/>
                <w:iCs/>
                <w:sz w:val="20"/>
              </w:rPr>
              <w:t xml:space="preserve"> allow for electronic service.)</w:t>
            </w:r>
          </w:p>
        </w:tc>
        <w:tc>
          <w:tcPr>
            <w:tcW w:w="1169" w:type="dxa"/>
            <w:vMerge w:val="restart"/>
            <w:hideMark/>
          </w:tcPr>
          <w:p w:rsidR="00B663C0" w:rsidRPr="00B663C0" w:rsidP="00B663C0" w14:paraId="1C3174EF" w14:textId="77777777">
            <w:pPr>
              <w:jc w:val="center"/>
              <w:rPr>
                <w:sz w:val="20"/>
              </w:rPr>
            </w:pPr>
            <w:r w:rsidRPr="00B663C0">
              <w:rPr>
                <w:sz w:val="20"/>
              </w:rPr>
              <w:t>645</w:t>
            </w:r>
          </w:p>
          <w:p w:rsidR="00B663C0" w:rsidRPr="00B663C0" w:rsidP="00B663C0" w14:paraId="305FB9FC" w14:textId="77777777">
            <w:pPr>
              <w:jc w:val="center"/>
              <w:rPr>
                <w:sz w:val="20"/>
              </w:rPr>
            </w:pPr>
            <w:r w:rsidRPr="00B663C0">
              <w:rPr>
                <w:sz w:val="20"/>
              </w:rPr>
              <w:t>public authorities</w:t>
            </w:r>
          </w:p>
        </w:tc>
        <w:tc>
          <w:tcPr>
            <w:tcW w:w="1350" w:type="dxa"/>
            <w:hideMark/>
          </w:tcPr>
          <w:p w:rsidR="00B663C0" w:rsidRPr="00B663C0" w:rsidP="00B663C0" w14:paraId="636EC51F" w14:textId="77777777">
            <w:pPr>
              <w:jc w:val="center"/>
              <w:rPr>
                <w:sz w:val="20"/>
              </w:rPr>
            </w:pPr>
            <w:r w:rsidRPr="00B663C0">
              <w:rPr>
                <w:sz w:val="20"/>
              </w:rPr>
              <w:t>180</w:t>
            </w:r>
          </w:p>
          <w:p w:rsidR="00B663C0" w:rsidRPr="00B663C0" w:rsidP="00B663C0" w14:paraId="2B8D2887" w14:textId="77777777">
            <w:pPr>
              <w:jc w:val="center"/>
              <w:rPr>
                <w:sz w:val="20"/>
              </w:rPr>
            </w:pPr>
            <w:r w:rsidRPr="00B663C0">
              <w:rPr>
                <w:sz w:val="20"/>
              </w:rPr>
              <w:t>written affirmations</w:t>
            </w:r>
          </w:p>
        </w:tc>
        <w:tc>
          <w:tcPr>
            <w:tcW w:w="990" w:type="dxa"/>
            <w:hideMark/>
          </w:tcPr>
          <w:p w:rsidR="00B663C0" w:rsidRPr="00B663C0" w:rsidP="00B663C0" w14:paraId="61589CF5" w14:textId="77777777">
            <w:pPr>
              <w:jc w:val="center"/>
              <w:rPr>
                <w:sz w:val="20"/>
              </w:rPr>
            </w:pPr>
            <w:r w:rsidRPr="00B663C0">
              <w:rPr>
                <w:sz w:val="20"/>
              </w:rPr>
              <w:t>30 minutes</w:t>
            </w:r>
          </w:p>
        </w:tc>
        <w:tc>
          <w:tcPr>
            <w:tcW w:w="990" w:type="dxa"/>
            <w:hideMark/>
          </w:tcPr>
          <w:p w:rsidR="00B663C0" w:rsidRPr="00B663C0" w:rsidP="00B663C0" w14:paraId="1F8A3BA5" w14:textId="77777777">
            <w:pPr>
              <w:jc w:val="center"/>
              <w:rPr>
                <w:sz w:val="20"/>
              </w:rPr>
            </w:pPr>
            <w:r w:rsidRPr="00B663C0">
              <w:rPr>
                <w:sz w:val="20"/>
              </w:rPr>
              <w:t>90</w:t>
            </w:r>
          </w:p>
          <w:p w:rsidR="00B663C0" w:rsidRPr="00B663C0" w:rsidP="00B663C0" w14:paraId="151EFE36" w14:textId="77777777">
            <w:pPr>
              <w:jc w:val="center"/>
              <w:rPr>
                <w:sz w:val="20"/>
              </w:rPr>
            </w:pPr>
          </w:p>
        </w:tc>
        <w:tc>
          <w:tcPr>
            <w:tcW w:w="900" w:type="dxa"/>
          </w:tcPr>
          <w:p w:rsidR="00B663C0" w:rsidRPr="00B663C0" w:rsidP="00B663C0" w14:paraId="610B2C37" w14:textId="77777777">
            <w:pPr>
              <w:jc w:val="right"/>
              <w:rPr>
                <w:sz w:val="20"/>
              </w:rPr>
            </w:pPr>
            <w:r w:rsidRPr="00B663C0">
              <w:rPr>
                <w:sz w:val="20"/>
              </w:rPr>
              <w:t>$73.40</w:t>
            </w:r>
          </w:p>
        </w:tc>
        <w:tc>
          <w:tcPr>
            <w:tcW w:w="1442" w:type="dxa"/>
            <w:hideMark/>
          </w:tcPr>
          <w:p w:rsidR="00B663C0" w:rsidRPr="00B663C0" w:rsidP="00B663C0" w14:paraId="04AC2894" w14:textId="77777777">
            <w:pPr>
              <w:jc w:val="right"/>
              <w:rPr>
                <w:sz w:val="20"/>
              </w:rPr>
            </w:pPr>
            <w:r w:rsidRPr="00B663C0">
              <w:rPr>
                <w:sz w:val="20"/>
              </w:rPr>
              <w:t>$6,606.00</w:t>
            </w:r>
          </w:p>
        </w:tc>
        <w:tc>
          <w:tcPr>
            <w:tcW w:w="3872" w:type="dxa"/>
            <w:vMerge w:val="restart"/>
          </w:tcPr>
          <w:p w:rsidR="00B663C0" w:rsidRPr="00B663C0" w:rsidP="00B663C0" w14:paraId="5B9D6D23" w14:textId="7690E78F">
            <w:pPr>
              <w:rPr>
                <w:sz w:val="20"/>
              </w:rPr>
            </w:pPr>
            <w:r w:rsidRPr="00B663C0">
              <w:rPr>
                <w:sz w:val="20"/>
              </w:rPr>
              <w:t xml:space="preserve">The public authority must affirm in writing to the </w:t>
            </w:r>
            <w:r w:rsidRPr="00B663C0" w:rsidR="00C17340">
              <w:rPr>
                <w:sz w:val="20"/>
              </w:rPr>
              <w:t>Grade Crossing and Trespasser Outreach Division of FRA’s Office of Railroad Safety</w:t>
            </w:r>
            <w:r w:rsidRPr="00B663C0">
              <w:rPr>
                <w:sz w:val="20"/>
              </w:rPr>
              <w:t xml:space="preserve"> that all SSMs and ASMs implemented within the quiet zone continue to conform to the requirements of appendices A and B of part </w:t>
            </w:r>
            <w:r w:rsidR="004E05AC">
              <w:rPr>
                <w:sz w:val="20"/>
              </w:rPr>
              <w:t>222</w:t>
            </w:r>
            <w:r w:rsidRPr="00B663C0">
              <w:rPr>
                <w:sz w:val="20"/>
              </w:rPr>
              <w:t xml:space="preserve"> or the terms of the Quiet Zone approval. Copies of such notification must be provided to the parties identified in § 222.43(a)(3)</w:t>
            </w:r>
          </w:p>
          <w:p w:rsidR="00B663C0" w:rsidRPr="00B663C0" w:rsidP="00B663C0" w14:paraId="4170BA78" w14:textId="301062F8">
            <w:pPr>
              <w:rPr>
                <w:sz w:val="20"/>
              </w:rPr>
            </w:pPr>
          </w:p>
          <w:p w:rsidR="00B663C0" w:rsidRPr="00B663C0" w:rsidP="00B663C0" w14:paraId="1CAE76DF" w14:textId="77777777">
            <w:pPr>
              <w:rPr>
                <w:sz w:val="20"/>
              </w:rPr>
            </w:pPr>
          </w:p>
        </w:tc>
      </w:tr>
      <w:tr w14:paraId="78C256C6" w14:textId="77777777" w:rsidTr="00B663C0">
        <w:tblPrEx>
          <w:tblW w:w="13587" w:type="dxa"/>
          <w:tblLayout w:type="fixed"/>
          <w:tblLook w:val="04A0"/>
        </w:tblPrEx>
        <w:trPr>
          <w:trHeight w:val="710"/>
        </w:trPr>
        <w:tc>
          <w:tcPr>
            <w:tcW w:w="2874" w:type="dxa"/>
            <w:vMerge/>
          </w:tcPr>
          <w:p w:rsidR="00B663C0" w:rsidRPr="00B663C0" w:rsidP="00B663C0" w14:paraId="309AEB81" w14:textId="77777777">
            <w:pPr>
              <w:rPr>
                <w:sz w:val="20"/>
              </w:rPr>
            </w:pPr>
          </w:p>
        </w:tc>
        <w:tc>
          <w:tcPr>
            <w:tcW w:w="1169" w:type="dxa"/>
            <w:vMerge/>
          </w:tcPr>
          <w:p w:rsidR="00B663C0" w:rsidRPr="00B663C0" w:rsidP="00B663C0" w14:paraId="4249829D" w14:textId="77777777">
            <w:pPr>
              <w:rPr>
                <w:sz w:val="20"/>
              </w:rPr>
            </w:pPr>
          </w:p>
        </w:tc>
        <w:tc>
          <w:tcPr>
            <w:tcW w:w="1350" w:type="dxa"/>
          </w:tcPr>
          <w:p w:rsidR="00B663C0" w:rsidRPr="00B663C0" w:rsidP="00B663C0" w14:paraId="19249735" w14:textId="77777777">
            <w:pPr>
              <w:jc w:val="center"/>
              <w:rPr>
                <w:sz w:val="20"/>
              </w:rPr>
            </w:pPr>
            <w:r w:rsidRPr="00B663C0">
              <w:rPr>
                <w:sz w:val="20"/>
              </w:rPr>
              <w:t>1,080</w:t>
            </w:r>
          </w:p>
          <w:p w:rsidR="00B663C0" w:rsidRPr="00B663C0" w:rsidP="00B663C0" w14:paraId="2BC97B63" w14:textId="77777777">
            <w:pPr>
              <w:jc w:val="center"/>
              <w:rPr>
                <w:sz w:val="20"/>
              </w:rPr>
            </w:pPr>
            <w:r w:rsidRPr="00B663C0">
              <w:rPr>
                <w:sz w:val="20"/>
              </w:rPr>
              <w:t>copies</w:t>
            </w:r>
          </w:p>
        </w:tc>
        <w:tc>
          <w:tcPr>
            <w:tcW w:w="990" w:type="dxa"/>
          </w:tcPr>
          <w:p w:rsidR="00B663C0" w:rsidRPr="00B663C0" w:rsidP="00B663C0" w14:paraId="6B8F421B" w14:textId="77777777">
            <w:pPr>
              <w:jc w:val="center"/>
              <w:rPr>
                <w:sz w:val="20"/>
              </w:rPr>
            </w:pPr>
            <w:r w:rsidRPr="00B663C0">
              <w:rPr>
                <w:sz w:val="20"/>
              </w:rPr>
              <w:t>2 minutes</w:t>
            </w:r>
          </w:p>
        </w:tc>
        <w:tc>
          <w:tcPr>
            <w:tcW w:w="990" w:type="dxa"/>
          </w:tcPr>
          <w:p w:rsidR="00B663C0" w:rsidRPr="00B663C0" w:rsidP="00B663C0" w14:paraId="71E7E809" w14:textId="77777777">
            <w:pPr>
              <w:jc w:val="center"/>
              <w:rPr>
                <w:sz w:val="20"/>
              </w:rPr>
            </w:pPr>
            <w:r w:rsidRPr="00B663C0">
              <w:rPr>
                <w:sz w:val="20"/>
              </w:rPr>
              <w:t>36</w:t>
            </w:r>
          </w:p>
          <w:p w:rsidR="00B663C0" w:rsidRPr="00B663C0" w:rsidP="00B663C0" w14:paraId="68BDA691" w14:textId="77777777">
            <w:pPr>
              <w:jc w:val="center"/>
              <w:rPr>
                <w:sz w:val="20"/>
              </w:rPr>
            </w:pPr>
          </w:p>
        </w:tc>
        <w:tc>
          <w:tcPr>
            <w:tcW w:w="900" w:type="dxa"/>
          </w:tcPr>
          <w:p w:rsidR="00B663C0" w:rsidRPr="00B663C0" w:rsidP="00B663C0" w14:paraId="4EABE7E9" w14:textId="77777777">
            <w:pPr>
              <w:jc w:val="right"/>
              <w:rPr>
                <w:sz w:val="20"/>
              </w:rPr>
            </w:pPr>
            <w:r w:rsidRPr="00B663C0">
              <w:rPr>
                <w:sz w:val="20"/>
              </w:rPr>
              <w:t>$73.40</w:t>
            </w:r>
          </w:p>
        </w:tc>
        <w:tc>
          <w:tcPr>
            <w:tcW w:w="1442" w:type="dxa"/>
          </w:tcPr>
          <w:p w:rsidR="00B663C0" w:rsidRPr="00B663C0" w:rsidP="00B663C0" w14:paraId="33ECAA51" w14:textId="77777777">
            <w:pPr>
              <w:jc w:val="right"/>
              <w:rPr>
                <w:sz w:val="20"/>
              </w:rPr>
            </w:pPr>
            <w:r w:rsidRPr="00B663C0">
              <w:rPr>
                <w:sz w:val="20"/>
              </w:rPr>
              <w:t>$2,642.40</w:t>
            </w:r>
          </w:p>
        </w:tc>
        <w:tc>
          <w:tcPr>
            <w:tcW w:w="3872" w:type="dxa"/>
            <w:vMerge/>
          </w:tcPr>
          <w:p w:rsidR="00B663C0" w:rsidRPr="00B663C0" w:rsidP="00B663C0" w14:paraId="194EA2A5" w14:textId="77777777">
            <w:pPr>
              <w:rPr>
                <w:sz w:val="20"/>
              </w:rPr>
            </w:pPr>
          </w:p>
        </w:tc>
      </w:tr>
      <w:tr w14:paraId="263C15BD" w14:textId="77777777" w:rsidTr="00DF0A2D">
        <w:tblPrEx>
          <w:tblW w:w="13587" w:type="dxa"/>
          <w:tblLayout w:type="fixed"/>
          <w:tblLook w:val="04A0"/>
        </w:tblPrEx>
        <w:trPr>
          <w:trHeight w:val="2060"/>
        </w:trPr>
        <w:tc>
          <w:tcPr>
            <w:tcW w:w="2874" w:type="dxa"/>
            <w:hideMark/>
          </w:tcPr>
          <w:p w:rsidR="00B663C0" w:rsidRPr="00B663C0" w:rsidP="00B663C0" w14:paraId="5287EB08" w14:textId="612FB43C">
            <w:pPr>
              <w:rPr>
                <w:sz w:val="20"/>
              </w:rPr>
            </w:pPr>
            <w:r w:rsidRPr="00B663C0">
              <w:rPr>
                <w:sz w:val="20"/>
              </w:rPr>
              <w:t xml:space="preserve">—(a)(2) and (b)(2) Updated Crossing Inventory Forms (includes requirements under </w:t>
            </w:r>
            <w:r w:rsidR="00594766">
              <w:rPr>
                <w:sz w:val="20"/>
              </w:rPr>
              <w:t xml:space="preserve">             </w:t>
            </w:r>
            <w:r w:rsidRPr="00B663C0" w:rsidR="001B5BCA">
              <w:rPr>
                <w:i/>
                <w:iCs/>
                <w:sz w:val="20"/>
              </w:rPr>
              <w:t xml:space="preserve">§ </w:t>
            </w:r>
            <w:r w:rsidRPr="00B663C0">
              <w:rPr>
                <w:sz w:val="20"/>
              </w:rPr>
              <w:t>222.49(a))</w:t>
            </w:r>
          </w:p>
          <w:p w:rsidR="00B663C0" w:rsidRPr="00B663C0" w:rsidP="00DF0A2D" w14:paraId="7F145220" w14:textId="45EF4FE8">
            <w:pPr>
              <w:rPr>
                <w:sz w:val="20"/>
              </w:rPr>
            </w:pPr>
            <w:r w:rsidRPr="00B663C0">
              <w:rPr>
                <w:i/>
                <w:iCs/>
                <w:sz w:val="20"/>
              </w:rPr>
              <w:t>(Revised requirement.  FRA amend</w:t>
            </w:r>
            <w:r w:rsidR="001146B9">
              <w:rPr>
                <w:i/>
                <w:iCs/>
                <w:sz w:val="20"/>
              </w:rPr>
              <w:t>ed</w:t>
            </w:r>
            <w:r w:rsidRPr="00B663C0">
              <w:rPr>
                <w:i/>
                <w:iCs/>
                <w:sz w:val="20"/>
              </w:rPr>
              <w:t xml:space="preserve"> § 222.47(a)(2) and(b)(2) to require grade crossing inventory forms to be submitted electronically</w:t>
            </w:r>
            <w:r w:rsidR="00381770">
              <w:rPr>
                <w:i/>
                <w:iCs/>
                <w:sz w:val="20"/>
              </w:rPr>
              <w:t xml:space="preserve"> to FRA</w:t>
            </w:r>
            <w:r w:rsidR="000559E0">
              <w:rPr>
                <w:i/>
                <w:iCs/>
                <w:sz w:val="20"/>
              </w:rPr>
              <w:t>’s Grade Crossing and Trespasser Outreach Division</w:t>
            </w:r>
            <w:r w:rsidRPr="00B663C0">
              <w:rPr>
                <w:i/>
                <w:iCs/>
                <w:sz w:val="20"/>
              </w:rPr>
              <w:t>.)</w:t>
            </w:r>
          </w:p>
        </w:tc>
        <w:tc>
          <w:tcPr>
            <w:tcW w:w="1169" w:type="dxa"/>
            <w:hideMark/>
          </w:tcPr>
          <w:p w:rsidR="00B663C0" w:rsidRPr="00B663C0" w:rsidP="00B663C0" w14:paraId="499F8A96" w14:textId="77777777">
            <w:pPr>
              <w:jc w:val="center"/>
              <w:rPr>
                <w:sz w:val="20"/>
              </w:rPr>
            </w:pPr>
            <w:r w:rsidRPr="00B663C0">
              <w:rPr>
                <w:sz w:val="20"/>
              </w:rPr>
              <w:t>645</w:t>
            </w:r>
          </w:p>
          <w:p w:rsidR="00B663C0" w:rsidRPr="00B663C0" w:rsidP="00B663C0" w14:paraId="08948B2A" w14:textId="77777777">
            <w:pPr>
              <w:jc w:val="center"/>
              <w:rPr>
                <w:sz w:val="20"/>
              </w:rPr>
            </w:pPr>
            <w:r w:rsidRPr="00B663C0">
              <w:rPr>
                <w:sz w:val="20"/>
              </w:rPr>
              <w:t>public authorities</w:t>
            </w:r>
          </w:p>
        </w:tc>
        <w:tc>
          <w:tcPr>
            <w:tcW w:w="1350" w:type="dxa"/>
            <w:hideMark/>
          </w:tcPr>
          <w:p w:rsidR="00B663C0" w:rsidRPr="00B663C0" w:rsidP="00B663C0" w14:paraId="45AB8899" w14:textId="77777777">
            <w:pPr>
              <w:jc w:val="center"/>
              <w:rPr>
                <w:sz w:val="20"/>
              </w:rPr>
            </w:pPr>
            <w:r w:rsidRPr="00B663C0">
              <w:rPr>
                <w:sz w:val="20"/>
              </w:rPr>
              <w:t>900</w:t>
            </w:r>
          </w:p>
          <w:p w:rsidR="00B663C0" w:rsidRPr="00B663C0" w:rsidP="00B663C0" w14:paraId="60A43437" w14:textId="77777777">
            <w:pPr>
              <w:jc w:val="center"/>
              <w:rPr>
                <w:sz w:val="20"/>
              </w:rPr>
            </w:pPr>
            <w:r w:rsidRPr="00B663C0">
              <w:rPr>
                <w:sz w:val="20"/>
              </w:rPr>
              <w:t>updated forms</w:t>
            </w:r>
          </w:p>
        </w:tc>
        <w:tc>
          <w:tcPr>
            <w:tcW w:w="990" w:type="dxa"/>
            <w:hideMark/>
          </w:tcPr>
          <w:p w:rsidR="00B663C0" w:rsidRPr="00B663C0" w:rsidP="00B663C0" w14:paraId="16740BA2" w14:textId="77777777">
            <w:pPr>
              <w:jc w:val="center"/>
              <w:rPr>
                <w:sz w:val="20"/>
              </w:rPr>
            </w:pPr>
            <w:r w:rsidRPr="00B663C0">
              <w:rPr>
                <w:sz w:val="20"/>
              </w:rPr>
              <w:t>30 minutes</w:t>
            </w:r>
          </w:p>
        </w:tc>
        <w:tc>
          <w:tcPr>
            <w:tcW w:w="990" w:type="dxa"/>
            <w:hideMark/>
          </w:tcPr>
          <w:p w:rsidR="00B663C0" w:rsidRPr="00B663C0" w:rsidP="00B663C0" w14:paraId="7CEEFDAB" w14:textId="77777777">
            <w:pPr>
              <w:jc w:val="center"/>
              <w:rPr>
                <w:sz w:val="20"/>
              </w:rPr>
            </w:pPr>
            <w:r w:rsidRPr="00B663C0">
              <w:rPr>
                <w:sz w:val="20"/>
              </w:rPr>
              <w:t xml:space="preserve">450 </w:t>
            </w:r>
          </w:p>
        </w:tc>
        <w:tc>
          <w:tcPr>
            <w:tcW w:w="900" w:type="dxa"/>
          </w:tcPr>
          <w:p w:rsidR="00B663C0" w:rsidRPr="00B663C0" w:rsidP="00B663C0" w14:paraId="778695AF" w14:textId="77777777">
            <w:pPr>
              <w:jc w:val="right"/>
              <w:rPr>
                <w:sz w:val="20"/>
              </w:rPr>
            </w:pPr>
            <w:r w:rsidRPr="00B663C0">
              <w:rPr>
                <w:sz w:val="20"/>
              </w:rPr>
              <w:t>$73.40</w:t>
            </w:r>
          </w:p>
        </w:tc>
        <w:tc>
          <w:tcPr>
            <w:tcW w:w="1442" w:type="dxa"/>
            <w:hideMark/>
          </w:tcPr>
          <w:p w:rsidR="00B663C0" w:rsidRPr="00B663C0" w:rsidP="00B663C0" w14:paraId="0129517D" w14:textId="77777777">
            <w:pPr>
              <w:jc w:val="right"/>
              <w:rPr>
                <w:sz w:val="20"/>
              </w:rPr>
            </w:pPr>
            <w:r w:rsidRPr="00B663C0">
              <w:rPr>
                <w:sz w:val="20"/>
              </w:rPr>
              <w:t>$33,030.00</w:t>
            </w:r>
          </w:p>
        </w:tc>
        <w:tc>
          <w:tcPr>
            <w:tcW w:w="3872" w:type="dxa"/>
          </w:tcPr>
          <w:p w:rsidR="00B663C0" w:rsidRPr="00B663C0" w:rsidP="00B663C0" w14:paraId="2927E614" w14:textId="7FB18E0B">
            <w:pPr>
              <w:rPr>
                <w:sz w:val="20"/>
              </w:rPr>
            </w:pPr>
            <w:r w:rsidRPr="00B663C0">
              <w:rPr>
                <w:sz w:val="20"/>
              </w:rPr>
              <w:t xml:space="preserve">The public authority must provide to the </w:t>
            </w:r>
            <w:r w:rsidRPr="00B663C0" w:rsidR="00431061">
              <w:rPr>
                <w:sz w:val="20"/>
              </w:rPr>
              <w:t xml:space="preserve">Grade Crossing and Trespasser Outreach Division of FRA’s Office of Railroad Safety </w:t>
            </w:r>
            <w:r w:rsidRPr="00B663C0">
              <w:rPr>
                <w:sz w:val="20"/>
              </w:rPr>
              <w:t>an up-to-date, accurate, and complete Grade Crossing Inventory Form for each public highway-rail grade crossing, private highway-rail grade crossing, and pedestrian grade crossing within the quiet zone.</w:t>
            </w:r>
          </w:p>
          <w:p w:rsidR="00B663C0" w:rsidRPr="00B663C0" w:rsidP="00B663C0" w14:paraId="7AB2538C" w14:textId="4A540684">
            <w:pPr>
              <w:rPr>
                <w:sz w:val="20"/>
              </w:rPr>
            </w:pPr>
          </w:p>
        </w:tc>
      </w:tr>
      <w:tr w14:paraId="1DE6603B" w14:textId="77777777" w:rsidTr="00CB76AC">
        <w:tblPrEx>
          <w:tblW w:w="13587" w:type="dxa"/>
          <w:tblLayout w:type="fixed"/>
          <w:tblLook w:val="04A0"/>
        </w:tblPrEx>
        <w:trPr>
          <w:trHeight w:val="152"/>
        </w:trPr>
        <w:tc>
          <w:tcPr>
            <w:tcW w:w="13587" w:type="dxa"/>
            <w:gridSpan w:val="8"/>
          </w:tcPr>
          <w:p w:rsidR="00B663C0" w:rsidRPr="00B663C0" w:rsidP="00B663C0" w14:paraId="6A1AB6DE" w14:textId="77777777">
            <w:pPr>
              <w:rPr>
                <w:b/>
                <w:bCs/>
                <w:sz w:val="20"/>
              </w:rPr>
            </w:pPr>
            <w:r w:rsidRPr="00B663C0">
              <w:rPr>
                <w:b/>
                <w:bCs/>
                <w:sz w:val="20"/>
              </w:rPr>
              <w:t>222.49—Who may file Grade Crossing Inventory Forms?</w:t>
            </w:r>
          </w:p>
        </w:tc>
      </w:tr>
      <w:tr w14:paraId="272682C3" w14:textId="77777777" w:rsidTr="00A16454">
        <w:tblPrEx>
          <w:tblW w:w="13587" w:type="dxa"/>
          <w:tblLayout w:type="fixed"/>
          <w:tblLook w:val="04A0"/>
        </w:tblPrEx>
        <w:trPr>
          <w:trHeight w:val="467"/>
        </w:trPr>
        <w:tc>
          <w:tcPr>
            <w:tcW w:w="2874" w:type="dxa"/>
          </w:tcPr>
          <w:p w:rsidR="00B663C0" w:rsidRPr="00B663C0" w:rsidP="00B663C0" w14:paraId="2A067B65" w14:textId="77777777">
            <w:pPr>
              <w:rPr>
                <w:sz w:val="20"/>
              </w:rPr>
            </w:pPr>
            <w:r w:rsidRPr="00B663C0">
              <w:rPr>
                <w:sz w:val="20"/>
              </w:rPr>
              <w:t>—Who can file Grade Crossing Inventory Forms</w:t>
            </w:r>
          </w:p>
        </w:tc>
        <w:tc>
          <w:tcPr>
            <w:tcW w:w="10713" w:type="dxa"/>
            <w:gridSpan w:val="7"/>
          </w:tcPr>
          <w:p w:rsidR="00B663C0" w:rsidRPr="00B663C0" w:rsidP="00B663C0" w14:paraId="55B8A1DD" w14:textId="59A346E9">
            <w:pPr>
              <w:rPr>
                <w:sz w:val="20"/>
              </w:rPr>
            </w:pPr>
            <w:r w:rsidRPr="00B663C0">
              <w:rPr>
                <w:sz w:val="20"/>
              </w:rPr>
              <w:t>The estimated paperwork burden for this requirement is included under §§ 222.39, 222.43 and 222.47.</w:t>
            </w:r>
          </w:p>
        </w:tc>
      </w:tr>
      <w:tr w14:paraId="606E6B19" w14:textId="77777777" w:rsidTr="00CB76AC">
        <w:tblPrEx>
          <w:tblW w:w="13587" w:type="dxa"/>
          <w:tblLayout w:type="fixed"/>
          <w:tblLook w:val="04A0"/>
        </w:tblPrEx>
        <w:trPr>
          <w:trHeight w:val="143"/>
        </w:trPr>
        <w:tc>
          <w:tcPr>
            <w:tcW w:w="13587" w:type="dxa"/>
            <w:gridSpan w:val="8"/>
          </w:tcPr>
          <w:p w:rsidR="00B663C0" w:rsidRPr="00B663C0" w:rsidP="00B663C0" w14:paraId="0B7346C3" w14:textId="67E44FDA">
            <w:pPr>
              <w:rPr>
                <w:sz w:val="20"/>
              </w:rPr>
            </w:pPr>
            <w:r w:rsidRPr="00B663C0">
              <w:rPr>
                <w:b/>
                <w:bCs/>
                <w:sz w:val="20"/>
              </w:rPr>
              <w:t xml:space="preserve">222.51 Under </w:t>
            </w:r>
            <w:r w:rsidR="00431061">
              <w:rPr>
                <w:b/>
                <w:bCs/>
                <w:sz w:val="20"/>
              </w:rPr>
              <w:t>w</w:t>
            </w:r>
            <w:r w:rsidRPr="00B663C0">
              <w:rPr>
                <w:b/>
                <w:bCs/>
                <w:sz w:val="20"/>
              </w:rPr>
              <w:t>hat conditions will quiet zone status be terminated?</w:t>
            </w:r>
          </w:p>
        </w:tc>
      </w:tr>
      <w:tr w14:paraId="0BEE1F78" w14:textId="77777777" w:rsidTr="00B663C0">
        <w:tblPrEx>
          <w:tblW w:w="13587" w:type="dxa"/>
          <w:tblLayout w:type="fixed"/>
          <w:tblLook w:val="04A0"/>
        </w:tblPrEx>
        <w:trPr>
          <w:trHeight w:val="530"/>
        </w:trPr>
        <w:tc>
          <w:tcPr>
            <w:tcW w:w="2874" w:type="dxa"/>
            <w:hideMark/>
          </w:tcPr>
          <w:p w:rsidR="00B663C0" w:rsidRPr="00B663C0" w:rsidP="00B663C0" w14:paraId="070F8A22" w14:textId="77777777">
            <w:pPr>
              <w:rPr>
                <w:sz w:val="20"/>
              </w:rPr>
            </w:pPr>
            <w:r w:rsidRPr="00B663C0">
              <w:rPr>
                <w:sz w:val="20"/>
              </w:rPr>
              <w:t xml:space="preserve">—(a)-(b) Written commitment to lower the potential risk to the traveling public at the crossings within the quiet zone </w:t>
            </w:r>
          </w:p>
        </w:tc>
        <w:tc>
          <w:tcPr>
            <w:tcW w:w="1169" w:type="dxa"/>
            <w:hideMark/>
          </w:tcPr>
          <w:p w:rsidR="00B663C0" w:rsidRPr="00B663C0" w:rsidP="00B663C0" w14:paraId="7A32EAFA" w14:textId="77777777">
            <w:pPr>
              <w:jc w:val="center"/>
              <w:rPr>
                <w:sz w:val="20"/>
              </w:rPr>
            </w:pPr>
            <w:r w:rsidRPr="00B663C0">
              <w:rPr>
                <w:sz w:val="20"/>
              </w:rPr>
              <w:t>645</w:t>
            </w:r>
          </w:p>
          <w:p w:rsidR="00B663C0" w:rsidRPr="00B663C0" w:rsidP="00B663C0" w14:paraId="0E6D749B" w14:textId="77777777">
            <w:pPr>
              <w:jc w:val="center"/>
              <w:rPr>
                <w:sz w:val="20"/>
              </w:rPr>
            </w:pPr>
            <w:r w:rsidRPr="00B663C0">
              <w:rPr>
                <w:sz w:val="20"/>
              </w:rPr>
              <w:t>public authorities</w:t>
            </w:r>
          </w:p>
        </w:tc>
        <w:tc>
          <w:tcPr>
            <w:tcW w:w="1350" w:type="dxa"/>
            <w:hideMark/>
          </w:tcPr>
          <w:p w:rsidR="00B663C0" w:rsidRPr="00B663C0" w:rsidP="00B663C0" w14:paraId="181F147C" w14:textId="77777777">
            <w:pPr>
              <w:jc w:val="center"/>
              <w:rPr>
                <w:sz w:val="20"/>
              </w:rPr>
            </w:pPr>
            <w:r w:rsidRPr="00B663C0">
              <w:rPr>
                <w:sz w:val="20"/>
              </w:rPr>
              <w:t>15</w:t>
            </w:r>
          </w:p>
          <w:p w:rsidR="00B663C0" w:rsidRPr="00B663C0" w:rsidP="00B663C0" w14:paraId="7B619908" w14:textId="77777777">
            <w:pPr>
              <w:jc w:val="center"/>
              <w:rPr>
                <w:sz w:val="20"/>
              </w:rPr>
            </w:pPr>
            <w:r w:rsidRPr="00B663C0">
              <w:rPr>
                <w:sz w:val="20"/>
              </w:rPr>
              <w:t>written commitments</w:t>
            </w:r>
          </w:p>
        </w:tc>
        <w:tc>
          <w:tcPr>
            <w:tcW w:w="990" w:type="dxa"/>
            <w:hideMark/>
          </w:tcPr>
          <w:p w:rsidR="00B663C0" w:rsidRPr="00B663C0" w:rsidP="00B663C0" w14:paraId="6A38CCC0" w14:textId="77777777">
            <w:pPr>
              <w:jc w:val="center"/>
              <w:rPr>
                <w:sz w:val="20"/>
              </w:rPr>
            </w:pPr>
            <w:r w:rsidRPr="00B663C0">
              <w:rPr>
                <w:sz w:val="20"/>
              </w:rPr>
              <w:t>5</w:t>
            </w:r>
          </w:p>
          <w:p w:rsidR="00B663C0" w:rsidRPr="00B663C0" w:rsidP="00B663C0" w14:paraId="2013E3E7" w14:textId="77777777">
            <w:pPr>
              <w:jc w:val="center"/>
              <w:rPr>
                <w:sz w:val="20"/>
              </w:rPr>
            </w:pPr>
            <w:r w:rsidRPr="00B663C0">
              <w:rPr>
                <w:sz w:val="20"/>
              </w:rPr>
              <w:t>hours</w:t>
            </w:r>
          </w:p>
        </w:tc>
        <w:tc>
          <w:tcPr>
            <w:tcW w:w="990" w:type="dxa"/>
            <w:hideMark/>
          </w:tcPr>
          <w:p w:rsidR="00B663C0" w:rsidRPr="00B663C0" w:rsidP="00B663C0" w14:paraId="361ADBF3" w14:textId="77777777">
            <w:pPr>
              <w:jc w:val="center"/>
              <w:rPr>
                <w:sz w:val="20"/>
              </w:rPr>
            </w:pPr>
            <w:r w:rsidRPr="00B663C0">
              <w:rPr>
                <w:sz w:val="20"/>
              </w:rPr>
              <w:t xml:space="preserve">75 </w:t>
            </w:r>
          </w:p>
        </w:tc>
        <w:tc>
          <w:tcPr>
            <w:tcW w:w="900" w:type="dxa"/>
          </w:tcPr>
          <w:p w:rsidR="00B663C0" w:rsidRPr="00B663C0" w:rsidP="00B663C0" w14:paraId="3F74DA9C" w14:textId="77777777">
            <w:pPr>
              <w:jc w:val="right"/>
              <w:rPr>
                <w:sz w:val="20"/>
              </w:rPr>
            </w:pPr>
            <w:r w:rsidRPr="00B663C0">
              <w:rPr>
                <w:sz w:val="20"/>
              </w:rPr>
              <w:t>$73.40</w:t>
            </w:r>
          </w:p>
        </w:tc>
        <w:tc>
          <w:tcPr>
            <w:tcW w:w="1442" w:type="dxa"/>
            <w:hideMark/>
          </w:tcPr>
          <w:p w:rsidR="00B663C0" w:rsidRPr="00B663C0" w:rsidP="00B663C0" w14:paraId="00F36AA4" w14:textId="77777777">
            <w:pPr>
              <w:jc w:val="right"/>
              <w:rPr>
                <w:sz w:val="20"/>
              </w:rPr>
            </w:pPr>
            <w:r w:rsidRPr="00B663C0">
              <w:rPr>
                <w:sz w:val="20"/>
              </w:rPr>
              <w:t>$5,505.00</w:t>
            </w:r>
          </w:p>
        </w:tc>
        <w:tc>
          <w:tcPr>
            <w:tcW w:w="3872" w:type="dxa"/>
          </w:tcPr>
          <w:p w:rsidR="00B663C0" w:rsidRPr="00B663C0" w:rsidP="00B663C0" w14:paraId="154ED27F" w14:textId="3CD85E06">
            <w:pPr>
              <w:rPr>
                <w:sz w:val="20"/>
              </w:rPr>
            </w:pPr>
            <w:r w:rsidRPr="00B663C0">
              <w:rPr>
                <w:sz w:val="20"/>
              </w:rPr>
              <w:t>Within six months after the date of receipt of notification from FRA that the Quiet Zone Risk Index exceeds the Nationwide Significant Risk Threshold, the public authority provides to the Associate Administrator a written commitment to lower the potential risk to the traveling public at the crossings within the qui</w:t>
            </w:r>
            <w:r w:rsidR="008E6FC9">
              <w:rPr>
                <w:sz w:val="20"/>
              </w:rPr>
              <w:t>e</w:t>
            </w:r>
            <w:r w:rsidRPr="00B663C0">
              <w:rPr>
                <w:sz w:val="20"/>
              </w:rPr>
              <w:t xml:space="preserve">t zone to a level at, or below, the Nationwide Significant Risk Threshold or the Risk Index With Horns. </w:t>
            </w:r>
          </w:p>
        </w:tc>
      </w:tr>
      <w:tr w14:paraId="050BF45F" w14:textId="77777777" w:rsidTr="00A16454">
        <w:tblPrEx>
          <w:tblW w:w="13587" w:type="dxa"/>
          <w:tblLayout w:type="fixed"/>
          <w:tblLook w:val="04A0"/>
        </w:tblPrEx>
        <w:trPr>
          <w:trHeight w:val="710"/>
        </w:trPr>
        <w:tc>
          <w:tcPr>
            <w:tcW w:w="2874" w:type="dxa"/>
          </w:tcPr>
          <w:p w:rsidR="00B663C0" w:rsidRPr="00B663C0" w:rsidP="00B663C0" w14:paraId="4939E897" w14:textId="77777777">
            <w:pPr>
              <w:rPr>
                <w:sz w:val="20"/>
              </w:rPr>
            </w:pPr>
            <w:r w:rsidRPr="00B663C0">
              <w:rPr>
                <w:sz w:val="20"/>
              </w:rPr>
              <w:t>—(d) Termination by the public authority—Written notice of termination</w:t>
            </w:r>
          </w:p>
          <w:p w:rsidR="00B663C0" w:rsidRPr="00B663C0" w:rsidP="00B663C0" w14:paraId="4D9CCE92" w14:textId="3AD1F126">
            <w:pPr>
              <w:rPr>
                <w:sz w:val="20"/>
              </w:rPr>
            </w:pPr>
            <w:r w:rsidRPr="00B663C0">
              <w:rPr>
                <w:i/>
                <w:iCs/>
                <w:sz w:val="20"/>
              </w:rPr>
              <w:t>(Revised requirement.  FRA amend</w:t>
            </w:r>
            <w:r w:rsidR="001146B9">
              <w:rPr>
                <w:i/>
                <w:iCs/>
                <w:sz w:val="20"/>
              </w:rPr>
              <w:t>ed</w:t>
            </w:r>
            <w:r w:rsidRPr="00B663C0">
              <w:rPr>
                <w:i/>
                <w:iCs/>
                <w:sz w:val="20"/>
              </w:rPr>
              <w:t xml:space="preserve"> § 222.51(d)(2) to remove the certified mail requirements, to allow for electronic service.)</w:t>
            </w:r>
          </w:p>
        </w:tc>
        <w:tc>
          <w:tcPr>
            <w:tcW w:w="10713" w:type="dxa"/>
            <w:gridSpan w:val="7"/>
          </w:tcPr>
          <w:p w:rsidR="00B663C0" w:rsidRPr="00B663C0" w:rsidP="00B663C0" w14:paraId="13AD93CE" w14:textId="77777777">
            <w:pPr>
              <w:rPr>
                <w:sz w:val="20"/>
              </w:rPr>
            </w:pPr>
            <w:r w:rsidRPr="00B663C0">
              <w:rPr>
                <w:sz w:val="20"/>
              </w:rPr>
              <w:t>FRA estimates zero public authorities will elect to terminate a quiet zone that they only recently designated or established, and so there will be no need to provide any written notices of termination. Consequently, there is no estimated paperwork burden associated with this requirement.</w:t>
            </w:r>
          </w:p>
        </w:tc>
      </w:tr>
      <w:tr w14:paraId="058A183D" w14:textId="77777777" w:rsidTr="00B663C0">
        <w:tblPrEx>
          <w:tblW w:w="13587" w:type="dxa"/>
          <w:tblLayout w:type="fixed"/>
          <w:tblLook w:val="04A0"/>
        </w:tblPrEx>
        <w:trPr>
          <w:trHeight w:val="521"/>
        </w:trPr>
        <w:tc>
          <w:tcPr>
            <w:tcW w:w="2874" w:type="dxa"/>
          </w:tcPr>
          <w:p w:rsidR="00B663C0" w:rsidRPr="00B663C0" w:rsidP="00B663C0" w14:paraId="36AA8C45" w14:textId="77777777">
            <w:pPr>
              <w:rPr>
                <w:sz w:val="20"/>
              </w:rPr>
            </w:pPr>
            <w:r w:rsidRPr="00B663C0">
              <w:rPr>
                <w:sz w:val="20"/>
              </w:rPr>
              <w:t>—(e)(1) Notification of termination</w:t>
            </w:r>
          </w:p>
          <w:p w:rsidR="00B663C0" w:rsidRPr="00B663C0" w:rsidP="00B663C0" w14:paraId="47D40FE7" w14:textId="539BE15F">
            <w:pPr>
              <w:rPr>
                <w:sz w:val="20"/>
              </w:rPr>
            </w:pPr>
            <w:r w:rsidRPr="00B663C0">
              <w:rPr>
                <w:i/>
                <w:iCs/>
                <w:sz w:val="20"/>
              </w:rPr>
              <w:t>(Revised requirement.  FRA amend</w:t>
            </w:r>
            <w:r w:rsidR="001146B9">
              <w:rPr>
                <w:i/>
                <w:iCs/>
                <w:sz w:val="20"/>
              </w:rPr>
              <w:t xml:space="preserve">ed </w:t>
            </w:r>
            <w:r w:rsidRPr="00B663C0">
              <w:rPr>
                <w:i/>
                <w:iCs/>
                <w:sz w:val="20"/>
              </w:rPr>
              <w:t>§ 222.51(e)(1) to remove the certified mail requirements, to allow for electronic service.)</w:t>
            </w:r>
          </w:p>
        </w:tc>
        <w:tc>
          <w:tcPr>
            <w:tcW w:w="1169" w:type="dxa"/>
          </w:tcPr>
          <w:p w:rsidR="00B663C0" w:rsidRPr="00B663C0" w:rsidP="00B663C0" w14:paraId="2D72ECC8" w14:textId="77777777">
            <w:pPr>
              <w:jc w:val="center"/>
              <w:rPr>
                <w:sz w:val="20"/>
              </w:rPr>
            </w:pPr>
            <w:r w:rsidRPr="00B663C0">
              <w:rPr>
                <w:sz w:val="20"/>
              </w:rPr>
              <w:t>645</w:t>
            </w:r>
          </w:p>
          <w:p w:rsidR="00B663C0" w:rsidRPr="00B663C0" w:rsidP="00B663C0" w14:paraId="2CF282A8" w14:textId="77777777">
            <w:pPr>
              <w:jc w:val="center"/>
              <w:rPr>
                <w:sz w:val="20"/>
              </w:rPr>
            </w:pPr>
            <w:r w:rsidRPr="00B663C0">
              <w:rPr>
                <w:sz w:val="20"/>
              </w:rPr>
              <w:t>public</w:t>
            </w:r>
          </w:p>
          <w:p w:rsidR="00B663C0" w:rsidRPr="00B663C0" w:rsidP="00B663C0" w14:paraId="6E8B443D" w14:textId="77777777">
            <w:pPr>
              <w:jc w:val="center"/>
              <w:rPr>
                <w:sz w:val="20"/>
              </w:rPr>
            </w:pPr>
            <w:r w:rsidRPr="00B663C0">
              <w:rPr>
                <w:sz w:val="20"/>
              </w:rPr>
              <w:t>authorities</w:t>
            </w:r>
          </w:p>
        </w:tc>
        <w:tc>
          <w:tcPr>
            <w:tcW w:w="1350" w:type="dxa"/>
          </w:tcPr>
          <w:p w:rsidR="00B663C0" w:rsidRPr="00B663C0" w:rsidP="00B663C0" w14:paraId="6FC5D6DC" w14:textId="77777777">
            <w:pPr>
              <w:jc w:val="center"/>
              <w:rPr>
                <w:sz w:val="20"/>
              </w:rPr>
            </w:pPr>
            <w:r w:rsidRPr="00B663C0">
              <w:rPr>
                <w:sz w:val="20"/>
              </w:rPr>
              <w:t>2</w:t>
            </w:r>
          </w:p>
          <w:p w:rsidR="00B663C0" w:rsidRPr="00B663C0" w:rsidP="00B663C0" w14:paraId="13D0BC1F" w14:textId="77777777">
            <w:pPr>
              <w:jc w:val="center"/>
              <w:rPr>
                <w:sz w:val="20"/>
              </w:rPr>
            </w:pPr>
            <w:r w:rsidRPr="00B663C0">
              <w:rPr>
                <w:sz w:val="20"/>
              </w:rPr>
              <w:t>written notices</w:t>
            </w:r>
          </w:p>
        </w:tc>
        <w:tc>
          <w:tcPr>
            <w:tcW w:w="990" w:type="dxa"/>
          </w:tcPr>
          <w:p w:rsidR="00B663C0" w:rsidRPr="00B663C0" w:rsidP="00B663C0" w14:paraId="49CDB107" w14:textId="77777777">
            <w:pPr>
              <w:jc w:val="center"/>
              <w:rPr>
                <w:sz w:val="20"/>
              </w:rPr>
            </w:pPr>
            <w:r w:rsidRPr="00B663C0">
              <w:rPr>
                <w:sz w:val="20"/>
              </w:rPr>
              <w:t>1.5</w:t>
            </w:r>
          </w:p>
          <w:p w:rsidR="00B663C0" w:rsidRPr="00B663C0" w:rsidP="00B663C0" w14:paraId="730D231F" w14:textId="77777777">
            <w:pPr>
              <w:jc w:val="center"/>
              <w:rPr>
                <w:sz w:val="20"/>
              </w:rPr>
            </w:pPr>
            <w:r w:rsidRPr="00B663C0">
              <w:rPr>
                <w:sz w:val="20"/>
              </w:rPr>
              <w:t>hours</w:t>
            </w:r>
          </w:p>
        </w:tc>
        <w:tc>
          <w:tcPr>
            <w:tcW w:w="990" w:type="dxa"/>
          </w:tcPr>
          <w:p w:rsidR="00B663C0" w:rsidRPr="00B663C0" w:rsidP="00B663C0" w14:paraId="5A094456" w14:textId="77777777">
            <w:pPr>
              <w:jc w:val="center"/>
              <w:rPr>
                <w:sz w:val="20"/>
              </w:rPr>
            </w:pPr>
            <w:r w:rsidRPr="00B663C0">
              <w:rPr>
                <w:sz w:val="20"/>
              </w:rPr>
              <w:t>3</w:t>
            </w:r>
          </w:p>
        </w:tc>
        <w:tc>
          <w:tcPr>
            <w:tcW w:w="900" w:type="dxa"/>
          </w:tcPr>
          <w:p w:rsidR="00B663C0" w:rsidRPr="00B663C0" w:rsidP="00B663C0" w14:paraId="308F7C9F" w14:textId="77777777">
            <w:pPr>
              <w:rPr>
                <w:sz w:val="20"/>
              </w:rPr>
            </w:pPr>
            <w:r w:rsidRPr="00B663C0">
              <w:rPr>
                <w:sz w:val="20"/>
              </w:rPr>
              <w:t>$73.40</w:t>
            </w:r>
          </w:p>
        </w:tc>
        <w:tc>
          <w:tcPr>
            <w:tcW w:w="1442" w:type="dxa"/>
          </w:tcPr>
          <w:p w:rsidR="00B663C0" w:rsidRPr="00B663C0" w:rsidP="00CB76AC" w14:paraId="0BACB063" w14:textId="77777777">
            <w:pPr>
              <w:jc w:val="right"/>
              <w:rPr>
                <w:sz w:val="20"/>
              </w:rPr>
            </w:pPr>
            <w:r w:rsidRPr="00B663C0">
              <w:rPr>
                <w:sz w:val="20"/>
              </w:rPr>
              <w:t>$220.20</w:t>
            </w:r>
          </w:p>
        </w:tc>
        <w:tc>
          <w:tcPr>
            <w:tcW w:w="3872" w:type="dxa"/>
          </w:tcPr>
          <w:p w:rsidR="00B663C0" w:rsidRPr="00B663C0" w:rsidP="00B663C0" w14:paraId="7AF78A85" w14:textId="3C52F2E7">
            <w:pPr>
              <w:rPr>
                <w:sz w:val="20"/>
              </w:rPr>
            </w:pPr>
            <w:r>
              <w:rPr>
                <w:sz w:val="20"/>
              </w:rPr>
              <w:t>If</w:t>
            </w:r>
            <w:r w:rsidRPr="00E07FEB" w:rsidR="00E07FEB">
              <w:rPr>
                <w:sz w:val="20"/>
              </w:rPr>
              <w:t xml:space="preserve"> a quiet zone is terminated under the provisions of </w:t>
            </w:r>
            <w:r w:rsidR="00FC63AF">
              <w:rPr>
                <w:sz w:val="20"/>
              </w:rPr>
              <w:t>§ 222.51</w:t>
            </w:r>
            <w:r w:rsidRPr="00E07FEB" w:rsidR="00E07FEB">
              <w:rPr>
                <w:sz w:val="20"/>
              </w:rPr>
              <w:t xml:space="preserve">, it shall be the responsibility of the public authority immediately to provide written notification of the termination to all </w:t>
            </w:r>
            <w:r w:rsidR="00E07FEB">
              <w:rPr>
                <w:sz w:val="20"/>
              </w:rPr>
              <w:t xml:space="preserve">required parties identified in §222.51(e)(1). </w:t>
            </w:r>
            <w:r w:rsidRPr="00E07FEB" w:rsidR="00E07FEB">
              <w:rPr>
                <w:sz w:val="20"/>
              </w:rPr>
              <w:t>A copy of the written notice of quiet zone termination shall also be submitted electronically to FRA</w:t>
            </w:r>
            <w:r>
              <w:rPr>
                <w:sz w:val="20"/>
              </w:rPr>
              <w:t>’</w:t>
            </w:r>
            <w:r w:rsidRPr="00E07FEB" w:rsidR="00E07FEB">
              <w:rPr>
                <w:sz w:val="20"/>
              </w:rPr>
              <w:t>s Grade Crossing and Trespasser Outreach Division.</w:t>
            </w:r>
          </w:p>
        </w:tc>
      </w:tr>
      <w:tr w14:paraId="680310C7" w14:textId="77777777" w:rsidTr="00CB76AC">
        <w:tblPrEx>
          <w:tblW w:w="13587" w:type="dxa"/>
          <w:tblLayout w:type="fixed"/>
          <w:tblLook w:val="04A0"/>
        </w:tblPrEx>
        <w:trPr>
          <w:trHeight w:val="170"/>
        </w:trPr>
        <w:tc>
          <w:tcPr>
            <w:tcW w:w="13587" w:type="dxa"/>
            <w:gridSpan w:val="8"/>
          </w:tcPr>
          <w:p w:rsidR="00B663C0" w:rsidRPr="00B663C0" w:rsidP="00B663C0" w14:paraId="1DD0A2D2" w14:textId="77777777">
            <w:pPr>
              <w:rPr>
                <w:sz w:val="20"/>
              </w:rPr>
            </w:pPr>
            <w:r w:rsidRPr="00B663C0">
              <w:rPr>
                <w:b/>
                <w:bCs/>
                <w:sz w:val="20"/>
              </w:rPr>
              <w:t>222.55 How are new supplementary or alternative safety measures approved?</w:t>
            </w:r>
          </w:p>
        </w:tc>
      </w:tr>
      <w:tr w14:paraId="6686F2F7" w14:textId="77777777" w:rsidTr="00B663C0">
        <w:tblPrEx>
          <w:tblW w:w="13587" w:type="dxa"/>
          <w:tblLayout w:type="fixed"/>
          <w:tblLook w:val="04A0"/>
        </w:tblPrEx>
        <w:trPr>
          <w:trHeight w:val="710"/>
        </w:trPr>
        <w:tc>
          <w:tcPr>
            <w:tcW w:w="2874" w:type="dxa"/>
            <w:hideMark/>
          </w:tcPr>
          <w:p w:rsidR="00B663C0" w:rsidRPr="00B663C0" w:rsidP="00B663C0" w14:paraId="58A78EDD" w14:textId="77777777">
            <w:pPr>
              <w:rPr>
                <w:sz w:val="20"/>
              </w:rPr>
            </w:pPr>
            <w:r w:rsidRPr="00B663C0">
              <w:rPr>
                <w:sz w:val="20"/>
              </w:rPr>
              <w:t>—(b) Request for FRA approval to demonstrate proposed new SSMs or ASMs for quiet zones</w:t>
            </w:r>
          </w:p>
        </w:tc>
        <w:tc>
          <w:tcPr>
            <w:tcW w:w="1169" w:type="dxa"/>
            <w:hideMark/>
          </w:tcPr>
          <w:p w:rsidR="00B663C0" w:rsidRPr="00B663C0" w:rsidP="00B663C0" w14:paraId="2F2095B1" w14:textId="77777777">
            <w:pPr>
              <w:jc w:val="center"/>
              <w:rPr>
                <w:sz w:val="20"/>
              </w:rPr>
            </w:pPr>
            <w:r w:rsidRPr="00B663C0">
              <w:rPr>
                <w:sz w:val="20"/>
              </w:rPr>
              <w:t>Interested parties</w:t>
            </w:r>
          </w:p>
        </w:tc>
        <w:tc>
          <w:tcPr>
            <w:tcW w:w="1350" w:type="dxa"/>
            <w:hideMark/>
          </w:tcPr>
          <w:p w:rsidR="00B663C0" w:rsidRPr="00B663C0" w:rsidP="00B663C0" w14:paraId="101B863D" w14:textId="77777777">
            <w:pPr>
              <w:jc w:val="center"/>
              <w:rPr>
                <w:sz w:val="20"/>
              </w:rPr>
            </w:pPr>
            <w:r w:rsidRPr="00B663C0">
              <w:rPr>
                <w:sz w:val="20"/>
              </w:rPr>
              <w:t>1</w:t>
            </w:r>
          </w:p>
          <w:p w:rsidR="00B663C0" w:rsidRPr="00B663C0" w:rsidP="00B663C0" w14:paraId="0AF98AF6" w14:textId="77777777">
            <w:pPr>
              <w:jc w:val="center"/>
              <w:rPr>
                <w:sz w:val="20"/>
              </w:rPr>
            </w:pPr>
            <w:r w:rsidRPr="00B663C0">
              <w:rPr>
                <w:sz w:val="20"/>
              </w:rPr>
              <w:t>letter</w:t>
            </w:r>
          </w:p>
        </w:tc>
        <w:tc>
          <w:tcPr>
            <w:tcW w:w="990" w:type="dxa"/>
            <w:hideMark/>
          </w:tcPr>
          <w:p w:rsidR="00B663C0" w:rsidRPr="00B663C0" w:rsidP="00B663C0" w14:paraId="2254A6B5" w14:textId="77777777">
            <w:pPr>
              <w:jc w:val="center"/>
              <w:rPr>
                <w:sz w:val="20"/>
              </w:rPr>
            </w:pPr>
            <w:r w:rsidRPr="00B663C0">
              <w:rPr>
                <w:sz w:val="20"/>
              </w:rPr>
              <w:t>1</w:t>
            </w:r>
          </w:p>
          <w:p w:rsidR="00B663C0" w:rsidRPr="00B663C0" w:rsidP="00B663C0" w14:paraId="248C2F18" w14:textId="77777777">
            <w:pPr>
              <w:jc w:val="center"/>
              <w:rPr>
                <w:sz w:val="20"/>
              </w:rPr>
            </w:pPr>
            <w:r w:rsidRPr="00B663C0">
              <w:rPr>
                <w:sz w:val="20"/>
              </w:rPr>
              <w:t>hour</w:t>
            </w:r>
          </w:p>
        </w:tc>
        <w:tc>
          <w:tcPr>
            <w:tcW w:w="990" w:type="dxa"/>
            <w:hideMark/>
          </w:tcPr>
          <w:p w:rsidR="00B663C0" w:rsidRPr="00B663C0" w:rsidP="00B663C0" w14:paraId="30F76E2E" w14:textId="77777777">
            <w:pPr>
              <w:jc w:val="center"/>
              <w:rPr>
                <w:sz w:val="20"/>
              </w:rPr>
            </w:pPr>
            <w:r w:rsidRPr="00B663C0">
              <w:rPr>
                <w:sz w:val="20"/>
              </w:rPr>
              <w:t>1</w:t>
            </w:r>
          </w:p>
          <w:p w:rsidR="00B663C0" w:rsidRPr="00B663C0" w:rsidP="00B663C0" w14:paraId="1F4AB8F9" w14:textId="77777777">
            <w:pPr>
              <w:jc w:val="center"/>
              <w:rPr>
                <w:sz w:val="20"/>
              </w:rPr>
            </w:pPr>
          </w:p>
        </w:tc>
        <w:tc>
          <w:tcPr>
            <w:tcW w:w="900" w:type="dxa"/>
          </w:tcPr>
          <w:p w:rsidR="00B663C0" w:rsidRPr="00B663C0" w:rsidP="00B663C0" w14:paraId="10A6EF44" w14:textId="77777777">
            <w:pPr>
              <w:jc w:val="right"/>
              <w:rPr>
                <w:sz w:val="20"/>
              </w:rPr>
            </w:pPr>
            <w:r w:rsidRPr="00B663C0">
              <w:rPr>
                <w:sz w:val="20"/>
              </w:rPr>
              <w:t>$73.40</w:t>
            </w:r>
          </w:p>
        </w:tc>
        <w:tc>
          <w:tcPr>
            <w:tcW w:w="1442" w:type="dxa"/>
            <w:hideMark/>
          </w:tcPr>
          <w:p w:rsidR="00B663C0" w:rsidRPr="00B663C0" w:rsidP="00B663C0" w14:paraId="6F35D021" w14:textId="77777777">
            <w:pPr>
              <w:jc w:val="right"/>
              <w:rPr>
                <w:sz w:val="20"/>
              </w:rPr>
            </w:pPr>
            <w:r w:rsidRPr="00B663C0">
              <w:rPr>
                <w:sz w:val="20"/>
              </w:rPr>
              <w:t>$73.40</w:t>
            </w:r>
          </w:p>
          <w:p w:rsidR="00B663C0" w:rsidRPr="00B663C0" w:rsidP="00B663C0" w14:paraId="7E7E6650" w14:textId="77777777">
            <w:pPr>
              <w:jc w:val="right"/>
              <w:rPr>
                <w:sz w:val="20"/>
              </w:rPr>
            </w:pPr>
          </w:p>
        </w:tc>
        <w:tc>
          <w:tcPr>
            <w:tcW w:w="3872" w:type="dxa"/>
          </w:tcPr>
          <w:p w:rsidR="00B663C0" w:rsidRPr="00B663C0" w:rsidP="00B663C0" w14:paraId="522813A8" w14:textId="77777777">
            <w:pPr>
              <w:rPr>
                <w:sz w:val="20"/>
              </w:rPr>
            </w:pPr>
            <w:r w:rsidRPr="00B663C0">
              <w:rPr>
                <w:sz w:val="20"/>
              </w:rPr>
              <w:t xml:space="preserve">Interested parties may apply for approval from the Associate Administrator to demonstrate proposed new SSMs or ASMs to </w:t>
            </w:r>
            <w:r w:rsidRPr="00B663C0">
              <w:rPr>
                <w:sz w:val="20"/>
              </w:rPr>
              <w:t>determine whether they are effective substitutes for the locomotive horn in the prevention of collisions and casualties at public highway-rail grade crossings.</w:t>
            </w:r>
          </w:p>
        </w:tc>
      </w:tr>
      <w:tr w14:paraId="446A7F7D" w14:textId="77777777" w:rsidTr="00B663C0">
        <w:tblPrEx>
          <w:tblW w:w="13587" w:type="dxa"/>
          <w:tblLayout w:type="fixed"/>
          <w:tblLook w:val="04A0"/>
        </w:tblPrEx>
        <w:trPr>
          <w:trHeight w:val="710"/>
        </w:trPr>
        <w:tc>
          <w:tcPr>
            <w:tcW w:w="2874" w:type="dxa"/>
            <w:hideMark/>
          </w:tcPr>
          <w:p w:rsidR="00B663C0" w:rsidRPr="00B663C0" w:rsidP="00B663C0" w14:paraId="6223CCE3" w14:textId="77777777">
            <w:pPr>
              <w:rPr>
                <w:sz w:val="20"/>
              </w:rPr>
            </w:pPr>
            <w:r w:rsidRPr="00B663C0">
              <w:rPr>
                <w:sz w:val="20"/>
              </w:rPr>
              <w:t>—(d) Application for SSM/ASM approval upon completion of demonstration of proposed new SSMs or ASMs</w:t>
            </w:r>
          </w:p>
        </w:tc>
        <w:tc>
          <w:tcPr>
            <w:tcW w:w="1169" w:type="dxa"/>
            <w:hideMark/>
          </w:tcPr>
          <w:p w:rsidR="00B663C0" w:rsidRPr="00B663C0" w:rsidP="00B663C0" w14:paraId="12781488" w14:textId="77777777">
            <w:pPr>
              <w:jc w:val="center"/>
              <w:rPr>
                <w:sz w:val="20"/>
              </w:rPr>
            </w:pPr>
            <w:r w:rsidRPr="00B663C0">
              <w:rPr>
                <w:sz w:val="20"/>
              </w:rPr>
              <w:t xml:space="preserve">Interested parties </w:t>
            </w:r>
          </w:p>
        </w:tc>
        <w:tc>
          <w:tcPr>
            <w:tcW w:w="1350" w:type="dxa"/>
            <w:hideMark/>
          </w:tcPr>
          <w:p w:rsidR="00B663C0" w:rsidRPr="00B663C0" w:rsidP="00B663C0" w14:paraId="23B866BF" w14:textId="77777777">
            <w:pPr>
              <w:jc w:val="center"/>
              <w:rPr>
                <w:sz w:val="20"/>
              </w:rPr>
            </w:pPr>
            <w:r w:rsidRPr="00B663C0">
              <w:rPr>
                <w:sz w:val="20"/>
              </w:rPr>
              <w:t>1</w:t>
            </w:r>
          </w:p>
          <w:p w:rsidR="00B663C0" w:rsidRPr="00B663C0" w:rsidP="00B663C0" w14:paraId="744A6FD8" w14:textId="77777777">
            <w:pPr>
              <w:jc w:val="center"/>
              <w:rPr>
                <w:sz w:val="20"/>
              </w:rPr>
            </w:pPr>
            <w:r w:rsidRPr="00B663C0">
              <w:rPr>
                <w:sz w:val="20"/>
              </w:rPr>
              <w:t>letter</w:t>
            </w:r>
          </w:p>
        </w:tc>
        <w:tc>
          <w:tcPr>
            <w:tcW w:w="990" w:type="dxa"/>
            <w:hideMark/>
          </w:tcPr>
          <w:p w:rsidR="00B663C0" w:rsidRPr="00B663C0" w:rsidP="00B663C0" w14:paraId="66B1B617" w14:textId="77777777">
            <w:pPr>
              <w:jc w:val="center"/>
              <w:rPr>
                <w:sz w:val="20"/>
              </w:rPr>
            </w:pPr>
            <w:r w:rsidRPr="00B663C0">
              <w:rPr>
                <w:sz w:val="20"/>
              </w:rPr>
              <w:t>40</w:t>
            </w:r>
          </w:p>
          <w:p w:rsidR="00B663C0" w:rsidRPr="00B663C0" w:rsidP="00B663C0" w14:paraId="4AA37DAD" w14:textId="77777777">
            <w:pPr>
              <w:jc w:val="center"/>
              <w:rPr>
                <w:sz w:val="20"/>
              </w:rPr>
            </w:pPr>
            <w:r w:rsidRPr="00B663C0">
              <w:rPr>
                <w:sz w:val="20"/>
              </w:rPr>
              <w:t>hours</w:t>
            </w:r>
          </w:p>
        </w:tc>
        <w:tc>
          <w:tcPr>
            <w:tcW w:w="990" w:type="dxa"/>
            <w:hideMark/>
          </w:tcPr>
          <w:p w:rsidR="00B663C0" w:rsidRPr="00B663C0" w:rsidP="00B663C0" w14:paraId="7D193035" w14:textId="77777777">
            <w:pPr>
              <w:jc w:val="center"/>
              <w:rPr>
                <w:sz w:val="20"/>
              </w:rPr>
            </w:pPr>
            <w:r w:rsidRPr="00B663C0">
              <w:rPr>
                <w:sz w:val="20"/>
              </w:rPr>
              <w:t>40</w:t>
            </w:r>
          </w:p>
        </w:tc>
        <w:tc>
          <w:tcPr>
            <w:tcW w:w="900" w:type="dxa"/>
          </w:tcPr>
          <w:p w:rsidR="00B663C0" w:rsidRPr="00B663C0" w:rsidP="00B663C0" w14:paraId="4A5B63B4" w14:textId="77777777">
            <w:pPr>
              <w:jc w:val="right"/>
              <w:rPr>
                <w:sz w:val="20"/>
              </w:rPr>
            </w:pPr>
            <w:r w:rsidRPr="00B663C0">
              <w:rPr>
                <w:sz w:val="20"/>
              </w:rPr>
              <w:t>$73.40</w:t>
            </w:r>
          </w:p>
        </w:tc>
        <w:tc>
          <w:tcPr>
            <w:tcW w:w="1442" w:type="dxa"/>
            <w:hideMark/>
          </w:tcPr>
          <w:p w:rsidR="00B663C0" w:rsidRPr="00B663C0" w:rsidP="00B663C0" w14:paraId="2F0CD35F" w14:textId="77777777">
            <w:pPr>
              <w:jc w:val="right"/>
              <w:rPr>
                <w:sz w:val="20"/>
              </w:rPr>
            </w:pPr>
            <w:r w:rsidRPr="00B663C0">
              <w:rPr>
                <w:sz w:val="20"/>
              </w:rPr>
              <w:t>$2,936.00</w:t>
            </w:r>
          </w:p>
          <w:p w:rsidR="00B663C0" w:rsidRPr="00B663C0" w:rsidP="00B663C0" w14:paraId="1A15BB55" w14:textId="77777777">
            <w:pPr>
              <w:jc w:val="right"/>
              <w:rPr>
                <w:sz w:val="20"/>
              </w:rPr>
            </w:pPr>
          </w:p>
        </w:tc>
        <w:tc>
          <w:tcPr>
            <w:tcW w:w="3872" w:type="dxa"/>
          </w:tcPr>
          <w:p w:rsidR="00B663C0" w:rsidRPr="00B663C0" w:rsidP="00B663C0" w14:paraId="4EC05ADC" w14:textId="553D5F6F">
            <w:pPr>
              <w:rPr>
                <w:sz w:val="20"/>
              </w:rPr>
            </w:pPr>
            <w:r w:rsidRPr="00B663C0">
              <w:rPr>
                <w:sz w:val="20"/>
              </w:rPr>
              <w:t>Upon completion of a demonstration of proposed new SSMs or ASMs, interested parties may apply to the Associate Administrator for approval.</w:t>
            </w:r>
          </w:p>
        </w:tc>
      </w:tr>
      <w:tr w14:paraId="64ED4AD9" w14:textId="77777777" w:rsidTr="00A16454">
        <w:tblPrEx>
          <w:tblW w:w="13587" w:type="dxa"/>
          <w:tblLayout w:type="fixed"/>
          <w:tblLook w:val="04A0"/>
        </w:tblPrEx>
        <w:trPr>
          <w:trHeight w:val="1394"/>
        </w:trPr>
        <w:tc>
          <w:tcPr>
            <w:tcW w:w="2874" w:type="dxa"/>
          </w:tcPr>
          <w:p w:rsidR="00B663C0" w:rsidRPr="00B663C0" w:rsidP="00B663C0" w14:paraId="44A9C8E2" w14:textId="77777777">
            <w:pPr>
              <w:rPr>
                <w:sz w:val="20"/>
              </w:rPr>
            </w:pPr>
            <w:r w:rsidRPr="00B663C0">
              <w:rPr>
                <w:sz w:val="20"/>
              </w:rPr>
              <w:t>—(g) A public authority or other interested party may appeal to the Administrator from a decision by the Associate Administrator granting or denying approval of a proposed new SSM or ASM</w:t>
            </w:r>
          </w:p>
        </w:tc>
        <w:tc>
          <w:tcPr>
            <w:tcW w:w="10713" w:type="dxa"/>
            <w:gridSpan w:val="7"/>
          </w:tcPr>
          <w:p w:rsidR="00B663C0" w:rsidRPr="00B663C0" w:rsidP="00B663C0" w14:paraId="408C6436" w14:textId="77777777">
            <w:pPr>
              <w:rPr>
                <w:sz w:val="20"/>
              </w:rPr>
            </w:pPr>
            <w:r w:rsidRPr="00B663C0">
              <w:rPr>
                <w:sz w:val="20"/>
              </w:rPr>
              <w:t>The estimated paperwork burden for this requirement is covered under § 222.57.</w:t>
            </w:r>
          </w:p>
        </w:tc>
      </w:tr>
      <w:tr w14:paraId="5F803EDD" w14:textId="77777777" w:rsidTr="00CB76AC">
        <w:tblPrEx>
          <w:tblW w:w="13587" w:type="dxa"/>
          <w:tblLayout w:type="fixed"/>
          <w:tblLook w:val="04A0"/>
        </w:tblPrEx>
        <w:trPr>
          <w:trHeight w:val="89"/>
        </w:trPr>
        <w:tc>
          <w:tcPr>
            <w:tcW w:w="13587" w:type="dxa"/>
            <w:gridSpan w:val="8"/>
          </w:tcPr>
          <w:p w:rsidR="00B663C0" w:rsidRPr="00B663C0" w:rsidP="00B663C0" w14:paraId="7E5D61DC" w14:textId="77777777">
            <w:pPr>
              <w:rPr>
                <w:sz w:val="20"/>
              </w:rPr>
            </w:pPr>
            <w:r w:rsidRPr="00B663C0">
              <w:rPr>
                <w:b/>
                <w:bCs/>
                <w:sz w:val="20"/>
              </w:rPr>
              <w:t>222.57 Can parties seek review of the Associate Administrator's actions?</w:t>
            </w:r>
          </w:p>
        </w:tc>
      </w:tr>
      <w:tr w14:paraId="74B81B5D" w14:textId="77777777" w:rsidTr="00B663C0">
        <w:tblPrEx>
          <w:tblW w:w="13587" w:type="dxa"/>
          <w:tblLayout w:type="fixed"/>
          <w:tblLook w:val="04A0"/>
        </w:tblPrEx>
        <w:trPr>
          <w:trHeight w:val="1637"/>
        </w:trPr>
        <w:tc>
          <w:tcPr>
            <w:tcW w:w="2874" w:type="dxa"/>
            <w:vMerge w:val="restart"/>
            <w:hideMark/>
          </w:tcPr>
          <w:p w:rsidR="00B663C0" w:rsidRPr="00B663C0" w:rsidP="00B663C0" w14:paraId="55F88D8F" w14:textId="77777777">
            <w:pPr>
              <w:rPr>
                <w:sz w:val="20"/>
              </w:rPr>
            </w:pPr>
            <w:r w:rsidRPr="00B663C0">
              <w:rPr>
                <w:sz w:val="20"/>
              </w:rPr>
              <w:t xml:space="preserve"> —(a) Petition to FRA for review of any decision by the Associate Administrator granting or denying an application for approval of a new SSM or ASM under § 222.55 </w:t>
            </w:r>
          </w:p>
          <w:p w:rsidR="00B663C0" w:rsidRPr="00B663C0" w:rsidP="00B663C0" w14:paraId="3B5B88A8" w14:textId="2E830529">
            <w:pPr>
              <w:rPr>
                <w:sz w:val="20"/>
              </w:rPr>
            </w:pPr>
            <w:r w:rsidRPr="00B663C0">
              <w:rPr>
                <w:sz w:val="20"/>
              </w:rPr>
              <w:t>— Copies to the required parties</w:t>
            </w:r>
          </w:p>
          <w:p w:rsidR="00B663C0" w:rsidRPr="00B663C0" w:rsidP="00B663C0" w14:paraId="4196697A" w14:textId="77777777">
            <w:pPr>
              <w:rPr>
                <w:sz w:val="20"/>
              </w:rPr>
            </w:pPr>
          </w:p>
        </w:tc>
        <w:tc>
          <w:tcPr>
            <w:tcW w:w="1169" w:type="dxa"/>
            <w:vMerge w:val="restart"/>
            <w:hideMark/>
          </w:tcPr>
          <w:p w:rsidR="00B663C0" w:rsidRPr="00B663C0" w:rsidP="00B663C0" w14:paraId="42593BFF" w14:textId="77777777">
            <w:pPr>
              <w:jc w:val="center"/>
              <w:rPr>
                <w:sz w:val="20"/>
              </w:rPr>
            </w:pPr>
            <w:r w:rsidRPr="00B663C0">
              <w:rPr>
                <w:sz w:val="20"/>
              </w:rPr>
              <w:t>645</w:t>
            </w:r>
          </w:p>
          <w:p w:rsidR="00B663C0" w:rsidRPr="00B663C0" w:rsidP="00B663C0" w14:paraId="745F74D5" w14:textId="77777777">
            <w:pPr>
              <w:jc w:val="center"/>
              <w:rPr>
                <w:sz w:val="20"/>
              </w:rPr>
            </w:pPr>
            <w:r w:rsidRPr="00B663C0">
              <w:rPr>
                <w:sz w:val="20"/>
              </w:rPr>
              <w:t>public authorities and interested parties</w:t>
            </w:r>
          </w:p>
        </w:tc>
        <w:tc>
          <w:tcPr>
            <w:tcW w:w="1350" w:type="dxa"/>
            <w:hideMark/>
          </w:tcPr>
          <w:p w:rsidR="00B663C0" w:rsidRPr="00B663C0" w:rsidP="00B663C0" w14:paraId="0D120F5C" w14:textId="77777777">
            <w:pPr>
              <w:jc w:val="center"/>
              <w:rPr>
                <w:sz w:val="20"/>
              </w:rPr>
            </w:pPr>
            <w:r w:rsidRPr="00B663C0">
              <w:rPr>
                <w:sz w:val="20"/>
              </w:rPr>
              <w:t>1</w:t>
            </w:r>
          </w:p>
          <w:p w:rsidR="00B663C0" w:rsidRPr="00B663C0" w:rsidP="00B663C0" w14:paraId="08E3F931" w14:textId="77777777">
            <w:pPr>
              <w:jc w:val="center"/>
              <w:rPr>
                <w:sz w:val="20"/>
              </w:rPr>
            </w:pPr>
            <w:r w:rsidRPr="00B663C0">
              <w:rPr>
                <w:sz w:val="20"/>
              </w:rPr>
              <w:t>petition</w:t>
            </w:r>
          </w:p>
        </w:tc>
        <w:tc>
          <w:tcPr>
            <w:tcW w:w="990" w:type="dxa"/>
            <w:hideMark/>
          </w:tcPr>
          <w:p w:rsidR="00B663C0" w:rsidRPr="00B663C0" w:rsidP="00B663C0" w14:paraId="2CDB8C31" w14:textId="77777777">
            <w:pPr>
              <w:jc w:val="center"/>
              <w:rPr>
                <w:sz w:val="20"/>
              </w:rPr>
            </w:pPr>
            <w:r w:rsidRPr="00B663C0">
              <w:rPr>
                <w:sz w:val="20"/>
              </w:rPr>
              <w:t>2</w:t>
            </w:r>
          </w:p>
          <w:p w:rsidR="00B663C0" w:rsidRPr="00B663C0" w:rsidP="00B663C0" w14:paraId="7D9E00E6" w14:textId="77777777">
            <w:pPr>
              <w:jc w:val="center"/>
              <w:rPr>
                <w:sz w:val="20"/>
              </w:rPr>
            </w:pPr>
            <w:r w:rsidRPr="00B663C0">
              <w:rPr>
                <w:sz w:val="20"/>
              </w:rPr>
              <w:t>hours</w:t>
            </w:r>
          </w:p>
        </w:tc>
        <w:tc>
          <w:tcPr>
            <w:tcW w:w="990" w:type="dxa"/>
            <w:hideMark/>
          </w:tcPr>
          <w:p w:rsidR="00B663C0" w:rsidRPr="00B663C0" w:rsidP="00B663C0" w14:paraId="3195743D" w14:textId="77777777">
            <w:pPr>
              <w:jc w:val="center"/>
              <w:rPr>
                <w:sz w:val="20"/>
              </w:rPr>
            </w:pPr>
            <w:r w:rsidRPr="00B663C0">
              <w:rPr>
                <w:sz w:val="20"/>
              </w:rPr>
              <w:t>2</w:t>
            </w:r>
          </w:p>
          <w:p w:rsidR="00B663C0" w:rsidRPr="00B663C0" w:rsidP="00B663C0" w14:paraId="4D99053A" w14:textId="77777777">
            <w:pPr>
              <w:jc w:val="center"/>
              <w:rPr>
                <w:sz w:val="20"/>
              </w:rPr>
            </w:pPr>
          </w:p>
        </w:tc>
        <w:tc>
          <w:tcPr>
            <w:tcW w:w="900" w:type="dxa"/>
          </w:tcPr>
          <w:p w:rsidR="00B663C0" w:rsidRPr="00B663C0" w:rsidP="00B663C0" w14:paraId="026A5D56" w14:textId="77777777">
            <w:pPr>
              <w:jc w:val="right"/>
              <w:rPr>
                <w:sz w:val="20"/>
              </w:rPr>
            </w:pPr>
            <w:r w:rsidRPr="00B663C0">
              <w:rPr>
                <w:sz w:val="20"/>
              </w:rPr>
              <w:t>$73.40</w:t>
            </w:r>
          </w:p>
        </w:tc>
        <w:tc>
          <w:tcPr>
            <w:tcW w:w="1442" w:type="dxa"/>
            <w:hideMark/>
          </w:tcPr>
          <w:p w:rsidR="00B663C0" w:rsidRPr="00B663C0" w:rsidP="00B663C0" w14:paraId="458B68DC" w14:textId="77777777">
            <w:pPr>
              <w:jc w:val="right"/>
              <w:rPr>
                <w:sz w:val="20"/>
              </w:rPr>
            </w:pPr>
            <w:r w:rsidRPr="00B663C0">
              <w:rPr>
                <w:sz w:val="20"/>
              </w:rPr>
              <w:t>$146.80</w:t>
            </w:r>
          </w:p>
        </w:tc>
        <w:tc>
          <w:tcPr>
            <w:tcW w:w="3872" w:type="dxa"/>
            <w:vMerge w:val="restart"/>
          </w:tcPr>
          <w:p w:rsidR="00B663C0" w:rsidRPr="00B663C0" w:rsidP="00B663C0" w14:paraId="104297BE" w14:textId="7369B595">
            <w:pPr>
              <w:rPr>
                <w:sz w:val="20"/>
              </w:rPr>
            </w:pPr>
            <w:r w:rsidRPr="00B663C0">
              <w:rPr>
                <w:sz w:val="20"/>
              </w:rPr>
              <w:t>A public authority or other interested party may petition the Administrator for review of any decision by the Associate Administrator granting or denying an application for approval of a new SSM or ASM under § 222.55.</w:t>
            </w:r>
          </w:p>
          <w:p w:rsidR="00B663C0" w:rsidRPr="00B663C0" w:rsidP="00B663C0" w14:paraId="65C41A01" w14:textId="77777777">
            <w:pPr>
              <w:rPr>
                <w:sz w:val="20"/>
              </w:rPr>
            </w:pPr>
          </w:p>
          <w:p w:rsidR="00B663C0" w:rsidRPr="00B663C0" w:rsidP="00B663C0" w14:paraId="2F268B3B" w14:textId="77777777">
            <w:pPr>
              <w:rPr>
                <w:sz w:val="20"/>
              </w:rPr>
            </w:pPr>
          </w:p>
        </w:tc>
      </w:tr>
      <w:tr w14:paraId="4142F4C5" w14:textId="77777777" w:rsidTr="00B663C0">
        <w:tblPrEx>
          <w:tblW w:w="13587" w:type="dxa"/>
          <w:tblLayout w:type="fixed"/>
          <w:tblLook w:val="04A0"/>
        </w:tblPrEx>
        <w:trPr>
          <w:trHeight w:val="593"/>
        </w:trPr>
        <w:tc>
          <w:tcPr>
            <w:tcW w:w="2874" w:type="dxa"/>
            <w:vMerge/>
          </w:tcPr>
          <w:p w:rsidR="00B663C0" w:rsidRPr="00B663C0" w:rsidP="00B663C0" w14:paraId="55FEC32F" w14:textId="77777777">
            <w:pPr>
              <w:rPr>
                <w:sz w:val="20"/>
              </w:rPr>
            </w:pPr>
          </w:p>
        </w:tc>
        <w:tc>
          <w:tcPr>
            <w:tcW w:w="1169" w:type="dxa"/>
            <w:vMerge/>
          </w:tcPr>
          <w:p w:rsidR="00B663C0" w:rsidRPr="00B663C0" w:rsidP="00B663C0" w14:paraId="2992BA6B" w14:textId="77777777">
            <w:pPr>
              <w:rPr>
                <w:sz w:val="20"/>
              </w:rPr>
            </w:pPr>
          </w:p>
        </w:tc>
        <w:tc>
          <w:tcPr>
            <w:tcW w:w="1350" w:type="dxa"/>
          </w:tcPr>
          <w:p w:rsidR="00B663C0" w:rsidRPr="00B663C0" w:rsidP="00B663C0" w14:paraId="7D065443" w14:textId="77777777">
            <w:pPr>
              <w:jc w:val="center"/>
              <w:rPr>
                <w:sz w:val="20"/>
              </w:rPr>
            </w:pPr>
            <w:r w:rsidRPr="00B663C0">
              <w:rPr>
                <w:sz w:val="20"/>
              </w:rPr>
              <w:t>6</w:t>
            </w:r>
          </w:p>
          <w:p w:rsidR="00B663C0" w:rsidRPr="00B663C0" w:rsidP="00B663C0" w14:paraId="76DB93C9" w14:textId="77777777">
            <w:pPr>
              <w:jc w:val="center"/>
              <w:rPr>
                <w:sz w:val="20"/>
              </w:rPr>
            </w:pPr>
            <w:r w:rsidRPr="00B663C0">
              <w:rPr>
                <w:sz w:val="20"/>
              </w:rPr>
              <w:t>copies</w:t>
            </w:r>
          </w:p>
        </w:tc>
        <w:tc>
          <w:tcPr>
            <w:tcW w:w="990" w:type="dxa"/>
          </w:tcPr>
          <w:p w:rsidR="00B663C0" w:rsidRPr="00B663C0" w:rsidP="00B663C0" w14:paraId="60C17330" w14:textId="77777777">
            <w:pPr>
              <w:jc w:val="center"/>
              <w:rPr>
                <w:sz w:val="20"/>
              </w:rPr>
            </w:pPr>
            <w:r w:rsidRPr="00B663C0">
              <w:rPr>
                <w:sz w:val="20"/>
              </w:rPr>
              <w:t>2</w:t>
            </w:r>
          </w:p>
          <w:p w:rsidR="00B663C0" w:rsidRPr="00B663C0" w:rsidP="00B663C0" w14:paraId="786CEB4D" w14:textId="77777777">
            <w:pPr>
              <w:jc w:val="center"/>
              <w:rPr>
                <w:sz w:val="20"/>
              </w:rPr>
            </w:pPr>
            <w:r w:rsidRPr="00B663C0">
              <w:rPr>
                <w:sz w:val="20"/>
              </w:rPr>
              <w:t>minutes</w:t>
            </w:r>
          </w:p>
        </w:tc>
        <w:tc>
          <w:tcPr>
            <w:tcW w:w="990" w:type="dxa"/>
          </w:tcPr>
          <w:p w:rsidR="00B663C0" w:rsidRPr="00B663C0" w:rsidP="00B663C0" w14:paraId="058BD446" w14:textId="77777777">
            <w:pPr>
              <w:jc w:val="center"/>
              <w:rPr>
                <w:sz w:val="20"/>
              </w:rPr>
            </w:pPr>
            <w:r w:rsidRPr="00B663C0">
              <w:rPr>
                <w:sz w:val="20"/>
              </w:rPr>
              <w:t>0.20</w:t>
            </w:r>
          </w:p>
          <w:p w:rsidR="00B663C0" w:rsidRPr="00B663C0" w:rsidP="00B663C0" w14:paraId="605B391A" w14:textId="77777777">
            <w:pPr>
              <w:jc w:val="center"/>
              <w:rPr>
                <w:sz w:val="20"/>
              </w:rPr>
            </w:pPr>
          </w:p>
        </w:tc>
        <w:tc>
          <w:tcPr>
            <w:tcW w:w="900" w:type="dxa"/>
          </w:tcPr>
          <w:p w:rsidR="00B663C0" w:rsidRPr="00B663C0" w:rsidP="00B663C0" w14:paraId="26AA72B6" w14:textId="77777777">
            <w:pPr>
              <w:jc w:val="right"/>
              <w:rPr>
                <w:sz w:val="20"/>
              </w:rPr>
            </w:pPr>
            <w:r w:rsidRPr="00B663C0">
              <w:rPr>
                <w:sz w:val="20"/>
              </w:rPr>
              <w:t>$73.40</w:t>
            </w:r>
          </w:p>
        </w:tc>
        <w:tc>
          <w:tcPr>
            <w:tcW w:w="1442" w:type="dxa"/>
          </w:tcPr>
          <w:p w:rsidR="00B663C0" w:rsidRPr="00B663C0" w:rsidP="00B663C0" w14:paraId="73FF88E8" w14:textId="77777777">
            <w:pPr>
              <w:jc w:val="right"/>
              <w:rPr>
                <w:sz w:val="20"/>
              </w:rPr>
            </w:pPr>
            <w:r w:rsidRPr="00B663C0">
              <w:rPr>
                <w:sz w:val="20"/>
              </w:rPr>
              <w:t>$14.68</w:t>
            </w:r>
          </w:p>
        </w:tc>
        <w:tc>
          <w:tcPr>
            <w:tcW w:w="3872" w:type="dxa"/>
            <w:vMerge/>
          </w:tcPr>
          <w:p w:rsidR="00B663C0" w:rsidRPr="00B663C0" w:rsidP="00B663C0" w14:paraId="2D340F7D" w14:textId="77777777">
            <w:pPr>
              <w:rPr>
                <w:sz w:val="20"/>
              </w:rPr>
            </w:pPr>
          </w:p>
        </w:tc>
      </w:tr>
      <w:tr w14:paraId="1BA4DAE6" w14:textId="77777777" w:rsidTr="00B663C0">
        <w:tblPrEx>
          <w:tblW w:w="13587" w:type="dxa"/>
          <w:tblLayout w:type="fixed"/>
          <w:tblLook w:val="04A0"/>
        </w:tblPrEx>
        <w:trPr>
          <w:trHeight w:val="3220"/>
        </w:trPr>
        <w:tc>
          <w:tcPr>
            <w:tcW w:w="2874" w:type="dxa"/>
            <w:hideMark/>
          </w:tcPr>
          <w:p w:rsidR="00B663C0" w:rsidRPr="00B663C0" w:rsidP="00B663C0" w14:paraId="40B4F28C" w14:textId="77777777">
            <w:pPr>
              <w:rPr>
                <w:sz w:val="20"/>
              </w:rPr>
            </w:pPr>
            <w:r w:rsidRPr="00B663C0">
              <w:rPr>
                <w:sz w:val="20"/>
              </w:rPr>
              <w:t>—(b) Request for FRA reconsideration of decision by the Associate Administrator denying an application for approval of quiet zone or requiring additional safety measures.  This includes:</w:t>
            </w:r>
          </w:p>
          <w:p w:rsidR="00B663C0" w:rsidRPr="00B663C0" w:rsidP="00B663C0" w14:paraId="78C9BB8C" w14:textId="77777777">
            <w:pPr>
              <w:rPr>
                <w:sz w:val="20"/>
              </w:rPr>
            </w:pPr>
            <w:r w:rsidRPr="00B663C0">
              <w:rPr>
                <w:sz w:val="20"/>
              </w:rPr>
              <w:t>copies of requests to required parties, additional documents, and letter of request for informal hearing</w:t>
            </w:r>
          </w:p>
        </w:tc>
        <w:tc>
          <w:tcPr>
            <w:tcW w:w="1169" w:type="dxa"/>
            <w:hideMark/>
          </w:tcPr>
          <w:p w:rsidR="00B663C0" w:rsidRPr="00B663C0" w:rsidP="00B663C0" w14:paraId="6E2CF021" w14:textId="77777777">
            <w:pPr>
              <w:jc w:val="center"/>
              <w:rPr>
                <w:sz w:val="20"/>
              </w:rPr>
            </w:pPr>
            <w:r w:rsidRPr="00B663C0">
              <w:rPr>
                <w:sz w:val="20"/>
              </w:rPr>
              <w:t>645</w:t>
            </w:r>
          </w:p>
          <w:p w:rsidR="00B663C0" w:rsidRPr="00B663C0" w:rsidP="00B663C0" w14:paraId="4D050F02" w14:textId="77777777">
            <w:pPr>
              <w:jc w:val="center"/>
              <w:rPr>
                <w:sz w:val="20"/>
              </w:rPr>
            </w:pPr>
            <w:r w:rsidRPr="00B663C0">
              <w:rPr>
                <w:sz w:val="20"/>
              </w:rPr>
              <w:t>public authorities</w:t>
            </w:r>
          </w:p>
        </w:tc>
        <w:tc>
          <w:tcPr>
            <w:tcW w:w="1350" w:type="dxa"/>
            <w:hideMark/>
          </w:tcPr>
          <w:p w:rsidR="00B663C0" w:rsidRPr="00B663C0" w:rsidP="00B663C0" w14:paraId="561DA4A7" w14:textId="77777777">
            <w:pPr>
              <w:jc w:val="center"/>
              <w:rPr>
                <w:sz w:val="20"/>
              </w:rPr>
            </w:pPr>
            <w:r w:rsidRPr="00B663C0">
              <w:rPr>
                <w:sz w:val="20"/>
              </w:rPr>
              <w:t>1</w:t>
            </w:r>
          </w:p>
          <w:p w:rsidR="00B663C0" w:rsidRPr="00B663C0" w:rsidP="00B663C0" w14:paraId="4A428E35" w14:textId="77777777">
            <w:pPr>
              <w:jc w:val="center"/>
              <w:rPr>
                <w:sz w:val="20"/>
              </w:rPr>
            </w:pPr>
            <w:r w:rsidRPr="00B663C0">
              <w:rPr>
                <w:sz w:val="20"/>
              </w:rPr>
              <w:t>petition</w:t>
            </w:r>
          </w:p>
        </w:tc>
        <w:tc>
          <w:tcPr>
            <w:tcW w:w="990" w:type="dxa"/>
          </w:tcPr>
          <w:p w:rsidR="00B663C0" w:rsidRPr="00B663C0" w:rsidP="00B663C0" w14:paraId="76566489" w14:textId="77777777">
            <w:pPr>
              <w:jc w:val="center"/>
              <w:rPr>
                <w:sz w:val="20"/>
              </w:rPr>
            </w:pPr>
            <w:r w:rsidRPr="00B663C0">
              <w:rPr>
                <w:sz w:val="20"/>
              </w:rPr>
              <w:t>4.50</w:t>
            </w:r>
          </w:p>
        </w:tc>
        <w:tc>
          <w:tcPr>
            <w:tcW w:w="990" w:type="dxa"/>
            <w:hideMark/>
          </w:tcPr>
          <w:p w:rsidR="00B663C0" w:rsidRPr="00B663C0" w:rsidP="00B663C0" w14:paraId="6B5BE170" w14:textId="77777777">
            <w:pPr>
              <w:jc w:val="center"/>
              <w:rPr>
                <w:sz w:val="20"/>
              </w:rPr>
            </w:pPr>
            <w:r w:rsidRPr="00B663C0">
              <w:rPr>
                <w:sz w:val="20"/>
              </w:rPr>
              <w:t>4.50</w:t>
            </w:r>
          </w:p>
          <w:p w:rsidR="00B663C0" w:rsidRPr="00B663C0" w:rsidP="00B663C0" w14:paraId="3EE487B0" w14:textId="77777777">
            <w:pPr>
              <w:jc w:val="center"/>
              <w:rPr>
                <w:sz w:val="20"/>
              </w:rPr>
            </w:pPr>
          </w:p>
        </w:tc>
        <w:tc>
          <w:tcPr>
            <w:tcW w:w="900" w:type="dxa"/>
          </w:tcPr>
          <w:p w:rsidR="00B663C0" w:rsidRPr="00B663C0" w:rsidP="00B663C0" w14:paraId="60364A78" w14:textId="77777777">
            <w:pPr>
              <w:jc w:val="right"/>
              <w:rPr>
                <w:sz w:val="20"/>
              </w:rPr>
            </w:pPr>
            <w:r w:rsidRPr="00B663C0">
              <w:rPr>
                <w:sz w:val="20"/>
              </w:rPr>
              <w:t>$73.40</w:t>
            </w:r>
          </w:p>
        </w:tc>
        <w:tc>
          <w:tcPr>
            <w:tcW w:w="1442" w:type="dxa"/>
            <w:hideMark/>
          </w:tcPr>
          <w:p w:rsidR="00B663C0" w:rsidRPr="00B663C0" w:rsidP="00B663C0" w14:paraId="1DD3CE23" w14:textId="77777777">
            <w:pPr>
              <w:jc w:val="right"/>
              <w:rPr>
                <w:sz w:val="20"/>
              </w:rPr>
            </w:pPr>
            <w:r w:rsidRPr="00B663C0">
              <w:rPr>
                <w:sz w:val="20"/>
              </w:rPr>
              <w:t xml:space="preserve">$330.30 </w:t>
            </w:r>
          </w:p>
        </w:tc>
        <w:tc>
          <w:tcPr>
            <w:tcW w:w="3872" w:type="dxa"/>
          </w:tcPr>
          <w:p w:rsidR="00B663C0" w:rsidRPr="00B663C0" w:rsidP="00B663C0" w14:paraId="6197E7CF" w14:textId="658C17B7">
            <w:pPr>
              <w:rPr>
                <w:sz w:val="20"/>
              </w:rPr>
            </w:pPr>
            <w:r w:rsidRPr="00B663C0">
              <w:rPr>
                <w:sz w:val="20"/>
              </w:rPr>
              <w:t xml:space="preserve">A public authority may request reconsideration of a decision by the Associate Administrator to deny an application by that authority for approval of a quiet zone, or to require additional safety measures, by filing a petition for reconsideration with the Associate Administrator.  The petition shall be filed within 60 days of the date of the decision to be reconsidered and be served upon all parties listed in </w:t>
            </w:r>
            <w:hyperlink r:id="rId13" w:anchor="p-222.39(b)(3)" w:history="1">
              <w:r w:rsidRPr="00B663C0">
                <w:rPr>
                  <w:sz w:val="20"/>
                </w:rPr>
                <w:t>§ 222.39(b)(3)</w:t>
              </w:r>
            </w:hyperlink>
            <w:r w:rsidRPr="00B663C0">
              <w:rPr>
                <w:sz w:val="20"/>
              </w:rPr>
              <w:t>.</w:t>
            </w:r>
            <w:r w:rsidRPr="00B663C0">
              <w:rPr>
                <w:rFonts w:asciiTheme="minorHAnsi" w:eastAsiaTheme="minorHAnsi" w:hAnsiTheme="minorHAnsi" w:cstheme="minorBidi"/>
                <w:kern w:val="2"/>
                <w:sz w:val="22"/>
                <w:szCs w:val="22"/>
                <w14:ligatures w14:val="standardContextual"/>
              </w:rPr>
              <w:t xml:space="preserve"> </w:t>
            </w:r>
            <w:r w:rsidR="005177D2">
              <w:rPr>
                <w:rFonts w:asciiTheme="minorHAnsi" w:eastAsiaTheme="minorHAnsi" w:hAnsiTheme="minorHAnsi" w:cstheme="minorBidi"/>
                <w:kern w:val="2"/>
                <w:sz w:val="22"/>
                <w:szCs w:val="22"/>
                <w14:ligatures w14:val="standardContextual"/>
              </w:rPr>
              <w:t xml:space="preserve"> </w:t>
            </w:r>
            <w:r w:rsidRPr="00B663C0">
              <w:rPr>
                <w:sz w:val="20"/>
              </w:rPr>
              <w:t>Upon receipt of a timely and proper petition, the Associate Administrator will provide the petitioner an opportunity to submit additional materials and to request an informal hearing.</w:t>
            </w:r>
          </w:p>
        </w:tc>
      </w:tr>
      <w:tr w14:paraId="23F4922F" w14:textId="77777777" w:rsidTr="00B663C0">
        <w:tblPrEx>
          <w:tblW w:w="13587" w:type="dxa"/>
          <w:tblLayout w:type="fixed"/>
          <w:tblLook w:val="04A0"/>
        </w:tblPrEx>
        <w:trPr>
          <w:trHeight w:val="144"/>
        </w:trPr>
        <w:tc>
          <w:tcPr>
            <w:tcW w:w="2874" w:type="dxa"/>
          </w:tcPr>
          <w:p w:rsidR="00B663C0" w:rsidRPr="00B663C0" w:rsidP="00B663C0" w14:paraId="1E6E7635" w14:textId="77777777">
            <w:pPr>
              <w:rPr>
                <w:sz w:val="20"/>
              </w:rPr>
            </w:pPr>
            <w:r w:rsidRPr="00B663C0">
              <w:rPr>
                <w:sz w:val="20"/>
              </w:rPr>
              <w:t>—(c) Request for FRA reconsideration of decision to terminate a quiet zone</w:t>
            </w:r>
          </w:p>
          <w:p w:rsidR="00B663C0" w:rsidRPr="00B663C0" w:rsidP="00B663C0" w14:paraId="0EB9A221" w14:textId="4A76B360">
            <w:pPr>
              <w:rPr>
                <w:sz w:val="20"/>
              </w:rPr>
            </w:pPr>
            <w:r w:rsidRPr="00B663C0">
              <w:rPr>
                <w:sz w:val="20"/>
              </w:rPr>
              <w:t>(</w:t>
            </w:r>
            <w:r w:rsidR="000C13ED">
              <w:rPr>
                <w:sz w:val="20"/>
              </w:rPr>
              <w:t>i</w:t>
            </w:r>
            <w:r w:rsidRPr="00B663C0">
              <w:rPr>
                <w:sz w:val="20"/>
              </w:rPr>
              <w:t>ncluding copies to required parties, additional documents, and request for informal hearing)</w:t>
            </w:r>
          </w:p>
        </w:tc>
        <w:tc>
          <w:tcPr>
            <w:tcW w:w="1169" w:type="dxa"/>
          </w:tcPr>
          <w:p w:rsidR="00B663C0" w:rsidRPr="00B663C0" w:rsidP="00B663C0" w14:paraId="028D7B6C" w14:textId="77777777">
            <w:pPr>
              <w:jc w:val="center"/>
              <w:rPr>
                <w:sz w:val="20"/>
              </w:rPr>
            </w:pPr>
            <w:r w:rsidRPr="00B663C0">
              <w:rPr>
                <w:sz w:val="20"/>
              </w:rPr>
              <w:t>645</w:t>
            </w:r>
          </w:p>
          <w:p w:rsidR="00B663C0" w:rsidRPr="00B663C0" w:rsidP="00B663C0" w14:paraId="08C490E4" w14:textId="77777777">
            <w:pPr>
              <w:jc w:val="center"/>
              <w:rPr>
                <w:sz w:val="20"/>
              </w:rPr>
            </w:pPr>
            <w:r w:rsidRPr="00B663C0">
              <w:rPr>
                <w:sz w:val="20"/>
              </w:rPr>
              <w:t xml:space="preserve">public </w:t>
            </w:r>
          </w:p>
          <w:p w:rsidR="00B663C0" w:rsidRPr="00B663C0" w:rsidP="00B663C0" w14:paraId="77F72636" w14:textId="77777777">
            <w:pPr>
              <w:jc w:val="center"/>
              <w:rPr>
                <w:sz w:val="20"/>
              </w:rPr>
            </w:pPr>
            <w:r w:rsidRPr="00B663C0">
              <w:rPr>
                <w:sz w:val="20"/>
              </w:rPr>
              <w:t>authorities</w:t>
            </w:r>
          </w:p>
        </w:tc>
        <w:tc>
          <w:tcPr>
            <w:tcW w:w="1350" w:type="dxa"/>
          </w:tcPr>
          <w:p w:rsidR="00B663C0" w:rsidRPr="00B663C0" w:rsidP="00B663C0" w14:paraId="5F81DCF8" w14:textId="77777777">
            <w:pPr>
              <w:jc w:val="center"/>
              <w:rPr>
                <w:sz w:val="20"/>
              </w:rPr>
            </w:pPr>
            <w:r w:rsidRPr="00B663C0">
              <w:rPr>
                <w:sz w:val="20"/>
              </w:rPr>
              <w:t>1</w:t>
            </w:r>
          </w:p>
          <w:p w:rsidR="00B663C0" w:rsidRPr="00B663C0" w:rsidP="00B663C0" w14:paraId="1406EE4A" w14:textId="77777777">
            <w:pPr>
              <w:jc w:val="center"/>
              <w:rPr>
                <w:sz w:val="20"/>
              </w:rPr>
            </w:pPr>
            <w:r w:rsidRPr="00B663C0">
              <w:rPr>
                <w:sz w:val="20"/>
              </w:rPr>
              <w:t>petition</w:t>
            </w:r>
          </w:p>
        </w:tc>
        <w:tc>
          <w:tcPr>
            <w:tcW w:w="990" w:type="dxa"/>
          </w:tcPr>
          <w:p w:rsidR="00B663C0" w:rsidRPr="00B663C0" w:rsidP="00B663C0" w14:paraId="68F03857" w14:textId="77777777">
            <w:pPr>
              <w:jc w:val="center"/>
              <w:rPr>
                <w:sz w:val="20"/>
              </w:rPr>
            </w:pPr>
            <w:r w:rsidRPr="00B663C0">
              <w:rPr>
                <w:sz w:val="20"/>
              </w:rPr>
              <w:t>4.50</w:t>
            </w:r>
          </w:p>
          <w:p w:rsidR="00B663C0" w:rsidRPr="00B663C0" w:rsidP="00B663C0" w14:paraId="62AE48EE" w14:textId="77777777">
            <w:pPr>
              <w:jc w:val="center"/>
              <w:rPr>
                <w:sz w:val="20"/>
              </w:rPr>
            </w:pPr>
            <w:r w:rsidRPr="00B663C0">
              <w:rPr>
                <w:sz w:val="20"/>
              </w:rPr>
              <w:t>hours</w:t>
            </w:r>
          </w:p>
        </w:tc>
        <w:tc>
          <w:tcPr>
            <w:tcW w:w="990" w:type="dxa"/>
          </w:tcPr>
          <w:p w:rsidR="00B663C0" w:rsidRPr="00B663C0" w:rsidP="00B663C0" w14:paraId="5330BECE" w14:textId="77777777">
            <w:pPr>
              <w:jc w:val="center"/>
              <w:rPr>
                <w:sz w:val="20"/>
              </w:rPr>
            </w:pPr>
            <w:r w:rsidRPr="00B663C0">
              <w:rPr>
                <w:sz w:val="20"/>
              </w:rPr>
              <w:t>4.50</w:t>
            </w:r>
          </w:p>
        </w:tc>
        <w:tc>
          <w:tcPr>
            <w:tcW w:w="900" w:type="dxa"/>
          </w:tcPr>
          <w:p w:rsidR="00B663C0" w:rsidRPr="00B663C0" w:rsidP="00B663C0" w14:paraId="1014D7B4" w14:textId="77777777">
            <w:pPr>
              <w:jc w:val="right"/>
              <w:rPr>
                <w:sz w:val="20"/>
              </w:rPr>
            </w:pPr>
            <w:r w:rsidRPr="00B663C0">
              <w:rPr>
                <w:sz w:val="20"/>
              </w:rPr>
              <w:t>$73.40</w:t>
            </w:r>
          </w:p>
        </w:tc>
        <w:tc>
          <w:tcPr>
            <w:tcW w:w="1442" w:type="dxa"/>
          </w:tcPr>
          <w:p w:rsidR="00B663C0" w:rsidRPr="00B663C0" w:rsidP="00B663C0" w14:paraId="0AA3D954" w14:textId="77777777">
            <w:pPr>
              <w:jc w:val="right"/>
              <w:rPr>
                <w:sz w:val="20"/>
              </w:rPr>
            </w:pPr>
            <w:r w:rsidRPr="00B663C0">
              <w:rPr>
                <w:sz w:val="20"/>
              </w:rPr>
              <w:t>$330.30</w:t>
            </w:r>
          </w:p>
        </w:tc>
        <w:tc>
          <w:tcPr>
            <w:tcW w:w="3872" w:type="dxa"/>
          </w:tcPr>
          <w:p w:rsidR="00B663C0" w:rsidRPr="00B663C0" w:rsidP="00B663C0" w14:paraId="4AD52330" w14:textId="46CC594B">
            <w:pPr>
              <w:rPr>
                <w:sz w:val="20"/>
              </w:rPr>
            </w:pPr>
            <w:r w:rsidRPr="00B663C0">
              <w:rPr>
                <w:sz w:val="20"/>
              </w:rPr>
              <w:t xml:space="preserve">A public authority may request reconsideration of a decision by the Associate Administrator to terminate quiet zone status by filing a petition for reconsideration with the Associate Administrator. The petition must be filed within 60 days of the date of the decision, specify the grounds for the requested relief, and be served upon all parties listed in </w:t>
            </w:r>
            <w:hyperlink r:id="rId14" w:anchor="p-222.51(c)(2)" w:history="1">
              <w:r w:rsidRPr="00B663C0">
                <w:rPr>
                  <w:sz w:val="20"/>
                </w:rPr>
                <w:t>§ 222.51(c)(2)</w:t>
              </w:r>
            </w:hyperlink>
            <w:r w:rsidRPr="00B663C0">
              <w:rPr>
                <w:sz w:val="20"/>
              </w:rPr>
              <w:t>.</w:t>
            </w:r>
          </w:p>
          <w:p w:rsidR="00B663C0" w:rsidRPr="00B663C0" w:rsidP="00B663C0" w14:paraId="6DB3C0B3" w14:textId="77777777">
            <w:pPr>
              <w:rPr>
                <w:sz w:val="20"/>
              </w:rPr>
            </w:pPr>
            <w:r w:rsidRPr="00B663C0">
              <w:rPr>
                <w:sz w:val="20"/>
              </w:rPr>
              <w:t>Upon receipt of a timely and proper petition, the Associate Administrator will provide the petitioner an opportunity to submit additional materials and to request an informal hearing.</w:t>
            </w:r>
          </w:p>
        </w:tc>
      </w:tr>
      <w:tr w14:paraId="1BD8FE8B" w14:textId="77777777" w:rsidTr="00B663C0">
        <w:tblPrEx>
          <w:tblW w:w="13587" w:type="dxa"/>
          <w:tblLayout w:type="fixed"/>
          <w:tblLook w:val="04A0"/>
        </w:tblPrEx>
        <w:trPr>
          <w:trHeight w:val="510"/>
        </w:trPr>
        <w:tc>
          <w:tcPr>
            <w:tcW w:w="2874" w:type="dxa"/>
          </w:tcPr>
          <w:p w:rsidR="00B663C0" w:rsidRPr="00B663C0" w:rsidP="00B663C0" w14:paraId="7898D1FD" w14:textId="288A6FE9">
            <w:pPr>
              <w:rPr>
                <w:sz w:val="20"/>
              </w:rPr>
            </w:pPr>
            <w:r w:rsidRPr="00B663C0">
              <w:rPr>
                <w:sz w:val="20"/>
              </w:rPr>
              <w:t>—(d) Request for FRA reconsideration of approval of a quiet zone application</w:t>
            </w:r>
          </w:p>
          <w:p w:rsidR="00B663C0" w:rsidRPr="00B663C0" w:rsidP="00B663C0" w14:paraId="19BCCA9A" w14:textId="7FAFC031">
            <w:pPr>
              <w:rPr>
                <w:sz w:val="20"/>
              </w:rPr>
            </w:pPr>
            <w:r w:rsidRPr="00B663C0">
              <w:rPr>
                <w:sz w:val="20"/>
              </w:rPr>
              <w:t>(Including copies to required parties, additional documents</w:t>
            </w:r>
            <w:r w:rsidR="005C6497">
              <w:rPr>
                <w:sz w:val="20"/>
              </w:rPr>
              <w:t>,</w:t>
            </w:r>
            <w:r w:rsidRPr="00B663C0">
              <w:rPr>
                <w:sz w:val="20"/>
              </w:rPr>
              <w:t xml:space="preserve"> and request for informal hearing)</w:t>
            </w:r>
          </w:p>
        </w:tc>
        <w:tc>
          <w:tcPr>
            <w:tcW w:w="1169" w:type="dxa"/>
          </w:tcPr>
          <w:p w:rsidR="00B663C0" w:rsidRPr="00B663C0" w:rsidP="00B663C0" w14:paraId="7AB53ACD" w14:textId="77777777">
            <w:pPr>
              <w:jc w:val="center"/>
              <w:rPr>
                <w:sz w:val="20"/>
              </w:rPr>
            </w:pPr>
            <w:r w:rsidRPr="00B663C0">
              <w:rPr>
                <w:sz w:val="20"/>
              </w:rPr>
              <w:t>754</w:t>
            </w:r>
          </w:p>
          <w:p w:rsidR="00B663C0" w:rsidRPr="00B663C0" w:rsidP="00B663C0" w14:paraId="159DC7E8" w14:textId="77777777">
            <w:pPr>
              <w:jc w:val="center"/>
              <w:rPr>
                <w:sz w:val="20"/>
              </w:rPr>
            </w:pPr>
            <w:r w:rsidRPr="00B663C0">
              <w:rPr>
                <w:sz w:val="20"/>
              </w:rPr>
              <w:t>railroads</w:t>
            </w:r>
          </w:p>
        </w:tc>
        <w:tc>
          <w:tcPr>
            <w:tcW w:w="1350" w:type="dxa"/>
          </w:tcPr>
          <w:p w:rsidR="00B663C0" w:rsidRPr="00B663C0" w:rsidP="00B663C0" w14:paraId="610AC574" w14:textId="77777777">
            <w:pPr>
              <w:jc w:val="center"/>
              <w:rPr>
                <w:sz w:val="20"/>
              </w:rPr>
            </w:pPr>
            <w:r w:rsidRPr="00B663C0">
              <w:rPr>
                <w:sz w:val="20"/>
              </w:rPr>
              <w:t>1</w:t>
            </w:r>
          </w:p>
          <w:p w:rsidR="00B663C0" w:rsidRPr="00B663C0" w:rsidP="00B663C0" w14:paraId="7545D97D" w14:textId="77777777">
            <w:pPr>
              <w:jc w:val="center"/>
              <w:rPr>
                <w:sz w:val="20"/>
              </w:rPr>
            </w:pPr>
            <w:r w:rsidRPr="00B663C0">
              <w:rPr>
                <w:sz w:val="20"/>
              </w:rPr>
              <w:t>petition</w:t>
            </w:r>
          </w:p>
        </w:tc>
        <w:tc>
          <w:tcPr>
            <w:tcW w:w="990" w:type="dxa"/>
          </w:tcPr>
          <w:p w:rsidR="00B663C0" w:rsidRPr="00B663C0" w:rsidP="00B663C0" w14:paraId="13B59543" w14:textId="77777777">
            <w:pPr>
              <w:jc w:val="center"/>
              <w:rPr>
                <w:sz w:val="20"/>
              </w:rPr>
            </w:pPr>
            <w:r w:rsidRPr="00B663C0">
              <w:rPr>
                <w:sz w:val="20"/>
              </w:rPr>
              <w:t>4.50</w:t>
            </w:r>
          </w:p>
          <w:p w:rsidR="00B663C0" w:rsidRPr="00B663C0" w:rsidP="00B663C0" w14:paraId="382BE0C4" w14:textId="77777777">
            <w:pPr>
              <w:jc w:val="center"/>
              <w:rPr>
                <w:sz w:val="20"/>
              </w:rPr>
            </w:pPr>
            <w:r w:rsidRPr="00B663C0">
              <w:rPr>
                <w:sz w:val="20"/>
              </w:rPr>
              <w:t>hours</w:t>
            </w:r>
          </w:p>
        </w:tc>
        <w:tc>
          <w:tcPr>
            <w:tcW w:w="990" w:type="dxa"/>
          </w:tcPr>
          <w:p w:rsidR="00B663C0" w:rsidRPr="00B663C0" w:rsidP="00B663C0" w14:paraId="065A863D" w14:textId="77777777">
            <w:pPr>
              <w:jc w:val="center"/>
              <w:rPr>
                <w:sz w:val="20"/>
              </w:rPr>
            </w:pPr>
            <w:r w:rsidRPr="00B663C0">
              <w:rPr>
                <w:sz w:val="20"/>
              </w:rPr>
              <w:t>4.50</w:t>
            </w:r>
          </w:p>
        </w:tc>
        <w:tc>
          <w:tcPr>
            <w:tcW w:w="900" w:type="dxa"/>
          </w:tcPr>
          <w:p w:rsidR="00B663C0" w:rsidRPr="00B663C0" w:rsidP="00B663C0" w14:paraId="59DC8D21" w14:textId="77777777">
            <w:pPr>
              <w:jc w:val="right"/>
              <w:rPr>
                <w:sz w:val="20"/>
              </w:rPr>
            </w:pPr>
            <w:r w:rsidRPr="00B663C0">
              <w:rPr>
                <w:sz w:val="20"/>
              </w:rPr>
              <w:t>$73.40</w:t>
            </w:r>
          </w:p>
        </w:tc>
        <w:tc>
          <w:tcPr>
            <w:tcW w:w="1442" w:type="dxa"/>
          </w:tcPr>
          <w:p w:rsidR="00B663C0" w:rsidRPr="00B663C0" w:rsidP="00B663C0" w14:paraId="7D1F02F3" w14:textId="77777777">
            <w:pPr>
              <w:jc w:val="right"/>
              <w:rPr>
                <w:sz w:val="20"/>
              </w:rPr>
            </w:pPr>
            <w:r w:rsidRPr="00B663C0">
              <w:rPr>
                <w:sz w:val="20"/>
              </w:rPr>
              <w:t>$330.30</w:t>
            </w:r>
          </w:p>
        </w:tc>
        <w:tc>
          <w:tcPr>
            <w:tcW w:w="3872" w:type="dxa"/>
          </w:tcPr>
          <w:p w:rsidR="00B663C0" w:rsidRPr="00B663C0" w:rsidP="00B663C0" w14:paraId="29C12DEC" w14:textId="66C0C092">
            <w:pPr>
              <w:rPr>
                <w:sz w:val="20"/>
              </w:rPr>
            </w:pPr>
            <w:r w:rsidRPr="00B663C0">
              <w:rPr>
                <w:sz w:val="20"/>
              </w:rPr>
              <w:t xml:space="preserve">A railroad may request reconsideration of a decision by the Associate Administrator to approve an application for approval of a proposed quiet zone under </w:t>
            </w:r>
            <w:hyperlink r:id="rId13" w:anchor="p-222.39(b)" w:history="1">
              <w:r w:rsidRPr="00B663C0">
                <w:rPr>
                  <w:sz w:val="20"/>
                </w:rPr>
                <w:t xml:space="preserve">§ 222.39(b) </w:t>
              </w:r>
            </w:hyperlink>
            <w:r w:rsidRPr="00B663C0">
              <w:rPr>
                <w:sz w:val="20"/>
              </w:rPr>
              <w:t>by filing a petition for reconsideration with the Associate Administrator.</w:t>
            </w:r>
          </w:p>
          <w:p w:rsidR="00B663C0" w:rsidRPr="00B663C0" w:rsidP="00B663C0" w14:paraId="730B8422" w14:textId="5A9E4E7A">
            <w:pPr>
              <w:rPr>
                <w:sz w:val="20"/>
              </w:rPr>
            </w:pPr>
            <w:r w:rsidRPr="00B663C0">
              <w:rPr>
                <w:sz w:val="20"/>
              </w:rPr>
              <w:t xml:space="preserve">The petition shall be filed within 60 days of the date of the decision to be reconsidered, and be served upon all parties listed in </w:t>
            </w:r>
            <w:hyperlink r:id="rId13" w:anchor="p-222.39(b)(3)" w:history="1">
              <w:r w:rsidRPr="00B663C0">
                <w:rPr>
                  <w:sz w:val="20"/>
                </w:rPr>
                <w:t>§ 222.39(b)(3)</w:t>
              </w:r>
            </w:hyperlink>
            <w:r w:rsidRPr="00B663C0">
              <w:rPr>
                <w:sz w:val="20"/>
              </w:rPr>
              <w:t xml:space="preserve">. Upon receipt of a timely and proper petition, the Associate Administrator will provide the petitioner an opportunity to submit additional materials and to request an informal hearing.                       </w:t>
            </w:r>
          </w:p>
        </w:tc>
      </w:tr>
      <w:tr w14:paraId="0806E4D1" w14:textId="77777777" w:rsidTr="00A16454">
        <w:tblPrEx>
          <w:tblW w:w="13587" w:type="dxa"/>
          <w:tblLayout w:type="fixed"/>
          <w:tblLook w:val="04A0"/>
        </w:tblPrEx>
        <w:trPr>
          <w:trHeight w:val="188"/>
        </w:trPr>
        <w:tc>
          <w:tcPr>
            <w:tcW w:w="13587" w:type="dxa"/>
            <w:gridSpan w:val="8"/>
          </w:tcPr>
          <w:p w:rsidR="00B663C0" w:rsidRPr="00B663C0" w:rsidP="00B663C0" w14:paraId="6EA9ED70" w14:textId="77777777">
            <w:pPr>
              <w:rPr>
                <w:sz w:val="20"/>
              </w:rPr>
            </w:pPr>
            <w:r w:rsidRPr="00B663C0">
              <w:rPr>
                <w:b/>
                <w:bCs/>
                <w:sz w:val="20"/>
              </w:rPr>
              <w:t>222.59 When may a wayside horn be used?</w:t>
            </w:r>
          </w:p>
        </w:tc>
      </w:tr>
      <w:tr w14:paraId="7CE68FD2" w14:textId="77777777" w:rsidTr="00B663C0">
        <w:tblPrEx>
          <w:tblW w:w="13587" w:type="dxa"/>
          <w:tblLayout w:type="fixed"/>
          <w:tblLook w:val="04A0"/>
        </w:tblPrEx>
        <w:trPr>
          <w:trHeight w:val="836"/>
        </w:trPr>
        <w:tc>
          <w:tcPr>
            <w:tcW w:w="2874" w:type="dxa"/>
            <w:vMerge w:val="restart"/>
            <w:hideMark/>
          </w:tcPr>
          <w:p w:rsidR="00B663C0" w:rsidRPr="00B663C0" w:rsidP="00B663C0" w14:paraId="0B84D49C" w14:textId="77777777">
            <w:pPr>
              <w:rPr>
                <w:sz w:val="20"/>
              </w:rPr>
            </w:pPr>
            <w:r w:rsidRPr="00B663C0">
              <w:rPr>
                <w:sz w:val="20"/>
              </w:rPr>
              <w:t xml:space="preserve">—(b) Written notice of wayside horn installation at grade crossing within a quiet zone  </w:t>
            </w:r>
          </w:p>
          <w:p w:rsidR="00B663C0" w:rsidRPr="00B663C0" w:rsidP="00B663C0" w14:paraId="01DD1E5F" w14:textId="77777777">
            <w:pPr>
              <w:rPr>
                <w:sz w:val="20"/>
              </w:rPr>
            </w:pPr>
          </w:p>
          <w:p w:rsidR="00B663C0" w:rsidRPr="00B663C0" w:rsidP="00B663C0" w14:paraId="1AE2D0BF" w14:textId="77777777">
            <w:pPr>
              <w:rPr>
                <w:sz w:val="20"/>
              </w:rPr>
            </w:pPr>
            <w:r w:rsidRPr="00B663C0">
              <w:rPr>
                <w:sz w:val="20"/>
              </w:rPr>
              <w:t>—Copies of the written notices to the required parties</w:t>
            </w:r>
          </w:p>
          <w:p w:rsidR="00B663C0" w:rsidRPr="00B663C0" w:rsidP="00B663C0" w14:paraId="0A6EE5A4" w14:textId="77777777">
            <w:pPr>
              <w:rPr>
                <w:sz w:val="20"/>
              </w:rPr>
            </w:pPr>
          </w:p>
        </w:tc>
        <w:tc>
          <w:tcPr>
            <w:tcW w:w="1169" w:type="dxa"/>
            <w:vMerge w:val="restart"/>
            <w:hideMark/>
          </w:tcPr>
          <w:p w:rsidR="00B663C0" w:rsidRPr="00B663C0" w:rsidP="00B663C0" w14:paraId="5B6C7C2C" w14:textId="77777777">
            <w:pPr>
              <w:jc w:val="center"/>
              <w:rPr>
                <w:sz w:val="20"/>
              </w:rPr>
            </w:pPr>
            <w:r w:rsidRPr="00B663C0">
              <w:rPr>
                <w:sz w:val="20"/>
              </w:rPr>
              <w:t>645</w:t>
            </w:r>
          </w:p>
          <w:p w:rsidR="00B663C0" w:rsidRPr="00B663C0" w:rsidP="00B663C0" w14:paraId="6BE49BA4" w14:textId="77777777">
            <w:pPr>
              <w:jc w:val="center"/>
              <w:rPr>
                <w:sz w:val="20"/>
              </w:rPr>
            </w:pPr>
            <w:r w:rsidRPr="00B663C0">
              <w:rPr>
                <w:sz w:val="20"/>
              </w:rPr>
              <w:t>public authorities</w:t>
            </w:r>
          </w:p>
        </w:tc>
        <w:tc>
          <w:tcPr>
            <w:tcW w:w="1350" w:type="dxa"/>
            <w:hideMark/>
          </w:tcPr>
          <w:p w:rsidR="00B663C0" w:rsidRPr="00B663C0" w:rsidP="00B663C0" w14:paraId="3C33E5DA" w14:textId="77777777">
            <w:pPr>
              <w:jc w:val="center"/>
              <w:rPr>
                <w:sz w:val="20"/>
              </w:rPr>
            </w:pPr>
            <w:r w:rsidRPr="00B663C0">
              <w:rPr>
                <w:sz w:val="20"/>
              </w:rPr>
              <w:t>5</w:t>
            </w:r>
          </w:p>
          <w:p w:rsidR="00B663C0" w:rsidRPr="00B663C0" w:rsidP="00B663C0" w14:paraId="2E05BF07" w14:textId="77777777">
            <w:pPr>
              <w:jc w:val="center"/>
              <w:rPr>
                <w:sz w:val="20"/>
              </w:rPr>
            </w:pPr>
            <w:r w:rsidRPr="00B663C0">
              <w:rPr>
                <w:sz w:val="20"/>
              </w:rPr>
              <w:t>notices</w:t>
            </w:r>
          </w:p>
          <w:p w:rsidR="00B663C0" w:rsidRPr="00B663C0" w:rsidP="00B663C0" w14:paraId="2D7E396C" w14:textId="77777777">
            <w:pPr>
              <w:jc w:val="center"/>
              <w:rPr>
                <w:sz w:val="20"/>
              </w:rPr>
            </w:pPr>
          </w:p>
        </w:tc>
        <w:tc>
          <w:tcPr>
            <w:tcW w:w="990" w:type="dxa"/>
            <w:hideMark/>
          </w:tcPr>
          <w:p w:rsidR="00B663C0" w:rsidRPr="00B663C0" w:rsidP="00B663C0" w14:paraId="5E6DC1D1" w14:textId="77777777">
            <w:pPr>
              <w:jc w:val="center"/>
              <w:rPr>
                <w:sz w:val="20"/>
              </w:rPr>
            </w:pPr>
            <w:r w:rsidRPr="00B663C0">
              <w:rPr>
                <w:sz w:val="20"/>
              </w:rPr>
              <w:t xml:space="preserve">2.5 </w:t>
            </w:r>
          </w:p>
          <w:p w:rsidR="00B663C0" w:rsidRPr="00B663C0" w:rsidP="00B663C0" w14:paraId="33B16A1C" w14:textId="77777777">
            <w:pPr>
              <w:jc w:val="center"/>
              <w:rPr>
                <w:sz w:val="20"/>
              </w:rPr>
            </w:pPr>
            <w:r w:rsidRPr="00B663C0">
              <w:rPr>
                <w:sz w:val="20"/>
              </w:rPr>
              <w:t>hours</w:t>
            </w:r>
          </w:p>
        </w:tc>
        <w:tc>
          <w:tcPr>
            <w:tcW w:w="990" w:type="dxa"/>
            <w:hideMark/>
          </w:tcPr>
          <w:p w:rsidR="00B663C0" w:rsidRPr="00B663C0" w:rsidP="00B663C0" w14:paraId="38407F53" w14:textId="77777777">
            <w:pPr>
              <w:jc w:val="center"/>
              <w:rPr>
                <w:sz w:val="20"/>
              </w:rPr>
            </w:pPr>
            <w:r w:rsidRPr="00B663C0">
              <w:rPr>
                <w:sz w:val="20"/>
              </w:rPr>
              <w:t xml:space="preserve">12.50 </w:t>
            </w:r>
          </w:p>
        </w:tc>
        <w:tc>
          <w:tcPr>
            <w:tcW w:w="900" w:type="dxa"/>
          </w:tcPr>
          <w:p w:rsidR="00B663C0" w:rsidRPr="00B663C0" w:rsidP="00B663C0" w14:paraId="1D61741D" w14:textId="77777777">
            <w:pPr>
              <w:jc w:val="right"/>
              <w:rPr>
                <w:sz w:val="20"/>
              </w:rPr>
            </w:pPr>
            <w:r w:rsidRPr="00B663C0">
              <w:rPr>
                <w:sz w:val="20"/>
              </w:rPr>
              <w:t>$73.40</w:t>
            </w:r>
          </w:p>
        </w:tc>
        <w:tc>
          <w:tcPr>
            <w:tcW w:w="1442" w:type="dxa"/>
            <w:hideMark/>
          </w:tcPr>
          <w:p w:rsidR="00B663C0" w:rsidRPr="00B663C0" w:rsidP="00B663C0" w14:paraId="3EB031A9" w14:textId="77777777">
            <w:pPr>
              <w:jc w:val="right"/>
              <w:rPr>
                <w:sz w:val="20"/>
              </w:rPr>
            </w:pPr>
            <w:r w:rsidRPr="00B663C0">
              <w:rPr>
                <w:sz w:val="20"/>
              </w:rPr>
              <w:t>$917.50</w:t>
            </w:r>
          </w:p>
        </w:tc>
        <w:tc>
          <w:tcPr>
            <w:tcW w:w="3872" w:type="dxa"/>
            <w:vMerge w:val="restart"/>
          </w:tcPr>
          <w:p w:rsidR="00B663C0" w:rsidRPr="00B663C0" w:rsidP="00B663C0" w14:paraId="086DF1EC" w14:textId="0635819B">
            <w:pPr>
              <w:rPr>
                <w:sz w:val="20"/>
              </w:rPr>
            </w:pPr>
            <w:r w:rsidRPr="00B663C0">
              <w:rPr>
                <w:sz w:val="20"/>
              </w:rPr>
              <w:t>A public authority installing a wayside horn at a grade crossing shall provide written notice that a wayside horn is being installed to all railroads operating over the public highway-rail grade crossings within the quiet zone, the highway or traffic control authority or law enforcement authority having control over vehicular traffic at the crossings within the quiet zone, the landowner having control over any private crossings within the quiet zone, the State agency responsible for grade crossing safety, the State agency responsible for highway and road safety, and the Associate Administrator.</w:t>
            </w:r>
          </w:p>
        </w:tc>
      </w:tr>
      <w:tr w14:paraId="6FA4FD4B" w14:textId="77777777" w:rsidTr="00B663C0">
        <w:tblPrEx>
          <w:tblW w:w="13587" w:type="dxa"/>
          <w:tblLayout w:type="fixed"/>
          <w:tblLook w:val="04A0"/>
        </w:tblPrEx>
        <w:trPr>
          <w:trHeight w:val="791"/>
        </w:trPr>
        <w:tc>
          <w:tcPr>
            <w:tcW w:w="2874" w:type="dxa"/>
            <w:vMerge/>
          </w:tcPr>
          <w:p w:rsidR="00B663C0" w:rsidRPr="00B663C0" w:rsidP="00B663C0" w14:paraId="3428681F" w14:textId="77777777">
            <w:pPr>
              <w:rPr>
                <w:sz w:val="20"/>
              </w:rPr>
            </w:pPr>
          </w:p>
        </w:tc>
        <w:tc>
          <w:tcPr>
            <w:tcW w:w="1169" w:type="dxa"/>
            <w:vMerge/>
          </w:tcPr>
          <w:p w:rsidR="00B663C0" w:rsidRPr="00B663C0" w:rsidP="00B663C0" w14:paraId="0D2F386B" w14:textId="77777777">
            <w:pPr>
              <w:jc w:val="center"/>
              <w:rPr>
                <w:sz w:val="20"/>
              </w:rPr>
            </w:pPr>
          </w:p>
        </w:tc>
        <w:tc>
          <w:tcPr>
            <w:tcW w:w="1350" w:type="dxa"/>
          </w:tcPr>
          <w:p w:rsidR="00B663C0" w:rsidRPr="00B663C0" w:rsidP="00B663C0" w14:paraId="67941B77" w14:textId="77777777">
            <w:pPr>
              <w:jc w:val="center"/>
              <w:rPr>
                <w:sz w:val="20"/>
              </w:rPr>
            </w:pPr>
            <w:r w:rsidRPr="00B663C0">
              <w:rPr>
                <w:sz w:val="20"/>
              </w:rPr>
              <w:t>30</w:t>
            </w:r>
          </w:p>
          <w:p w:rsidR="00B663C0" w:rsidRPr="00B663C0" w:rsidP="00B663C0" w14:paraId="37EE7FB8" w14:textId="77777777">
            <w:pPr>
              <w:jc w:val="center"/>
              <w:rPr>
                <w:sz w:val="20"/>
              </w:rPr>
            </w:pPr>
            <w:r w:rsidRPr="00B663C0">
              <w:rPr>
                <w:sz w:val="20"/>
              </w:rPr>
              <w:t>copies</w:t>
            </w:r>
          </w:p>
        </w:tc>
        <w:tc>
          <w:tcPr>
            <w:tcW w:w="990" w:type="dxa"/>
          </w:tcPr>
          <w:p w:rsidR="00B663C0" w:rsidRPr="00B663C0" w:rsidP="00B663C0" w14:paraId="53A6875D" w14:textId="77777777">
            <w:pPr>
              <w:jc w:val="center"/>
              <w:rPr>
                <w:sz w:val="20"/>
              </w:rPr>
            </w:pPr>
            <w:r w:rsidRPr="00B663C0">
              <w:rPr>
                <w:sz w:val="20"/>
              </w:rPr>
              <w:t>2</w:t>
            </w:r>
          </w:p>
          <w:p w:rsidR="00B663C0" w:rsidRPr="00B663C0" w:rsidP="00B663C0" w14:paraId="36A3EC9A" w14:textId="77777777">
            <w:pPr>
              <w:jc w:val="center"/>
              <w:rPr>
                <w:sz w:val="20"/>
              </w:rPr>
            </w:pPr>
            <w:r w:rsidRPr="00B663C0">
              <w:rPr>
                <w:sz w:val="20"/>
              </w:rPr>
              <w:t>minutes</w:t>
            </w:r>
          </w:p>
        </w:tc>
        <w:tc>
          <w:tcPr>
            <w:tcW w:w="990" w:type="dxa"/>
          </w:tcPr>
          <w:p w:rsidR="00B663C0" w:rsidRPr="00B663C0" w:rsidP="00B663C0" w14:paraId="49B8A66A" w14:textId="77777777">
            <w:pPr>
              <w:jc w:val="center"/>
              <w:rPr>
                <w:sz w:val="20"/>
              </w:rPr>
            </w:pPr>
            <w:r w:rsidRPr="00B663C0">
              <w:rPr>
                <w:sz w:val="20"/>
              </w:rPr>
              <w:t>1</w:t>
            </w:r>
          </w:p>
          <w:p w:rsidR="00B663C0" w:rsidRPr="00B663C0" w:rsidP="00B663C0" w14:paraId="4BD4FB83" w14:textId="77777777">
            <w:pPr>
              <w:jc w:val="center"/>
              <w:rPr>
                <w:sz w:val="20"/>
              </w:rPr>
            </w:pPr>
          </w:p>
        </w:tc>
        <w:tc>
          <w:tcPr>
            <w:tcW w:w="900" w:type="dxa"/>
          </w:tcPr>
          <w:p w:rsidR="00B663C0" w:rsidRPr="00B663C0" w:rsidP="00B663C0" w14:paraId="44C1A39C" w14:textId="77777777">
            <w:pPr>
              <w:jc w:val="right"/>
              <w:rPr>
                <w:sz w:val="20"/>
              </w:rPr>
            </w:pPr>
            <w:r w:rsidRPr="00B663C0">
              <w:rPr>
                <w:sz w:val="20"/>
              </w:rPr>
              <w:t>$73.40</w:t>
            </w:r>
          </w:p>
        </w:tc>
        <w:tc>
          <w:tcPr>
            <w:tcW w:w="1442" w:type="dxa"/>
          </w:tcPr>
          <w:p w:rsidR="00B663C0" w:rsidRPr="00B663C0" w:rsidP="00B663C0" w14:paraId="53AE7B67" w14:textId="77777777">
            <w:pPr>
              <w:jc w:val="right"/>
              <w:rPr>
                <w:sz w:val="20"/>
              </w:rPr>
            </w:pPr>
            <w:r w:rsidRPr="00B663C0">
              <w:rPr>
                <w:sz w:val="20"/>
              </w:rPr>
              <w:t>$88.08</w:t>
            </w:r>
          </w:p>
        </w:tc>
        <w:tc>
          <w:tcPr>
            <w:tcW w:w="3872" w:type="dxa"/>
            <w:vMerge/>
          </w:tcPr>
          <w:p w:rsidR="00B663C0" w:rsidRPr="00B663C0" w:rsidP="00B663C0" w14:paraId="67C0EF30" w14:textId="77777777">
            <w:pPr>
              <w:rPr>
                <w:sz w:val="20"/>
              </w:rPr>
            </w:pPr>
          </w:p>
        </w:tc>
      </w:tr>
      <w:tr w14:paraId="4218BC52" w14:textId="77777777" w:rsidTr="00B663C0">
        <w:tblPrEx>
          <w:tblW w:w="13587" w:type="dxa"/>
          <w:tblLayout w:type="fixed"/>
          <w:tblLook w:val="04A0"/>
        </w:tblPrEx>
        <w:trPr>
          <w:trHeight w:val="800"/>
        </w:trPr>
        <w:tc>
          <w:tcPr>
            <w:tcW w:w="2874" w:type="dxa"/>
            <w:vMerge w:val="restart"/>
            <w:hideMark/>
          </w:tcPr>
          <w:p w:rsidR="00B663C0" w:rsidRPr="00B663C0" w:rsidP="00B663C0" w14:paraId="279625ED" w14:textId="77777777">
            <w:pPr>
              <w:rPr>
                <w:sz w:val="20"/>
              </w:rPr>
            </w:pPr>
            <w:r w:rsidRPr="00B663C0">
              <w:rPr>
                <w:sz w:val="20"/>
              </w:rPr>
              <w:t>—(c) Notice of wayside horn installation located outside a quiet zone</w:t>
            </w:r>
          </w:p>
          <w:p w:rsidR="00B663C0" w:rsidRPr="00B663C0" w:rsidP="00B663C0" w14:paraId="4639BC5B" w14:textId="77777777">
            <w:pPr>
              <w:rPr>
                <w:sz w:val="20"/>
              </w:rPr>
            </w:pPr>
          </w:p>
          <w:p w:rsidR="00B663C0" w:rsidRPr="00B663C0" w:rsidP="00B663C0" w14:paraId="2FFBBEEF" w14:textId="77777777">
            <w:pPr>
              <w:rPr>
                <w:sz w:val="20"/>
              </w:rPr>
            </w:pPr>
            <w:r w:rsidRPr="00B663C0">
              <w:rPr>
                <w:sz w:val="20"/>
              </w:rPr>
              <w:t>—Copies to the required parties</w:t>
            </w:r>
          </w:p>
        </w:tc>
        <w:tc>
          <w:tcPr>
            <w:tcW w:w="1169" w:type="dxa"/>
            <w:vMerge w:val="restart"/>
            <w:hideMark/>
          </w:tcPr>
          <w:p w:rsidR="00B663C0" w:rsidRPr="00B663C0" w:rsidP="00B663C0" w14:paraId="67D8A26D" w14:textId="77777777">
            <w:pPr>
              <w:jc w:val="center"/>
              <w:rPr>
                <w:sz w:val="20"/>
              </w:rPr>
            </w:pPr>
            <w:r w:rsidRPr="00B663C0">
              <w:rPr>
                <w:sz w:val="20"/>
              </w:rPr>
              <w:t xml:space="preserve">645 </w:t>
            </w:r>
          </w:p>
          <w:p w:rsidR="00B663C0" w:rsidRPr="00B663C0" w:rsidP="00B663C0" w14:paraId="7CDC1400" w14:textId="77777777">
            <w:pPr>
              <w:jc w:val="center"/>
              <w:rPr>
                <w:sz w:val="20"/>
              </w:rPr>
            </w:pPr>
            <w:r w:rsidRPr="00B663C0">
              <w:rPr>
                <w:sz w:val="20"/>
              </w:rPr>
              <w:t>public authorities</w:t>
            </w:r>
          </w:p>
        </w:tc>
        <w:tc>
          <w:tcPr>
            <w:tcW w:w="1350" w:type="dxa"/>
            <w:hideMark/>
          </w:tcPr>
          <w:p w:rsidR="00B663C0" w:rsidRPr="00B663C0" w:rsidP="00B663C0" w14:paraId="21F82D20" w14:textId="77777777">
            <w:pPr>
              <w:jc w:val="center"/>
              <w:rPr>
                <w:sz w:val="20"/>
              </w:rPr>
            </w:pPr>
            <w:r w:rsidRPr="00B663C0">
              <w:rPr>
                <w:sz w:val="20"/>
              </w:rPr>
              <w:t>5</w:t>
            </w:r>
          </w:p>
          <w:p w:rsidR="00B663C0" w:rsidRPr="00B663C0" w:rsidP="00B663C0" w14:paraId="48E7F878" w14:textId="77777777">
            <w:pPr>
              <w:jc w:val="center"/>
              <w:rPr>
                <w:sz w:val="20"/>
              </w:rPr>
            </w:pPr>
            <w:r w:rsidRPr="00B663C0">
              <w:rPr>
                <w:sz w:val="20"/>
              </w:rPr>
              <w:t>notices</w:t>
            </w:r>
          </w:p>
        </w:tc>
        <w:tc>
          <w:tcPr>
            <w:tcW w:w="990" w:type="dxa"/>
            <w:hideMark/>
          </w:tcPr>
          <w:p w:rsidR="00B663C0" w:rsidRPr="00B663C0" w:rsidP="00B663C0" w14:paraId="0633F741" w14:textId="77777777">
            <w:pPr>
              <w:jc w:val="center"/>
              <w:rPr>
                <w:sz w:val="20"/>
              </w:rPr>
            </w:pPr>
            <w:r w:rsidRPr="00B663C0">
              <w:rPr>
                <w:sz w:val="20"/>
              </w:rPr>
              <w:t>2.5</w:t>
            </w:r>
          </w:p>
          <w:p w:rsidR="00B663C0" w:rsidRPr="00B663C0" w:rsidP="00B663C0" w14:paraId="12A11C0F" w14:textId="77777777">
            <w:pPr>
              <w:jc w:val="center"/>
              <w:rPr>
                <w:sz w:val="20"/>
              </w:rPr>
            </w:pPr>
            <w:r w:rsidRPr="00B663C0">
              <w:rPr>
                <w:sz w:val="20"/>
              </w:rPr>
              <w:t>hours</w:t>
            </w:r>
          </w:p>
        </w:tc>
        <w:tc>
          <w:tcPr>
            <w:tcW w:w="990" w:type="dxa"/>
            <w:hideMark/>
          </w:tcPr>
          <w:p w:rsidR="00B663C0" w:rsidRPr="00B663C0" w:rsidP="00B663C0" w14:paraId="49BE1BB4" w14:textId="77777777">
            <w:pPr>
              <w:jc w:val="center"/>
              <w:rPr>
                <w:sz w:val="20"/>
              </w:rPr>
            </w:pPr>
            <w:r w:rsidRPr="00B663C0">
              <w:rPr>
                <w:sz w:val="20"/>
              </w:rPr>
              <w:t>12.50</w:t>
            </w:r>
          </w:p>
        </w:tc>
        <w:tc>
          <w:tcPr>
            <w:tcW w:w="900" w:type="dxa"/>
          </w:tcPr>
          <w:p w:rsidR="00B663C0" w:rsidRPr="00B663C0" w:rsidP="00B663C0" w14:paraId="1D39A155" w14:textId="77777777">
            <w:pPr>
              <w:jc w:val="right"/>
              <w:rPr>
                <w:sz w:val="20"/>
              </w:rPr>
            </w:pPr>
            <w:r w:rsidRPr="00B663C0">
              <w:rPr>
                <w:sz w:val="20"/>
              </w:rPr>
              <w:t>$73.40</w:t>
            </w:r>
          </w:p>
        </w:tc>
        <w:tc>
          <w:tcPr>
            <w:tcW w:w="1442" w:type="dxa"/>
            <w:hideMark/>
          </w:tcPr>
          <w:p w:rsidR="00B663C0" w:rsidRPr="00B663C0" w:rsidP="00B663C0" w14:paraId="46EF04A8" w14:textId="77777777">
            <w:pPr>
              <w:jc w:val="right"/>
              <w:rPr>
                <w:sz w:val="20"/>
              </w:rPr>
            </w:pPr>
            <w:r w:rsidRPr="00B663C0">
              <w:rPr>
                <w:sz w:val="20"/>
              </w:rPr>
              <w:t>$917.50</w:t>
            </w:r>
          </w:p>
        </w:tc>
        <w:tc>
          <w:tcPr>
            <w:tcW w:w="3872" w:type="dxa"/>
            <w:vMerge/>
          </w:tcPr>
          <w:p w:rsidR="00B663C0" w:rsidRPr="00B663C0" w:rsidP="00B663C0" w14:paraId="5A928582" w14:textId="77777777">
            <w:pPr>
              <w:rPr>
                <w:sz w:val="20"/>
              </w:rPr>
            </w:pPr>
          </w:p>
        </w:tc>
      </w:tr>
      <w:tr w14:paraId="51DC9E09" w14:textId="77777777" w:rsidTr="00B663C0">
        <w:tblPrEx>
          <w:tblW w:w="13587" w:type="dxa"/>
          <w:tblLayout w:type="fixed"/>
          <w:tblLook w:val="04A0"/>
        </w:tblPrEx>
        <w:trPr>
          <w:trHeight w:val="629"/>
        </w:trPr>
        <w:tc>
          <w:tcPr>
            <w:tcW w:w="2874" w:type="dxa"/>
            <w:vMerge/>
          </w:tcPr>
          <w:p w:rsidR="00B663C0" w:rsidRPr="00B663C0" w:rsidP="00B663C0" w14:paraId="49FD6570" w14:textId="77777777">
            <w:pPr>
              <w:rPr>
                <w:sz w:val="20"/>
              </w:rPr>
            </w:pPr>
          </w:p>
        </w:tc>
        <w:tc>
          <w:tcPr>
            <w:tcW w:w="1169" w:type="dxa"/>
            <w:vMerge/>
          </w:tcPr>
          <w:p w:rsidR="00B663C0" w:rsidRPr="00B663C0" w:rsidP="00B663C0" w14:paraId="192956C0" w14:textId="77777777">
            <w:pPr>
              <w:jc w:val="center"/>
              <w:rPr>
                <w:sz w:val="20"/>
              </w:rPr>
            </w:pPr>
          </w:p>
        </w:tc>
        <w:tc>
          <w:tcPr>
            <w:tcW w:w="1350" w:type="dxa"/>
          </w:tcPr>
          <w:p w:rsidR="00B663C0" w:rsidRPr="00B663C0" w:rsidP="00B663C0" w14:paraId="61F1CE27" w14:textId="77777777">
            <w:pPr>
              <w:jc w:val="center"/>
              <w:rPr>
                <w:sz w:val="20"/>
              </w:rPr>
            </w:pPr>
            <w:r w:rsidRPr="00B663C0">
              <w:rPr>
                <w:sz w:val="20"/>
              </w:rPr>
              <w:t>30</w:t>
            </w:r>
          </w:p>
          <w:p w:rsidR="00B663C0" w:rsidRPr="00B663C0" w:rsidP="00B663C0" w14:paraId="147E962C" w14:textId="77777777">
            <w:pPr>
              <w:jc w:val="center"/>
              <w:rPr>
                <w:sz w:val="20"/>
              </w:rPr>
            </w:pPr>
            <w:r w:rsidRPr="00B663C0">
              <w:rPr>
                <w:sz w:val="20"/>
              </w:rPr>
              <w:t>copies</w:t>
            </w:r>
          </w:p>
        </w:tc>
        <w:tc>
          <w:tcPr>
            <w:tcW w:w="990" w:type="dxa"/>
          </w:tcPr>
          <w:p w:rsidR="00B663C0" w:rsidRPr="00B663C0" w:rsidP="00B663C0" w14:paraId="5753CDF4" w14:textId="77777777">
            <w:pPr>
              <w:jc w:val="center"/>
              <w:rPr>
                <w:sz w:val="20"/>
              </w:rPr>
            </w:pPr>
            <w:r w:rsidRPr="00B663C0">
              <w:rPr>
                <w:sz w:val="20"/>
              </w:rPr>
              <w:t>2 minutes</w:t>
            </w:r>
          </w:p>
        </w:tc>
        <w:tc>
          <w:tcPr>
            <w:tcW w:w="990" w:type="dxa"/>
          </w:tcPr>
          <w:p w:rsidR="00B663C0" w:rsidRPr="00B663C0" w:rsidP="00B663C0" w14:paraId="4510FDC8" w14:textId="77777777">
            <w:pPr>
              <w:jc w:val="center"/>
              <w:rPr>
                <w:sz w:val="20"/>
              </w:rPr>
            </w:pPr>
            <w:r w:rsidRPr="00B663C0">
              <w:rPr>
                <w:sz w:val="20"/>
              </w:rPr>
              <w:t>1</w:t>
            </w:r>
          </w:p>
          <w:p w:rsidR="00B663C0" w:rsidRPr="00B663C0" w:rsidP="00B663C0" w14:paraId="37E4A9F6" w14:textId="77777777">
            <w:pPr>
              <w:jc w:val="center"/>
              <w:rPr>
                <w:sz w:val="20"/>
              </w:rPr>
            </w:pPr>
          </w:p>
        </w:tc>
        <w:tc>
          <w:tcPr>
            <w:tcW w:w="900" w:type="dxa"/>
          </w:tcPr>
          <w:p w:rsidR="00B663C0" w:rsidRPr="00B663C0" w:rsidP="00B663C0" w14:paraId="5A592712" w14:textId="77777777">
            <w:pPr>
              <w:jc w:val="center"/>
              <w:rPr>
                <w:sz w:val="20"/>
              </w:rPr>
            </w:pPr>
            <w:r w:rsidRPr="00B663C0">
              <w:rPr>
                <w:sz w:val="20"/>
              </w:rPr>
              <w:t>$73.40</w:t>
            </w:r>
          </w:p>
        </w:tc>
        <w:tc>
          <w:tcPr>
            <w:tcW w:w="1442" w:type="dxa"/>
          </w:tcPr>
          <w:p w:rsidR="00B663C0" w:rsidRPr="00B663C0" w:rsidP="00B663C0" w14:paraId="293CBC2D" w14:textId="77777777">
            <w:pPr>
              <w:jc w:val="right"/>
              <w:rPr>
                <w:sz w:val="20"/>
              </w:rPr>
            </w:pPr>
            <w:r w:rsidRPr="00B663C0">
              <w:rPr>
                <w:sz w:val="20"/>
              </w:rPr>
              <w:t>$88.08</w:t>
            </w:r>
          </w:p>
        </w:tc>
        <w:tc>
          <w:tcPr>
            <w:tcW w:w="3872" w:type="dxa"/>
            <w:vMerge/>
          </w:tcPr>
          <w:p w:rsidR="00B663C0" w:rsidRPr="00B663C0" w:rsidP="00B663C0" w14:paraId="1A0BCDA3" w14:textId="77777777">
            <w:pPr>
              <w:rPr>
                <w:sz w:val="20"/>
              </w:rPr>
            </w:pPr>
          </w:p>
        </w:tc>
      </w:tr>
      <w:tr w14:paraId="1583E382" w14:textId="77777777" w:rsidTr="00CB76AC">
        <w:tblPrEx>
          <w:tblW w:w="13587" w:type="dxa"/>
          <w:tblLayout w:type="fixed"/>
          <w:tblLook w:val="04A0"/>
        </w:tblPrEx>
        <w:trPr>
          <w:trHeight w:val="71"/>
        </w:trPr>
        <w:tc>
          <w:tcPr>
            <w:tcW w:w="13587" w:type="dxa"/>
            <w:gridSpan w:val="8"/>
          </w:tcPr>
          <w:p w:rsidR="00B663C0" w:rsidRPr="00B663C0" w:rsidP="00B663C0" w14:paraId="17A7A579" w14:textId="77777777">
            <w:pPr>
              <w:rPr>
                <w:b/>
                <w:bCs/>
                <w:sz w:val="20"/>
              </w:rPr>
            </w:pPr>
            <w:r w:rsidRPr="00B663C0">
              <w:rPr>
                <w:b/>
                <w:bCs/>
                <w:sz w:val="20"/>
              </w:rPr>
              <w:t>Appendix B to Part 222—Alternative Safety Measures</w:t>
            </w:r>
          </w:p>
        </w:tc>
      </w:tr>
      <w:tr w14:paraId="75ED6283" w14:textId="77777777" w:rsidTr="00CB76AC">
        <w:tblPrEx>
          <w:tblW w:w="13587" w:type="dxa"/>
          <w:tblLayout w:type="fixed"/>
          <w:tblLook w:val="04A0"/>
        </w:tblPrEx>
        <w:trPr>
          <w:trHeight w:val="404"/>
        </w:trPr>
        <w:tc>
          <w:tcPr>
            <w:tcW w:w="2874" w:type="dxa"/>
            <w:hideMark/>
          </w:tcPr>
          <w:p w:rsidR="00B663C0" w:rsidRPr="00B663C0" w:rsidP="00B663C0" w14:paraId="7FBBAFD0" w14:textId="77777777">
            <w:pPr>
              <w:rPr>
                <w:sz w:val="20"/>
              </w:rPr>
            </w:pPr>
            <w:r w:rsidRPr="00B663C0">
              <w:rPr>
                <w:sz w:val="20"/>
              </w:rPr>
              <w:t>—Non-Engineering ASMs—Programmed Enforcement</w:t>
            </w:r>
          </w:p>
        </w:tc>
        <w:tc>
          <w:tcPr>
            <w:tcW w:w="10713" w:type="dxa"/>
            <w:gridSpan w:val="7"/>
          </w:tcPr>
          <w:p w:rsidR="00B663C0" w:rsidRPr="00B663C0" w:rsidP="00B663C0" w14:paraId="5E54CA9A" w14:textId="77777777">
            <w:pPr>
              <w:rPr>
                <w:sz w:val="20"/>
              </w:rPr>
            </w:pPr>
            <w:r w:rsidRPr="00B663C0">
              <w:rPr>
                <w:sz w:val="20"/>
              </w:rPr>
              <w:t>FRA anticipates zero submissions. FRA has yet to receive any submissions under this provision.</w:t>
            </w:r>
          </w:p>
        </w:tc>
      </w:tr>
      <w:tr w14:paraId="71562537" w14:textId="77777777" w:rsidTr="00A16454">
        <w:tblPrEx>
          <w:tblW w:w="13587" w:type="dxa"/>
          <w:tblLayout w:type="fixed"/>
          <w:tblLook w:val="04A0"/>
        </w:tblPrEx>
        <w:trPr>
          <w:trHeight w:val="432"/>
        </w:trPr>
        <w:tc>
          <w:tcPr>
            <w:tcW w:w="2874" w:type="dxa"/>
            <w:hideMark/>
          </w:tcPr>
          <w:p w:rsidR="00B663C0" w:rsidRPr="00B663C0" w:rsidP="00B663C0" w14:paraId="2EE9435C" w14:textId="77777777">
            <w:pPr>
              <w:rPr>
                <w:sz w:val="20"/>
              </w:rPr>
            </w:pPr>
            <w:r w:rsidRPr="00B663C0">
              <w:rPr>
                <w:sz w:val="20"/>
              </w:rPr>
              <w:t>Non-Engineering ASMs—Photo Enforcement</w:t>
            </w:r>
          </w:p>
        </w:tc>
        <w:tc>
          <w:tcPr>
            <w:tcW w:w="10713" w:type="dxa"/>
            <w:gridSpan w:val="7"/>
          </w:tcPr>
          <w:p w:rsidR="00B663C0" w:rsidRPr="00B663C0" w:rsidP="00B663C0" w14:paraId="45C9FF5B" w14:textId="77777777">
            <w:pPr>
              <w:rPr>
                <w:sz w:val="20"/>
              </w:rPr>
            </w:pPr>
            <w:r w:rsidRPr="00B663C0">
              <w:rPr>
                <w:sz w:val="20"/>
              </w:rPr>
              <w:t>FRA anticipates zero submissions. FRA has yet to receive any submissions under this provision.</w:t>
            </w:r>
          </w:p>
        </w:tc>
      </w:tr>
      <w:tr w14:paraId="776315C0" w14:textId="77777777" w:rsidTr="00CB76AC">
        <w:tblPrEx>
          <w:tblW w:w="13587" w:type="dxa"/>
          <w:tblLayout w:type="fixed"/>
          <w:tblLook w:val="04A0"/>
        </w:tblPrEx>
        <w:trPr>
          <w:trHeight w:val="440"/>
        </w:trPr>
        <w:tc>
          <w:tcPr>
            <w:tcW w:w="2874" w:type="dxa"/>
            <w:hideMark/>
          </w:tcPr>
          <w:p w:rsidR="00B663C0" w:rsidRPr="00B663C0" w:rsidP="00B663C0" w14:paraId="10DEA30C" w14:textId="77777777">
            <w:pPr>
              <w:rPr>
                <w:sz w:val="20"/>
              </w:rPr>
            </w:pPr>
            <w:r w:rsidRPr="00B663C0">
              <w:rPr>
                <w:sz w:val="20"/>
              </w:rPr>
              <w:t>Total</w:t>
            </w:r>
          </w:p>
        </w:tc>
        <w:tc>
          <w:tcPr>
            <w:tcW w:w="1169" w:type="dxa"/>
            <w:hideMark/>
          </w:tcPr>
          <w:p w:rsidR="00994CB3" w:rsidP="00B663C0" w14:paraId="5FA7BCBB" w14:textId="77777777">
            <w:pPr>
              <w:jc w:val="center"/>
              <w:rPr>
                <w:sz w:val="20"/>
              </w:rPr>
            </w:pPr>
            <w:r w:rsidRPr="00B663C0">
              <w:rPr>
                <w:sz w:val="20"/>
              </w:rPr>
              <w:t>754 railroads</w:t>
            </w:r>
          </w:p>
          <w:p w:rsidR="00B663C0" w:rsidRPr="00B663C0" w:rsidP="00B663C0" w14:paraId="4821C4C6" w14:textId="0E8081CA">
            <w:pPr>
              <w:jc w:val="center"/>
              <w:rPr>
                <w:sz w:val="20"/>
              </w:rPr>
            </w:pPr>
            <w:r>
              <w:rPr>
                <w:sz w:val="20"/>
              </w:rPr>
              <w:t>State agencies</w:t>
            </w:r>
            <w:r w:rsidRPr="00B663C0">
              <w:rPr>
                <w:sz w:val="20"/>
              </w:rPr>
              <w:t xml:space="preserve"> </w:t>
            </w:r>
          </w:p>
          <w:p w:rsidR="00B663C0" w:rsidRPr="00B663C0" w:rsidP="00B663C0" w14:paraId="5286A95C" w14:textId="77777777">
            <w:pPr>
              <w:jc w:val="center"/>
              <w:rPr>
                <w:sz w:val="20"/>
              </w:rPr>
            </w:pPr>
            <w:r w:rsidRPr="00B663C0">
              <w:rPr>
                <w:sz w:val="20"/>
              </w:rPr>
              <w:t xml:space="preserve"> 645 </w:t>
            </w:r>
          </w:p>
          <w:p w:rsidR="00B663C0" w:rsidP="00B663C0" w14:paraId="5A605A3E" w14:textId="77777777">
            <w:pPr>
              <w:jc w:val="center"/>
              <w:rPr>
                <w:sz w:val="20"/>
              </w:rPr>
            </w:pPr>
            <w:r w:rsidRPr="00B663C0">
              <w:rPr>
                <w:sz w:val="20"/>
              </w:rPr>
              <w:t>public authorities</w:t>
            </w:r>
          </w:p>
          <w:p w:rsidR="00994CB3" w:rsidP="00B663C0" w14:paraId="222F8D8E" w14:textId="77777777">
            <w:pPr>
              <w:jc w:val="center"/>
              <w:rPr>
                <w:sz w:val="20"/>
              </w:rPr>
            </w:pPr>
            <w:r>
              <w:rPr>
                <w:sz w:val="20"/>
              </w:rPr>
              <w:t xml:space="preserve">and </w:t>
            </w:r>
          </w:p>
          <w:p w:rsidR="00994CB3" w:rsidRPr="00B663C0" w:rsidP="00B663C0" w14:paraId="131C0890" w14:textId="381DB315">
            <w:pPr>
              <w:jc w:val="center"/>
              <w:rPr>
                <w:sz w:val="20"/>
              </w:rPr>
            </w:pPr>
            <w:r>
              <w:rPr>
                <w:sz w:val="20"/>
              </w:rPr>
              <w:t>interested parties</w:t>
            </w:r>
          </w:p>
        </w:tc>
        <w:tc>
          <w:tcPr>
            <w:tcW w:w="1350" w:type="dxa"/>
            <w:hideMark/>
          </w:tcPr>
          <w:p w:rsidR="00B663C0" w:rsidRPr="00B663C0" w:rsidP="00B663C0" w14:paraId="3581437F" w14:textId="77777777">
            <w:pPr>
              <w:jc w:val="center"/>
              <w:rPr>
                <w:sz w:val="20"/>
              </w:rPr>
            </w:pPr>
            <w:r w:rsidRPr="00B663C0">
              <w:rPr>
                <w:sz w:val="20"/>
              </w:rPr>
              <w:t>3,536</w:t>
            </w:r>
          </w:p>
          <w:p w:rsidR="00B663C0" w:rsidRPr="00B663C0" w:rsidP="00B663C0" w14:paraId="3B07280B" w14:textId="77777777">
            <w:pPr>
              <w:jc w:val="center"/>
              <w:rPr>
                <w:sz w:val="20"/>
              </w:rPr>
            </w:pPr>
            <w:r w:rsidRPr="00B663C0">
              <w:rPr>
                <w:sz w:val="20"/>
              </w:rPr>
              <w:t>responses</w:t>
            </w:r>
          </w:p>
        </w:tc>
        <w:tc>
          <w:tcPr>
            <w:tcW w:w="990" w:type="dxa"/>
            <w:hideMark/>
          </w:tcPr>
          <w:p w:rsidR="00B663C0" w:rsidRPr="00B663C0" w:rsidP="00B663C0" w14:paraId="1C97FDB9" w14:textId="77777777">
            <w:pPr>
              <w:rPr>
                <w:sz w:val="20"/>
              </w:rPr>
            </w:pPr>
            <w:r w:rsidRPr="00B663C0">
              <w:rPr>
                <w:sz w:val="20"/>
              </w:rPr>
              <w:t xml:space="preserve">N/A </w:t>
            </w:r>
          </w:p>
        </w:tc>
        <w:tc>
          <w:tcPr>
            <w:tcW w:w="990" w:type="dxa"/>
            <w:hideMark/>
          </w:tcPr>
          <w:p w:rsidR="00B663C0" w:rsidRPr="00B663C0" w:rsidP="00B663C0" w14:paraId="0DED5FE0" w14:textId="77777777">
            <w:pPr>
              <w:jc w:val="center"/>
              <w:rPr>
                <w:sz w:val="20"/>
              </w:rPr>
            </w:pPr>
            <w:r w:rsidRPr="00B663C0">
              <w:rPr>
                <w:sz w:val="20"/>
              </w:rPr>
              <w:t>7,232 hours</w:t>
            </w:r>
          </w:p>
        </w:tc>
        <w:tc>
          <w:tcPr>
            <w:tcW w:w="900" w:type="dxa"/>
          </w:tcPr>
          <w:p w:rsidR="00B663C0" w:rsidRPr="00B663C0" w:rsidP="00B663C0" w14:paraId="6683DAA8" w14:textId="77777777">
            <w:pPr>
              <w:jc w:val="right"/>
              <w:rPr>
                <w:sz w:val="20"/>
              </w:rPr>
            </w:pPr>
            <w:r w:rsidRPr="00B663C0">
              <w:rPr>
                <w:sz w:val="20"/>
              </w:rPr>
              <w:t>N/A</w:t>
            </w:r>
          </w:p>
        </w:tc>
        <w:tc>
          <w:tcPr>
            <w:tcW w:w="1442" w:type="dxa"/>
            <w:hideMark/>
          </w:tcPr>
          <w:p w:rsidR="00B663C0" w:rsidRPr="00B663C0" w:rsidP="00B663C0" w14:paraId="6B684767" w14:textId="463BDD8B">
            <w:pPr>
              <w:jc w:val="right"/>
              <w:rPr>
                <w:sz w:val="20"/>
              </w:rPr>
            </w:pPr>
            <w:r w:rsidRPr="00B663C0">
              <w:rPr>
                <w:sz w:val="20"/>
              </w:rPr>
              <w:t>$534,5</w:t>
            </w:r>
            <w:r>
              <w:rPr>
                <w:sz w:val="20"/>
              </w:rPr>
              <w:t>08.57</w:t>
            </w:r>
          </w:p>
        </w:tc>
        <w:tc>
          <w:tcPr>
            <w:tcW w:w="3872" w:type="dxa"/>
          </w:tcPr>
          <w:p w:rsidR="00B663C0" w:rsidRPr="00B663C0" w:rsidP="00B663C0" w14:paraId="1A883B99" w14:textId="77777777">
            <w:pPr>
              <w:rPr>
                <w:sz w:val="20"/>
              </w:rPr>
            </w:pPr>
          </w:p>
        </w:tc>
      </w:tr>
      <w:bookmarkEnd w:id="0"/>
    </w:tbl>
    <w:p w:rsidR="00884430" w:rsidP="00AF67A8" w14:paraId="641EC1FF" w14:textId="77777777">
      <w:pPr>
        <w:widowControl w:val="0"/>
        <w:rPr>
          <w:b/>
          <w:szCs w:val="24"/>
        </w:rPr>
        <w:sectPr w:rsidSect="00E279A3">
          <w:pgSz w:w="15840" w:h="12240" w:orient="landscape"/>
          <w:pgMar w:top="1440" w:right="1440" w:bottom="1440" w:left="1440" w:header="1350" w:footer="1800" w:gutter="0"/>
          <w:cols w:space="720"/>
          <w:docGrid w:linePitch="326"/>
        </w:sectPr>
      </w:pPr>
    </w:p>
    <w:p w:rsidR="00AF67A8" w:rsidRPr="00164DED" w:rsidP="00AF67A8" w14:paraId="7C62488A" w14:textId="77777777">
      <w:pPr>
        <w:widowControl w:val="0"/>
        <w:rPr>
          <w:szCs w:val="24"/>
        </w:rPr>
      </w:pPr>
      <w:r w:rsidRPr="00164DED">
        <w:rPr>
          <w:b/>
          <w:szCs w:val="24"/>
        </w:rPr>
        <w:t>13.</w:t>
      </w:r>
      <w:r w:rsidRPr="00164DED">
        <w:rPr>
          <w:b/>
          <w:szCs w:val="24"/>
        </w:rPr>
        <w:tab/>
      </w:r>
      <w:r w:rsidRPr="00164DED">
        <w:rPr>
          <w:b/>
          <w:szCs w:val="24"/>
          <w:u w:val="single"/>
        </w:rPr>
        <w:t>Estimate of total annual costs to respondents.</w:t>
      </w:r>
    </w:p>
    <w:p w:rsidR="00D14763" w:rsidRPr="00164DED" w14:paraId="6185DFC6" w14:textId="77777777">
      <w:pPr>
        <w:widowControl w:val="0"/>
        <w:rPr>
          <w:szCs w:val="24"/>
        </w:rPr>
      </w:pPr>
    </w:p>
    <w:p w:rsidR="00952813" w:rsidP="00AF67A8" w14:paraId="39745B29" w14:textId="34FC4690">
      <w:pPr>
        <w:widowControl w:val="0"/>
        <w:ind w:left="720"/>
        <w:rPr>
          <w:spacing w:val="-3"/>
          <w:szCs w:val="24"/>
        </w:rPr>
      </w:pPr>
      <w:r>
        <w:rPr>
          <w:spacing w:val="-3"/>
          <w:szCs w:val="24"/>
        </w:rPr>
        <w:t>There are additional costs to respondents in addition to those in question number 12 above</w:t>
      </w:r>
      <w:r w:rsidR="000A273B">
        <w:rPr>
          <w:spacing w:val="-3"/>
          <w:szCs w:val="24"/>
        </w:rPr>
        <w:t xml:space="preserve">. </w:t>
      </w:r>
    </w:p>
    <w:p w:rsidR="009620D4" w:rsidP="00AF67A8" w14:paraId="772E11C7" w14:textId="77777777">
      <w:pPr>
        <w:widowControl w:val="0"/>
        <w:ind w:left="720"/>
        <w:rPr>
          <w:i/>
          <w:szCs w:val="24"/>
        </w:rPr>
      </w:pPr>
    </w:p>
    <w:tbl>
      <w:tblPr>
        <w:tblW w:w="7419" w:type="dxa"/>
        <w:tblInd w:w="1327" w:type="dxa"/>
        <w:tblLook w:val="04A0"/>
      </w:tblPr>
      <w:tblGrid>
        <w:gridCol w:w="5763"/>
        <w:gridCol w:w="1656"/>
      </w:tblGrid>
      <w:tr w14:paraId="4474E0EB" w14:textId="77777777" w:rsidTr="00CB76AC">
        <w:tblPrEx>
          <w:tblW w:w="7419" w:type="dxa"/>
          <w:tblInd w:w="1327" w:type="dxa"/>
          <w:tblLook w:val="04A0"/>
        </w:tblPrEx>
        <w:trPr>
          <w:trHeight w:val="312"/>
        </w:trPr>
        <w:tc>
          <w:tcPr>
            <w:tcW w:w="5763" w:type="dxa"/>
            <w:tcBorders>
              <w:top w:val="single" w:sz="4" w:space="0" w:color="auto"/>
              <w:left w:val="single" w:sz="4" w:space="0" w:color="auto"/>
              <w:bottom w:val="single" w:sz="4" w:space="0" w:color="auto"/>
              <w:right w:val="single" w:sz="4" w:space="0" w:color="auto"/>
            </w:tcBorders>
            <w:noWrap/>
            <w:vAlign w:val="bottom"/>
            <w:hideMark/>
          </w:tcPr>
          <w:p w:rsidR="009620D4" w:rsidRPr="00CB76AC" w:rsidP="009620D4" w14:paraId="2EB4B2CB" w14:textId="6CEF4EB2">
            <w:pPr>
              <w:rPr>
                <w:b/>
                <w:bCs/>
                <w:color w:val="000000"/>
                <w:szCs w:val="24"/>
              </w:rPr>
            </w:pPr>
            <w:r w:rsidRPr="00CB76AC">
              <w:rPr>
                <w:b/>
                <w:bCs/>
                <w:color w:val="000000"/>
                <w:szCs w:val="24"/>
              </w:rPr>
              <w:t>Recurring costs</w:t>
            </w:r>
          </w:p>
        </w:tc>
        <w:tc>
          <w:tcPr>
            <w:tcW w:w="1656" w:type="dxa"/>
            <w:tcBorders>
              <w:top w:val="single" w:sz="4" w:space="0" w:color="auto"/>
              <w:left w:val="nil"/>
              <w:bottom w:val="single" w:sz="4" w:space="0" w:color="auto"/>
              <w:right w:val="single" w:sz="4" w:space="0" w:color="auto"/>
            </w:tcBorders>
            <w:noWrap/>
            <w:vAlign w:val="bottom"/>
            <w:hideMark/>
          </w:tcPr>
          <w:p w:rsidR="009620D4" w:rsidRPr="00CB76AC" w:rsidP="009620D4" w14:paraId="653BDC07" w14:textId="77777777">
            <w:pPr>
              <w:jc w:val="center"/>
              <w:rPr>
                <w:b/>
                <w:bCs/>
                <w:color w:val="000000"/>
                <w:szCs w:val="24"/>
              </w:rPr>
            </w:pPr>
            <w:r w:rsidRPr="00CB76AC">
              <w:rPr>
                <w:b/>
                <w:bCs/>
                <w:color w:val="000000"/>
                <w:szCs w:val="24"/>
              </w:rPr>
              <w:t>Annual</w:t>
            </w:r>
          </w:p>
        </w:tc>
      </w:tr>
      <w:tr w14:paraId="70D1B1A6" w14:textId="77777777" w:rsidTr="00CB76AC">
        <w:tblPrEx>
          <w:tblW w:w="7419" w:type="dxa"/>
          <w:tblInd w:w="1327" w:type="dxa"/>
          <w:tblLook w:val="04A0"/>
        </w:tblPrEx>
        <w:trPr>
          <w:trHeight w:val="312"/>
        </w:trPr>
        <w:tc>
          <w:tcPr>
            <w:tcW w:w="5763" w:type="dxa"/>
            <w:tcBorders>
              <w:top w:val="nil"/>
              <w:left w:val="single" w:sz="4" w:space="0" w:color="auto"/>
              <w:bottom w:val="single" w:sz="4" w:space="0" w:color="auto"/>
              <w:right w:val="single" w:sz="4" w:space="0" w:color="auto"/>
            </w:tcBorders>
            <w:noWrap/>
            <w:vAlign w:val="center"/>
            <w:hideMark/>
          </w:tcPr>
          <w:p w:rsidR="009620D4" w:rsidRPr="009620D4" w:rsidP="009620D4" w14:paraId="377CB44B" w14:textId="77777777">
            <w:pPr>
              <w:rPr>
                <w:color w:val="000000"/>
                <w:szCs w:val="24"/>
              </w:rPr>
            </w:pPr>
            <w:r w:rsidRPr="009620D4">
              <w:rPr>
                <w:color w:val="000000"/>
                <w:szCs w:val="24"/>
              </w:rPr>
              <w:t>Educational materials and signs</w:t>
            </w:r>
          </w:p>
        </w:tc>
        <w:tc>
          <w:tcPr>
            <w:tcW w:w="1656" w:type="dxa"/>
            <w:tcBorders>
              <w:top w:val="nil"/>
              <w:left w:val="nil"/>
              <w:bottom w:val="single" w:sz="4" w:space="0" w:color="auto"/>
              <w:right w:val="single" w:sz="4" w:space="0" w:color="auto"/>
            </w:tcBorders>
            <w:noWrap/>
            <w:vAlign w:val="center"/>
            <w:hideMark/>
          </w:tcPr>
          <w:p w:rsidR="009620D4" w:rsidRPr="009620D4" w:rsidP="009620D4" w14:paraId="461D65A8" w14:textId="77777777">
            <w:pPr>
              <w:jc w:val="right"/>
              <w:rPr>
                <w:color w:val="000000"/>
                <w:szCs w:val="24"/>
              </w:rPr>
            </w:pPr>
            <w:r w:rsidRPr="009620D4">
              <w:rPr>
                <w:color w:val="000000"/>
                <w:szCs w:val="24"/>
              </w:rPr>
              <w:t>$5,000</w:t>
            </w:r>
          </w:p>
        </w:tc>
      </w:tr>
      <w:tr w14:paraId="50FDE9FF" w14:textId="77777777" w:rsidTr="00CB76AC">
        <w:tblPrEx>
          <w:tblW w:w="7419" w:type="dxa"/>
          <w:tblInd w:w="1327" w:type="dxa"/>
          <w:tblLook w:val="04A0"/>
        </w:tblPrEx>
        <w:trPr>
          <w:trHeight w:val="312"/>
        </w:trPr>
        <w:tc>
          <w:tcPr>
            <w:tcW w:w="5763" w:type="dxa"/>
            <w:tcBorders>
              <w:top w:val="nil"/>
              <w:left w:val="single" w:sz="4" w:space="0" w:color="auto"/>
              <w:bottom w:val="single" w:sz="4" w:space="0" w:color="auto"/>
              <w:right w:val="single" w:sz="4" w:space="0" w:color="auto"/>
            </w:tcBorders>
            <w:noWrap/>
            <w:vAlign w:val="bottom"/>
            <w:hideMark/>
          </w:tcPr>
          <w:p w:rsidR="009620D4" w:rsidRPr="009620D4" w:rsidP="009620D4" w14:paraId="3799226B" w14:textId="77777777">
            <w:pPr>
              <w:rPr>
                <w:color w:val="000000"/>
                <w:szCs w:val="24"/>
              </w:rPr>
            </w:pPr>
            <w:r w:rsidRPr="009620D4">
              <w:rPr>
                <w:color w:val="000000"/>
                <w:szCs w:val="24"/>
              </w:rPr>
              <w:t>Total</w:t>
            </w:r>
          </w:p>
        </w:tc>
        <w:tc>
          <w:tcPr>
            <w:tcW w:w="1656" w:type="dxa"/>
            <w:tcBorders>
              <w:top w:val="nil"/>
              <w:left w:val="nil"/>
              <w:bottom w:val="single" w:sz="4" w:space="0" w:color="auto"/>
              <w:right w:val="single" w:sz="4" w:space="0" w:color="auto"/>
            </w:tcBorders>
            <w:noWrap/>
            <w:vAlign w:val="center"/>
            <w:hideMark/>
          </w:tcPr>
          <w:p w:rsidR="009620D4" w:rsidRPr="009620D4" w:rsidP="009620D4" w14:paraId="08CA391E" w14:textId="4DB9BE45">
            <w:pPr>
              <w:jc w:val="right"/>
              <w:rPr>
                <w:color w:val="000000"/>
                <w:szCs w:val="24"/>
              </w:rPr>
            </w:pPr>
            <w:r>
              <w:rPr>
                <w:color w:val="000000"/>
                <w:szCs w:val="24"/>
              </w:rPr>
              <w:t>$5</w:t>
            </w:r>
            <w:r w:rsidR="00364304">
              <w:rPr>
                <w:color w:val="000000"/>
                <w:szCs w:val="24"/>
              </w:rPr>
              <w:t>,</w:t>
            </w:r>
            <w:r>
              <w:rPr>
                <w:color w:val="000000"/>
                <w:szCs w:val="24"/>
              </w:rPr>
              <w:t>000</w:t>
            </w:r>
          </w:p>
        </w:tc>
      </w:tr>
    </w:tbl>
    <w:p w:rsidR="009620D4" w:rsidRPr="00164DED" w:rsidP="008A5B6D" w14:paraId="7F2FC35F" w14:textId="161ACADB">
      <w:pPr>
        <w:widowControl w:val="0"/>
        <w:ind w:firstLine="720"/>
        <w:rPr>
          <w:b/>
          <w:szCs w:val="24"/>
        </w:rPr>
      </w:pPr>
      <w:r w:rsidRPr="00164DED">
        <w:rPr>
          <w:szCs w:val="24"/>
        </w:rPr>
        <w:t xml:space="preserve"> </w:t>
      </w:r>
    </w:p>
    <w:p w:rsidR="009620D4" w:rsidRPr="00164DED" w:rsidP="009620D4" w14:paraId="666702C7" w14:textId="77777777">
      <w:pPr>
        <w:widowControl w:val="0"/>
        <w:ind w:left="720" w:hanging="720"/>
        <w:rPr>
          <w:b/>
          <w:szCs w:val="24"/>
        </w:rPr>
      </w:pPr>
      <w:r w:rsidRPr="00164DED">
        <w:rPr>
          <w:b/>
          <w:szCs w:val="24"/>
        </w:rPr>
        <w:t>14.</w:t>
      </w:r>
      <w:r w:rsidRPr="00164DED">
        <w:rPr>
          <w:b/>
          <w:szCs w:val="24"/>
        </w:rPr>
        <w:tab/>
      </w:r>
      <w:r w:rsidRPr="00164DED">
        <w:rPr>
          <w:b/>
          <w:szCs w:val="24"/>
          <w:u w:val="single"/>
        </w:rPr>
        <w:t>Estimate of Cost to Federal Government.</w:t>
      </w:r>
    </w:p>
    <w:p w:rsidR="009620D4" w:rsidRPr="00164DED" w:rsidP="009620D4" w14:paraId="18E28275" w14:textId="77777777">
      <w:pPr>
        <w:widowControl w:val="0"/>
        <w:rPr>
          <w:szCs w:val="24"/>
        </w:rPr>
      </w:pPr>
    </w:p>
    <w:p w:rsidR="009620D4" w:rsidRPr="00070DC9" w:rsidP="009620D4" w14:paraId="44B38723" w14:textId="67A2E64A">
      <w:pPr>
        <w:widowControl w:val="0"/>
        <w:ind w:left="720"/>
      </w:pPr>
      <w:r>
        <w:t>FRA estimates that approximately two people at the GS-14</w:t>
      </w:r>
      <w:r w:rsidR="005C4DC4">
        <w:t>,</w:t>
      </w:r>
      <w:r>
        <w:t xml:space="preserve"> step 5 level</w:t>
      </w:r>
      <w:r w:rsidR="007B66F2">
        <w:t>,</w:t>
      </w:r>
      <w:r>
        <w:t xml:space="preserve"> for the locality pay area of Washington-Baltimore-Arlington, DC-MD-VA-WV-PA</w:t>
      </w:r>
      <w:r w:rsidR="008511BF">
        <w:t>,</w:t>
      </w:r>
      <w:r>
        <w:t xml:space="preserve"> will be spending 100 percent of </w:t>
      </w:r>
      <w:r w:rsidR="007A5C1A">
        <w:t>their</w:t>
      </w:r>
      <w:r>
        <w:t xml:space="preserve"> time reviewing all the documentation associated with the requirements of </w:t>
      </w:r>
      <w:r w:rsidR="005C4DC4">
        <w:t>p</w:t>
      </w:r>
      <w:r>
        <w:t>art 222.  This excludes time spent doing routine compliance and enforcement activities</w:t>
      </w:r>
      <w:r w:rsidR="000A273B">
        <w:t xml:space="preserve">. </w:t>
      </w:r>
      <w:r w:rsidR="005C4DC4">
        <w:t xml:space="preserve"> </w:t>
      </w:r>
      <w:r w:rsidR="008D1E25">
        <w:t xml:space="preserve">Adding </w:t>
      </w:r>
      <w:r>
        <w:t>two annual salaries of $</w:t>
      </w:r>
      <w:r w:rsidR="002D0AAC">
        <w:t>161,486</w:t>
      </w:r>
      <w:r w:rsidR="00D6157B">
        <w:t xml:space="preserve"> and then multiplying </w:t>
      </w:r>
      <w:r w:rsidR="00DA0D08">
        <w:t xml:space="preserve">the </w:t>
      </w:r>
      <w:r w:rsidR="0040447D">
        <w:t xml:space="preserve">resulting </w:t>
      </w:r>
      <w:r w:rsidR="00DA0D08">
        <w:t xml:space="preserve">sum </w:t>
      </w:r>
      <w:r w:rsidR="00D6157B">
        <w:t>by 1</w:t>
      </w:r>
      <w:r w:rsidR="00AD6EB1">
        <w:t>.</w:t>
      </w:r>
      <w:r>
        <w:t xml:space="preserve">75 </w:t>
      </w:r>
      <w:r w:rsidR="00DA0D08">
        <w:t>(</w:t>
      </w:r>
      <w:r w:rsidR="00D6157B">
        <w:t xml:space="preserve">to reflect </w:t>
      </w:r>
      <w:r w:rsidR="0040447D">
        <w:t xml:space="preserve">additional </w:t>
      </w:r>
      <w:r>
        <w:t>overhead cost</w:t>
      </w:r>
      <w:r w:rsidR="00DA0D08">
        <w:t xml:space="preserve">s of 75% </w:t>
      </w:r>
      <w:r w:rsidR="006D1845">
        <w:t xml:space="preserve">of </w:t>
      </w:r>
      <w:r w:rsidR="00DA0D08">
        <w:t>annual salary</w:t>
      </w:r>
      <w:r w:rsidR="0040447D">
        <w:t xml:space="preserve"> costs)</w:t>
      </w:r>
      <w:r>
        <w:t xml:space="preserve"> equals an annual Federal cost of</w:t>
      </w:r>
      <w:r w:rsidR="00D01791">
        <w:t xml:space="preserve"> $</w:t>
      </w:r>
      <w:r w:rsidR="00444479">
        <w:t>565</w:t>
      </w:r>
      <w:r w:rsidR="00EC5A60">
        <w:t>,201</w:t>
      </w:r>
      <w:r>
        <w:t>.</w:t>
      </w:r>
    </w:p>
    <w:p w:rsidR="009620D4" w:rsidP="009620D4" w14:paraId="3654323E" w14:textId="77777777">
      <w:pPr>
        <w:widowControl w:val="0"/>
        <w:ind w:left="720"/>
        <w:rPr>
          <w:szCs w:val="24"/>
        </w:rPr>
      </w:pPr>
    </w:p>
    <w:p w:rsidR="009620D4" w:rsidRPr="00164DED" w:rsidP="00884430" w14:paraId="56FF5FEF" w14:textId="77777777">
      <w:pPr>
        <w:widowControl w:val="0"/>
        <w:ind w:left="720" w:hanging="720"/>
        <w:rPr>
          <w:b/>
          <w:szCs w:val="24"/>
        </w:rPr>
      </w:pPr>
      <w:r w:rsidRPr="00164DED">
        <w:rPr>
          <w:b/>
          <w:szCs w:val="24"/>
        </w:rPr>
        <w:t>15.</w:t>
      </w:r>
      <w:r w:rsidRPr="00164DED">
        <w:rPr>
          <w:b/>
          <w:szCs w:val="24"/>
        </w:rPr>
        <w:tab/>
      </w:r>
      <w:r w:rsidRPr="00164DED">
        <w:rPr>
          <w:b/>
          <w:szCs w:val="24"/>
          <w:u w:val="single"/>
        </w:rPr>
        <w:t>Explanation of program changes and adjustments</w:t>
      </w:r>
      <w:r w:rsidRPr="00164DED">
        <w:rPr>
          <w:b/>
          <w:szCs w:val="24"/>
        </w:rPr>
        <w:t xml:space="preserve">. </w:t>
      </w:r>
    </w:p>
    <w:p w:rsidR="009620D4" w:rsidRPr="00164DED" w:rsidP="00884430" w14:paraId="1E10451E" w14:textId="201BA569">
      <w:pPr>
        <w:widowControl w:val="0"/>
        <w:rPr>
          <w:szCs w:val="24"/>
        </w:rPr>
      </w:pPr>
      <w:r w:rsidRPr="00164DED">
        <w:rPr>
          <w:szCs w:val="24"/>
        </w:rPr>
        <w:tab/>
      </w:r>
    </w:p>
    <w:p w:rsidR="00DF0A2D" w:rsidRPr="00DF0A2D" w:rsidP="00DF0A2D" w14:paraId="5E798C1A" w14:textId="01DB0902">
      <w:pPr>
        <w:ind w:left="720"/>
        <w:rPr>
          <w:szCs w:val="24"/>
        </w:rPr>
      </w:pPr>
      <w:r>
        <w:rPr>
          <w:szCs w:val="24"/>
        </w:rPr>
        <w:t xml:space="preserve">With this submission, </w:t>
      </w:r>
      <w:r w:rsidRPr="00DF0A2D">
        <w:rPr>
          <w:szCs w:val="24"/>
        </w:rPr>
        <w:t xml:space="preserve">FRA has made program changes and adjustments that decreased the </w:t>
      </w:r>
      <w:r>
        <w:rPr>
          <w:szCs w:val="24"/>
        </w:rPr>
        <w:t>currently</w:t>
      </w:r>
      <w:r w:rsidRPr="00DF0A2D">
        <w:rPr>
          <w:szCs w:val="24"/>
        </w:rPr>
        <w:t xml:space="preserve"> approved burden hours from 7,253 to 7,232 hours and decreased the number of responses from 3,620 to 3,536.  This decrease in burden, after a thorough review, is the result of the changes described in the sections summarized below</w:t>
      </w:r>
      <w:r w:rsidR="0087498D">
        <w:rPr>
          <w:szCs w:val="24"/>
        </w:rPr>
        <w:t>:</w:t>
      </w:r>
    </w:p>
    <w:p w:rsidR="00DF0A2D" w:rsidP="00DF0A2D" w14:paraId="7DB19A97" w14:textId="77777777">
      <w:pPr>
        <w:ind w:left="720"/>
        <w:rPr>
          <w:szCs w:val="24"/>
        </w:rPr>
      </w:pPr>
    </w:p>
    <w:p w:rsidR="00DF0A2D" w:rsidRPr="00DF0A2D" w:rsidP="00DF0A2D" w14:paraId="7800AE63" w14:textId="3E714265">
      <w:pPr>
        <w:ind w:left="720"/>
        <w:rPr>
          <w:szCs w:val="24"/>
        </w:rPr>
      </w:pPr>
      <w:r>
        <w:rPr>
          <w:szCs w:val="24"/>
        </w:rPr>
        <w:t xml:space="preserve">As noted in question no. 3, </w:t>
      </w:r>
      <w:r w:rsidRPr="00DF0A2D">
        <w:rPr>
          <w:szCs w:val="24"/>
        </w:rPr>
        <w:t>FRA published a final rule on July 1, 2025, titled Administrative Updates to the Use of Locomotive Horns at Public Highway-Rail Grade Crossings Regulations.</w:t>
      </w:r>
      <w:r>
        <w:rPr>
          <w:szCs w:val="24"/>
          <w:vertAlign w:val="superscript"/>
        </w:rPr>
        <w:footnoteReference w:id="6"/>
      </w:r>
      <w:r w:rsidRPr="00DF0A2D">
        <w:rPr>
          <w:szCs w:val="24"/>
        </w:rPr>
        <w:t xml:space="preserve">  With this final rule, FRA has removed certified mail notification requirements and now allows electronic submittal of applications and notifications to other parties </w:t>
      </w:r>
      <w:r w:rsidR="009B00A7">
        <w:rPr>
          <w:szCs w:val="24"/>
        </w:rPr>
        <w:t xml:space="preserve">(and requires electronic service for submittals </w:t>
      </w:r>
      <w:r w:rsidRPr="00DF0A2D">
        <w:rPr>
          <w:szCs w:val="24"/>
        </w:rPr>
        <w:t>to FRA’s Grade Crossing and Trespasser Outreach Division</w:t>
      </w:r>
      <w:r w:rsidR="009B00A7">
        <w:rPr>
          <w:szCs w:val="24"/>
        </w:rPr>
        <w:t>)</w:t>
      </w:r>
      <w:r w:rsidRPr="00DF0A2D">
        <w:rPr>
          <w:szCs w:val="24"/>
        </w:rPr>
        <w:t>.  The estimated burdens for §§ 222.39, 222.43, 222.47</w:t>
      </w:r>
      <w:r w:rsidR="003E15E2">
        <w:rPr>
          <w:szCs w:val="24"/>
        </w:rPr>
        <w:t>,</w:t>
      </w:r>
      <w:r w:rsidRPr="00DF0A2D">
        <w:rPr>
          <w:szCs w:val="24"/>
        </w:rPr>
        <w:t xml:space="preserve"> and 222.51 have been updated accordingly, decreasing burdens by 72 hours.</w:t>
      </w:r>
    </w:p>
    <w:p w:rsidR="00DF0A2D" w:rsidP="00DF0A2D" w14:paraId="739AB455" w14:textId="77777777">
      <w:pPr>
        <w:ind w:left="720"/>
        <w:rPr>
          <w:szCs w:val="24"/>
        </w:rPr>
      </w:pPr>
    </w:p>
    <w:p w:rsidR="00DF0A2D" w:rsidRPr="00DF0A2D" w:rsidP="00DF0A2D" w14:paraId="4D2F1036" w14:textId="218482CD">
      <w:pPr>
        <w:ind w:left="720"/>
        <w:rPr>
          <w:szCs w:val="24"/>
        </w:rPr>
      </w:pPr>
      <w:r w:rsidRPr="00DF0A2D">
        <w:rPr>
          <w:szCs w:val="24"/>
        </w:rPr>
        <w:t xml:space="preserve">Under </w:t>
      </w:r>
      <w:bookmarkStart w:id="2" w:name="_Hlk197439808"/>
      <w:r w:rsidRPr="00DF0A2D">
        <w:rPr>
          <w:szCs w:val="24"/>
        </w:rPr>
        <w:t>§ 222.51</w:t>
      </w:r>
      <w:bookmarkEnd w:id="2"/>
      <w:r w:rsidRPr="00DF0A2D">
        <w:rPr>
          <w:szCs w:val="24"/>
        </w:rPr>
        <w:t xml:space="preserve">(c), which describes the process for reviewing the status of any quiet zone, FRA determined that the burden previously reported for public comments should be excluded because the submission of public comments in response to a </w:t>
      </w:r>
      <w:r w:rsidRPr="00DF0A2D">
        <w:rPr>
          <w:i/>
          <w:iCs/>
          <w:szCs w:val="24"/>
        </w:rPr>
        <w:t xml:space="preserve">Federal </w:t>
      </w:r>
      <w:r w:rsidRPr="00DF0A2D">
        <w:rPr>
          <w:i/>
          <w:szCs w:val="24"/>
        </w:rPr>
        <w:t>Register</w:t>
      </w:r>
      <w:r w:rsidRPr="00DF0A2D">
        <w:rPr>
          <w:szCs w:val="24"/>
        </w:rPr>
        <w:t xml:space="preserve"> notice falls outside the PRA’s definition of information under 5 CFR 1320.3(h)(4).  Accordingly, FRA is removing the burden previously attributed to public comments from interested parties during FRA’s review of the status of any quiet zone.  </w:t>
      </w:r>
    </w:p>
    <w:p w:rsidR="00DF0A2D" w:rsidP="00DF0A2D" w14:paraId="218DD863" w14:textId="55FC3FD7">
      <w:pPr>
        <w:ind w:left="720"/>
        <w:rPr>
          <w:szCs w:val="24"/>
        </w:rPr>
      </w:pPr>
      <w:r w:rsidRPr="00DF0A2D">
        <w:rPr>
          <w:szCs w:val="24"/>
        </w:rPr>
        <w:t xml:space="preserve">Under § 222.55(b) and (d), which describe how interested parties may apply for approval from the Associate Administrator to demonstrate proposed new supplementary or </w:t>
      </w:r>
      <w:r w:rsidRPr="00DF0A2D">
        <w:rPr>
          <w:szCs w:val="24"/>
        </w:rPr>
        <w:t xml:space="preserve">alternative safety measures (SSMs/ASMs), FRA adjusted the burden estimates to reflect the number of hours and estimated average time required to compose the written request, increasing the burden by 40 hours. </w:t>
      </w:r>
      <w:r w:rsidR="00FD3429">
        <w:rPr>
          <w:szCs w:val="24"/>
        </w:rPr>
        <w:t xml:space="preserve"> </w:t>
      </w:r>
      <w:r w:rsidRPr="00DF0A2D">
        <w:rPr>
          <w:szCs w:val="24"/>
        </w:rPr>
        <w:t xml:space="preserve">The increased burden hours reflect additional time needed, after the demonstration of proposed SSMs or ASMs, to gather all the necessary documentation and prepare the written application with the required information that must be included pursuant to § 222.55(d)(1) through (5). </w:t>
      </w:r>
    </w:p>
    <w:p w:rsidR="00DF0A2D" w:rsidRPr="00DF0A2D" w:rsidP="00DF0A2D" w14:paraId="0F68E9B7" w14:textId="77777777">
      <w:pPr>
        <w:ind w:left="720"/>
        <w:rPr>
          <w:szCs w:val="24"/>
        </w:rPr>
      </w:pPr>
    </w:p>
    <w:p w:rsidR="00DF0A2D" w:rsidRPr="00DF0A2D" w:rsidP="00DF0A2D" w14:paraId="59B30F9A" w14:textId="19BAE8B8">
      <w:pPr>
        <w:ind w:left="720"/>
        <w:rPr>
          <w:szCs w:val="24"/>
        </w:rPr>
      </w:pPr>
      <w:r w:rsidRPr="00DF0A2D">
        <w:rPr>
          <w:szCs w:val="24"/>
        </w:rPr>
        <w:t>Lastly, under § 222.57(c)</w:t>
      </w:r>
      <w:r w:rsidR="009E7023">
        <w:rPr>
          <w:szCs w:val="24"/>
        </w:rPr>
        <w:t xml:space="preserve"> (</w:t>
      </w:r>
      <w:r w:rsidRPr="00DF0A2D">
        <w:rPr>
          <w:szCs w:val="24"/>
        </w:rPr>
        <w:t>which establishes procedures for how parties can seek reconsideration of an Associate Administrator decision to terminate a quiet zone</w:t>
      </w:r>
      <w:r w:rsidR="009E7023">
        <w:rPr>
          <w:szCs w:val="24"/>
        </w:rPr>
        <w:t>)</w:t>
      </w:r>
      <w:r w:rsidRPr="00DF0A2D">
        <w:rPr>
          <w:szCs w:val="24"/>
        </w:rPr>
        <w:t xml:space="preserve"> and § 222.57(d) </w:t>
      </w:r>
      <w:r w:rsidR="009E7023">
        <w:rPr>
          <w:szCs w:val="24"/>
        </w:rPr>
        <w:t>(</w:t>
      </w:r>
      <w:r w:rsidRPr="00DF0A2D">
        <w:rPr>
          <w:szCs w:val="24"/>
        </w:rPr>
        <w:t>which establishes procedures for railroads to request reconsideration of an Associate Administrator decision to approve an application for approval of a proposed quiet zone</w:t>
      </w:r>
      <w:r w:rsidR="009E7023">
        <w:rPr>
          <w:szCs w:val="24"/>
        </w:rPr>
        <w:t>)</w:t>
      </w:r>
      <w:r w:rsidRPr="00DF0A2D">
        <w:rPr>
          <w:szCs w:val="24"/>
        </w:rPr>
        <w:t xml:space="preserve">, FRA determined that the estimated burden hours were not included in the previously reported burden.  </w:t>
      </w:r>
      <w:r w:rsidR="00397DF8">
        <w:rPr>
          <w:szCs w:val="24"/>
        </w:rPr>
        <w:t>Accordingly</w:t>
      </w:r>
      <w:r w:rsidR="0087498D">
        <w:rPr>
          <w:szCs w:val="24"/>
        </w:rPr>
        <w:t xml:space="preserve">, </w:t>
      </w:r>
      <w:r w:rsidRPr="00DF0A2D">
        <w:rPr>
          <w:szCs w:val="24"/>
        </w:rPr>
        <w:t xml:space="preserve">FRA has corrected the oversight by adding 9 burden hours.  </w:t>
      </w:r>
    </w:p>
    <w:p w:rsidR="00DF0A2D" w:rsidP="00DF0A2D" w14:paraId="7AD73495" w14:textId="77777777">
      <w:pPr>
        <w:ind w:left="720"/>
        <w:rPr>
          <w:szCs w:val="24"/>
        </w:rPr>
      </w:pPr>
    </w:p>
    <w:p w:rsidR="00DF0A2D" w:rsidRPr="00DF0A2D" w:rsidP="00DF0A2D" w14:paraId="456A6548" w14:textId="526153C3">
      <w:pPr>
        <w:ind w:left="720"/>
        <w:rPr>
          <w:szCs w:val="24"/>
        </w:rPr>
      </w:pPr>
      <w:r w:rsidRPr="00DF0A2D">
        <w:rPr>
          <w:szCs w:val="24"/>
        </w:rPr>
        <w:t xml:space="preserve">Overall, program changes and adjustments decreased the total burden hours for this submission by 21 hours. </w:t>
      </w:r>
    </w:p>
    <w:p w:rsidR="00DF0A2D" w:rsidP="00961923" w14:paraId="52842C13" w14:textId="77777777">
      <w:pPr>
        <w:ind w:left="720"/>
        <w:rPr>
          <w:szCs w:val="24"/>
        </w:rPr>
      </w:pPr>
    </w:p>
    <w:bookmarkEnd w:id="1"/>
    <w:p w:rsidR="00884430" w:rsidP="00884430" w14:paraId="03591A16" w14:textId="5BFF259A">
      <w:pPr>
        <w:widowControl w:val="0"/>
        <w:rPr>
          <w:szCs w:val="24"/>
        </w:rPr>
      </w:pPr>
      <w:r w:rsidRPr="00164DED">
        <w:rPr>
          <w:b/>
          <w:szCs w:val="24"/>
        </w:rPr>
        <w:t>16.</w:t>
      </w:r>
      <w:r w:rsidRPr="00164DED">
        <w:rPr>
          <w:b/>
          <w:szCs w:val="24"/>
        </w:rPr>
        <w:tab/>
      </w:r>
      <w:r w:rsidRPr="00164DED">
        <w:rPr>
          <w:b/>
          <w:szCs w:val="24"/>
          <w:u w:val="single"/>
        </w:rPr>
        <w:t>Publication of results of data collection</w:t>
      </w:r>
      <w:r w:rsidRPr="00164DED">
        <w:rPr>
          <w:b/>
          <w:szCs w:val="24"/>
        </w:rPr>
        <w:t>.</w:t>
      </w:r>
      <w:r w:rsidRPr="00164DED">
        <w:rPr>
          <w:szCs w:val="24"/>
        </w:rPr>
        <w:tab/>
      </w:r>
    </w:p>
    <w:p w:rsidR="00D14763" w:rsidRPr="00164DED" w:rsidP="00884430" w14:paraId="3BD2605C" w14:textId="2F69A7DA">
      <w:pPr>
        <w:widowControl w:val="0"/>
        <w:rPr>
          <w:szCs w:val="24"/>
        </w:rPr>
      </w:pPr>
      <w:r w:rsidRPr="00164DED">
        <w:rPr>
          <w:szCs w:val="24"/>
        </w:rPr>
        <w:tab/>
      </w:r>
      <w:r w:rsidRPr="00164DED">
        <w:rPr>
          <w:szCs w:val="24"/>
        </w:rPr>
        <w:tab/>
      </w:r>
      <w:r w:rsidRPr="00164DED">
        <w:rPr>
          <w:szCs w:val="24"/>
        </w:rPr>
        <w:tab/>
      </w:r>
      <w:r w:rsidRPr="00164DED">
        <w:rPr>
          <w:szCs w:val="24"/>
        </w:rPr>
        <w:tab/>
      </w:r>
      <w:r w:rsidRPr="00164DED">
        <w:rPr>
          <w:szCs w:val="24"/>
        </w:rPr>
        <w:tab/>
      </w:r>
    </w:p>
    <w:p w:rsidR="00D14763" w:rsidRPr="00164DED" w:rsidP="00884430" w14:paraId="10C7703B" w14:textId="2CA3C4C9">
      <w:pPr>
        <w:widowControl w:val="0"/>
        <w:ind w:left="720"/>
        <w:rPr>
          <w:szCs w:val="24"/>
        </w:rPr>
      </w:pPr>
      <w:r w:rsidRPr="00164DED">
        <w:rPr>
          <w:szCs w:val="24"/>
        </w:rPr>
        <w:t xml:space="preserve">FRA </w:t>
      </w:r>
      <w:r w:rsidR="000125FC">
        <w:rPr>
          <w:szCs w:val="24"/>
        </w:rPr>
        <w:t xml:space="preserve">does not </w:t>
      </w:r>
      <w:r w:rsidRPr="00164DED">
        <w:rPr>
          <w:szCs w:val="24"/>
        </w:rPr>
        <w:t>plan</w:t>
      </w:r>
      <w:r w:rsidR="000125FC">
        <w:rPr>
          <w:szCs w:val="24"/>
        </w:rPr>
        <w:t xml:space="preserve"> to publish the </w:t>
      </w:r>
      <w:r w:rsidR="00FF5582">
        <w:rPr>
          <w:szCs w:val="24"/>
        </w:rPr>
        <w:t>information collected.</w:t>
      </w:r>
      <w:r w:rsidRPr="00164DED">
        <w:rPr>
          <w:szCs w:val="24"/>
        </w:rPr>
        <w:tab/>
      </w:r>
      <w:r w:rsidRPr="00164DED">
        <w:rPr>
          <w:szCs w:val="24"/>
        </w:rPr>
        <w:tab/>
      </w:r>
      <w:r w:rsidRPr="00164DED">
        <w:rPr>
          <w:szCs w:val="24"/>
        </w:rPr>
        <w:tab/>
      </w:r>
      <w:r w:rsidRPr="00164DED">
        <w:rPr>
          <w:szCs w:val="24"/>
        </w:rPr>
        <w:tab/>
      </w:r>
    </w:p>
    <w:p w:rsidR="00D14763" w:rsidRPr="00164DED" w14:paraId="4E2953DC" w14:textId="77777777">
      <w:pPr>
        <w:widowControl w:val="0"/>
        <w:rPr>
          <w:szCs w:val="24"/>
        </w:rPr>
      </w:pPr>
    </w:p>
    <w:p w:rsidR="00506720" w:rsidRPr="00164DED" w:rsidP="00506720" w14:paraId="22830341" w14:textId="77777777">
      <w:pPr>
        <w:widowControl w:val="0"/>
        <w:rPr>
          <w:b/>
          <w:szCs w:val="24"/>
        </w:rPr>
      </w:pPr>
      <w:r w:rsidRPr="00164DED">
        <w:rPr>
          <w:b/>
          <w:szCs w:val="24"/>
        </w:rPr>
        <w:t>17.</w:t>
      </w:r>
      <w:r w:rsidRPr="00164DED">
        <w:rPr>
          <w:b/>
          <w:szCs w:val="24"/>
        </w:rPr>
        <w:tab/>
      </w:r>
      <w:r w:rsidRPr="00164DED">
        <w:rPr>
          <w:b/>
          <w:szCs w:val="24"/>
          <w:u w:val="single"/>
        </w:rPr>
        <w:t>Approval for not displaying the expiration date for OMB approval</w:t>
      </w:r>
      <w:r w:rsidRPr="00164DED">
        <w:rPr>
          <w:b/>
          <w:szCs w:val="24"/>
        </w:rPr>
        <w:t>.</w:t>
      </w:r>
    </w:p>
    <w:p w:rsidR="00D14763" w:rsidRPr="00164DED" w14:paraId="17209069" w14:textId="77777777">
      <w:pPr>
        <w:widowControl w:val="0"/>
        <w:rPr>
          <w:szCs w:val="24"/>
        </w:rPr>
      </w:pPr>
    </w:p>
    <w:p w:rsidR="00D14763" w14:paraId="5750BDAC" w14:textId="05DA96EC">
      <w:pPr>
        <w:widowControl w:val="0"/>
        <w:ind w:left="720"/>
        <w:rPr>
          <w:szCs w:val="24"/>
        </w:rPr>
      </w:pPr>
      <w:r>
        <w:rPr>
          <w:szCs w:val="24"/>
        </w:rPr>
        <w:t>FRA is not</w:t>
      </w:r>
      <w:r w:rsidRPr="00F73522">
        <w:rPr>
          <w:szCs w:val="24"/>
        </w:rPr>
        <w:t xml:space="preserve"> seeking approval to not display the expiration date.</w:t>
      </w:r>
    </w:p>
    <w:p w:rsidR="00AF6357" w:rsidRPr="00164DED" w14:paraId="439BC8FE" w14:textId="77777777">
      <w:pPr>
        <w:widowControl w:val="0"/>
        <w:ind w:left="720"/>
        <w:rPr>
          <w:b/>
          <w:szCs w:val="24"/>
        </w:rPr>
      </w:pPr>
    </w:p>
    <w:p w:rsidR="00F209CF" w:rsidRPr="00164DED" w:rsidP="00F209CF" w14:paraId="612DA28E" w14:textId="77777777">
      <w:pPr>
        <w:widowControl w:val="0"/>
        <w:rPr>
          <w:b/>
          <w:szCs w:val="24"/>
          <w:u w:val="single"/>
        </w:rPr>
      </w:pPr>
      <w:r w:rsidRPr="00164DED">
        <w:rPr>
          <w:b/>
          <w:szCs w:val="24"/>
        </w:rPr>
        <w:t>18.</w:t>
      </w:r>
      <w:r w:rsidRPr="00164DED">
        <w:rPr>
          <w:b/>
          <w:szCs w:val="24"/>
        </w:rPr>
        <w:tab/>
      </w:r>
      <w:r w:rsidRPr="00164DED">
        <w:rPr>
          <w:b/>
          <w:szCs w:val="24"/>
          <w:u w:val="single"/>
        </w:rPr>
        <w:t>Exception to certification statement.</w:t>
      </w:r>
    </w:p>
    <w:p w:rsidR="00D14763" w:rsidRPr="00164DED" w14:paraId="2EC20C6F" w14:textId="77777777">
      <w:pPr>
        <w:widowControl w:val="0"/>
        <w:rPr>
          <w:szCs w:val="24"/>
        </w:rPr>
      </w:pPr>
    </w:p>
    <w:p w:rsidR="00D14763" w:rsidRPr="00164DED" w:rsidP="00474BDC" w14:paraId="230A2117" w14:textId="389F1C7E">
      <w:pPr>
        <w:widowControl w:val="0"/>
        <w:ind w:left="720"/>
        <w:rPr>
          <w:szCs w:val="24"/>
        </w:rPr>
      </w:pPr>
      <w:r w:rsidRPr="00164DED">
        <w:rPr>
          <w:szCs w:val="24"/>
        </w:rPr>
        <w:t xml:space="preserve">No exceptions are taken </w:t>
      </w:r>
      <w:r w:rsidRPr="00164DED">
        <w:rPr>
          <w:szCs w:val="24"/>
        </w:rPr>
        <w:t>at this time</w:t>
      </w:r>
      <w:r w:rsidRPr="00164DED">
        <w:rPr>
          <w:szCs w:val="24"/>
        </w:rPr>
        <w:t>.</w:t>
      </w:r>
    </w:p>
    <w:sectPr w:rsidSect="00E279A3">
      <w:pgSz w:w="12240" w:h="15840"/>
      <w:pgMar w:top="1440" w:right="1440" w:bottom="1440" w:left="1440" w:header="1354" w:footer="180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2315" w14:paraId="6E3929CE"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2315" w14:paraId="31D3449E" w14:textId="77777777">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A3187" w14:paraId="21D9FCCC" w14:textId="77777777">
      <w:r>
        <w:separator/>
      </w:r>
    </w:p>
  </w:footnote>
  <w:footnote w:type="continuationSeparator" w:id="1">
    <w:p w:rsidR="00CA3187" w14:paraId="6DE1B270" w14:textId="77777777">
      <w:r>
        <w:continuationSeparator/>
      </w:r>
    </w:p>
  </w:footnote>
  <w:footnote w:type="continuationNotice" w:id="2">
    <w:p w:rsidR="00CA3187" w14:paraId="11DFCE27" w14:textId="77777777"/>
  </w:footnote>
  <w:footnote w:id="3">
    <w:p w:rsidR="00E9352E" w14:paraId="22A6EB82" w14:textId="33CC6B4C">
      <w:pPr>
        <w:pStyle w:val="FootnoteText"/>
      </w:pPr>
      <w:r>
        <w:rPr>
          <w:rStyle w:val="FootnoteReference"/>
        </w:rPr>
        <w:footnoteRef/>
      </w:r>
      <w:r>
        <w:t xml:space="preserve"> </w:t>
      </w:r>
      <w:r w:rsidR="004B3AE3">
        <w:t xml:space="preserve">90 FR 28150 (July 1, 2025). </w:t>
      </w:r>
    </w:p>
  </w:footnote>
  <w:footnote w:id="4">
    <w:p w:rsidR="008A425A" w14:paraId="58E73E32" w14:textId="2C695520">
      <w:pPr>
        <w:pStyle w:val="FootnoteText"/>
      </w:pPr>
      <w:r>
        <w:rPr>
          <w:rStyle w:val="FootnoteReference"/>
        </w:rPr>
        <w:footnoteRef/>
      </w:r>
      <w:r w:rsidR="00F21FA5">
        <w:t xml:space="preserve"> </w:t>
      </w:r>
      <w:r>
        <w:t xml:space="preserve">90 FR </w:t>
      </w:r>
      <w:r w:rsidR="00DB1B7F">
        <w:t>38586</w:t>
      </w:r>
      <w:r w:rsidR="005B2D69">
        <w:t>.</w:t>
      </w:r>
    </w:p>
  </w:footnote>
  <w:footnote w:id="5">
    <w:p w:rsidR="00B663C0" w:rsidRPr="00963C83" w:rsidP="00B663C0" w14:paraId="4D4495E5" w14:textId="77777777">
      <w:pPr>
        <w:pStyle w:val="FootnoteText"/>
      </w:pPr>
      <w:r>
        <w:rPr>
          <w:rStyle w:val="FootnoteReference"/>
        </w:rPr>
        <w:footnoteRef/>
      </w:r>
      <w:r>
        <w:t xml:space="preserve"> </w:t>
      </w:r>
      <w:r w:rsidRPr="00963C83">
        <w:t>The dollar equivalent cost is derived from the 2023 Surface Transportation Board Full Year Wage A&amp;B data series using the employee group 200 (Professional &amp; Administrative) hourly wage rate of $50.93, and group 600 (Transportation, Train &amp; Engine) hourly wage rate of $41.94.  The total burden wage rate (Straight time plus 75%) used in the table is $89.13 ($50.93 x 1.75 = $89.13), and $41.94 ($41.94 x 1.75 = $73.40).</w:t>
      </w:r>
    </w:p>
    <w:p w:rsidR="00B663C0" w:rsidP="00B663C0" w14:paraId="5B375ACA" w14:textId="77777777">
      <w:pPr>
        <w:pStyle w:val="FootnoteText"/>
      </w:pPr>
    </w:p>
  </w:footnote>
  <w:footnote w:id="6">
    <w:p w:rsidR="00DF0A2D" w:rsidP="00DF0A2D" w14:paraId="1DBC48EF" w14:textId="4FADD2CF">
      <w:pPr>
        <w:pStyle w:val="FootnoteText"/>
      </w:pPr>
      <w:r w:rsidRPr="00F76AFA">
        <w:rPr>
          <w:rStyle w:val="FootnoteReference"/>
        </w:rPr>
        <w:footnoteRef/>
      </w:r>
      <w:r w:rsidRPr="00F76AFA">
        <w:t xml:space="preserve"> 90 FR 28150</w:t>
      </w:r>
      <w:r w:rsidR="0054316D">
        <w:t xml:space="preserve"> (July 1, 2025)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2315" w14:paraId="4C14CB9C"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2315" w14:paraId="64319B96"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3"/>
      <w:numFmt w:val="lowerLetter"/>
      <w:suff w:val="nothing"/>
      <w:lvlText w:val="(%1)"/>
      <w:lvlJc w:val="left"/>
    </w:lvl>
    <w:lvl w:ilvl="1">
      <w:start w:val="1"/>
      <w:numFmt w:val="lowerLetter"/>
      <w:suff w:val="nothing"/>
      <w:lvlText w:val="(%2)"/>
      <w:lvlJc w:val="left"/>
    </w:lvl>
    <w:lvl w:ilvl="2">
      <w:start w:val="1"/>
      <w:numFmt w:val="lowerLetter"/>
      <w:suff w:val="nothing"/>
      <w:lvlText w:val="(%3)"/>
      <w:lvlJc w:val="left"/>
    </w:lvl>
    <w:lvl w:ilvl="3">
      <w:start w:val="1"/>
      <w:numFmt w:val="lowerLetter"/>
      <w:suff w:val="nothing"/>
      <w:lvlText w:val="(%4)"/>
      <w:lvlJc w:val="left"/>
    </w:lvl>
    <w:lvl w:ilvl="4">
      <w:start w:val="1"/>
      <w:numFmt w:val="lowerLetter"/>
      <w:suff w:val="nothing"/>
      <w:lvlText w:val="(%5)"/>
      <w:lvlJc w:val="left"/>
    </w:lvl>
    <w:lvl w:ilvl="5">
      <w:start w:val="1"/>
      <w:numFmt w:val="lowerLetter"/>
      <w:suff w:val="nothing"/>
      <w:lvlText w:val="(%6)"/>
      <w:lvlJc w:val="left"/>
    </w:lvl>
    <w:lvl w:ilvl="6">
      <w:start w:val="1"/>
      <w:numFmt w:val="lowerLetter"/>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2">
    <w:nsid w:val="00000003"/>
    <w:multiLevelType w:val="multilevel"/>
    <w:tmpl w:val="00000003"/>
    <w:lvl w:ilvl="0">
      <w:start w:val="4"/>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3">
    <w:nsid w:val="00000004"/>
    <w:multiLevelType w:val="multilevel"/>
    <w:tmpl w:val="00000004"/>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4">
    <w:nsid w:val="2FD37CD8"/>
    <w:multiLevelType w:val="hybridMultilevel"/>
    <w:tmpl w:val="4B02E10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33EA61A6"/>
    <w:multiLevelType w:val="hybridMultilevel"/>
    <w:tmpl w:val="1E420F9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start w:val="0"/>
      <w:numFmt w:val="bullet"/>
      <w:lvlText w:val="-"/>
      <w:lvlJc w:val="left"/>
      <w:pPr>
        <w:ind w:left="2880" w:hanging="360"/>
      </w:pPr>
      <w:rPr>
        <w:rFonts w:ascii="Times New Roman" w:eastAsia="Times New Roman" w:hAnsi="Times New Roman" w:cs="Times New Roman"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1011440"/>
    <w:multiLevelType w:val="hybridMultilevel"/>
    <w:tmpl w:val="E1B8DBB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2423189"/>
    <w:multiLevelType w:val="hybridMultilevel"/>
    <w:tmpl w:val="26F60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FBD30CD"/>
    <w:multiLevelType w:val="hybridMultilevel"/>
    <w:tmpl w:val="C91498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44479933">
    <w:abstractNumId w:val="0"/>
  </w:num>
  <w:num w:numId="2" w16cid:durableId="1693729215">
    <w:abstractNumId w:val="1"/>
  </w:num>
  <w:num w:numId="3" w16cid:durableId="1499033786">
    <w:abstractNumId w:val="2"/>
  </w:num>
  <w:num w:numId="4" w16cid:durableId="140656073">
    <w:abstractNumId w:val="3"/>
  </w:num>
  <w:num w:numId="5" w16cid:durableId="114830918">
    <w:abstractNumId w:val="5"/>
  </w:num>
  <w:num w:numId="6" w16cid:durableId="234047174">
    <w:abstractNumId w:val="6"/>
  </w:num>
  <w:num w:numId="7" w16cid:durableId="93313091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0555201">
    <w:abstractNumId w:val="4"/>
  </w:num>
  <w:num w:numId="9" w16cid:durableId="2050915197">
    <w:abstractNumId w:val="7"/>
  </w:num>
  <w:num w:numId="10" w16cid:durableId="8649075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B7A"/>
    <w:rsid w:val="0000263B"/>
    <w:rsid w:val="00002D31"/>
    <w:rsid w:val="000043C6"/>
    <w:rsid w:val="0000452A"/>
    <w:rsid w:val="000047EE"/>
    <w:rsid w:val="000054CD"/>
    <w:rsid w:val="000071A6"/>
    <w:rsid w:val="00007C11"/>
    <w:rsid w:val="00010AEF"/>
    <w:rsid w:val="00010D97"/>
    <w:rsid w:val="000125FC"/>
    <w:rsid w:val="00013BAA"/>
    <w:rsid w:val="00016AE8"/>
    <w:rsid w:val="0002099A"/>
    <w:rsid w:val="000219DB"/>
    <w:rsid w:val="0002359D"/>
    <w:rsid w:val="00025C43"/>
    <w:rsid w:val="00026B18"/>
    <w:rsid w:val="00031315"/>
    <w:rsid w:val="000313E2"/>
    <w:rsid w:val="00032341"/>
    <w:rsid w:val="00032FF2"/>
    <w:rsid w:val="0003392A"/>
    <w:rsid w:val="0003592A"/>
    <w:rsid w:val="00037A0E"/>
    <w:rsid w:val="00037ED6"/>
    <w:rsid w:val="00040271"/>
    <w:rsid w:val="00042B1A"/>
    <w:rsid w:val="00044627"/>
    <w:rsid w:val="000466DE"/>
    <w:rsid w:val="00050872"/>
    <w:rsid w:val="000511EF"/>
    <w:rsid w:val="0005188E"/>
    <w:rsid w:val="00051ABA"/>
    <w:rsid w:val="000559E0"/>
    <w:rsid w:val="00056021"/>
    <w:rsid w:val="000562ED"/>
    <w:rsid w:val="00057372"/>
    <w:rsid w:val="000575E1"/>
    <w:rsid w:val="00057A2F"/>
    <w:rsid w:val="00057BFD"/>
    <w:rsid w:val="000607DB"/>
    <w:rsid w:val="000622C6"/>
    <w:rsid w:val="00062522"/>
    <w:rsid w:val="000633C9"/>
    <w:rsid w:val="00063F5E"/>
    <w:rsid w:val="00064B41"/>
    <w:rsid w:val="000655FB"/>
    <w:rsid w:val="00065C9B"/>
    <w:rsid w:val="0006677A"/>
    <w:rsid w:val="000668C5"/>
    <w:rsid w:val="00067456"/>
    <w:rsid w:val="00067605"/>
    <w:rsid w:val="00067C4C"/>
    <w:rsid w:val="00070DC9"/>
    <w:rsid w:val="0007215B"/>
    <w:rsid w:val="0007236C"/>
    <w:rsid w:val="00072B8C"/>
    <w:rsid w:val="000737D4"/>
    <w:rsid w:val="000746EB"/>
    <w:rsid w:val="00074BC7"/>
    <w:rsid w:val="00074F5C"/>
    <w:rsid w:val="00075768"/>
    <w:rsid w:val="00075D9A"/>
    <w:rsid w:val="00080447"/>
    <w:rsid w:val="000813F6"/>
    <w:rsid w:val="00085E31"/>
    <w:rsid w:val="00086193"/>
    <w:rsid w:val="000865A5"/>
    <w:rsid w:val="00086B5B"/>
    <w:rsid w:val="00087C2B"/>
    <w:rsid w:val="00090310"/>
    <w:rsid w:val="00091E8A"/>
    <w:rsid w:val="000948A8"/>
    <w:rsid w:val="00094993"/>
    <w:rsid w:val="00095511"/>
    <w:rsid w:val="0009644A"/>
    <w:rsid w:val="000A0918"/>
    <w:rsid w:val="000A148D"/>
    <w:rsid w:val="000A213B"/>
    <w:rsid w:val="000A273B"/>
    <w:rsid w:val="000A2D55"/>
    <w:rsid w:val="000A4F53"/>
    <w:rsid w:val="000A7199"/>
    <w:rsid w:val="000A78FE"/>
    <w:rsid w:val="000B3BA9"/>
    <w:rsid w:val="000B79EF"/>
    <w:rsid w:val="000B7D25"/>
    <w:rsid w:val="000C13ED"/>
    <w:rsid w:val="000C6006"/>
    <w:rsid w:val="000C6A08"/>
    <w:rsid w:val="000C7BD8"/>
    <w:rsid w:val="000D00FB"/>
    <w:rsid w:val="000D19AA"/>
    <w:rsid w:val="000D3EE7"/>
    <w:rsid w:val="000D4664"/>
    <w:rsid w:val="000D55D9"/>
    <w:rsid w:val="000D620D"/>
    <w:rsid w:val="000E19D0"/>
    <w:rsid w:val="000E290C"/>
    <w:rsid w:val="000E5DF4"/>
    <w:rsid w:val="000E642A"/>
    <w:rsid w:val="000F0654"/>
    <w:rsid w:val="000F1362"/>
    <w:rsid w:val="000F34B5"/>
    <w:rsid w:val="000F36D2"/>
    <w:rsid w:val="000F3953"/>
    <w:rsid w:val="000F6A7C"/>
    <w:rsid w:val="000F77B0"/>
    <w:rsid w:val="000F7EE4"/>
    <w:rsid w:val="0010226F"/>
    <w:rsid w:val="00104A05"/>
    <w:rsid w:val="00111DD9"/>
    <w:rsid w:val="00111F90"/>
    <w:rsid w:val="00111FE2"/>
    <w:rsid w:val="00113AE2"/>
    <w:rsid w:val="001146B9"/>
    <w:rsid w:val="00115301"/>
    <w:rsid w:val="00116884"/>
    <w:rsid w:val="00117005"/>
    <w:rsid w:val="001209E9"/>
    <w:rsid w:val="0012278D"/>
    <w:rsid w:val="001237A4"/>
    <w:rsid w:val="00123B57"/>
    <w:rsid w:val="001245EF"/>
    <w:rsid w:val="0012466F"/>
    <w:rsid w:val="0012648E"/>
    <w:rsid w:val="00130A19"/>
    <w:rsid w:val="00131F93"/>
    <w:rsid w:val="00133221"/>
    <w:rsid w:val="00133433"/>
    <w:rsid w:val="0013514D"/>
    <w:rsid w:val="00136F0B"/>
    <w:rsid w:val="00137082"/>
    <w:rsid w:val="001401EB"/>
    <w:rsid w:val="00140EFA"/>
    <w:rsid w:val="00144D5E"/>
    <w:rsid w:val="001453E1"/>
    <w:rsid w:val="0014591A"/>
    <w:rsid w:val="00146E07"/>
    <w:rsid w:val="00146E8C"/>
    <w:rsid w:val="00150515"/>
    <w:rsid w:val="001506DC"/>
    <w:rsid w:val="001507E7"/>
    <w:rsid w:val="00153371"/>
    <w:rsid w:val="00153CCA"/>
    <w:rsid w:val="001553D2"/>
    <w:rsid w:val="0015648A"/>
    <w:rsid w:val="00156AE1"/>
    <w:rsid w:val="00156D23"/>
    <w:rsid w:val="00156D28"/>
    <w:rsid w:val="0016103A"/>
    <w:rsid w:val="00163493"/>
    <w:rsid w:val="00163737"/>
    <w:rsid w:val="00163BD4"/>
    <w:rsid w:val="00164684"/>
    <w:rsid w:val="00164DED"/>
    <w:rsid w:val="001654C9"/>
    <w:rsid w:val="001670FB"/>
    <w:rsid w:val="00167CF0"/>
    <w:rsid w:val="00170884"/>
    <w:rsid w:val="001759D8"/>
    <w:rsid w:val="001765A6"/>
    <w:rsid w:val="00176BA3"/>
    <w:rsid w:val="001772B0"/>
    <w:rsid w:val="00177433"/>
    <w:rsid w:val="0018179C"/>
    <w:rsid w:val="00182D44"/>
    <w:rsid w:val="001839FC"/>
    <w:rsid w:val="00186917"/>
    <w:rsid w:val="001910EB"/>
    <w:rsid w:val="00191C17"/>
    <w:rsid w:val="00191FE0"/>
    <w:rsid w:val="001A2790"/>
    <w:rsid w:val="001A3544"/>
    <w:rsid w:val="001A39F3"/>
    <w:rsid w:val="001A56E9"/>
    <w:rsid w:val="001A6CD0"/>
    <w:rsid w:val="001A7144"/>
    <w:rsid w:val="001A78E3"/>
    <w:rsid w:val="001B0B53"/>
    <w:rsid w:val="001B1925"/>
    <w:rsid w:val="001B31F2"/>
    <w:rsid w:val="001B3864"/>
    <w:rsid w:val="001B4441"/>
    <w:rsid w:val="001B4989"/>
    <w:rsid w:val="001B5BCA"/>
    <w:rsid w:val="001B77C9"/>
    <w:rsid w:val="001C10DD"/>
    <w:rsid w:val="001C360E"/>
    <w:rsid w:val="001C364D"/>
    <w:rsid w:val="001D196E"/>
    <w:rsid w:val="001D57D9"/>
    <w:rsid w:val="001D6EE2"/>
    <w:rsid w:val="001D76DB"/>
    <w:rsid w:val="001E03BE"/>
    <w:rsid w:val="001E0457"/>
    <w:rsid w:val="001E0830"/>
    <w:rsid w:val="001E2768"/>
    <w:rsid w:val="001E3325"/>
    <w:rsid w:val="001E5DF7"/>
    <w:rsid w:val="001E698F"/>
    <w:rsid w:val="001E76C0"/>
    <w:rsid w:val="001F06B1"/>
    <w:rsid w:val="001F0C1B"/>
    <w:rsid w:val="001F1C09"/>
    <w:rsid w:val="001F30D2"/>
    <w:rsid w:val="001F34DE"/>
    <w:rsid w:val="001F354B"/>
    <w:rsid w:val="001F3744"/>
    <w:rsid w:val="001F3F1E"/>
    <w:rsid w:val="001F3F33"/>
    <w:rsid w:val="001F779A"/>
    <w:rsid w:val="00200277"/>
    <w:rsid w:val="00200E02"/>
    <w:rsid w:val="002076B1"/>
    <w:rsid w:val="002131EA"/>
    <w:rsid w:val="00213F0B"/>
    <w:rsid w:val="00216EC2"/>
    <w:rsid w:val="002172DC"/>
    <w:rsid w:val="00220527"/>
    <w:rsid w:val="00221461"/>
    <w:rsid w:val="00221A7E"/>
    <w:rsid w:val="002237A9"/>
    <w:rsid w:val="00223B39"/>
    <w:rsid w:val="00223B8E"/>
    <w:rsid w:val="00224961"/>
    <w:rsid w:val="00224D9A"/>
    <w:rsid w:val="00230E3D"/>
    <w:rsid w:val="0023401B"/>
    <w:rsid w:val="00235BEE"/>
    <w:rsid w:val="0024161C"/>
    <w:rsid w:val="002420AF"/>
    <w:rsid w:val="00245619"/>
    <w:rsid w:val="00250FBE"/>
    <w:rsid w:val="00251CE6"/>
    <w:rsid w:val="00251F9D"/>
    <w:rsid w:val="002530DF"/>
    <w:rsid w:val="002558BD"/>
    <w:rsid w:val="00255D6D"/>
    <w:rsid w:val="00255D9E"/>
    <w:rsid w:val="002620D8"/>
    <w:rsid w:val="00262124"/>
    <w:rsid w:val="0026327B"/>
    <w:rsid w:val="00264594"/>
    <w:rsid w:val="00264EC5"/>
    <w:rsid w:val="0026563C"/>
    <w:rsid w:val="00265649"/>
    <w:rsid w:val="00266653"/>
    <w:rsid w:val="00266B23"/>
    <w:rsid w:val="0026740C"/>
    <w:rsid w:val="002772D6"/>
    <w:rsid w:val="00277707"/>
    <w:rsid w:val="00281377"/>
    <w:rsid w:val="00282925"/>
    <w:rsid w:val="00282BA5"/>
    <w:rsid w:val="00282F93"/>
    <w:rsid w:val="00283BDE"/>
    <w:rsid w:val="002853B7"/>
    <w:rsid w:val="00285577"/>
    <w:rsid w:val="0029090A"/>
    <w:rsid w:val="002912A8"/>
    <w:rsid w:val="00292275"/>
    <w:rsid w:val="00292C1D"/>
    <w:rsid w:val="00294BD8"/>
    <w:rsid w:val="00297261"/>
    <w:rsid w:val="00297809"/>
    <w:rsid w:val="002A037E"/>
    <w:rsid w:val="002A474A"/>
    <w:rsid w:val="002A569D"/>
    <w:rsid w:val="002A72BF"/>
    <w:rsid w:val="002B008E"/>
    <w:rsid w:val="002B019B"/>
    <w:rsid w:val="002B19D6"/>
    <w:rsid w:val="002B49A0"/>
    <w:rsid w:val="002B6EFB"/>
    <w:rsid w:val="002B7A4A"/>
    <w:rsid w:val="002C052A"/>
    <w:rsid w:val="002C0F59"/>
    <w:rsid w:val="002C12DA"/>
    <w:rsid w:val="002C1F59"/>
    <w:rsid w:val="002C21EA"/>
    <w:rsid w:val="002C499A"/>
    <w:rsid w:val="002C4D60"/>
    <w:rsid w:val="002C59B0"/>
    <w:rsid w:val="002C6201"/>
    <w:rsid w:val="002D0657"/>
    <w:rsid w:val="002D0AAC"/>
    <w:rsid w:val="002D11C3"/>
    <w:rsid w:val="002D1DF6"/>
    <w:rsid w:val="002D2D21"/>
    <w:rsid w:val="002D2E40"/>
    <w:rsid w:val="002D3ADC"/>
    <w:rsid w:val="002D3D1A"/>
    <w:rsid w:val="002D4D84"/>
    <w:rsid w:val="002E03B0"/>
    <w:rsid w:val="002E1E66"/>
    <w:rsid w:val="002E1FE5"/>
    <w:rsid w:val="002E29D3"/>
    <w:rsid w:val="002E5507"/>
    <w:rsid w:val="002E61BA"/>
    <w:rsid w:val="002E6368"/>
    <w:rsid w:val="002E69B7"/>
    <w:rsid w:val="002E7174"/>
    <w:rsid w:val="002F077F"/>
    <w:rsid w:val="002F462A"/>
    <w:rsid w:val="002F56EA"/>
    <w:rsid w:val="002F6048"/>
    <w:rsid w:val="002F6280"/>
    <w:rsid w:val="002F63CD"/>
    <w:rsid w:val="002F775E"/>
    <w:rsid w:val="00300340"/>
    <w:rsid w:val="00300649"/>
    <w:rsid w:val="00300AD9"/>
    <w:rsid w:val="00300C1C"/>
    <w:rsid w:val="003034DA"/>
    <w:rsid w:val="0030358D"/>
    <w:rsid w:val="00304771"/>
    <w:rsid w:val="0030552C"/>
    <w:rsid w:val="00305B21"/>
    <w:rsid w:val="00307ECE"/>
    <w:rsid w:val="0031003C"/>
    <w:rsid w:val="0031060E"/>
    <w:rsid w:val="00310EA1"/>
    <w:rsid w:val="003124B0"/>
    <w:rsid w:val="00312C40"/>
    <w:rsid w:val="003155C2"/>
    <w:rsid w:val="00316920"/>
    <w:rsid w:val="00316E25"/>
    <w:rsid w:val="003178DF"/>
    <w:rsid w:val="003202A7"/>
    <w:rsid w:val="00321F89"/>
    <w:rsid w:val="00323FAD"/>
    <w:rsid w:val="0032447D"/>
    <w:rsid w:val="00324FB9"/>
    <w:rsid w:val="00325720"/>
    <w:rsid w:val="00325D17"/>
    <w:rsid w:val="00325FAA"/>
    <w:rsid w:val="00327328"/>
    <w:rsid w:val="0032739E"/>
    <w:rsid w:val="00330281"/>
    <w:rsid w:val="003344C8"/>
    <w:rsid w:val="00334F9D"/>
    <w:rsid w:val="003372CA"/>
    <w:rsid w:val="00342B2F"/>
    <w:rsid w:val="00342D66"/>
    <w:rsid w:val="0034396C"/>
    <w:rsid w:val="003446F4"/>
    <w:rsid w:val="00345F67"/>
    <w:rsid w:val="00345F7E"/>
    <w:rsid w:val="00346DFC"/>
    <w:rsid w:val="00350348"/>
    <w:rsid w:val="00350ECC"/>
    <w:rsid w:val="00351C6B"/>
    <w:rsid w:val="00352321"/>
    <w:rsid w:val="003526E0"/>
    <w:rsid w:val="00353626"/>
    <w:rsid w:val="003541EE"/>
    <w:rsid w:val="00356014"/>
    <w:rsid w:val="003573EE"/>
    <w:rsid w:val="00360600"/>
    <w:rsid w:val="00364304"/>
    <w:rsid w:val="00364B64"/>
    <w:rsid w:val="00365573"/>
    <w:rsid w:val="00366F73"/>
    <w:rsid w:val="00367B91"/>
    <w:rsid w:val="00374F98"/>
    <w:rsid w:val="003750B7"/>
    <w:rsid w:val="00375D08"/>
    <w:rsid w:val="003773E4"/>
    <w:rsid w:val="00381770"/>
    <w:rsid w:val="00381DDF"/>
    <w:rsid w:val="00381FFC"/>
    <w:rsid w:val="0038341D"/>
    <w:rsid w:val="00383536"/>
    <w:rsid w:val="00385930"/>
    <w:rsid w:val="00387093"/>
    <w:rsid w:val="003877FB"/>
    <w:rsid w:val="003878B0"/>
    <w:rsid w:val="00392DC5"/>
    <w:rsid w:val="003947B5"/>
    <w:rsid w:val="0039521A"/>
    <w:rsid w:val="00395970"/>
    <w:rsid w:val="00396174"/>
    <w:rsid w:val="00397DF8"/>
    <w:rsid w:val="003A6415"/>
    <w:rsid w:val="003A7A16"/>
    <w:rsid w:val="003A7DBF"/>
    <w:rsid w:val="003B2AF0"/>
    <w:rsid w:val="003B466D"/>
    <w:rsid w:val="003B4723"/>
    <w:rsid w:val="003B5160"/>
    <w:rsid w:val="003B5362"/>
    <w:rsid w:val="003B62FA"/>
    <w:rsid w:val="003C0901"/>
    <w:rsid w:val="003C0AE4"/>
    <w:rsid w:val="003C1B61"/>
    <w:rsid w:val="003C258F"/>
    <w:rsid w:val="003C59DD"/>
    <w:rsid w:val="003C6E18"/>
    <w:rsid w:val="003D0AA0"/>
    <w:rsid w:val="003D4B0F"/>
    <w:rsid w:val="003D4E6E"/>
    <w:rsid w:val="003D5EEE"/>
    <w:rsid w:val="003D6DFD"/>
    <w:rsid w:val="003D790C"/>
    <w:rsid w:val="003E0BF1"/>
    <w:rsid w:val="003E15E2"/>
    <w:rsid w:val="003E1845"/>
    <w:rsid w:val="003E4A41"/>
    <w:rsid w:val="003E5016"/>
    <w:rsid w:val="003E5A98"/>
    <w:rsid w:val="003E6432"/>
    <w:rsid w:val="003E754F"/>
    <w:rsid w:val="003F00A9"/>
    <w:rsid w:val="003F4050"/>
    <w:rsid w:val="003F5314"/>
    <w:rsid w:val="003F563B"/>
    <w:rsid w:val="003F651F"/>
    <w:rsid w:val="003F6AC5"/>
    <w:rsid w:val="00401CDF"/>
    <w:rsid w:val="004027B8"/>
    <w:rsid w:val="00403567"/>
    <w:rsid w:val="00403599"/>
    <w:rsid w:val="00403792"/>
    <w:rsid w:val="004038D1"/>
    <w:rsid w:val="0040447D"/>
    <w:rsid w:val="004110EC"/>
    <w:rsid w:val="00413038"/>
    <w:rsid w:val="00413CC6"/>
    <w:rsid w:val="00414AB6"/>
    <w:rsid w:val="0041727C"/>
    <w:rsid w:val="0041728E"/>
    <w:rsid w:val="00417F2E"/>
    <w:rsid w:val="0042070E"/>
    <w:rsid w:val="004220B6"/>
    <w:rsid w:val="0042286E"/>
    <w:rsid w:val="00422E97"/>
    <w:rsid w:val="00423726"/>
    <w:rsid w:val="00424A14"/>
    <w:rsid w:val="00424A82"/>
    <w:rsid w:val="00426A21"/>
    <w:rsid w:val="00426FD0"/>
    <w:rsid w:val="004302BF"/>
    <w:rsid w:val="00431061"/>
    <w:rsid w:val="00431142"/>
    <w:rsid w:val="00434F08"/>
    <w:rsid w:val="00435B04"/>
    <w:rsid w:val="00435C1F"/>
    <w:rsid w:val="00436C04"/>
    <w:rsid w:val="00440A78"/>
    <w:rsid w:val="0044317F"/>
    <w:rsid w:val="00444090"/>
    <w:rsid w:val="00444479"/>
    <w:rsid w:val="00445542"/>
    <w:rsid w:val="00446BC2"/>
    <w:rsid w:val="004502D3"/>
    <w:rsid w:val="00450750"/>
    <w:rsid w:val="004510D2"/>
    <w:rsid w:val="00454088"/>
    <w:rsid w:val="00464299"/>
    <w:rsid w:val="00466445"/>
    <w:rsid w:val="00467CD7"/>
    <w:rsid w:val="00474BDC"/>
    <w:rsid w:val="00475184"/>
    <w:rsid w:val="00475842"/>
    <w:rsid w:val="004771DF"/>
    <w:rsid w:val="00477D3E"/>
    <w:rsid w:val="004825F8"/>
    <w:rsid w:val="00483FED"/>
    <w:rsid w:val="00492408"/>
    <w:rsid w:val="00492B67"/>
    <w:rsid w:val="00493001"/>
    <w:rsid w:val="00493276"/>
    <w:rsid w:val="004947F5"/>
    <w:rsid w:val="004A00F5"/>
    <w:rsid w:val="004A1159"/>
    <w:rsid w:val="004A261E"/>
    <w:rsid w:val="004A3866"/>
    <w:rsid w:val="004A4444"/>
    <w:rsid w:val="004A49CE"/>
    <w:rsid w:val="004A4E4D"/>
    <w:rsid w:val="004A5408"/>
    <w:rsid w:val="004B016F"/>
    <w:rsid w:val="004B3AE3"/>
    <w:rsid w:val="004B3C58"/>
    <w:rsid w:val="004B756F"/>
    <w:rsid w:val="004C0508"/>
    <w:rsid w:val="004C0875"/>
    <w:rsid w:val="004C5945"/>
    <w:rsid w:val="004C606E"/>
    <w:rsid w:val="004C635C"/>
    <w:rsid w:val="004C697C"/>
    <w:rsid w:val="004C7DBD"/>
    <w:rsid w:val="004D02B6"/>
    <w:rsid w:val="004D250B"/>
    <w:rsid w:val="004D4FDA"/>
    <w:rsid w:val="004D5E31"/>
    <w:rsid w:val="004D6200"/>
    <w:rsid w:val="004D6342"/>
    <w:rsid w:val="004D7C90"/>
    <w:rsid w:val="004E05AC"/>
    <w:rsid w:val="004E08DA"/>
    <w:rsid w:val="004E0C9B"/>
    <w:rsid w:val="004E5091"/>
    <w:rsid w:val="004E549B"/>
    <w:rsid w:val="004F2BAB"/>
    <w:rsid w:val="004F3D4A"/>
    <w:rsid w:val="004F4978"/>
    <w:rsid w:val="004F5EAB"/>
    <w:rsid w:val="004F6A99"/>
    <w:rsid w:val="0050090A"/>
    <w:rsid w:val="00502675"/>
    <w:rsid w:val="00503A8B"/>
    <w:rsid w:val="00504F8E"/>
    <w:rsid w:val="00506720"/>
    <w:rsid w:val="005075CD"/>
    <w:rsid w:val="0051002A"/>
    <w:rsid w:val="00512C12"/>
    <w:rsid w:val="00512CD0"/>
    <w:rsid w:val="00514A1C"/>
    <w:rsid w:val="00515CD4"/>
    <w:rsid w:val="0051758E"/>
    <w:rsid w:val="005177C5"/>
    <w:rsid w:val="005177D2"/>
    <w:rsid w:val="00517F48"/>
    <w:rsid w:val="005202B2"/>
    <w:rsid w:val="00522148"/>
    <w:rsid w:val="005223CF"/>
    <w:rsid w:val="005230E9"/>
    <w:rsid w:val="005240F9"/>
    <w:rsid w:val="0052743C"/>
    <w:rsid w:val="00527AA1"/>
    <w:rsid w:val="00531663"/>
    <w:rsid w:val="00532089"/>
    <w:rsid w:val="00532AE2"/>
    <w:rsid w:val="00535ED6"/>
    <w:rsid w:val="0053601D"/>
    <w:rsid w:val="00536558"/>
    <w:rsid w:val="00536BEE"/>
    <w:rsid w:val="005406FC"/>
    <w:rsid w:val="005419AF"/>
    <w:rsid w:val="0054316D"/>
    <w:rsid w:val="00545493"/>
    <w:rsid w:val="00546CD3"/>
    <w:rsid w:val="00547CA9"/>
    <w:rsid w:val="005544EE"/>
    <w:rsid w:val="00554B90"/>
    <w:rsid w:val="00555C53"/>
    <w:rsid w:val="0055782B"/>
    <w:rsid w:val="0056014A"/>
    <w:rsid w:val="00565783"/>
    <w:rsid w:val="00565833"/>
    <w:rsid w:val="00571F17"/>
    <w:rsid w:val="00572316"/>
    <w:rsid w:val="005761F9"/>
    <w:rsid w:val="00576EF0"/>
    <w:rsid w:val="00576F96"/>
    <w:rsid w:val="00577C2A"/>
    <w:rsid w:val="00581663"/>
    <w:rsid w:val="00583303"/>
    <w:rsid w:val="00585072"/>
    <w:rsid w:val="00585A97"/>
    <w:rsid w:val="00586844"/>
    <w:rsid w:val="00586EE7"/>
    <w:rsid w:val="00587F8E"/>
    <w:rsid w:val="00591316"/>
    <w:rsid w:val="00591EAA"/>
    <w:rsid w:val="00592AD4"/>
    <w:rsid w:val="00593D9F"/>
    <w:rsid w:val="00594766"/>
    <w:rsid w:val="00594890"/>
    <w:rsid w:val="00596001"/>
    <w:rsid w:val="005976AC"/>
    <w:rsid w:val="005A016C"/>
    <w:rsid w:val="005A05B0"/>
    <w:rsid w:val="005A1C72"/>
    <w:rsid w:val="005A2414"/>
    <w:rsid w:val="005A2E46"/>
    <w:rsid w:val="005A2F6D"/>
    <w:rsid w:val="005A3009"/>
    <w:rsid w:val="005A4741"/>
    <w:rsid w:val="005B177A"/>
    <w:rsid w:val="005B23E7"/>
    <w:rsid w:val="005B2D69"/>
    <w:rsid w:val="005B3010"/>
    <w:rsid w:val="005B63F0"/>
    <w:rsid w:val="005C33DB"/>
    <w:rsid w:val="005C3C18"/>
    <w:rsid w:val="005C437A"/>
    <w:rsid w:val="005C4DC4"/>
    <w:rsid w:val="005C6324"/>
    <w:rsid w:val="005C6497"/>
    <w:rsid w:val="005C66DB"/>
    <w:rsid w:val="005C725C"/>
    <w:rsid w:val="005D07E2"/>
    <w:rsid w:val="005D08D0"/>
    <w:rsid w:val="005D1551"/>
    <w:rsid w:val="005D1834"/>
    <w:rsid w:val="005D1C9F"/>
    <w:rsid w:val="005D4AB8"/>
    <w:rsid w:val="005D4C3E"/>
    <w:rsid w:val="005D7627"/>
    <w:rsid w:val="005E1B28"/>
    <w:rsid w:val="005E22A7"/>
    <w:rsid w:val="005E4934"/>
    <w:rsid w:val="005E4A16"/>
    <w:rsid w:val="005E5DE2"/>
    <w:rsid w:val="005E645E"/>
    <w:rsid w:val="005E64ED"/>
    <w:rsid w:val="005E6794"/>
    <w:rsid w:val="005E69CA"/>
    <w:rsid w:val="005F003E"/>
    <w:rsid w:val="005F1BDE"/>
    <w:rsid w:val="005F2803"/>
    <w:rsid w:val="005F29D9"/>
    <w:rsid w:val="005F2C84"/>
    <w:rsid w:val="005F3516"/>
    <w:rsid w:val="005F3A35"/>
    <w:rsid w:val="005F4008"/>
    <w:rsid w:val="005F56FA"/>
    <w:rsid w:val="005F6BC1"/>
    <w:rsid w:val="005F729A"/>
    <w:rsid w:val="006009DE"/>
    <w:rsid w:val="00602C65"/>
    <w:rsid w:val="00603559"/>
    <w:rsid w:val="00606C75"/>
    <w:rsid w:val="00607D57"/>
    <w:rsid w:val="00612315"/>
    <w:rsid w:val="006157BB"/>
    <w:rsid w:val="006166BE"/>
    <w:rsid w:val="00621437"/>
    <w:rsid w:val="00623E3C"/>
    <w:rsid w:val="00632E10"/>
    <w:rsid w:val="00632EC9"/>
    <w:rsid w:val="00634412"/>
    <w:rsid w:val="0063520D"/>
    <w:rsid w:val="0063572D"/>
    <w:rsid w:val="00636AA1"/>
    <w:rsid w:val="00641E01"/>
    <w:rsid w:val="00643FA4"/>
    <w:rsid w:val="00646742"/>
    <w:rsid w:val="00647EE9"/>
    <w:rsid w:val="0065171A"/>
    <w:rsid w:val="006518EB"/>
    <w:rsid w:val="00654FBA"/>
    <w:rsid w:val="00657041"/>
    <w:rsid w:val="006573CA"/>
    <w:rsid w:val="00661486"/>
    <w:rsid w:val="00661A94"/>
    <w:rsid w:val="006626FA"/>
    <w:rsid w:val="0066522A"/>
    <w:rsid w:val="00665BB1"/>
    <w:rsid w:val="0066697A"/>
    <w:rsid w:val="00667757"/>
    <w:rsid w:val="00667CF3"/>
    <w:rsid w:val="00670376"/>
    <w:rsid w:val="006717A3"/>
    <w:rsid w:val="00672968"/>
    <w:rsid w:val="00674C9B"/>
    <w:rsid w:val="00676B15"/>
    <w:rsid w:val="00676FF3"/>
    <w:rsid w:val="0067781C"/>
    <w:rsid w:val="00681F62"/>
    <w:rsid w:val="00683667"/>
    <w:rsid w:val="00685FAC"/>
    <w:rsid w:val="006870EC"/>
    <w:rsid w:val="00687324"/>
    <w:rsid w:val="00690825"/>
    <w:rsid w:val="00691B53"/>
    <w:rsid w:val="00691D8B"/>
    <w:rsid w:val="0069379C"/>
    <w:rsid w:val="00696B37"/>
    <w:rsid w:val="00696C79"/>
    <w:rsid w:val="00697212"/>
    <w:rsid w:val="006A1E35"/>
    <w:rsid w:val="006A25B8"/>
    <w:rsid w:val="006A3040"/>
    <w:rsid w:val="006A4422"/>
    <w:rsid w:val="006A521B"/>
    <w:rsid w:val="006A5D96"/>
    <w:rsid w:val="006B1689"/>
    <w:rsid w:val="006B23E5"/>
    <w:rsid w:val="006B2876"/>
    <w:rsid w:val="006B3522"/>
    <w:rsid w:val="006B6AC7"/>
    <w:rsid w:val="006C016F"/>
    <w:rsid w:val="006C0538"/>
    <w:rsid w:val="006C481C"/>
    <w:rsid w:val="006C4CE2"/>
    <w:rsid w:val="006D1845"/>
    <w:rsid w:val="006D3131"/>
    <w:rsid w:val="006D332D"/>
    <w:rsid w:val="006D3DAF"/>
    <w:rsid w:val="006D7285"/>
    <w:rsid w:val="006E15C5"/>
    <w:rsid w:val="006E1720"/>
    <w:rsid w:val="006E17D7"/>
    <w:rsid w:val="006E1835"/>
    <w:rsid w:val="006E18DC"/>
    <w:rsid w:val="006E2FBA"/>
    <w:rsid w:val="006E3E6E"/>
    <w:rsid w:val="006E7424"/>
    <w:rsid w:val="006F0B09"/>
    <w:rsid w:val="006F41AC"/>
    <w:rsid w:val="006F58C9"/>
    <w:rsid w:val="006F6B28"/>
    <w:rsid w:val="006F6CF8"/>
    <w:rsid w:val="006F73EC"/>
    <w:rsid w:val="007005ED"/>
    <w:rsid w:val="00700EFB"/>
    <w:rsid w:val="0070204F"/>
    <w:rsid w:val="007039C5"/>
    <w:rsid w:val="00704275"/>
    <w:rsid w:val="007055B6"/>
    <w:rsid w:val="00706D12"/>
    <w:rsid w:val="00707415"/>
    <w:rsid w:val="007114D3"/>
    <w:rsid w:val="00713128"/>
    <w:rsid w:val="007140AB"/>
    <w:rsid w:val="00714510"/>
    <w:rsid w:val="007163AD"/>
    <w:rsid w:val="00717497"/>
    <w:rsid w:val="0072050B"/>
    <w:rsid w:val="00720753"/>
    <w:rsid w:val="00720BE0"/>
    <w:rsid w:val="0072105C"/>
    <w:rsid w:val="00721137"/>
    <w:rsid w:val="0072254C"/>
    <w:rsid w:val="00723C12"/>
    <w:rsid w:val="00723C14"/>
    <w:rsid w:val="00724971"/>
    <w:rsid w:val="00724D66"/>
    <w:rsid w:val="00725469"/>
    <w:rsid w:val="007263A0"/>
    <w:rsid w:val="00727658"/>
    <w:rsid w:val="00730855"/>
    <w:rsid w:val="00731047"/>
    <w:rsid w:val="007338AF"/>
    <w:rsid w:val="00735AB0"/>
    <w:rsid w:val="00735D44"/>
    <w:rsid w:val="00736FCA"/>
    <w:rsid w:val="00737D1B"/>
    <w:rsid w:val="00740F24"/>
    <w:rsid w:val="0074220F"/>
    <w:rsid w:val="00742C23"/>
    <w:rsid w:val="007434CC"/>
    <w:rsid w:val="007449E3"/>
    <w:rsid w:val="00747AD4"/>
    <w:rsid w:val="00751EF9"/>
    <w:rsid w:val="00752B42"/>
    <w:rsid w:val="00753C6F"/>
    <w:rsid w:val="00754C04"/>
    <w:rsid w:val="00756AE1"/>
    <w:rsid w:val="007573A9"/>
    <w:rsid w:val="00760B3E"/>
    <w:rsid w:val="00760CB9"/>
    <w:rsid w:val="00762EB6"/>
    <w:rsid w:val="0076364E"/>
    <w:rsid w:val="00763682"/>
    <w:rsid w:val="00763D01"/>
    <w:rsid w:val="00764C0C"/>
    <w:rsid w:val="007650E3"/>
    <w:rsid w:val="0076611C"/>
    <w:rsid w:val="007726BD"/>
    <w:rsid w:val="00772D88"/>
    <w:rsid w:val="0077359C"/>
    <w:rsid w:val="007763A4"/>
    <w:rsid w:val="00776CF1"/>
    <w:rsid w:val="00784A00"/>
    <w:rsid w:val="0078584D"/>
    <w:rsid w:val="00786A5C"/>
    <w:rsid w:val="00790675"/>
    <w:rsid w:val="007917FE"/>
    <w:rsid w:val="00791B82"/>
    <w:rsid w:val="00793340"/>
    <w:rsid w:val="00796175"/>
    <w:rsid w:val="00796A52"/>
    <w:rsid w:val="00796B4D"/>
    <w:rsid w:val="0079709D"/>
    <w:rsid w:val="007A12AC"/>
    <w:rsid w:val="007A1594"/>
    <w:rsid w:val="007A2805"/>
    <w:rsid w:val="007A2BC0"/>
    <w:rsid w:val="007A3F73"/>
    <w:rsid w:val="007A5C1A"/>
    <w:rsid w:val="007A62C9"/>
    <w:rsid w:val="007A6B86"/>
    <w:rsid w:val="007A6FA8"/>
    <w:rsid w:val="007A7253"/>
    <w:rsid w:val="007A7638"/>
    <w:rsid w:val="007A7DE8"/>
    <w:rsid w:val="007B0447"/>
    <w:rsid w:val="007B0EEA"/>
    <w:rsid w:val="007B1C81"/>
    <w:rsid w:val="007B23AE"/>
    <w:rsid w:val="007B29C7"/>
    <w:rsid w:val="007B3656"/>
    <w:rsid w:val="007B43E5"/>
    <w:rsid w:val="007B54D7"/>
    <w:rsid w:val="007B586A"/>
    <w:rsid w:val="007B5D51"/>
    <w:rsid w:val="007B5DC9"/>
    <w:rsid w:val="007B5F47"/>
    <w:rsid w:val="007B6293"/>
    <w:rsid w:val="007B66F2"/>
    <w:rsid w:val="007B74F0"/>
    <w:rsid w:val="007C2B9D"/>
    <w:rsid w:val="007C383F"/>
    <w:rsid w:val="007C71EF"/>
    <w:rsid w:val="007D1E36"/>
    <w:rsid w:val="007D513B"/>
    <w:rsid w:val="007D60AC"/>
    <w:rsid w:val="007D65B7"/>
    <w:rsid w:val="007D6AEA"/>
    <w:rsid w:val="007E01E8"/>
    <w:rsid w:val="007E043E"/>
    <w:rsid w:val="007E1300"/>
    <w:rsid w:val="007E1ED9"/>
    <w:rsid w:val="007E30DE"/>
    <w:rsid w:val="007E4A82"/>
    <w:rsid w:val="007E5844"/>
    <w:rsid w:val="007E614B"/>
    <w:rsid w:val="007E6F34"/>
    <w:rsid w:val="007F037E"/>
    <w:rsid w:val="007F194F"/>
    <w:rsid w:val="007F2D6F"/>
    <w:rsid w:val="007F47BE"/>
    <w:rsid w:val="007F527C"/>
    <w:rsid w:val="007F52BB"/>
    <w:rsid w:val="007F687F"/>
    <w:rsid w:val="00800DC2"/>
    <w:rsid w:val="008038C1"/>
    <w:rsid w:val="00803FAA"/>
    <w:rsid w:val="00804C94"/>
    <w:rsid w:val="00805F47"/>
    <w:rsid w:val="00805FA7"/>
    <w:rsid w:val="008060FF"/>
    <w:rsid w:val="00810153"/>
    <w:rsid w:val="00810941"/>
    <w:rsid w:val="008124FA"/>
    <w:rsid w:val="00812C4E"/>
    <w:rsid w:val="00813FEB"/>
    <w:rsid w:val="0081618C"/>
    <w:rsid w:val="00816921"/>
    <w:rsid w:val="00817D63"/>
    <w:rsid w:val="0082160A"/>
    <w:rsid w:val="00821711"/>
    <w:rsid w:val="0082187C"/>
    <w:rsid w:val="00821A66"/>
    <w:rsid w:val="0082404D"/>
    <w:rsid w:val="00831F8B"/>
    <w:rsid w:val="00832F14"/>
    <w:rsid w:val="00833F4C"/>
    <w:rsid w:val="00834153"/>
    <w:rsid w:val="008346AE"/>
    <w:rsid w:val="0083609C"/>
    <w:rsid w:val="00836533"/>
    <w:rsid w:val="00836F7B"/>
    <w:rsid w:val="00837747"/>
    <w:rsid w:val="00837B8D"/>
    <w:rsid w:val="00840007"/>
    <w:rsid w:val="00842E5B"/>
    <w:rsid w:val="00847FC1"/>
    <w:rsid w:val="008511BF"/>
    <w:rsid w:val="008535EB"/>
    <w:rsid w:val="008553C5"/>
    <w:rsid w:val="00855B4D"/>
    <w:rsid w:val="008562BE"/>
    <w:rsid w:val="008622A8"/>
    <w:rsid w:val="00864AD4"/>
    <w:rsid w:val="00864C10"/>
    <w:rsid w:val="00865BEA"/>
    <w:rsid w:val="00871FE3"/>
    <w:rsid w:val="00873C61"/>
    <w:rsid w:val="0087498D"/>
    <w:rsid w:val="0087510E"/>
    <w:rsid w:val="00877D3D"/>
    <w:rsid w:val="0088152D"/>
    <w:rsid w:val="008818E2"/>
    <w:rsid w:val="00884430"/>
    <w:rsid w:val="00885AD2"/>
    <w:rsid w:val="00886607"/>
    <w:rsid w:val="0088669D"/>
    <w:rsid w:val="00886A6D"/>
    <w:rsid w:val="00894A0E"/>
    <w:rsid w:val="008967F6"/>
    <w:rsid w:val="008A0371"/>
    <w:rsid w:val="008A2B1B"/>
    <w:rsid w:val="008A3E61"/>
    <w:rsid w:val="008A3E91"/>
    <w:rsid w:val="008A425A"/>
    <w:rsid w:val="008A5B6D"/>
    <w:rsid w:val="008A6929"/>
    <w:rsid w:val="008A77A9"/>
    <w:rsid w:val="008B0180"/>
    <w:rsid w:val="008B0E1F"/>
    <w:rsid w:val="008B1A12"/>
    <w:rsid w:val="008B41EB"/>
    <w:rsid w:val="008B4916"/>
    <w:rsid w:val="008B4A19"/>
    <w:rsid w:val="008B6092"/>
    <w:rsid w:val="008B620D"/>
    <w:rsid w:val="008B6958"/>
    <w:rsid w:val="008B70DF"/>
    <w:rsid w:val="008B7227"/>
    <w:rsid w:val="008C10DD"/>
    <w:rsid w:val="008C1ED6"/>
    <w:rsid w:val="008C30C2"/>
    <w:rsid w:val="008C3A4C"/>
    <w:rsid w:val="008D03EB"/>
    <w:rsid w:val="008D152A"/>
    <w:rsid w:val="008D1E25"/>
    <w:rsid w:val="008D2F41"/>
    <w:rsid w:val="008D3BBD"/>
    <w:rsid w:val="008D69A0"/>
    <w:rsid w:val="008D6DD3"/>
    <w:rsid w:val="008D7219"/>
    <w:rsid w:val="008E0100"/>
    <w:rsid w:val="008E0224"/>
    <w:rsid w:val="008E10AA"/>
    <w:rsid w:val="008E18D4"/>
    <w:rsid w:val="008E4107"/>
    <w:rsid w:val="008E4938"/>
    <w:rsid w:val="008E6B1A"/>
    <w:rsid w:val="008E6FC9"/>
    <w:rsid w:val="008F0801"/>
    <w:rsid w:val="008F0BD1"/>
    <w:rsid w:val="008F1973"/>
    <w:rsid w:val="008F2702"/>
    <w:rsid w:val="008F3B7D"/>
    <w:rsid w:val="008F4882"/>
    <w:rsid w:val="008F4F08"/>
    <w:rsid w:val="0090052F"/>
    <w:rsid w:val="009010DF"/>
    <w:rsid w:val="009053F6"/>
    <w:rsid w:val="00905AE2"/>
    <w:rsid w:val="00906247"/>
    <w:rsid w:val="009065B2"/>
    <w:rsid w:val="0091007F"/>
    <w:rsid w:val="00910B9F"/>
    <w:rsid w:val="00911C9E"/>
    <w:rsid w:val="0091451E"/>
    <w:rsid w:val="00916BF7"/>
    <w:rsid w:val="00916FF3"/>
    <w:rsid w:val="009170BA"/>
    <w:rsid w:val="0092003B"/>
    <w:rsid w:val="0092177C"/>
    <w:rsid w:val="00921CC4"/>
    <w:rsid w:val="009233F6"/>
    <w:rsid w:val="009253C5"/>
    <w:rsid w:val="00933D05"/>
    <w:rsid w:val="0093778D"/>
    <w:rsid w:val="0094023C"/>
    <w:rsid w:val="00940690"/>
    <w:rsid w:val="00940A38"/>
    <w:rsid w:val="00941D5F"/>
    <w:rsid w:val="00943552"/>
    <w:rsid w:val="009452F0"/>
    <w:rsid w:val="00945969"/>
    <w:rsid w:val="0094647F"/>
    <w:rsid w:val="00946B01"/>
    <w:rsid w:val="00951E8D"/>
    <w:rsid w:val="00952813"/>
    <w:rsid w:val="00952F7B"/>
    <w:rsid w:val="009557DD"/>
    <w:rsid w:val="00960531"/>
    <w:rsid w:val="00960F6E"/>
    <w:rsid w:val="00961923"/>
    <w:rsid w:val="009620D4"/>
    <w:rsid w:val="00963C83"/>
    <w:rsid w:val="00965083"/>
    <w:rsid w:val="00965EA3"/>
    <w:rsid w:val="009671DB"/>
    <w:rsid w:val="0097222E"/>
    <w:rsid w:val="00972ADD"/>
    <w:rsid w:val="009745BB"/>
    <w:rsid w:val="00974675"/>
    <w:rsid w:val="00974D9A"/>
    <w:rsid w:val="009774CC"/>
    <w:rsid w:val="0098349F"/>
    <w:rsid w:val="00983583"/>
    <w:rsid w:val="00984FB4"/>
    <w:rsid w:val="009877EE"/>
    <w:rsid w:val="00990388"/>
    <w:rsid w:val="00992718"/>
    <w:rsid w:val="009938E4"/>
    <w:rsid w:val="00993A04"/>
    <w:rsid w:val="00994CB3"/>
    <w:rsid w:val="00995274"/>
    <w:rsid w:val="0099527A"/>
    <w:rsid w:val="00995E19"/>
    <w:rsid w:val="00997C06"/>
    <w:rsid w:val="009A0A71"/>
    <w:rsid w:val="009A1B47"/>
    <w:rsid w:val="009A36AC"/>
    <w:rsid w:val="009A3C0A"/>
    <w:rsid w:val="009A40FC"/>
    <w:rsid w:val="009A414F"/>
    <w:rsid w:val="009A4C16"/>
    <w:rsid w:val="009A5AEA"/>
    <w:rsid w:val="009A5E3E"/>
    <w:rsid w:val="009A638E"/>
    <w:rsid w:val="009A6857"/>
    <w:rsid w:val="009B00A7"/>
    <w:rsid w:val="009B0E90"/>
    <w:rsid w:val="009B1842"/>
    <w:rsid w:val="009B2AA9"/>
    <w:rsid w:val="009B30FD"/>
    <w:rsid w:val="009B3A07"/>
    <w:rsid w:val="009B4BC8"/>
    <w:rsid w:val="009B7175"/>
    <w:rsid w:val="009C090A"/>
    <w:rsid w:val="009C0AB8"/>
    <w:rsid w:val="009C109E"/>
    <w:rsid w:val="009C46FC"/>
    <w:rsid w:val="009C6937"/>
    <w:rsid w:val="009D090A"/>
    <w:rsid w:val="009D68C1"/>
    <w:rsid w:val="009D730A"/>
    <w:rsid w:val="009E26D1"/>
    <w:rsid w:val="009E627F"/>
    <w:rsid w:val="009E6470"/>
    <w:rsid w:val="009E7023"/>
    <w:rsid w:val="009F253D"/>
    <w:rsid w:val="009F27E4"/>
    <w:rsid w:val="009F368C"/>
    <w:rsid w:val="00A0206D"/>
    <w:rsid w:val="00A03296"/>
    <w:rsid w:val="00A038B6"/>
    <w:rsid w:val="00A04C9D"/>
    <w:rsid w:val="00A05B02"/>
    <w:rsid w:val="00A06BEA"/>
    <w:rsid w:val="00A07A53"/>
    <w:rsid w:val="00A07AD3"/>
    <w:rsid w:val="00A12EA8"/>
    <w:rsid w:val="00A148CD"/>
    <w:rsid w:val="00A14F4C"/>
    <w:rsid w:val="00A16454"/>
    <w:rsid w:val="00A21142"/>
    <w:rsid w:val="00A238CF"/>
    <w:rsid w:val="00A263E1"/>
    <w:rsid w:val="00A311C6"/>
    <w:rsid w:val="00A327BB"/>
    <w:rsid w:val="00A33568"/>
    <w:rsid w:val="00A364F5"/>
    <w:rsid w:val="00A36783"/>
    <w:rsid w:val="00A36B8F"/>
    <w:rsid w:val="00A3704A"/>
    <w:rsid w:val="00A40B12"/>
    <w:rsid w:val="00A40EC7"/>
    <w:rsid w:val="00A4128D"/>
    <w:rsid w:val="00A4150C"/>
    <w:rsid w:val="00A42FC1"/>
    <w:rsid w:val="00A451B0"/>
    <w:rsid w:val="00A46FBA"/>
    <w:rsid w:val="00A51169"/>
    <w:rsid w:val="00A51240"/>
    <w:rsid w:val="00A518FD"/>
    <w:rsid w:val="00A51911"/>
    <w:rsid w:val="00A5230A"/>
    <w:rsid w:val="00A52D5A"/>
    <w:rsid w:val="00A56122"/>
    <w:rsid w:val="00A6184C"/>
    <w:rsid w:val="00A61BDD"/>
    <w:rsid w:val="00A61FE6"/>
    <w:rsid w:val="00A6207E"/>
    <w:rsid w:val="00A66CF0"/>
    <w:rsid w:val="00A67653"/>
    <w:rsid w:val="00A67F57"/>
    <w:rsid w:val="00A70830"/>
    <w:rsid w:val="00A7134F"/>
    <w:rsid w:val="00A71CF5"/>
    <w:rsid w:val="00A75C56"/>
    <w:rsid w:val="00A82646"/>
    <w:rsid w:val="00A829CB"/>
    <w:rsid w:val="00A82D2A"/>
    <w:rsid w:val="00A82EBE"/>
    <w:rsid w:val="00A84DF9"/>
    <w:rsid w:val="00A85269"/>
    <w:rsid w:val="00A854BF"/>
    <w:rsid w:val="00A864B4"/>
    <w:rsid w:val="00A87F08"/>
    <w:rsid w:val="00A91429"/>
    <w:rsid w:val="00A93755"/>
    <w:rsid w:val="00A94089"/>
    <w:rsid w:val="00A94E05"/>
    <w:rsid w:val="00A95F64"/>
    <w:rsid w:val="00AA18F8"/>
    <w:rsid w:val="00AA3F77"/>
    <w:rsid w:val="00AA4909"/>
    <w:rsid w:val="00AA5451"/>
    <w:rsid w:val="00AA699C"/>
    <w:rsid w:val="00AA6D58"/>
    <w:rsid w:val="00AB042C"/>
    <w:rsid w:val="00AB304A"/>
    <w:rsid w:val="00AB3272"/>
    <w:rsid w:val="00AB3D69"/>
    <w:rsid w:val="00AB4196"/>
    <w:rsid w:val="00AB66C5"/>
    <w:rsid w:val="00AB6ACC"/>
    <w:rsid w:val="00AC012A"/>
    <w:rsid w:val="00AC1D37"/>
    <w:rsid w:val="00AC2D70"/>
    <w:rsid w:val="00AC2DB9"/>
    <w:rsid w:val="00AC377D"/>
    <w:rsid w:val="00AC3BDF"/>
    <w:rsid w:val="00AC492D"/>
    <w:rsid w:val="00AC7113"/>
    <w:rsid w:val="00AD141E"/>
    <w:rsid w:val="00AD4208"/>
    <w:rsid w:val="00AD56C3"/>
    <w:rsid w:val="00AD5F64"/>
    <w:rsid w:val="00AD609F"/>
    <w:rsid w:val="00AD6EB1"/>
    <w:rsid w:val="00AE133C"/>
    <w:rsid w:val="00AE692C"/>
    <w:rsid w:val="00AE7E4B"/>
    <w:rsid w:val="00AF0D91"/>
    <w:rsid w:val="00AF13C7"/>
    <w:rsid w:val="00AF19C7"/>
    <w:rsid w:val="00AF239A"/>
    <w:rsid w:val="00AF296E"/>
    <w:rsid w:val="00AF32A2"/>
    <w:rsid w:val="00AF3E82"/>
    <w:rsid w:val="00AF6357"/>
    <w:rsid w:val="00AF67A8"/>
    <w:rsid w:val="00AF6DF7"/>
    <w:rsid w:val="00B00C73"/>
    <w:rsid w:val="00B01047"/>
    <w:rsid w:val="00B01943"/>
    <w:rsid w:val="00B01D89"/>
    <w:rsid w:val="00B0378E"/>
    <w:rsid w:val="00B04F02"/>
    <w:rsid w:val="00B05154"/>
    <w:rsid w:val="00B057F1"/>
    <w:rsid w:val="00B0737F"/>
    <w:rsid w:val="00B074F6"/>
    <w:rsid w:val="00B10CF8"/>
    <w:rsid w:val="00B114DA"/>
    <w:rsid w:val="00B13556"/>
    <w:rsid w:val="00B13BCE"/>
    <w:rsid w:val="00B20183"/>
    <w:rsid w:val="00B202A3"/>
    <w:rsid w:val="00B20A05"/>
    <w:rsid w:val="00B229EC"/>
    <w:rsid w:val="00B22DB3"/>
    <w:rsid w:val="00B242A5"/>
    <w:rsid w:val="00B27FEC"/>
    <w:rsid w:val="00B30D06"/>
    <w:rsid w:val="00B320DF"/>
    <w:rsid w:val="00B3303C"/>
    <w:rsid w:val="00B34154"/>
    <w:rsid w:val="00B346BB"/>
    <w:rsid w:val="00B3492D"/>
    <w:rsid w:val="00B353EC"/>
    <w:rsid w:val="00B35B56"/>
    <w:rsid w:val="00B37ED0"/>
    <w:rsid w:val="00B413A4"/>
    <w:rsid w:val="00B4249E"/>
    <w:rsid w:val="00B42783"/>
    <w:rsid w:val="00B439DE"/>
    <w:rsid w:val="00B459BD"/>
    <w:rsid w:val="00B4679C"/>
    <w:rsid w:val="00B50A59"/>
    <w:rsid w:val="00B50CC8"/>
    <w:rsid w:val="00B543CC"/>
    <w:rsid w:val="00B54803"/>
    <w:rsid w:val="00B55174"/>
    <w:rsid w:val="00B57189"/>
    <w:rsid w:val="00B57651"/>
    <w:rsid w:val="00B60442"/>
    <w:rsid w:val="00B6102C"/>
    <w:rsid w:val="00B631C8"/>
    <w:rsid w:val="00B6433D"/>
    <w:rsid w:val="00B6496A"/>
    <w:rsid w:val="00B657F8"/>
    <w:rsid w:val="00B660E8"/>
    <w:rsid w:val="00B663C0"/>
    <w:rsid w:val="00B66B7A"/>
    <w:rsid w:val="00B71F59"/>
    <w:rsid w:val="00B72E17"/>
    <w:rsid w:val="00B72F13"/>
    <w:rsid w:val="00B73923"/>
    <w:rsid w:val="00B73BB0"/>
    <w:rsid w:val="00B7437C"/>
    <w:rsid w:val="00B7460E"/>
    <w:rsid w:val="00B74996"/>
    <w:rsid w:val="00B754B5"/>
    <w:rsid w:val="00B767FA"/>
    <w:rsid w:val="00B8320A"/>
    <w:rsid w:val="00B84B1F"/>
    <w:rsid w:val="00B859BD"/>
    <w:rsid w:val="00B863C7"/>
    <w:rsid w:val="00B90973"/>
    <w:rsid w:val="00B9261E"/>
    <w:rsid w:val="00B943FE"/>
    <w:rsid w:val="00B952E6"/>
    <w:rsid w:val="00B9636F"/>
    <w:rsid w:val="00B96B1F"/>
    <w:rsid w:val="00B96D3D"/>
    <w:rsid w:val="00BA2EE9"/>
    <w:rsid w:val="00BA6376"/>
    <w:rsid w:val="00BA64A2"/>
    <w:rsid w:val="00BB0D12"/>
    <w:rsid w:val="00BB139D"/>
    <w:rsid w:val="00BB2260"/>
    <w:rsid w:val="00BB2F3B"/>
    <w:rsid w:val="00BB4080"/>
    <w:rsid w:val="00BB5213"/>
    <w:rsid w:val="00BC05D8"/>
    <w:rsid w:val="00BC08A7"/>
    <w:rsid w:val="00BC21C7"/>
    <w:rsid w:val="00BC228B"/>
    <w:rsid w:val="00BC3BA7"/>
    <w:rsid w:val="00BC7C87"/>
    <w:rsid w:val="00BD0CFF"/>
    <w:rsid w:val="00BD2B18"/>
    <w:rsid w:val="00BD4920"/>
    <w:rsid w:val="00BD7010"/>
    <w:rsid w:val="00BD73FB"/>
    <w:rsid w:val="00BD7C05"/>
    <w:rsid w:val="00BE1673"/>
    <w:rsid w:val="00BE1F15"/>
    <w:rsid w:val="00BE2486"/>
    <w:rsid w:val="00BE26F1"/>
    <w:rsid w:val="00BE30DB"/>
    <w:rsid w:val="00BE38EA"/>
    <w:rsid w:val="00BE3A0D"/>
    <w:rsid w:val="00BF1B0E"/>
    <w:rsid w:val="00BF6C92"/>
    <w:rsid w:val="00C00E41"/>
    <w:rsid w:val="00C01597"/>
    <w:rsid w:val="00C01DEF"/>
    <w:rsid w:val="00C02B74"/>
    <w:rsid w:val="00C0330B"/>
    <w:rsid w:val="00C04A0C"/>
    <w:rsid w:val="00C056C2"/>
    <w:rsid w:val="00C065A9"/>
    <w:rsid w:val="00C10195"/>
    <w:rsid w:val="00C10A1F"/>
    <w:rsid w:val="00C13B7C"/>
    <w:rsid w:val="00C14FA3"/>
    <w:rsid w:val="00C1633C"/>
    <w:rsid w:val="00C16532"/>
    <w:rsid w:val="00C16831"/>
    <w:rsid w:val="00C17340"/>
    <w:rsid w:val="00C2014B"/>
    <w:rsid w:val="00C209B3"/>
    <w:rsid w:val="00C21301"/>
    <w:rsid w:val="00C22FEB"/>
    <w:rsid w:val="00C25776"/>
    <w:rsid w:val="00C257CE"/>
    <w:rsid w:val="00C27F65"/>
    <w:rsid w:val="00C30FFF"/>
    <w:rsid w:val="00C31636"/>
    <w:rsid w:val="00C3325D"/>
    <w:rsid w:val="00C34B91"/>
    <w:rsid w:val="00C37A35"/>
    <w:rsid w:val="00C4038F"/>
    <w:rsid w:val="00C40726"/>
    <w:rsid w:val="00C45265"/>
    <w:rsid w:val="00C46124"/>
    <w:rsid w:val="00C46A7F"/>
    <w:rsid w:val="00C46FBA"/>
    <w:rsid w:val="00C534E9"/>
    <w:rsid w:val="00C53954"/>
    <w:rsid w:val="00C54208"/>
    <w:rsid w:val="00C5555E"/>
    <w:rsid w:val="00C57EE0"/>
    <w:rsid w:val="00C636BA"/>
    <w:rsid w:val="00C643FE"/>
    <w:rsid w:val="00C66323"/>
    <w:rsid w:val="00C67616"/>
    <w:rsid w:val="00C67942"/>
    <w:rsid w:val="00C7130C"/>
    <w:rsid w:val="00C72213"/>
    <w:rsid w:val="00C757FB"/>
    <w:rsid w:val="00C75996"/>
    <w:rsid w:val="00C770DF"/>
    <w:rsid w:val="00C770EE"/>
    <w:rsid w:val="00C7742F"/>
    <w:rsid w:val="00C8036F"/>
    <w:rsid w:val="00C817D7"/>
    <w:rsid w:val="00C82559"/>
    <w:rsid w:val="00C83594"/>
    <w:rsid w:val="00C864B1"/>
    <w:rsid w:val="00C90729"/>
    <w:rsid w:val="00C90BD8"/>
    <w:rsid w:val="00C96309"/>
    <w:rsid w:val="00C96C6A"/>
    <w:rsid w:val="00C96D54"/>
    <w:rsid w:val="00C97BA1"/>
    <w:rsid w:val="00C97C9C"/>
    <w:rsid w:val="00CA1A8D"/>
    <w:rsid w:val="00CA1DDC"/>
    <w:rsid w:val="00CA25DE"/>
    <w:rsid w:val="00CA3187"/>
    <w:rsid w:val="00CA486F"/>
    <w:rsid w:val="00CA6AC5"/>
    <w:rsid w:val="00CA7A58"/>
    <w:rsid w:val="00CB4115"/>
    <w:rsid w:val="00CB4800"/>
    <w:rsid w:val="00CB50A2"/>
    <w:rsid w:val="00CB70D4"/>
    <w:rsid w:val="00CB7516"/>
    <w:rsid w:val="00CB76AC"/>
    <w:rsid w:val="00CC1979"/>
    <w:rsid w:val="00CC1A46"/>
    <w:rsid w:val="00CC1F56"/>
    <w:rsid w:val="00CC22E5"/>
    <w:rsid w:val="00CC29D4"/>
    <w:rsid w:val="00CC449B"/>
    <w:rsid w:val="00CC487E"/>
    <w:rsid w:val="00CC4A09"/>
    <w:rsid w:val="00CC4B33"/>
    <w:rsid w:val="00CD1414"/>
    <w:rsid w:val="00CD2CC7"/>
    <w:rsid w:val="00CD3264"/>
    <w:rsid w:val="00CD3D59"/>
    <w:rsid w:val="00CD49CA"/>
    <w:rsid w:val="00CD4AA6"/>
    <w:rsid w:val="00CD6957"/>
    <w:rsid w:val="00CD7E11"/>
    <w:rsid w:val="00CE09DE"/>
    <w:rsid w:val="00CE0A51"/>
    <w:rsid w:val="00CE118A"/>
    <w:rsid w:val="00CE2DF9"/>
    <w:rsid w:val="00CF0980"/>
    <w:rsid w:val="00CF1F15"/>
    <w:rsid w:val="00CF368D"/>
    <w:rsid w:val="00CF393F"/>
    <w:rsid w:val="00CF3CCB"/>
    <w:rsid w:val="00D007EA"/>
    <w:rsid w:val="00D01791"/>
    <w:rsid w:val="00D019A6"/>
    <w:rsid w:val="00D03ADD"/>
    <w:rsid w:val="00D0553C"/>
    <w:rsid w:val="00D06155"/>
    <w:rsid w:val="00D06867"/>
    <w:rsid w:val="00D0703A"/>
    <w:rsid w:val="00D07275"/>
    <w:rsid w:val="00D1062A"/>
    <w:rsid w:val="00D125EE"/>
    <w:rsid w:val="00D1270A"/>
    <w:rsid w:val="00D12A11"/>
    <w:rsid w:val="00D13FED"/>
    <w:rsid w:val="00D14763"/>
    <w:rsid w:val="00D15370"/>
    <w:rsid w:val="00D15FBE"/>
    <w:rsid w:val="00D16167"/>
    <w:rsid w:val="00D16B1D"/>
    <w:rsid w:val="00D16DEA"/>
    <w:rsid w:val="00D17C32"/>
    <w:rsid w:val="00D20B81"/>
    <w:rsid w:val="00D23EB8"/>
    <w:rsid w:val="00D26EEC"/>
    <w:rsid w:val="00D27199"/>
    <w:rsid w:val="00D30ADE"/>
    <w:rsid w:val="00D31E05"/>
    <w:rsid w:val="00D332C5"/>
    <w:rsid w:val="00D35000"/>
    <w:rsid w:val="00D36605"/>
    <w:rsid w:val="00D36C66"/>
    <w:rsid w:val="00D3776E"/>
    <w:rsid w:val="00D40157"/>
    <w:rsid w:val="00D407A0"/>
    <w:rsid w:val="00D41A3C"/>
    <w:rsid w:val="00D42567"/>
    <w:rsid w:val="00D44C4F"/>
    <w:rsid w:val="00D453DF"/>
    <w:rsid w:val="00D45DC4"/>
    <w:rsid w:val="00D47060"/>
    <w:rsid w:val="00D477C7"/>
    <w:rsid w:val="00D4792A"/>
    <w:rsid w:val="00D53647"/>
    <w:rsid w:val="00D54096"/>
    <w:rsid w:val="00D54785"/>
    <w:rsid w:val="00D547EB"/>
    <w:rsid w:val="00D54DF5"/>
    <w:rsid w:val="00D54F87"/>
    <w:rsid w:val="00D57467"/>
    <w:rsid w:val="00D578DD"/>
    <w:rsid w:val="00D5791B"/>
    <w:rsid w:val="00D57D38"/>
    <w:rsid w:val="00D6157B"/>
    <w:rsid w:val="00D62768"/>
    <w:rsid w:val="00D62BF2"/>
    <w:rsid w:val="00D62EE1"/>
    <w:rsid w:val="00D63714"/>
    <w:rsid w:val="00D657F5"/>
    <w:rsid w:val="00D65EA6"/>
    <w:rsid w:val="00D6651F"/>
    <w:rsid w:val="00D66B77"/>
    <w:rsid w:val="00D6741E"/>
    <w:rsid w:val="00D70928"/>
    <w:rsid w:val="00D70D93"/>
    <w:rsid w:val="00D71550"/>
    <w:rsid w:val="00D7160E"/>
    <w:rsid w:val="00D71F4F"/>
    <w:rsid w:val="00D74438"/>
    <w:rsid w:val="00D744AD"/>
    <w:rsid w:val="00D7682B"/>
    <w:rsid w:val="00D77239"/>
    <w:rsid w:val="00D83A8F"/>
    <w:rsid w:val="00D857B4"/>
    <w:rsid w:val="00D86D04"/>
    <w:rsid w:val="00D908DD"/>
    <w:rsid w:val="00D90D9C"/>
    <w:rsid w:val="00D90F0C"/>
    <w:rsid w:val="00D9226C"/>
    <w:rsid w:val="00D92C32"/>
    <w:rsid w:val="00D939DC"/>
    <w:rsid w:val="00D940E7"/>
    <w:rsid w:val="00DA0D08"/>
    <w:rsid w:val="00DA10C0"/>
    <w:rsid w:val="00DA37F2"/>
    <w:rsid w:val="00DA38A7"/>
    <w:rsid w:val="00DA4811"/>
    <w:rsid w:val="00DA6EE0"/>
    <w:rsid w:val="00DA6F37"/>
    <w:rsid w:val="00DA7867"/>
    <w:rsid w:val="00DB15C2"/>
    <w:rsid w:val="00DB1B7F"/>
    <w:rsid w:val="00DB2BC5"/>
    <w:rsid w:val="00DB4803"/>
    <w:rsid w:val="00DB5902"/>
    <w:rsid w:val="00DB5E53"/>
    <w:rsid w:val="00DC02E1"/>
    <w:rsid w:val="00DC087D"/>
    <w:rsid w:val="00DC12E6"/>
    <w:rsid w:val="00DC1D6F"/>
    <w:rsid w:val="00DC219F"/>
    <w:rsid w:val="00DC2813"/>
    <w:rsid w:val="00DC41EC"/>
    <w:rsid w:val="00DC4974"/>
    <w:rsid w:val="00DC6B94"/>
    <w:rsid w:val="00DC7453"/>
    <w:rsid w:val="00DD044F"/>
    <w:rsid w:val="00DD470C"/>
    <w:rsid w:val="00DD4710"/>
    <w:rsid w:val="00DD5E74"/>
    <w:rsid w:val="00DD7B11"/>
    <w:rsid w:val="00DE023B"/>
    <w:rsid w:val="00DE0613"/>
    <w:rsid w:val="00DE1556"/>
    <w:rsid w:val="00DE1740"/>
    <w:rsid w:val="00DE3109"/>
    <w:rsid w:val="00DE4B83"/>
    <w:rsid w:val="00DE4BD1"/>
    <w:rsid w:val="00DF0187"/>
    <w:rsid w:val="00DF0383"/>
    <w:rsid w:val="00DF05D3"/>
    <w:rsid w:val="00DF0A2D"/>
    <w:rsid w:val="00DF1442"/>
    <w:rsid w:val="00DF26B8"/>
    <w:rsid w:val="00DF2919"/>
    <w:rsid w:val="00DF2D54"/>
    <w:rsid w:val="00DF57CB"/>
    <w:rsid w:val="00DF5D53"/>
    <w:rsid w:val="00DF6EED"/>
    <w:rsid w:val="00E02494"/>
    <w:rsid w:val="00E0306C"/>
    <w:rsid w:val="00E0580B"/>
    <w:rsid w:val="00E07FEB"/>
    <w:rsid w:val="00E104C4"/>
    <w:rsid w:val="00E1172D"/>
    <w:rsid w:val="00E12FD4"/>
    <w:rsid w:val="00E1417B"/>
    <w:rsid w:val="00E159B1"/>
    <w:rsid w:val="00E15BCA"/>
    <w:rsid w:val="00E15FE0"/>
    <w:rsid w:val="00E202BD"/>
    <w:rsid w:val="00E2285A"/>
    <w:rsid w:val="00E259EB"/>
    <w:rsid w:val="00E279A3"/>
    <w:rsid w:val="00E353EE"/>
    <w:rsid w:val="00E37836"/>
    <w:rsid w:val="00E40244"/>
    <w:rsid w:val="00E406E8"/>
    <w:rsid w:val="00E40B05"/>
    <w:rsid w:val="00E41A8A"/>
    <w:rsid w:val="00E43E96"/>
    <w:rsid w:val="00E47D31"/>
    <w:rsid w:val="00E510E0"/>
    <w:rsid w:val="00E51B38"/>
    <w:rsid w:val="00E51B67"/>
    <w:rsid w:val="00E522E5"/>
    <w:rsid w:val="00E54BE2"/>
    <w:rsid w:val="00E568D5"/>
    <w:rsid w:val="00E572EB"/>
    <w:rsid w:val="00E578F1"/>
    <w:rsid w:val="00E57FB2"/>
    <w:rsid w:val="00E60B5B"/>
    <w:rsid w:val="00E61BBB"/>
    <w:rsid w:val="00E6290F"/>
    <w:rsid w:val="00E62C05"/>
    <w:rsid w:val="00E63466"/>
    <w:rsid w:val="00E64106"/>
    <w:rsid w:val="00E654CC"/>
    <w:rsid w:val="00E6649B"/>
    <w:rsid w:val="00E67ADF"/>
    <w:rsid w:val="00E714F7"/>
    <w:rsid w:val="00E71587"/>
    <w:rsid w:val="00E728AD"/>
    <w:rsid w:val="00E729EF"/>
    <w:rsid w:val="00E742F4"/>
    <w:rsid w:val="00E75304"/>
    <w:rsid w:val="00E757CB"/>
    <w:rsid w:val="00E759E5"/>
    <w:rsid w:val="00E806B2"/>
    <w:rsid w:val="00E83E80"/>
    <w:rsid w:val="00E84C29"/>
    <w:rsid w:val="00E85399"/>
    <w:rsid w:val="00E86342"/>
    <w:rsid w:val="00E867AF"/>
    <w:rsid w:val="00E8743F"/>
    <w:rsid w:val="00E87922"/>
    <w:rsid w:val="00E916AF"/>
    <w:rsid w:val="00E933C1"/>
    <w:rsid w:val="00E9352E"/>
    <w:rsid w:val="00E95485"/>
    <w:rsid w:val="00E962E8"/>
    <w:rsid w:val="00E972B6"/>
    <w:rsid w:val="00E978D5"/>
    <w:rsid w:val="00E97961"/>
    <w:rsid w:val="00E97B36"/>
    <w:rsid w:val="00EA39EB"/>
    <w:rsid w:val="00EA3F66"/>
    <w:rsid w:val="00EA44D5"/>
    <w:rsid w:val="00EA6D51"/>
    <w:rsid w:val="00EB15CB"/>
    <w:rsid w:val="00EB2E50"/>
    <w:rsid w:val="00EB3866"/>
    <w:rsid w:val="00EB52FD"/>
    <w:rsid w:val="00EB5923"/>
    <w:rsid w:val="00EB5F1F"/>
    <w:rsid w:val="00EB6629"/>
    <w:rsid w:val="00EB70F4"/>
    <w:rsid w:val="00EB7243"/>
    <w:rsid w:val="00EB747E"/>
    <w:rsid w:val="00EC1FA1"/>
    <w:rsid w:val="00EC54C1"/>
    <w:rsid w:val="00EC5935"/>
    <w:rsid w:val="00EC5A60"/>
    <w:rsid w:val="00EC769E"/>
    <w:rsid w:val="00ED6D12"/>
    <w:rsid w:val="00ED6DD9"/>
    <w:rsid w:val="00EE3B81"/>
    <w:rsid w:val="00EE453B"/>
    <w:rsid w:val="00EE5E58"/>
    <w:rsid w:val="00EE6029"/>
    <w:rsid w:val="00EE7825"/>
    <w:rsid w:val="00EE7872"/>
    <w:rsid w:val="00EF01CD"/>
    <w:rsid w:val="00EF401D"/>
    <w:rsid w:val="00EF5360"/>
    <w:rsid w:val="00EF54AE"/>
    <w:rsid w:val="00EF5D12"/>
    <w:rsid w:val="00EF7685"/>
    <w:rsid w:val="00EF7C21"/>
    <w:rsid w:val="00F049F4"/>
    <w:rsid w:val="00F05077"/>
    <w:rsid w:val="00F05195"/>
    <w:rsid w:val="00F057E6"/>
    <w:rsid w:val="00F074A4"/>
    <w:rsid w:val="00F12BB2"/>
    <w:rsid w:val="00F12C31"/>
    <w:rsid w:val="00F139CB"/>
    <w:rsid w:val="00F16486"/>
    <w:rsid w:val="00F209CF"/>
    <w:rsid w:val="00F21FA5"/>
    <w:rsid w:val="00F227DE"/>
    <w:rsid w:val="00F22ACD"/>
    <w:rsid w:val="00F22EB1"/>
    <w:rsid w:val="00F2349A"/>
    <w:rsid w:val="00F241F3"/>
    <w:rsid w:val="00F244BC"/>
    <w:rsid w:val="00F262B7"/>
    <w:rsid w:val="00F26D05"/>
    <w:rsid w:val="00F350D1"/>
    <w:rsid w:val="00F36327"/>
    <w:rsid w:val="00F37D75"/>
    <w:rsid w:val="00F402A7"/>
    <w:rsid w:val="00F40645"/>
    <w:rsid w:val="00F42F1B"/>
    <w:rsid w:val="00F43159"/>
    <w:rsid w:val="00F45493"/>
    <w:rsid w:val="00F46B15"/>
    <w:rsid w:val="00F51032"/>
    <w:rsid w:val="00F54593"/>
    <w:rsid w:val="00F5553C"/>
    <w:rsid w:val="00F567C0"/>
    <w:rsid w:val="00F60AC0"/>
    <w:rsid w:val="00F60E11"/>
    <w:rsid w:val="00F61278"/>
    <w:rsid w:val="00F63FC3"/>
    <w:rsid w:val="00F644AC"/>
    <w:rsid w:val="00F64C3B"/>
    <w:rsid w:val="00F65DDF"/>
    <w:rsid w:val="00F65EB5"/>
    <w:rsid w:val="00F66310"/>
    <w:rsid w:val="00F67921"/>
    <w:rsid w:val="00F71D93"/>
    <w:rsid w:val="00F73522"/>
    <w:rsid w:val="00F743AF"/>
    <w:rsid w:val="00F76732"/>
    <w:rsid w:val="00F769C7"/>
    <w:rsid w:val="00F76AFA"/>
    <w:rsid w:val="00F82098"/>
    <w:rsid w:val="00F862FE"/>
    <w:rsid w:val="00F86AC2"/>
    <w:rsid w:val="00F86F29"/>
    <w:rsid w:val="00F8708B"/>
    <w:rsid w:val="00F91601"/>
    <w:rsid w:val="00F9711F"/>
    <w:rsid w:val="00F97E50"/>
    <w:rsid w:val="00F97EAD"/>
    <w:rsid w:val="00FA02EE"/>
    <w:rsid w:val="00FA0349"/>
    <w:rsid w:val="00FA0C0E"/>
    <w:rsid w:val="00FA14BC"/>
    <w:rsid w:val="00FA18ED"/>
    <w:rsid w:val="00FA1B5D"/>
    <w:rsid w:val="00FA21E0"/>
    <w:rsid w:val="00FA46DA"/>
    <w:rsid w:val="00FA63A1"/>
    <w:rsid w:val="00FA71ED"/>
    <w:rsid w:val="00FB07B4"/>
    <w:rsid w:val="00FB21CB"/>
    <w:rsid w:val="00FB3946"/>
    <w:rsid w:val="00FB60CE"/>
    <w:rsid w:val="00FC4DC6"/>
    <w:rsid w:val="00FC63AF"/>
    <w:rsid w:val="00FC69D6"/>
    <w:rsid w:val="00FC6E2D"/>
    <w:rsid w:val="00FC768F"/>
    <w:rsid w:val="00FD0F64"/>
    <w:rsid w:val="00FD1709"/>
    <w:rsid w:val="00FD1CC9"/>
    <w:rsid w:val="00FD3265"/>
    <w:rsid w:val="00FD3429"/>
    <w:rsid w:val="00FD4CF5"/>
    <w:rsid w:val="00FD7276"/>
    <w:rsid w:val="00FD77F5"/>
    <w:rsid w:val="00FD7828"/>
    <w:rsid w:val="00FD7A68"/>
    <w:rsid w:val="00FE0128"/>
    <w:rsid w:val="00FE0CEC"/>
    <w:rsid w:val="00FE3051"/>
    <w:rsid w:val="00FE7217"/>
    <w:rsid w:val="00FF0402"/>
    <w:rsid w:val="00FF14AA"/>
    <w:rsid w:val="00FF2D8E"/>
    <w:rsid w:val="00FF5582"/>
    <w:rsid w:val="0366F690"/>
    <w:rsid w:val="2218C42C"/>
    <w:rsid w:val="223005A5"/>
    <w:rsid w:val="2C5A5523"/>
    <w:rsid w:val="32706112"/>
    <w:rsid w:val="35077F1F"/>
    <w:rsid w:val="433A07F1"/>
    <w:rsid w:val="492669D2"/>
    <w:rsid w:val="49665DC1"/>
    <w:rsid w:val="49D789FA"/>
    <w:rsid w:val="5BDF0212"/>
    <w:rsid w:val="618BCA08"/>
    <w:rsid w:val="653A1F62"/>
    <w:rsid w:val="6BA4B59A"/>
    <w:rsid w:val="6E306E69"/>
    <w:rsid w:val="7288CD7C"/>
    <w:rsid w:val="733C42AD"/>
    <w:rsid w:val="74BC2575"/>
    <w:rsid w:val="7E3AD1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9F20D60"/>
  <w15:chartTrackingRefBased/>
  <w15:docId w15:val="{77154227-DE18-42AC-B5B0-9B2B009EB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54593"/>
    <w:pPr>
      <w:ind w:left="720"/>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w:hAnsi="Courier"/>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w:hAnsi="Courier"/>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w:hAnsi="Courier"/>
      <w:sz w:val="20"/>
    </w:rPr>
  </w:style>
  <w:style w:type="paragraph" w:customStyle="1" w:styleId="zBottomof">
    <w:name w:val="zBottom of"/>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Courier" w:hAnsi="Courier"/>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Courier" w:hAnsi="Courier"/>
      <w:sz w:val="16"/>
    </w:rPr>
  </w:style>
  <w:style w:type="character" w:customStyle="1" w:styleId="Sample">
    <w:name w:val="Sample"/>
    <w:rPr>
      <w:rFonts w:ascii="Courier" w:hAnsi="Courier"/>
    </w:rPr>
  </w:style>
  <w:style w:type="character" w:customStyle="1" w:styleId="WPStrong">
    <w:name w:val="WP_Strong"/>
    <w:rPr>
      <w:b/>
    </w:rPr>
  </w:style>
  <w:style w:type="character" w:customStyle="1" w:styleId="Typewriter">
    <w:name w:val="Typewriter"/>
    <w:rPr>
      <w:rFonts w:ascii="Courier" w:hAnsi="Courier"/>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SYSHYPERTEXT">
    <w:name w:val="SYS_HYPERTEXT"/>
    <w:rPr>
      <w:color w:val="0000FF"/>
      <w:u w:val="single"/>
    </w:rPr>
  </w:style>
  <w:style w:type="paragraph" w:styleId="BalloonText">
    <w:name w:val="Balloon Text"/>
    <w:basedOn w:val="Normal"/>
    <w:link w:val="BalloonTextChar"/>
    <w:rsid w:val="00D6741E"/>
    <w:rPr>
      <w:rFonts w:ascii="Tahoma" w:hAnsi="Tahoma" w:cs="Tahoma"/>
      <w:sz w:val="16"/>
      <w:szCs w:val="16"/>
    </w:rPr>
  </w:style>
  <w:style w:type="character" w:customStyle="1" w:styleId="BalloonTextChar">
    <w:name w:val="Balloon Text Char"/>
    <w:link w:val="BalloonText"/>
    <w:rsid w:val="00D6741E"/>
    <w:rPr>
      <w:rFonts w:ascii="Tahoma" w:hAnsi="Tahoma" w:cs="Tahoma"/>
      <w:sz w:val="16"/>
      <w:szCs w:val="16"/>
    </w:rPr>
  </w:style>
  <w:style w:type="paragraph" w:styleId="FootnoteText">
    <w:name w:val="footnote text"/>
    <w:basedOn w:val="Normal"/>
    <w:link w:val="FootnoteTextChar"/>
    <w:uiPriority w:val="99"/>
    <w:qFormat/>
    <w:rsid w:val="00586EE7"/>
    <w:rPr>
      <w:sz w:val="20"/>
    </w:rPr>
  </w:style>
  <w:style w:type="character" w:customStyle="1" w:styleId="FootnoteTextChar">
    <w:name w:val="Footnote Text Char"/>
    <w:basedOn w:val="DefaultParagraphFont"/>
    <w:link w:val="FootnoteText"/>
    <w:uiPriority w:val="99"/>
    <w:rsid w:val="00586EE7"/>
  </w:style>
  <w:style w:type="character" w:styleId="FootnoteReference">
    <w:name w:val="footnote reference"/>
    <w:basedOn w:val="DefaultParagraphFont"/>
    <w:uiPriority w:val="99"/>
    <w:qFormat/>
    <w:rsid w:val="00586EE7"/>
    <w:rPr>
      <w:vertAlign w:val="superscript"/>
    </w:rPr>
  </w:style>
  <w:style w:type="paragraph" w:styleId="Header">
    <w:name w:val="header"/>
    <w:basedOn w:val="Normal"/>
    <w:link w:val="HeaderChar"/>
    <w:rsid w:val="00445542"/>
    <w:pPr>
      <w:tabs>
        <w:tab w:val="center" w:pos="4680"/>
        <w:tab w:val="right" w:pos="9360"/>
      </w:tabs>
    </w:pPr>
  </w:style>
  <w:style w:type="character" w:customStyle="1" w:styleId="HeaderChar">
    <w:name w:val="Header Char"/>
    <w:basedOn w:val="DefaultParagraphFont"/>
    <w:link w:val="Header"/>
    <w:rsid w:val="00445542"/>
    <w:rPr>
      <w:sz w:val="24"/>
    </w:rPr>
  </w:style>
  <w:style w:type="paragraph" w:styleId="Footer">
    <w:name w:val="footer"/>
    <w:basedOn w:val="Normal"/>
    <w:link w:val="FooterChar"/>
    <w:rsid w:val="00445542"/>
    <w:pPr>
      <w:tabs>
        <w:tab w:val="center" w:pos="4680"/>
        <w:tab w:val="right" w:pos="9360"/>
      </w:tabs>
    </w:pPr>
  </w:style>
  <w:style w:type="character" w:customStyle="1" w:styleId="FooterChar">
    <w:name w:val="Footer Char"/>
    <w:basedOn w:val="DefaultParagraphFont"/>
    <w:link w:val="Footer"/>
    <w:rsid w:val="00445542"/>
    <w:rPr>
      <w:sz w:val="24"/>
    </w:rPr>
  </w:style>
  <w:style w:type="character" w:styleId="CommentReference">
    <w:name w:val="annotation reference"/>
    <w:basedOn w:val="DefaultParagraphFont"/>
    <w:uiPriority w:val="99"/>
    <w:rsid w:val="005D08D0"/>
    <w:rPr>
      <w:sz w:val="16"/>
      <w:szCs w:val="16"/>
    </w:rPr>
  </w:style>
  <w:style w:type="paragraph" w:styleId="CommentText">
    <w:name w:val="annotation text"/>
    <w:basedOn w:val="Normal"/>
    <w:link w:val="CommentTextChar"/>
    <w:rsid w:val="005D08D0"/>
    <w:rPr>
      <w:sz w:val="20"/>
    </w:rPr>
  </w:style>
  <w:style w:type="character" w:customStyle="1" w:styleId="CommentTextChar">
    <w:name w:val="Comment Text Char"/>
    <w:basedOn w:val="DefaultParagraphFont"/>
    <w:link w:val="CommentText"/>
    <w:rsid w:val="005D08D0"/>
  </w:style>
  <w:style w:type="paragraph" w:styleId="CommentSubject">
    <w:name w:val="annotation subject"/>
    <w:basedOn w:val="CommentText"/>
    <w:next w:val="CommentText"/>
    <w:link w:val="CommentSubjectChar"/>
    <w:rsid w:val="005D08D0"/>
    <w:rPr>
      <w:b/>
      <w:bCs/>
    </w:rPr>
  </w:style>
  <w:style w:type="character" w:customStyle="1" w:styleId="CommentSubjectChar">
    <w:name w:val="Comment Subject Char"/>
    <w:basedOn w:val="CommentTextChar"/>
    <w:link w:val="CommentSubject"/>
    <w:rsid w:val="005D08D0"/>
    <w:rPr>
      <w:b/>
      <w:bCs/>
    </w:rPr>
  </w:style>
  <w:style w:type="character" w:styleId="Hyperlink">
    <w:name w:val="Hyperlink"/>
    <w:basedOn w:val="DefaultParagraphFont"/>
    <w:uiPriority w:val="99"/>
    <w:unhideWhenUsed/>
    <w:rsid w:val="00AB3272"/>
    <w:rPr>
      <w:color w:val="0000FF"/>
      <w:u w:val="single"/>
    </w:rPr>
  </w:style>
  <w:style w:type="paragraph" w:styleId="Revision">
    <w:name w:val="Revision"/>
    <w:hidden/>
    <w:uiPriority w:val="99"/>
    <w:semiHidden/>
    <w:rsid w:val="00216EC2"/>
    <w:rPr>
      <w:sz w:val="24"/>
    </w:rPr>
  </w:style>
  <w:style w:type="character" w:styleId="Mention">
    <w:name w:val="Mention"/>
    <w:basedOn w:val="DefaultParagraphFont"/>
    <w:uiPriority w:val="99"/>
    <w:unhideWhenUsed/>
    <w:rsid w:val="0096192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yperlink" Target="https://www.ecfr.gov/current/title-49/part-222/section-222.39" TargetMode="External" /><Relationship Id="rId14" Type="http://schemas.openxmlformats.org/officeDocument/2006/relationships/hyperlink" Target="https://www.ecfr.gov/current/title-49/part-222/section-222.51"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e2c2917e-047f-4ef5-af2e-e094bcfe6189">
      <UserInfo>
        <DisplayName>Fuller, Marc (FRA)</DisplayName>
        <AccountId>33</AccountId>
        <AccountType/>
      </UserInfo>
      <UserInfo>
        <DisplayName>Wells, Hodan (FRA)</DisplayName>
        <AccountId>16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D46B0C192ADC43A18D421D72B53E4F" ma:contentTypeVersion="6" ma:contentTypeDescription="Create a new document." ma:contentTypeScope="" ma:versionID="0b73d08ce841d46366585c4847bc80b8">
  <xsd:schema xmlns:xsd="http://www.w3.org/2001/XMLSchema" xmlns:xs="http://www.w3.org/2001/XMLSchema" xmlns:p="http://schemas.microsoft.com/office/2006/metadata/properties" xmlns:ns2="b270c13a-4492-4e1e-b47b-1c9c4fe9105b" xmlns:ns3="e2c2917e-047f-4ef5-af2e-e094bcfe6189" targetNamespace="http://schemas.microsoft.com/office/2006/metadata/properties" ma:root="true" ma:fieldsID="67320c5a9af848491498ca6811ec8e9a" ns2:_="" ns3:_="">
    <xsd:import namespace="b270c13a-4492-4e1e-b47b-1c9c4fe9105b"/>
    <xsd:import namespace="e2c2917e-047f-4ef5-af2e-e094bcfe61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0c13a-4492-4e1e-b47b-1c9c4fe91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c2917e-047f-4ef5-af2e-e094bcfe61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8D0FB7-8C8E-467F-ABD1-8E81FF8401C0}">
  <ds:schemaRefs>
    <ds:schemaRef ds:uri="http://schemas.openxmlformats.org/officeDocument/2006/bibliography"/>
  </ds:schemaRefs>
</ds:datastoreItem>
</file>

<file path=customXml/itemProps2.xml><?xml version="1.0" encoding="utf-8"?>
<ds:datastoreItem xmlns:ds="http://schemas.openxmlformats.org/officeDocument/2006/customXml" ds:itemID="{2970B2BE-ACE2-4D8E-916F-6C044447FBFA}">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b270c13a-4492-4e1e-b47b-1c9c4fe9105b"/>
    <ds:schemaRef ds:uri="e2c2917e-047f-4ef5-af2e-e094bcfe6189"/>
    <ds:schemaRef ds:uri="http://schemas.openxmlformats.org/package/2006/metadata/core-properties"/>
    <ds:schemaRef ds:uri="http://purl.org/dc/terms/"/>
    <ds:schemaRef ds:uri="http://www.w3.org/XML/1998/namespace"/>
  </ds:schemaRefs>
</ds:datastoreItem>
</file>

<file path=customXml/itemProps3.xml><?xml version="1.0" encoding="utf-8"?>
<ds:datastoreItem xmlns:ds="http://schemas.openxmlformats.org/officeDocument/2006/customXml" ds:itemID="{5D270584-1349-48FA-BE2A-A4A662CF6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0c13a-4492-4e1e-b47b-1c9c4fe9105b"/>
    <ds:schemaRef ds:uri="e2c2917e-047f-4ef5-af2e-e094bcfe6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04D618-DEC5-4954-8BD1-8C21C1706E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5345</Words>
  <Characters>30565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35839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rebrogan</dc:creator>
  <cp:lastModifiedBy>Mussington, Arlette (FRA)</cp:lastModifiedBy>
  <cp:revision>3</cp:revision>
  <cp:lastPrinted>2015-12-10T19:31:00Z</cp:lastPrinted>
  <dcterms:created xsi:type="dcterms:W3CDTF">2025-11-21T16:12:00Z</dcterms:created>
  <dcterms:modified xsi:type="dcterms:W3CDTF">2025-11-21T16:28:00Z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0x0101006DD46B0C192ADC43A18D421D72B53E4F</vt:lpwstr>
  </property>
</Properties>
</file>