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D43" w:rsidRPr="000C52AE" w:rsidP="009033BB" w14:paraId="0574364E" w14:textId="77777777">
      <w:pPr>
        <w:pStyle w:val="Heading1"/>
        <w:numPr>
          <w:ilvl w:val="0"/>
          <w:numId w:val="0"/>
        </w:numPr>
        <w:jc w:val="center"/>
        <w:rPr>
          <w:rFonts w:cs="Arial"/>
          <w:szCs w:val="28"/>
        </w:rPr>
      </w:pPr>
      <w:r w:rsidRPr="000C52AE">
        <w:rPr>
          <w:rFonts w:cs="Arial"/>
          <w:szCs w:val="28"/>
        </w:rPr>
        <w:t>Supporting Statement</w:t>
      </w:r>
    </w:p>
    <w:p w:rsidR="009033BB" w:rsidRPr="000C52AE" w:rsidP="009033BB" w14:paraId="56540A81" w14:textId="77777777">
      <w:pPr>
        <w:jc w:val="center"/>
        <w:rPr>
          <w:rFonts w:ascii="Arial" w:hAnsi="Arial" w:cs="Arial"/>
          <w:b/>
          <w:kern w:val="28"/>
          <w:sz w:val="28"/>
          <w:szCs w:val="28"/>
        </w:rPr>
      </w:pPr>
      <w:r w:rsidRPr="000C52AE">
        <w:rPr>
          <w:rFonts w:ascii="Arial" w:hAnsi="Arial" w:cs="Arial"/>
          <w:b/>
          <w:kern w:val="28"/>
          <w:sz w:val="28"/>
          <w:szCs w:val="28"/>
        </w:rPr>
        <w:t>e-</w:t>
      </w:r>
      <w:r w:rsidRPr="000C52AE" w:rsidR="00907DEC">
        <w:rPr>
          <w:rFonts w:ascii="Arial" w:hAnsi="Arial" w:cs="Arial"/>
          <w:b/>
          <w:kern w:val="28"/>
          <w:sz w:val="28"/>
          <w:szCs w:val="28"/>
        </w:rPr>
        <w:t>Allegation</w:t>
      </w:r>
      <w:r w:rsidRPr="000C52AE" w:rsidR="000A74CE">
        <w:rPr>
          <w:rFonts w:ascii="Arial" w:hAnsi="Arial" w:cs="Arial"/>
          <w:b/>
          <w:kern w:val="28"/>
          <w:sz w:val="28"/>
          <w:szCs w:val="28"/>
        </w:rPr>
        <w:t>s</w:t>
      </w:r>
      <w:r w:rsidRPr="000C52AE" w:rsidR="00907DEC">
        <w:rPr>
          <w:rFonts w:ascii="Arial" w:hAnsi="Arial" w:cs="Arial"/>
          <w:b/>
          <w:kern w:val="28"/>
          <w:sz w:val="28"/>
          <w:szCs w:val="28"/>
        </w:rPr>
        <w:t xml:space="preserve"> Submission</w:t>
      </w:r>
    </w:p>
    <w:p w:rsidR="005F7911" w:rsidRPr="000C52AE" w:rsidP="009033BB" w14:paraId="7123CB3B" w14:textId="77777777">
      <w:pPr>
        <w:jc w:val="center"/>
        <w:rPr>
          <w:rFonts w:ascii="Arial" w:hAnsi="Arial" w:cs="Arial"/>
          <w:b/>
          <w:sz w:val="28"/>
          <w:szCs w:val="28"/>
        </w:rPr>
      </w:pPr>
      <w:r w:rsidRPr="000C52AE">
        <w:rPr>
          <w:rFonts w:ascii="Arial" w:hAnsi="Arial" w:cs="Arial"/>
          <w:b/>
          <w:sz w:val="28"/>
          <w:szCs w:val="28"/>
        </w:rPr>
        <w:t>1651-0131</w:t>
      </w:r>
    </w:p>
    <w:p w:rsidR="005F6D43" w:rsidRPr="000C52AE" w:rsidP="004B5724" w14:paraId="05388482" w14:textId="77777777">
      <w:pPr>
        <w:pStyle w:val="Heading1"/>
        <w:numPr>
          <w:ilvl w:val="0"/>
          <w:numId w:val="0"/>
        </w:numPr>
        <w:ind w:right="216"/>
        <w:jc w:val="both"/>
        <w:rPr>
          <w:rFonts w:cs="Arial"/>
          <w:sz w:val="24"/>
          <w:szCs w:val="24"/>
        </w:rPr>
      </w:pPr>
      <w:r w:rsidRPr="000C52AE">
        <w:rPr>
          <w:rFonts w:cs="Arial"/>
          <w:sz w:val="24"/>
          <w:szCs w:val="24"/>
        </w:rPr>
        <w:t>A.  Justification</w:t>
      </w:r>
    </w:p>
    <w:p w:rsidR="005F6D43" w:rsidRPr="000C52AE" w14:paraId="64401C42" w14:textId="77777777">
      <w:pPr>
        <w:ind w:right="216"/>
        <w:jc w:val="both"/>
        <w:rPr>
          <w:rFonts w:ascii="Arial" w:hAnsi="Arial" w:cs="Arial"/>
          <w:b/>
          <w:sz w:val="24"/>
          <w:szCs w:val="24"/>
        </w:rPr>
      </w:pPr>
    </w:p>
    <w:p w:rsidR="005F6D43" w:rsidRPr="00093163" w:rsidP="00496FB2" w14:paraId="0A88F030" w14:textId="5005EEE0">
      <w:pPr>
        <w:pStyle w:val="ListParagraph"/>
        <w:numPr>
          <w:ilvl w:val="0"/>
          <w:numId w:val="8"/>
        </w:numPr>
        <w:ind w:left="720" w:right="396" w:hanging="720"/>
        <w:jc w:val="both"/>
        <w:rPr>
          <w:rFonts w:ascii="Arial" w:hAnsi="Arial" w:cs="Arial"/>
          <w:sz w:val="24"/>
          <w:szCs w:val="24"/>
        </w:rPr>
      </w:pPr>
      <w:r w:rsidRPr="00093163">
        <w:rPr>
          <w:rFonts w:ascii="Arial" w:hAnsi="Arial" w:cs="Arial"/>
          <w:b/>
          <w:sz w:val="24"/>
          <w:szCs w:val="24"/>
        </w:rPr>
        <w:t>Explain the circumstances that make the collection of information necessary</w:t>
      </w:r>
      <w:r w:rsidRPr="00093163" w:rsidR="0057257B">
        <w:rPr>
          <w:rFonts w:ascii="Arial" w:hAnsi="Arial" w:cs="Arial"/>
          <w:b/>
          <w:sz w:val="24"/>
          <w:szCs w:val="24"/>
        </w:rPr>
        <w:t xml:space="preserve">.  </w:t>
      </w:r>
      <w:r w:rsidRPr="00093163">
        <w:rPr>
          <w:rFonts w:ascii="Arial" w:hAnsi="Arial" w:cs="Arial"/>
          <w:b/>
          <w:sz w:val="24"/>
          <w:szCs w:val="24"/>
        </w:rPr>
        <w:t>Identify any legal or administrative requirements that necessitate the collection.  Attach a copy of the appropriate section of each statute and regulation mandating or authorizing the collection of information</w:t>
      </w:r>
      <w:r w:rsidRPr="00093163">
        <w:rPr>
          <w:rFonts w:ascii="Arial" w:hAnsi="Arial" w:cs="Arial"/>
          <w:sz w:val="24"/>
          <w:szCs w:val="24"/>
        </w:rPr>
        <w:t>.</w:t>
      </w:r>
    </w:p>
    <w:p w:rsidR="00E37698" w:rsidRPr="000C52AE" w:rsidP="00496FB2" w14:paraId="672AB6AB" w14:textId="77777777">
      <w:pPr>
        <w:ind w:left="720" w:right="396"/>
        <w:jc w:val="both"/>
        <w:rPr>
          <w:rFonts w:ascii="Arial" w:hAnsi="Arial" w:cs="Arial"/>
          <w:b/>
          <w:sz w:val="24"/>
          <w:szCs w:val="24"/>
        </w:rPr>
      </w:pPr>
    </w:p>
    <w:p w:rsidR="00D052F5" w:rsidP="0076497D" w14:paraId="0F9EF7CD" w14:textId="77777777">
      <w:pPr>
        <w:ind w:right="396"/>
        <w:jc w:val="both"/>
        <w:rPr>
          <w:rFonts w:ascii="Arial" w:hAnsi="Arial" w:cs="Arial"/>
          <w:sz w:val="24"/>
          <w:szCs w:val="24"/>
        </w:rPr>
      </w:pPr>
    </w:p>
    <w:p w:rsidR="00331A79" w:rsidRPr="00331A79" w:rsidP="00CD4746" w14:paraId="54B35FB9" w14:textId="2C8BF0BB">
      <w:pPr>
        <w:ind w:left="720" w:right="396"/>
        <w:jc w:val="both"/>
        <w:rPr>
          <w:rFonts w:ascii="Arial" w:hAnsi="Arial" w:cs="Arial"/>
          <w:sz w:val="24"/>
          <w:szCs w:val="24"/>
        </w:rPr>
      </w:pPr>
      <w:r w:rsidRPr="00331A79">
        <w:rPr>
          <w:rFonts w:ascii="Arial" w:hAnsi="Arial" w:cs="Arial"/>
          <w:sz w:val="24"/>
          <w:szCs w:val="24"/>
        </w:rPr>
        <w:t xml:space="preserve">U.S. Customs and Border Protection (CBP) </w:t>
      </w:r>
      <w:r w:rsidR="00D268DA">
        <w:rPr>
          <w:rFonts w:ascii="Arial" w:hAnsi="Arial" w:cs="Arial"/>
          <w:sz w:val="24"/>
          <w:szCs w:val="24"/>
        </w:rPr>
        <w:t xml:space="preserve">has historically collected information </w:t>
      </w:r>
      <w:r w:rsidR="009B1DFB">
        <w:rPr>
          <w:rFonts w:ascii="Arial" w:hAnsi="Arial" w:cs="Arial"/>
          <w:sz w:val="24"/>
          <w:szCs w:val="24"/>
        </w:rPr>
        <w:t xml:space="preserve">regarding violations of the customs laws.  For example, CBP </w:t>
      </w:r>
      <w:r w:rsidRPr="00331A79">
        <w:rPr>
          <w:rFonts w:ascii="Arial" w:hAnsi="Arial" w:cs="Arial"/>
          <w:sz w:val="24"/>
          <w:szCs w:val="24"/>
        </w:rPr>
        <w:t xml:space="preserve">established the e-Allegations program in June 2008 to create a central location for the public to report allegations of trade law violations.  The information provided by the public enables CBP, in collaboration with our partners, to protect our economy from the effects of unfair trade practices and guard against the entry of products that could pose a threat to health and safety.  The information collected through the portal includes the name individual filing the allegation (this individual may remain anonymous), their contact information, and information pertinent to the allegation of a trade law violation.  </w:t>
      </w:r>
    </w:p>
    <w:p w:rsidR="00331A79" w:rsidP="00331A79" w14:paraId="548FFFF2" w14:textId="77777777">
      <w:pPr>
        <w:ind w:left="720" w:right="396"/>
        <w:jc w:val="both"/>
        <w:rPr>
          <w:rFonts w:ascii="Arial" w:hAnsi="Arial" w:cs="Arial"/>
          <w:sz w:val="24"/>
          <w:szCs w:val="24"/>
        </w:rPr>
      </w:pPr>
    </w:p>
    <w:p w:rsidR="00331A79" w:rsidRPr="00331A79" w:rsidP="00CD4746" w14:paraId="006C318D" w14:textId="7875A6E1">
      <w:pPr>
        <w:ind w:left="720" w:right="396"/>
        <w:jc w:val="both"/>
        <w:rPr>
          <w:rFonts w:ascii="Arial" w:hAnsi="Arial" w:cs="Arial"/>
          <w:sz w:val="24"/>
          <w:szCs w:val="24"/>
        </w:rPr>
      </w:pPr>
      <w:r w:rsidRPr="00331A79">
        <w:rPr>
          <w:rFonts w:ascii="Arial" w:hAnsi="Arial" w:cs="Arial"/>
          <w:sz w:val="24"/>
          <w:szCs w:val="24"/>
        </w:rPr>
        <w:t xml:space="preserve">This collection of this information is authorized by the Tariff Act of 1930, as amended (19 U.S.C.1202 </w:t>
      </w:r>
      <w:r w:rsidRPr="00331A79">
        <w:rPr>
          <w:rFonts w:ascii="Arial" w:hAnsi="Arial" w:cs="Arial"/>
          <w:i/>
          <w:sz w:val="24"/>
          <w:szCs w:val="24"/>
        </w:rPr>
        <w:t>et seq.</w:t>
      </w:r>
      <w:r w:rsidRPr="00331A79">
        <w:rPr>
          <w:rFonts w:ascii="Arial" w:hAnsi="Arial" w:cs="Arial"/>
          <w:sz w:val="24"/>
          <w:szCs w:val="24"/>
        </w:rPr>
        <w:t xml:space="preserve">), the Homeland Security Act of 2002 (Title 6, U.S.C. 101), and the Security and Accountability for Every Port Act of 2006 [“SAFE Port Act”] (Pub. L. 109-347, Oct. 13, 2006).  The e-Allegations website is accessible at </w:t>
      </w:r>
      <w:hyperlink r:id="rId9" w:history="1">
        <w:r w:rsidRPr="00331A79">
          <w:rPr>
            <w:rStyle w:val="Hyperlink"/>
            <w:rFonts w:ascii="Arial" w:hAnsi="Arial" w:cs="Arial"/>
            <w:sz w:val="24"/>
            <w:szCs w:val="24"/>
          </w:rPr>
          <w:t>https://www.cbp.gov/trade/e-allegations/</w:t>
        </w:r>
      </w:hyperlink>
      <w:r w:rsidRPr="00331A79">
        <w:rPr>
          <w:rFonts w:ascii="Arial" w:hAnsi="Arial" w:cs="Arial"/>
          <w:sz w:val="24"/>
          <w:szCs w:val="24"/>
        </w:rPr>
        <w:t xml:space="preserve">.   </w:t>
      </w:r>
    </w:p>
    <w:p w:rsidR="00331A79" w:rsidP="00331A79" w14:paraId="23DEE82C" w14:textId="77777777">
      <w:pPr>
        <w:ind w:left="720" w:right="396"/>
        <w:jc w:val="both"/>
        <w:rPr>
          <w:rFonts w:ascii="Arial" w:hAnsi="Arial" w:cs="Arial"/>
          <w:sz w:val="24"/>
          <w:szCs w:val="24"/>
        </w:rPr>
      </w:pPr>
    </w:p>
    <w:p w:rsidR="00331A79" w:rsidP="00CD4746" w14:paraId="51B58C91" w14:textId="36785B29">
      <w:pPr>
        <w:ind w:left="720" w:right="396"/>
        <w:jc w:val="both"/>
        <w:rPr>
          <w:rFonts w:ascii="Arial" w:hAnsi="Arial" w:cs="Arial"/>
          <w:sz w:val="24"/>
          <w:szCs w:val="24"/>
        </w:rPr>
      </w:pPr>
      <w:r w:rsidRPr="00331A79">
        <w:rPr>
          <w:rFonts w:ascii="Arial" w:hAnsi="Arial" w:cs="Arial"/>
          <w:sz w:val="24"/>
          <w:szCs w:val="24"/>
        </w:rPr>
        <w:t xml:space="preserve">Congress passed the Enforce and Protect Act (“EAPA”),  as a part of the Trade Facilitation and Trade Enforcement Act (“TFTEA”) of 2015 (Pub. L. 114-125, Feb. 24, 2016).  The EAPA legislation specifically was intended to improve trade law enforcement and duty collection for antidumping and countervailing duty orders, thus helping to create a level-playing field for U.S. businesses.  To that end, </w:t>
      </w:r>
      <w:r w:rsidR="00B36939">
        <w:rPr>
          <w:rFonts w:ascii="Arial" w:hAnsi="Arial" w:cs="Arial"/>
          <w:sz w:val="24"/>
          <w:szCs w:val="24"/>
        </w:rPr>
        <w:t xml:space="preserve">and consistent with statute, </w:t>
      </w:r>
      <w:r w:rsidRPr="00331A79">
        <w:rPr>
          <w:rFonts w:ascii="Arial" w:hAnsi="Arial" w:cs="Arial"/>
          <w:sz w:val="24"/>
          <w:szCs w:val="24"/>
        </w:rPr>
        <w:t>CBP designed an investigative process that provides for a multi-party, transparent, on-the-record administrative proceeding, where parties can both participate in and learn the outcome of the investigation. </w:t>
      </w:r>
      <w:r w:rsidR="00964DB5">
        <w:rPr>
          <w:rFonts w:ascii="Arial" w:hAnsi="Arial" w:cs="Arial"/>
          <w:sz w:val="24"/>
          <w:szCs w:val="24"/>
        </w:rPr>
        <w:t xml:space="preserve"> </w:t>
      </w:r>
      <w:r w:rsidRPr="00964DB5" w:rsidR="00964DB5">
        <w:rPr>
          <w:rFonts w:ascii="Arial" w:hAnsi="Arial" w:cs="Arial"/>
          <w:i/>
          <w:iCs/>
          <w:sz w:val="24"/>
          <w:szCs w:val="24"/>
        </w:rPr>
        <w:t>See</w:t>
      </w:r>
      <w:r w:rsidR="00964DB5">
        <w:rPr>
          <w:rFonts w:ascii="Arial" w:hAnsi="Arial" w:cs="Arial"/>
          <w:sz w:val="24"/>
          <w:szCs w:val="24"/>
        </w:rPr>
        <w:t xml:space="preserve"> 19 U.S.C. § 1517; </w:t>
      </w:r>
      <w:r w:rsidRPr="00964DB5" w:rsidR="00964DB5">
        <w:rPr>
          <w:rFonts w:ascii="Arial" w:hAnsi="Arial" w:cs="Arial"/>
          <w:i/>
          <w:iCs/>
          <w:sz w:val="24"/>
          <w:szCs w:val="24"/>
        </w:rPr>
        <w:t>see also</w:t>
      </w:r>
      <w:r w:rsidR="00964DB5">
        <w:rPr>
          <w:rFonts w:ascii="Arial" w:hAnsi="Arial" w:cs="Arial"/>
          <w:sz w:val="24"/>
          <w:szCs w:val="24"/>
        </w:rPr>
        <w:t xml:space="preserve"> 19 CFR Part 165.</w:t>
      </w:r>
    </w:p>
    <w:p w:rsidR="00D052F5" w:rsidRPr="00331A79" w:rsidP="00CD4746" w14:paraId="5A0D5307" w14:textId="77777777">
      <w:pPr>
        <w:ind w:left="720" w:right="396"/>
        <w:jc w:val="both"/>
        <w:rPr>
          <w:rFonts w:ascii="Arial" w:hAnsi="Arial" w:cs="Arial"/>
          <w:sz w:val="24"/>
          <w:szCs w:val="24"/>
        </w:rPr>
      </w:pPr>
    </w:p>
    <w:p w:rsidR="00331A79" w:rsidP="00331A79" w14:paraId="6D745918" w14:textId="77777777">
      <w:pPr>
        <w:ind w:left="720" w:right="396"/>
        <w:jc w:val="both"/>
        <w:rPr>
          <w:rFonts w:ascii="Arial" w:hAnsi="Arial" w:cs="Arial"/>
          <w:sz w:val="24"/>
          <w:szCs w:val="24"/>
        </w:rPr>
      </w:pPr>
    </w:p>
    <w:p w:rsidR="00D052F5" w:rsidP="00D052F5" w14:paraId="5D67644A" w14:textId="2E860FDD">
      <w:pPr>
        <w:ind w:left="720" w:right="396"/>
        <w:jc w:val="both"/>
        <w:rPr>
          <w:rFonts w:ascii="Arial" w:hAnsi="Arial" w:cs="Arial"/>
          <w:sz w:val="24"/>
          <w:szCs w:val="24"/>
        </w:rPr>
      </w:pPr>
      <w:r>
        <w:rPr>
          <w:rFonts w:ascii="Arial" w:hAnsi="Arial" w:cs="Arial"/>
          <w:sz w:val="24"/>
          <w:szCs w:val="24"/>
        </w:rPr>
        <w:t>Updates to collection:</w:t>
      </w:r>
    </w:p>
    <w:p w:rsidR="00606016" w:rsidRPr="00606016" w:rsidP="00606016" w14:paraId="24DE2410" w14:textId="77777777">
      <w:pPr>
        <w:ind w:left="720" w:right="396"/>
        <w:jc w:val="both"/>
        <w:rPr>
          <w:rFonts w:ascii="Arial" w:hAnsi="Arial" w:cs="Arial"/>
          <w:sz w:val="24"/>
          <w:szCs w:val="24"/>
        </w:rPr>
      </w:pPr>
      <w:r w:rsidRPr="00331A79">
        <w:rPr>
          <w:rFonts w:ascii="Arial" w:hAnsi="Arial" w:cs="Arial"/>
          <w:sz w:val="24"/>
          <w:szCs w:val="24"/>
        </w:rPr>
        <w:t>The information collected through the EAPA allegation submissions portal</w:t>
      </w:r>
      <w:r w:rsidR="00904895">
        <w:rPr>
          <w:rFonts w:ascii="Arial" w:hAnsi="Arial" w:cs="Arial"/>
          <w:sz w:val="24"/>
          <w:szCs w:val="24"/>
        </w:rPr>
        <w:t>, the Case Management System</w:t>
      </w:r>
      <w:r w:rsidR="00CD4746">
        <w:rPr>
          <w:rFonts w:ascii="Arial" w:hAnsi="Arial" w:cs="Arial"/>
          <w:sz w:val="24"/>
          <w:szCs w:val="24"/>
        </w:rPr>
        <w:t xml:space="preserve"> (CMS) (also known as the EAPA portal)</w:t>
      </w:r>
      <w:r w:rsidR="00904895">
        <w:rPr>
          <w:rFonts w:ascii="Arial" w:hAnsi="Arial" w:cs="Arial"/>
          <w:sz w:val="24"/>
          <w:szCs w:val="24"/>
        </w:rPr>
        <w:t>,</w:t>
      </w:r>
      <w:r w:rsidRPr="00331A79">
        <w:rPr>
          <w:rFonts w:ascii="Arial" w:hAnsi="Arial" w:cs="Arial"/>
          <w:sz w:val="24"/>
          <w:szCs w:val="24"/>
        </w:rPr>
        <w:t xml:space="preserve"> includes the following:  filer category, name of individual filing the allegation and their contact information, the name and address of the company they represent, and their interested party designation; information related to the alleged evasion scheme, including</w:t>
      </w:r>
      <w:r w:rsidR="00E645E6">
        <w:rPr>
          <w:rFonts w:ascii="Arial" w:hAnsi="Arial" w:cs="Arial"/>
          <w:sz w:val="24"/>
          <w:szCs w:val="24"/>
        </w:rPr>
        <w:t xml:space="preserve"> type of</w:t>
      </w:r>
      <w:r w:rsidRPr="00331A79">
        <w:rPr>
          <w:rFonts w:ascii="Arial" w:hAnsi="Arial" w:cs="Arial"/>
          <w:sz w:val="24"/>
          <w:szCs w:val="24"/>
        </w:rPr>
        <w:t xml:space="preserve"> products, type of scheme and </w:t>
      </w:r>
      <w:r>
        <w:rPr>
          <w:rFonts w:ascii="Arial" w:hAnsi="Arial" w:cs="Arial"/>
          <w:sz w:val="24"/>
          <w:szCs w:val="24"/>
        </w:rPr>
        <w:t>antidumping (</w:t>
      </w:r>
      <w:r w:rsidRPr="00331A79">
        <w:rPr>
          <w:rFonts w:ascii="Arial" w:hAnsi="Arial" w:cs="Arial"/>
          <w:sz w:val="24"/>
          <w:szCs w:val="24"/>
        </w:rPr>
        <w:t>AD</w:t>
      </w:r>
      <w:r>
        <w:rPr>
          <w:rFonts w:ascii="Arial" w:hAnsi="Arial" w:cs="Arial"/>
          <w:sz w:val="24"/>
          <w:szCs w:val="24"/>
        </w:rPr>
        <w:t>)</w:t>
      </w:r>
      <w:r w:rsidRPr="00331A79">
        <w:rPr>
          <w:rFonts w:ascii="Arial" w:hAnsi="Arial" w:cs="Arial"/>
          <w:sz w:val="24"/>
          <w:szCs w:val="24"/>
        </w:rPr>
        <w:t>/</w:t>
      </w:r>
      <w:r>
        <w:rPr>
          <w:rFonts w:ascii="Arial" w:hAnsi="Arial" w:cs="Arial"/>
          <w:sz w:val="24"/>
          <w:szCs w:val="24"/>
        </w:rPr>
        <w:t>countervailing duty (</w:t>
      </w:r>
      <w:r w:rsidRPr="00331A79">
        <w:rPr>
          <w:rFonts w:ascii="Arial" w:hAnsi="Arial" w:cs="Arial"/>
          <w:sz w:val="24"/>
          <w:szCs w:val="24"/>
        </w:rPr>
        <w:t>CVD</w:t>
      </w:r>
      <w:r>
        <w:rPr>
          <w:rFonts w:ascii="Arial" w:hAnsi="Arial" w:cs="Arial"/>
          <w:sz w:val="24"/>
          <w:szCs w:val="24"/>
        </w:rPr>
        <w:t>)</w:t>
      </w:r>
      <w:r w:rsidRPr="00331A79">
        <w:rPr>
          <w:rFonts w:ascii="Arial" w:hAnsi="Arial" w:cs="Arial"/>
          <w:sz w:val="24"/>
          <w:szCs w:val="24"/>
        </w:rPr>
        <w:t xml:space="preserve"> Order information; the name and address of the company engaging in the alleged evasion scheme; and various certifications regarding the truthfulness of the allegation and how notifications about how the information will be used during the </w:t>
      </w:r>
      <w:r w:rsidRPr="00331A79">
        <w:rPr>
          <w:rFonts w:ascii="Arial" w:hAnsi="Arial" w:cs="Arial"/>
          <w:sz w:val="24"/>
          <w:szCs w:val="24"/>
        </w:rPr>
        <w:t xml:space="preserve">investigation.  </w:t>
      </w:r>
      <w:bookmarkStart w:id="0" w:name="OLE_LINK13"/>
      <w:r w:rsidRPr="00606016">
        <w:rPr>
          <w:rFonts w:ascii="Arial" w:hAnsi="Arial" w:cs="Arial"/>
          <w:sz w:val="24"/>
          <w:szCs w:val="24"/>
        </w:rPr>
        <w:t>Additionally, CBP requests information to include alleger and violating importer email and phone number, optional representing attorney contact information, and the type of violation and the corresponding details.  Interested parties will upload documents with the appropriate confidentiality status (e.g., business confidential version, public version, or public document).</w:t>
      </w:r>
    </w:p>
    <w:p w:rsidR="00606016" w:rsidP="00D052F5" w14:paraId="2C9132D6" w14:textId="791A50A7">
      <w:pPr>
        <w:ind w:left="720" w:right="396"/>
        <w:jc w:val="both"/>
        <w:rPr>
          <w:rFonts w:ascii="Arial" w:hAnsi="Arial" w:cs="Arial"/>
          <w:sz w:val="24"/>
          <w:szCs w:val="24"/>
        </w:rPr>
      </w:pPr>
    </w:p>
    <w:p w:rsidR="00606016" w:rsidP="00D052F5" w14:paraId="06AAE44D" w14:textId="77777777">
      <w:pPr>
        <w:ind w:left="720" w:right="396"/>
        <w:jc w:val="both"/>
        <w:rPr>
          <w:rFonts w:ascii="Arial" w:hAnsi="Arial" w:cs="Arial"/>
          <w:sz w:val="24"/>
          <w:szCs w:val="24"/>
        </w:rPr>
      </w:pPr>
    </w:p>
    <w:p w:rsidR="00D052F5" w:rsidRPr="00D052F5" w:rsidP="00D052F5" w14:paraId="4A8E0DDA" w14:textId="0E30F16F">
      <w:pPr>
        <w:ind w:left="720" w:right="396"/>
        <w:jc w:val="both"/>
        <w:rPr>
          <w:rFonts w:ascii="Arial" w:hAnsi="Arial" w:cs="Arial"/>
          <w:sz w:val="24"/>
          <w:szCs w:val="24"/>
        </w:rPr>
      </w:pPr>
      <w:r w:rsidRPr="00D052F5">
        <w:rPr>
          <w:rFonts w:ascii="Arial" w:hAnsi="Arial" w:cs="Arial"/>
          <w:sz w:val="24"/>
          <w:szCs w:val="24"/>
        </w:rPr>
        <w:t>New users will need to create an account with their name and email address before accessing the EAPA portal, filing allegations, uploading documents for cases to which they are assigned to participate, and communicating with EAPA staff.</w:t>
      </w:r>
      <w:bookmarkEnd w:id="0"/>
    </w:p>
    <w:p w:rsidR="00331A79" w:rsidRPr="00331A79" w:rsidP="00CD4746" w14:paraId="3CDE862C" w14:textId="46B64C58">
      <w:pPr>
        <w:ind w:left="720" w:right="396"/>
        <w:jc w:val="both"/>
        <w:rPr>
          <w:rFonts w:ascii="Arial" w:hAnsi="Arial" w:cs="Arial"/>
          <w:sz w:val="24"/>
          <w:szCs w:val="24"/>
        </w:rPr>
      </w:pPr>
    </w:p>
    <w:p w:rsidR="00331A79" w:rsidP="00331A79" w14:paraId="21BA059A" w14:textId="77777777">
      <w:pPr>
        <w:ind w:left="720" w:right="396"/>
        <w:jc w:val="both"/>
        <w:rPr>
          <w:rFonts w:ascii="Arial" w:hAnsi="Arial" w:cs="Arial"/>
          <w:sz w:val="24"/>
          <w:szCs w:val="24"/>
        </w:rPr>
      </w:pPr>
    </w:p>
    <w:p w:rsidR="00331A79" w:rsidRPr="00331A79" w:rsidP="00CD4746" w14:paraId="3FCE0FB7" w14:textId="607702BD">
      <w:pPr>
        <w:ind w:left="720" w:right="396"/>
        <w:jc w:val="both"/>
        <w:rPr>
          <w:rFonts w:ascii="Arial" w:hAnsi="Arial" w:cs="Arial"/>
          <w:sz w:val="24"/>
          <w:szCs w:val="24"/>
        </w:rPr>
      </w:pPr>
      <w:r w:rsidRPr="00331A79">
        <w:rPr>
          <w:rFonts w:ascii="Arial" w:hAnsi="Arial" w:cs="Arial"/>
          <w:sz w:val="24"/>
          <w:szCs w:val="24"/>
        </w:rPr>
        <w:t>The EAPA Allegation form has been modified from the original version to provide clarifying information which validates that the allegation qualifies as an EAPA allegation.  Additions to the form include alleger</w:t>
      </w:r>
      <w:r w:rsidR="0011171A">
        <w:rPr>
          <w:rFonts w:ascii="Arial" w:hAnsi="Arial" w:cs="Arial"/>
          <w:sz w:val="24"/>
          <w:szCs w:val="24"/>
        </w:rPr>
        <w:t xml:space="preserve"> name and phone number</w:t>
      </w:r>
      <w:r w:rsidRPr="00331A79">
        <w:rPr>
          <w:rFonts w:ascii="Arial" w:hAnsi="Arial" w:cs="Arial"/>
          <w:sz w:val="24"/>
          <w:szCs w:val="24"/>
        </w:rPr>
        <w:t xml:space="preserve"> and </w:t>
      </w:r>
      <w:r w:rsidR="0011171A">
        <w:rPr>
          <w:rFonts w:ascii="Arial" w:hAnsi="Arial" w:cs="Arial"/>
          <w:sz w:val="24"/>
          <w:szCs w:val="24"/>
        </w:rPr>
        <w:t xml:space="preserve">the alleged </w:t>
      </w:r>
      <w:r w:rsidRPr="00331A79">
        <w:rPr>
          <w:rFonts w:ascii="Arial" w:hAnsi="Arial" w:cs="Arial"/>
          <w:sz w:val="24"/>
          <w:szCs w:val="24"/>
        </w:rPr>
        <w:t>violating importer</w:t>
      </w:r>
      <w:r w:rsidR="0011171A">
        <w:rPr>
          <w:rFonts w:ascii="Arial" w:hAnsi="Arial" w:cs="Arial"/>
          <w:sz w:val="24"/>
          <w:szCs w:val="24"/>
        </w:rPr>
        <w:t>’s</w:t>
      </w:r>
      <w:r w:rsidRPr="00331A79">
        <w:rPr>
          <w:rFonts w:ascii="Arial" w:hAnsi="Arial" w:cs="Arial"/>
          <w:sz w:val="24"/>
          <w:szCs w:val="24"/>
        </w:rPr>
        <w:t xml:space="preserve"> email and phone number, </w:t>
      </w:r>
      <w:r w:rsidR="0011171A">
        <w:rPr>
          <w:rFonts w:ascii="Arial" w:hAnsi="Arial" w:cs="Arial"/>
          <w:sz w:val="24"/>
          <w:szCs w:val="24"/>
        </w:rPr>
        <w:t>the cont</w:t>
      </w:r>
      <w:r w:rsidR="00E26B59">
        <w:rPr>
          <w:rFonts w:ascii="Arial" w:hAnsi="Arial" w:cs="Arial"/>
          <w:sz w:val="24"/>
          <w:szCs w:val="24"/>
        </w:rPr>
        <w:t xml:space="preserve">act information for the </w:t>
      </w:r>
      <w:r w:rsidRPr="00331A79">
        <w:rPr>
          <w:rFonts w:ascii="Arial" w:hAnsi="Arial" w:cs="Arial"/>
          <w:sz w:val="24"/>
          <w:szCs w:val="24"/>
        </w:rPr>
        <w:t xml:space="preserve"> representing attorney contact information</w:t>
      </w:r>
      <w:r w:rsidR="00E26B59">
        <w:rPr>
          <w:rFonts w:ascii="Arial" w:hAnsi="Arial" w:cs="Arial"/>
          <w:sz w:val="24"/>
          <w:szCs w:val="24"/>
        </w:rPr>
        <w:t xml:space="preserve"> which was an optional data element</w:t>
      </w:r>
      <w:r w:rsidRPr="00331A79">
        <w:rPr>
          <w:rFonts w:ascii="Arial" w:hAnsi="Arial" w:cs="Arial"/>
          <w:sz w:val="24"/>
          <w:szCs w:val="24"/>
        </w:rPr>
        <w:t xml:space="preserve">, and </w:t>
      </w:r>
      <w:r w:rsidR="006F2409">
        <w:rPr>
          <w:rFonts w:ascii="Arial" w:hAnsi="Arial" w:cs="Arial"/>
          <w:sz w:val="24"/>
          <w:szCs w:val="24"/>
        </w:rPr>
        <w:t>a requirement to</w:t>
      </w:r>
      <w:r w:rsidR="00E26B59">
        <w:rPr>
          <w:rFonts w:ascii="Arial" w:hAnsi="Arial" w:cs="Arial"/>
          <w:sz w:val="24"/>
          <w:szCs w:val="24"/>
        </w:rPr>
        <w:t xml:space="preserve"> </w:t>
      </w:r>
      <w:r w:rsidRPr="00331A79">
        <w:rPr>
          <w:rFonts w:ascii="Arial" w:hAnsi="Arial" w:cs="Arial"/>
          <w:sz w:val="24"/>
          <w:szCs w:val="24"/>
        </w:rPr>
        <w:t>select the type of violation and</w:t>
      </w:r>
      <w:r w:rsidR="006F2409">
        <w:rPr>
          <w:rFonts w:ascii="Arial" w:hAnsi="Arial" w:cs="Arial"/>
          <w:sz w:val="24"/>
          <w:szCs w:val="24"/>
        </w:rPr>
        <w:t xml:space="preserve"> provide</w:t>
      </w:r>
      <w:r w:rsidRPr="00331A79">
        <w:rPr>
          <w:rFonts w:ascii="Arial" w:hAnsi="Arial" w:cs="Arial"/>
          <w:sz w:val="24"/>
          <w:szCs w:val="24"/>
        </w:rPr>
        <w:t xml:space="preserve"> the corresponding details.  The updated form also requires users to upload at least one document to the allegation submission and select a document category in addition the existing classification for confidentiality status.  Users will have the option to select additional categories including document date and if a document has been served after upload.  Harmonized Tariff Schedule product categories and questions that would make an allegation non-qualifying for an EAPA allegation have been removed and replaced by system validations or additional instructions.</w:t>
      </w:r>
    </w:p>
    <w:p w:rsidR="00331A79" w:rsidP="00331A79" w14:paraId="0187D641" w14:textId="77777777">
      <w:pPr>
        <w:ind w:left="720" w:right="396" w:firstLine="720"/>
        <w:jc w:val="both"/>
        <w:rPr>
          <w:rFonts w:ascii="Arial" w:hAnsi="Arial" w:cs="Arial"/>
          <w:sz w:val="24"/>
          <w:szCs w:val="24"/>
        </w:rPr>
      </w:pPr>
    </w:p>
    <w:p w:rsidR="00331A79" w:rsidP="008E69AE" w14:paraId="5F3DAF21" w14:textId="691FBC4D">
      <w:pPr>
        <w:ind w:left="720" w:right="396"/>
        <w:jc w:val="both"/>
        <w:rPr>
          <w:rFonts w:ascii="Arial" w:hAnsi="Arial" w:cs="Arial"/>
          <w:sz w:val="24"/>
          <w:szCs w:val="24"/>
        </w:rPr>
      </w:pPr>
      <w:r w:rsidRPr="00331A79">
        <w:rPr>
          <w:rFonts w:ascii="Arial" w:hAnsi="Arial" w:cs="Arial"/>
          <w:sz w:val="24"/>
          <w:szCs w:val="24"/>
        </w:rPr>
        <w:t xml:space="preserve">Collection of information for an EAPA investigation is authorized by the Tariff Act of 1930, as amended (19, U.S.C. 1517), Section 421 of the TFTEA (Pub. L. 114-125, Feb. 24, 2016), and 19 CFR 165.  The EAPA portal is accessed through the e-Allegations website at </w:t>
      </w:r>
      <w:hyperlink r:id="rId10" w:history="1">
        <w:r w:rsidRPr="00331A79">
          <w:rPr>
            <w:rStyle w:val="Hyperlink"/>
            <w:rFonts w:ascii="Arial" w:hAnsi="Arial" w:cs="Arial"/>
            <w:sz w:val="24"/>
            <w:szCs w:val="24"/>
          </w:rPr>
          <w:t>https://eallegations.cbp.gov/Home/Index2</w:t>
        </w:r>
      </w:hyperlink>
      <w:r w:rsidRPr="00331A79">
        <w:rPr>
          <w:rFonts w:ascii="Arial" w:hAnsi="Arial" w:cs="Arial"/>
          <w:sz w:val="24"/>
          <w:szCs w:val="24"/>
        </w:rPr>
        <w:t xml:space="preserve">.  </w:t>
      </w:r>
    </w:p>
    <w:p w:rsidR="008E69AE" w:rsidP="008E69AE" w14:paraId="708277F5" w14:textId="77777777">
      <w:pPr>
        <w:ind w:left="720" w:right="396"/>
        <w:jc w:val="both"/>
        <w:rPr>
          <w:rFonts w:ascii="Arial" w:hAnsi="Arial" w:cs="Arial"/>
          <w:sz w:val="24"/>
          <w:szCs w:val="24"/>
        </w:rPr>
      </w:pPr>
    </w:p>
    <w:p w:rsidR="008E69AE" w:rsidP="008E69AE" w14:paraId="65837BFD" w14:textId="77777777">
      <w:pPr>
        <w:ind w:left="720" w:right="396"/>
        <w:jc w:val="both"/>
        <w:rPr>
          <w:rFonts w:ascii="Arial" w:hAnsi="Arial" w:cs="Arial"/>
          <w:sz w:val="24"/>
          <w:szCs w:val="24"/>
        </w:rPr>
      </w:pPr>
    </w:p>
    <w:p w:rsidR="00CA19D1" w:rsidP="00BA76F9" w14:paraId="282DBDB3" w14:textId="2C8E90BB">
      <w:pPr>
        <w:ind w:left="720" w:right="396"/>
        <w:jc w:val="both"/>
        <w:rPr>
          <w:rFonts w:ascii="Arial" w:hAnsi="Arial" w:cs="Arial"/>
          <w:sz w:val="24"/>
          <w:szCs w:val="24"/>
        </w:rPr>
      </w:pPr>
      <w:bookmarkStart w:id="1" w:name="OLE_LINK17"/>
      <w:r>
        <w:rPr>
          <w:rFonts w:ascii="Arial" w:hAnsi="Arial" w:cs="Arial"/>
          <w:sz w:val="24"/>
          <w:szCs w:val="24"/>
        </w:rPr>
        <w:t>In July 2023, the U.S. Court of Appeals for the Federal Circuit mandated</w:t>
      </w:r>
      <w:r>
        <w:rPr>
          <w:rStyle w:val="FootnoteReference"/>
          <w:rFonts w:ascii="Arial" w:hAnsi="Arial" w:cs="Arial"/>
          <w:sz w:val="24"/>
          <w:szCs w:val="24"/>
        </w:rPr>
        <w:footnoteReference w:id="2"/>
      </w:r>
      <w:r>
        <w:rPr>
          <w:rFonts w:ascii="Arial" w:hAnsi="Arial" w:cs="Arial"/>
          <w:sz w:val="24"/>
          <w:szCs w:val="24"/>
        </w:rPr>
        <w:t xml:space="preserve"> that CBP implement a mechanism called an Administrative Protective Order (APO) for </w:t>
      </w:r>
      <w:r w:rsidR="00331043">
        <w:rPr>
          <w:rFonts w:ascii="Arial" w:hAnsi="Arial" w:cs="Arial"/>
          <w:sz w:val="24"/>
          <w:szCs w:val="24"/>
        </w:rPr>
        <w:t xml:space="preserve">parties to the investigation to </w:t>
      </w:r>
      <w:r>
        <w:rPr>
          <w:rFonts w:ascii="Arial" w:hAnsi="Arial" w:cs="Arial"/>
          <w:sz w:val="24"/>
          <w:szCs w:val="24"/>
        </w:rPr>
        <w:t xml:space="preserve">access business confidential information used to make determinations in CBP’s EAPA investigations, administrative reviews, </w:t>
      </w:r>
      <w:r>
        <w:rPr>
          <w:rFonts w:ascii="Arial" w:hAnsi="Arial" w:cs="Arial"/>
          <w:sz w:val="24"/>
          <w:szCs w:val="24"/>
        </w:rPr>
        <w:t xml:space="preserve">and </w:t>
      </w:r>
      <w:r>
        <w:rPr>
          <w:rFonts w:ascii="Arial" w:hAnsi="Arial" w:cs="Arial"/>
          <w:sz w:val="24"/>
          <w:szCs w:val="24"/>
        </w:rPr>
        <w:t xml:space="preserve">court remands.  </w:t>
      </w:r>
    </w:p>
    <w:p w:rsidR="00CA19D1" w:rsidP="00E37440" w14:paraId="3F68C8DA" w14:textId="77777777">
      <w:pPr>
        <w:ind w:left="720" w:right="396"/>
        <w:jc w:val="both"/>
        <w:rPr>
          <w:rFonts w:ascii="Arial" w:hAnsi="Arial" w:cs="Arial"/>
          <w:sz w:val="24"/>
          <w:szCs w:val="24"/>
        </w:rPr>
      </w:pPr>
    </w:p>
    <w:p w:rsidR="00CA19D1" w:rsidP="00E37440" w14:paraId="667781B7" w14:textId="73591982">
      <w:pPr>
        <w:ind w:left="720" w:right="396"/>
        <w:jc w:val="both"/>
        <w:rPr>
          <w:rFonts w:ascii="Arial" w:hAnsi="Arial" w:cs="Arial"/>
          <w:sz w:val="24"/>
          <w:szCs w:val="24"/>
        </w:rPr>
      </w:pPr>
      <w:r>
        <w:rPr>
          <w:rFonts w:ascii="Arial" w:hAnsi="Arial" w:cs="Arial"/>
          <w:sz w:val="24"/>
          <w:szCs w:val="24"/>
        </w:rPr>
        <w:t>To</w:t>
      </w:r>
      <w:r>
        <w:rPr>
          <w:rFonts w:ascii="Arial" w:hAnsi="Arial" w:cs="Arial"/>
          <w:sz w:val="24"/>
          <w:szCs w:val="24"/>
        </w:rPr>
        <w:t xml:space="preserve"> comply with the mandate,</w:t>
      </w:r>
      <w:r w:rsidR="00E37440">
        <w:rPr>
          <w:rFonts w:ascii="Arial" w:hAnsi="Arial" w:cs="Arial"/>
          <w:sz w:val="24"/>
          <w:szCs w:val="24"/>
        </w:rPr>
        <w:t xml:space="preserve"> </w:t>
      </w:r>
      <w:r>
        <w:rPr>
          <w:rFonts w:ascii="Arial" w:hAnsi="Arial" w:cs="Arial"/>
          <w:sz w:val="24"/>
          <w:szCs w:val="24"/>
        </w:rPr>
        <w:t>CBP</w:t>
      </w:r>
      <w:r w:rsidR="00E37440">
        <w:rPr>
          <w:rFonts w:ascii="Arial" w:hAnsi="Arial" w:cs="Arial"/>
          <w:sz w:val="24"/>
          <w:szCs w:val="24"/>
        </w:rPr>
        <w:t xml:space="preserve"> will need to collect additional information related to the ability to grant parties </w:t>
      </w:r>
      <w:r>
        <w:rPr>
          <w:rFonts w:ascii="Arial" w:hAnsi="Arial" w:cs="Arial"/>
          <w:sz w:val="24"/>
          <w:szCs w:val="24"/>
        </w:rPr>
        <w:t>under</w:t>
      </w:r>
      <w:r w:rsidR="00E37440">
        <w:rPr>
          <w:rFonts w:ascii="Arial" w:hAnsi="Arial" w:cs="Arial"/>
          <w:sz w:val="24"/>
          <w:szCs w:val="24"/>
        </w:rPr>
        <w:t xml:space="preserve"> EAPA investigation/administrative review/court remand</w:t>
      </w:r>
      <w:r>
        <w:rPr>
          <w:rFonts w:ascii="Arial" w:hAnsi="Arial" w:cs="Arial"/>
          <w:sz w:val="24"/>
          <w:szCs w:val="24"/>
        </w:rPr>
        <w:t>,</w:t>
      </w:r>
      <w:r w:rsidR="00E37440">
        <w:rPr>
          <w:rFonts w:ascii="Arial" w:hAnsi="Arial" w:cs="Arial"/>
          <w:sz w:val="24"/>
          <w:szCs w:val="24"/>
        </w:rPr>
        <w:t xml:space="preserve"> access to this business confidential information. </w:t>
      </w:r>
    </w:p>
    <w:p w:rsidR="00CA19D1" w:rsidP="00E37440" w14:paraId="375785C3" w14:textId="77777777">
      <w:pPr>
        <w:ind w:left="720" w:right="396"/>
        <w:jc w:val="both"/>
        <w:rPr>
          <w:rFonts w:ascii="Arial" w:hAnsi="Arial" w:cs="Arial"/>
          <w:sz w:val="24"/>
          <w:szCs w:val="24"/>
        </w:rPr>
      </w:pPr>
    </w:p>
    <w:p w:rsidR="00CA19D1" w:rsidP="00E37440" w14:paraId="00364CD1" w14:textId="77777777">
      <w:pPr>
        <w:ind w:left="720" w:right="396"/>
        <w:jc w:val="both"/>
        <w:rPr>
          <w:rFonts w:ascii="Arial" w:hAnsi="Arial" w:cs="Arial"/>
          <w:sz w:val="24"/>
          <w:szCs w:val="24"/>
        </w:rPr>
      </w:pPr>
      <w:r>
        <w:rPr>
          <w:rFonts w:ascii="Arial" w:hAnsi="Arial" w:cs="Arial"/>
          <w:sz w:val="24"/>
          <w:szCs w:val="24"/>
        </w:rPr>
        <w:t>Specifically, U.S. lawyers</w:t>
      </w:r>
      <w:r>
        <w:rPr>
          <w:rFonts w:ascii="Arial" w:hAnsi="Arial" w:cs="Arial"/>
          <w:sz w:val="24"/>
          <w:szCs w:val="24"/>
        </w:rPr>
        <w:t>,</w:t>
      </w:r>
      <w:r>
        <w:rPr>
          <w:rFonts w:ascii="Arial" w:hAnsi="Arial" w:cs="Arial"/>
          <w:sz w:val="24"/>
          <w:szCs w:val="24"/>
        </w:rPr>
        <w:t xml:space="preserve"> or personnel under the direct control of U.S. lawyers, will need to provide the following additional information, not previously collected: </w:t>
      </w:r>
    </w:p>
    <w:p w:rsidR="00075E59" w:rsidRPr="00075E59" w:rsidP="00075E59" w14:paraId="07A1B794"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a request to view BC information;</w:t>
      </w:r>
    </w:p>
    <w:p w:rsidR="00075E59" w:rsidRPr="00075E59" w:rsidP="00075E59" w14:paraId="620C66F4"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 xml:space="preserve">the names of all individuals, U.S. lawyers and personnel under the direct control of U.S. lawyers, who will have access to the BC information; </w:t>
      </w:r>
    </w:p>
    <w:p w:rsidR="00075E59" w:rsidRPr="00075E59" w:rsidP="00075E59" w14:paraId="10D695B4" w14:textId="577C7A98">
      <w:pPr>
        <w:pStyle w:val="ListParagraph"/>
        <w:numPr>
          <w:ilvl w:val="0"/>
          <w:numId w:val="10"/>
        </w:numPr>
        <w:ind w:right="396"/>
        <w:jc w:val="both"/>
        <w:rPr>
          <w:rFonts w:ascii="Arial" w:hAnsi="Arial" w:cs="Arial"/>
          <w:sz w:val="24"/>
          <w:szCs w:val="24"/>
        </w:rPr>
      </w:pPr>
      <w:r w:rsidRPr="00075E59">
        <w:rPr>
          <w:rFonts w:ascii="Arial" w:hAnsi="Arial" w:cs="Arial"/>
          <w:sz w:val="24"/>
          <w:szCs w:val="24"/>
        </w:rPr>
        <w:t>the bar license number(s) and relevant United States jurisdiction(s) for the responsible U.S. lawyers who access or who oversee personnel accessing the BC information;</w:t>
      </w:r>
    </w:p>
    <w:p w:rsidR="00075E59" w:rsidRPr="00075E59" w:rsidP="00075E59" w14:paraId="1339E5EC"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certifications that the people viewing the BC information do not, and will not, have any decision-making authority or official business relationship with the party they are representing in the EAPA proceeding;</w:t>
      </w:r>
    </w:p>
    <w:p w:rsidR="00075E59" w:rsidRPr="00075E59" w:rsidP="00075E59" w14:paraId="2F3645CF"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certifications agreeing to protect and not disclose any BC information to unauthorized persons;</w:t>
      </w:r>
    </w:p>
    <w:p w:rsidR="00075E59" w:rsidRPr="00075E59" w:rsidP="00075E59" w14:paraId="5020DD15"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certifications to only use the BC information for the specific EAPA proceeding for which access is approved;</w:t>
      </w:r>
    </w:p>
    <w:p w:rsidR="00075E59" w:rsidRPr="00075E59" w:rsidP="00075E59" w14:paraId="17CE4207"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certifications that the statements they are providing are true and accurate; and</w:t>
      </w:r>
    </w:p>
    <w:p w:rsidR="00075E59" w:rsidRPr="00075E59" w:rsidP="00075E59" w14:paraId="5EC7C063" w14:textId="77777777">
      <w:pPr>
        <w:pStyle w:val="ListParagraph"/>
        <w:numPr>
          <w:ilvl w:val="0"/>
          <w:numId w:val="10"/>
        </w:numPr>
        <w:ind w:right="396"/>
        <w:jc w:val="both"/>
        <w:rPr>
          <w:rFonts w:ascii="Arial" w:hAnsi="Arial" w:cs="Arial"/>
          <w:sz w:val="24"/>
          <w:szCs w:val="24"/>
        </w:rPr>
      </w:pPr>
      <w:r w:rsidRPr="00075E59">
        <w:rPr>
          <w:rFonts w:ascii="Arial" w:hAnsi="Arial" w:cs="Arial"/>
          <w:sz w:val="24"/>
          <w:szCs w:val="24"/>
        </w:rPr>
        <w:t>certifications that the authorized representatives will destroy all BC information at the conclusion of the EAPA proceeding, including any related judicial proceeding.</w:t>
      </w:r>
    </w:p>
    <w:p w:rsidR="00BA76F9" w:rsidP="00BA76F9" w14:paraId="04B1BC24" w14:textId="77777777">
      <w:pPr>
        <w:ind w:right="396"/>
        <w:jc w:val="both"/>
        <w:rPr>
          <w:rFonts w:ascii="Arial" w:hAnsi="Arial" w:cs="Arial"/>
          <w:sz w:val="24"/>
          <w:szCs w:val="24"/>
        </w:rPr>
      </w:pPr>
    </w:p>
    <w:p w:rsidR="00C62B05" w:rsidRPr="00C62B05" w:rsidP="00C62B05" w14:paraId="4E57BD05" w14:textId="5A6ECCD1">
      <w:pPr>
        <w:ind w:left="720" w:right="396"/>
        <w:jc w:val="both"/>
        <w:rPr>
          <w:rFonts w:ascii="Arial" w:hAnsi="Arial" w:cs="Arial"/>
          <w:sz w:val="24"/>
          <w:szCs w:val="24"/>
          <w:vertAlign w:val="superscript"/>
        </w:rPr>
      </w:pPr>
      <w:r>
        <w:rPr>
          <w:rFonts w:ascii="Arial" w:hAnsi="Arial" w:cs="Arial"/>
          <w:sz w:val="24"/>
          <w:szCs w:val="24"/>
        </w:rPr>
        <w:t xml:space="preserve">CBP </w:t>
      </w:r>
      <w:r w:rsidR="00BA76F9">
        <w:rPr>
          <w:rFonts w:ascii="Arial" w:hAnsi="Arial" w:cs="Arial"/>
          <w:sz w:val="24"/>
          <w:szCs w:val="24"/>
        </w:rPr>
        <w:t xml:space="preserve">published a Final </w:t>
      </w:r>
      <w:r w:rsidR="005A7B04">
        <w:rPr>
          <w:rFonts w:ascii="Arial" w:hAnsi="Arial" w:cs="Arial"/>
          <w:sz w:val="24"/>
          <w:szCs w:val="24"/>
        </w:rPr>
        <w:t>R</w:t>
      </w:r>
      <w:r w:rsidR="00BA76F9">
        <w:rPr>
          <w:rFonts w:ascii="Arial" w:hAnsi="Arial" w:cs="Arial"/>
          <w:sz w:val="24"/>
          <w:szCs w:val="24"/>
        </w:rPr>
        <w:t>ule</w:t>
      </w:r>
      <w:r>
        <w:rPr>
          <w:rStyle w:val="FootnoteReference"/>
          <w:rFonts w:ascii="Arial" w:hAnsi="Arial" w:cs="Arial"/>
          <w:sz w:val="24"/>
          <w:szCs w:val="24"/>
        </w:rPr>
        <w:footnoteReference w:id="3"/>
      </w:r>
      <w:r w:rsidR="00BA76F9">
        <w:rPr>
          <w:rFonts w:ascii="Arial" w:hAnsi="Arial" w:cs="Arial"/>
          <w:sz w:val="24"/>
          <w:szCs w:val="24"/>
        </w:rPr>
        <w:t xml:space="preserve"> March 18</w:t>
      </w:r>
      <w:r w:rsidRPr="0076497D" w:rsidR="00BA76F9">
        <w:rPr>
          <w:rFonts w:ascii="Arial" w:hAnsi="Arial" w:cs="Arial"/>
          <w:sz w:val="24"/>
          <w:szCs w:val="24"/>
          <w:vertAlign w:val="superscript"/>
        </w:rPr>
        <w:t>th</w:t>
      </w:r>
      <w:r w:rsidR="00BA76F9">
        <w:rPr>
          <w:rFonts w:ascii="Arial" w:hAnsi="Arial" w:cs="Arial"/>
          <w:sz w:val="24"/>
          <w:szCs w:val="24"/>
        </w:rPr>
        <w:t xml:space="preserve">, 2024, </w:t>
      </w:r>
      <w:r>
        <w:rPr>
          <w:rFonts w:ascii="Arial" w:hAnsi="Arial" w:cs="Arial"/>
          <w:sz w:val="24"/>
          <w:szCs w:val="24"/>
        </w:rPr>
        <w:t>establishing the</w:t>
      </w:r>
      <w:r w:rsidR="00BA76F9">
        <w:rPr>
          <w:rFonts w:ascii="Arial" w:hAnsi="Arial" w:cs="Arial"/>
          <w:sz w:val="24"/>
          <w:szCs w:val="24"/>
        </w:rPr>
        <w:t xml:space="preserve"> APO implementation</w:t>
      </w:r>
      <w:r>
        <w:rPr>
          <w:rFonts w:ascii="Arial" w:hAnsi="Arial" w:cs="Arial"/>
          <w:sz w:val="24"/>
          <w:szCs w:val="24"/>
        </w:rPr>
        <w:t>, formally announc</w:t>
      </w:r>
      <w:r w:rsidR="0076497D">
        <w:rPr>
          <w:rFonts w:ascii="Arial" w:hAnsi="Arial" w:cs="Arial"/>
          <w:sz w:val="24"/>
          <w:szCs w:val="24"/>
        </w:rPr>
        <w:t>ing</w:t>
      </w:r>
      <w:r>
        <w:rPr>
          <w:rFonts w:ascii="Arial" w:hAnsi="Arial" w:cs="Arial"/>
          <w:sz w:val="24"/>
          <w:szCs w:val="24"/>
        </w:rPr>
        <w:t xml:space="preserve"> the EAPA Portal, and, </w:t>
      </w:r>
      <w:r w:rsidRPr="00C62B05">
        <w:rPr>
          <w:rFonts w:ascii="Arial" w:hAnsi="Arial" w:cs="Arial"/>
          <w:sz w:val="24"/>
          <w:szCs w:val="24"/>
        </w:rPr>
        <w:t xml:space="preserve">when the </w:t>
      </w:r>
      <w:r w:rsidR="005A7B04">
        <w:rPr>
          <w:rFonts w:ascii="Arial" w:hAnsi="Arial" w:cs="Arial"/>
          <w:sz w:val="24"/>
          <w:szCs w:val="24"/>
        </w:rPr>
        <w:t>F</w:t>
      </w:r>
      <w:r w:rsidRPr="00C62B05">
        <w:rPr>
          <w:rFonts w:ascii="Arial" w:hAnsi="Arial" w:cs="Arial"/>
          <w:sz w:val="24"/>
          <w:szCs w:val="24"/>
        </w:rPr>
        <w:t xml:space="preserve">inal </w:t>
      </w:r>
      <w:r w:rsidR="005A7B04">
        <w:rPr>
          <w:rFonts w:ascii="Arial" w:hAnsi="Arial" w:cs="Arial"/>
          <w:sz w:val="24"/>
          <w:szCs w:val="24"/>
        </w:rPr>
        <w:t>R</w:t>
      </w:r>
      <w:r w:rsidRPr="00C62B05">
        <w:rPr>
          <w:rFonts w:ascii="Arial" w:hAnsi="Arial" w:cs="Arial"/>
          <w:sz w:val="24"/>
          <w:szCs w:val="24"/>
        </w:rPr>
        <w:t xml:space="preserve">ule is effective, an alleger will be able to withdraw an allegation and a Federal agency will be able to withdraw a request for an investigation (referral) in the EAPA Portal. </w:t>
      </w:r>
      <w:r w:rsidRPr="00C62B05">
        <w:rPr>
          <w:rFonts w:ascii="Arial" w:hAnsi="Arial" w:cs="Arial"/>
          <w:sz w:val="24"/>
          <w:szCs w:val="24"/>
          <w:vertAlign w:val="superscript"/>
        </w:rPr>
        <w:t> </w:t>
      </w:r>
    </w:p>
    <w:p w:rsidR="002013FB" w:rsidP="0076497D" w14:paraId="0175F7BC" w14:textId="42E7F9CB">
      <w:pPr>
        <w:ind w:left="720" w:right="396"/>
        <w:jc w:val="both"/>
        <w:rPr>
          <w:rFonts w:ascii="Arial" w:hAnsi="Arial" w:cs="Arial"/>
          <w:sz w:val="24"/>
          <w:szCs w:val="24"/>
        </w:rPr>
      </w:pPr>
    </w:p>
    <w:p w:rsidR="00E37440" w:rsidRPr="00331A79" w:rsidP="002C7469" w14:paraId="2E6BDE83" w14:textId="77777777">
      <w:pPr>
        <w:ind w:right="396"/>
        <w:jc w:val="both"/>
        <w:rPr>
          <w:rFonts w:ascii="Arial" w:hAnsi="Arial" w:cs="Arial"/>
          <w:sz w:val="24"/>
          <w:szCs w:val="24"/>
        </w:rPr>
      </w:pPr>
    </w:p>
    <w:bookmarkEnd w:id="1"/>
    <w:p w:rsidR="00D05567" w:rsidRPr="000C52AE" w:rsidP="00331A79" w14:paraId="6DE91272" w14:textId="77777777">
      <w:pPr>
        <w:ind w:left="720" w:right="396"/>
        <w:jc w:val="both"/>
        <w:rPr>
          <w:rFonts w:ascii="Arial" w:hAnsi="Arial" w:cs="Arial"/>
          <w:sz w:val="24"/>
          <w:szCs w:val="24"/>
        </w:rPr>
      </w:pPr>
    </w:p>
    <w:p w:rsidR="005F6D43" w:rsidRPr="000C52AE" w:rsidP="00496FB2" w14:paraId="54A47AC9" w14:textId="08887D40">
      <w:pPr>
        <w:ind w:left="720" w:right="396" w:hanging="540"/>
        <w:jc w:val="both"/>
        <w:rPr>
          <w:rFonts w:ascii="Arial" w:hAnsi="Arial" w:cs="Arial"/>
          <w:b/>
          <w:sz w:val="24"/>
          <w:szCs w:val="24"/>
        </w:rPr>
      </w:pPr>
      <w:r w:rsidRPr="00121060">
        <w:rPr>
          <w:rFonts w:ascii="Arial" w:hAnsi="Arial" w:cs="Arial"/>
          <w:b/>
          <w:sz w:val="24"/>
          <w:szCs w:val="24"/>
        </w:rPr>
        <w:t>2.</w:t>
      </w:r>
      <w:r w:rsidRPr="00121060">
        <w:rPr>
          <w:rFonts w:ascii="Arial" w:hAnsi="Arial" w:cs="Arial"/>
          <w:b/>
          <w:sz w:val="24"/>
          <w:szCs w:val="24"/>
        </w:rPr>
        <w:tab/>
      </w:r>
      <w:r w:rsidRPr="00121060">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E37698" w:rsidRPr="000C52AE" w:rsidP="00496FB2" w14:paraId="44B7FD1F" w14:textId="77777777">
      <w:pPr>
        <w:ind w:left="720" w:right="396"/>
        <w:jc w:val="both"/>
        <w:rPr>
          <w:rFonts w:ascii="Arial" w:hAnsi="Arial" w:cs="Arial"/>
          <w:sz w:val="24"/>
          <w:szCs w:val="24"/>
        </w:rPr>
      </w:pPr>
    </w:p>
    <w:p w:rsidR="005E0A4A" w:rsidRPr="000C52AE" w:rsidP="00496FB2" w14:paraId="42EF75AE" w14:textId="2575A701">
      <w:pPr>
        <w:ind w:left="720" w:right="396"/>
        <w:jc w:val="both"/>
        <w:rPr>
          <w:rFonts w:ascii="Arial" w:hAnsi="Arial" w:cs="Arial"/>
          <w:sz w:val="24"/>
          <w:szCs w:val="24"/>
        </w:rPr>
      </w:pPr>
      <w:r w:rsidRPr="000C52AE">
        <w:rPr>
          <w:rFonts w:ascii="Arial" w:hAnsi="Arial" w:cs="Arial"/>
          <w:sz w:val="24"/>
          <w:szCs w:val="24"/>
        </w:rPr>
        <w:t>T</w:t>
      </w:r>
      <w:r w:rsidRPr="000C52AE" w:rsidR="00E43253">
        <w:rPr>
          <w:rFonts w:ascii="Arial" w:hAnsi="Arial" w:cs="Arial"/>
          <w:sz w:val="24"/>
          <w:szCs w:val="24"/>
        </w:rPr>
        <w:t xml:space="preserve">he information collected has been </w:t>
      </w:r>
      <w:r w:rsidRPr="000C52AE">
        <w:rPr>
          <w:rFonts w:ascii="Arial" w:hAnsi="Arial" w:cs="Arial"/>
          <w:sz w:val="24"/>
          <w:szCs w:val="24"/>
        </w:rPr>
        <w:t>used by select CBP officials</w:t>
      </w:r>
      <w:r w:rsidRPr="000C52AE" w:rsidR="003B4088">
        <w:rPr>
          <w:rFonts w:ascii="Arial" w:hAnsi="Arial" w:cs="Arial"/>
          <w:sz w:val="24"/>
          <w:szCs w:val="24"/>
        </w:rPr>
        <w:t>, and partner government agencies,</w:t>
      </w:r>
      <w:r w:rsidRPr="000C52AE">
        <w:rPr>
          <w:rFonts w:ascii="Arial" w:hAnsi="Arial" w:cs="Arial"/>
          <w:sz w:val="24"/>
          <w:szCs w:val="24"/>
        </w:rPr>
        <w:t xml:space="preserve"> solely for the purpose of pursuing trade violations</w:t>
      </w:r>
      <w:r w:rsidRPr="000C52AE" w:rsidR="0057257B">
        <w:rPr>
          <w:rFonts w:ascii="Arial" w:hAnsi="Arial" w:cs="Arial"/>
          <w:sz w:val="24"/>
          <w:szCs w:val="24"/>
        </w:rPr>
        <w:t xml:space="preserve">.  </w:t>
      </w:r>
      <w:r w:rsidRPr="000C52AE" w:rsidR="00E43253">
        <w:rPr>
          <w:rFonts w:ascii="Arial" w:hAnsi="Arial" w:cs="Arial"/>
          <w:sz w:val="24"/>
          <w:szCs w:val="24"/>
        </w:rPr>
        <w:t>CBP will continue to use this information for the purpose of pursuing trade violations.</w:t>
      </w:r>
    </w:p>
    <w:p w:rsidR="00B56FB7" w:rsidRPr="000C52AE" w:rsidP="00496FB2" w14:paraId="77827C22" w14:textId="2A08CEB6">
      <w:pPr>
        <w:ind w:right="396"/>
        <w:jc w:val="both"/>
        <w:rPr>
          <w:rFonts w:ascii="Arial" w:hAnsi="Arial" w:cs="Arial"/>
        </w:rPr>
      </w:pPr>
      <w:r w:rsidRPr="000C52AE">
        <w:rPr>
          <w:rFonts w:ascii="Arial" w:hAnsi="Arial" w:cs="Arial"/>
        </w:rPr>
        <w:tab/>
      </w:r>
    </w:p>
    <w:p w:rsidR="00534AA8" w:rsidRPr="000C52AE" w:rsidP="00496FB2" w14:paraId="63E12214" w14:textId="54654161">
      <w:pPr>
        <w:pStyle w:val="Footer"/>
        <w:tabs>
          <w:tab w:val="clear" w:pos="4320"/>
          <w:tab w:val="clear" w:pos="8640"/>
        </w:tabs>
        <w:ind w:left="720" w:right="396"/>
        <w:jc w:val="both"/>
        <w:rPr>
          <w:rFonts w:ascii="Arial" w:hAnsi="Arial" w:cs="Arial"/>
          <w:sz w:val="24"/>
          <w:szCs w:val="24"/>
        </w:rPr>
      </w:pPr>
      <w:r w:rsidRPr="000C52AE">
        <w:rPr>
          <w:rFonts w:ascii="Arial" w:hAnsi="Arial" w:cs="Arial"/>
          <w:sz w:val="24"/>
          <w:szCs w:val="24"/>
        </w:rPr>
        <w:t>The information is being collect</w:t>
      </w:r>
      <w:r w:rsidRPr="000C52AE" w:rsidR="00EB18D4">
        <w:rPr>
          <w:rFonts w:ascii="Arial" w:hAnsi="Arial" w:cs="Arial"/>
          <w:sz w:val="24"/>
          <w:szCs w:val="24"/>
        </w:rPr>
        <w:t>ed</w:t>
      </w:r>
      <w:r w:rsidRPr="000C52AE">
        <w:rPr>
          <w:rFonts w:ascii="Arial" w:hAnsi="Arial" w:cs="Arial"/>
          <w:sz w:val="24"/>
          <w:szCs w:val="24"/>
        </w:rPr>
        <w:t xml:space="preserve"> to assist CBP with its mission of protecting the revenue through trade compliance and enforcement.  The information will also assist CBP with its other areas of responsibility such as intellectual property rights enforcement and import safety issues.  Th</w:t>
      </w:r>
      <w:r w:rsidRPr="000C52AE" w:rsidR="008D33F7">
        <w:rPr>
          <w:rFonts w:ascii="Arial" w:hAnsi="Arial" w:cs="Arial"/>
          <w:sz w:val="24"/>
          <w:szCs w:val="24"/>
        </w:rPr>
        <w:t xml:space="preserve">is system helps </w:t>
      </w:r>
      <w:r w:rsidRPr="000C52AE">
        <w:rPr>
          <w:rFonts w:ascii="Arial" w:hAnsi="Arial" w:cs="Arial"/>
          <w:sz w:val="24"/>
          <w:szCs w:val="24"/>
        </w:rPr>
        <w:t>CBP</w:t>
      </w:r>
      <w:r w:rsidRPr="000C52AE" w:rsidR="008D33F7">
        <w:rPr>
          <w:rFonts w:ascii="Arial" w:hAnsi="Arial" w:cs="Arial"/>
          <w:sz w:val="24"/>
          <w:szCs w:val="24"/>
        </w:rPr>
        <w:t xml:space="preserve"> </w:t>
      </w:r>
      <w:r w:rsidRPr="000C52AE" w:rsidR="0057257B">
        <w:rPr>
          <w:rFonts w:ascii="Arial" w:hAnsi="Arial" w:cs="Arial"/>
          <w:sz w:val="24"/>
          <w:szCs w:val="24"/>
        </w:rPr>
        <w:t>address violations</w:t>
      </w:r>
      <w:r w:rsidRPr="000C52AE">
        <w:rPr>
          <w:rFonts w:ascii="Arial" w:hAnsi="Arial" w:cs="Arial"/>
          <w:sz w:val="24"/>
          <w:szCs w:val="24"/>
        </w:rPr>
        <w:t xml:space="preserve"> of law.</w:t>
      </w:r>
    </w:p>
    <w:p w:rsidR="00534AA8" w:rsidRPr="000C52AE" w:rsidP="00496FB2" w14:paraId="4EE551AD" w14:textId="4C610DC0">
      <w:pPr>
        <w:pStyle w:val="Footer"/>
        <w:tabs>
          <w:tab w:val="clear" w:pos="4320"/>
          <w:tab w:val="clear" w:pos="8640"/>
        </w:tabs>
        <w:ind w:left="720" w:right="396"/>
        <w:jc w:val="both"/>
        <w:rPr>
          <w:rFonts w:ascii="Arial" w:hAnsi="Arial" w:cs="Arial"/>
          <w:sz w:val="24"/>
          <w:szCs w:val="24"/>
          <w:highlight w:val="yellow"/>
        </w:rPr>
      </w:pPr>
    </w:p>
    <w:p w:rsidR="000E1AC2" w:rsidRPr="000C52AE" w:rsidP="00496FB2" w14:paraId="0AE33EE8" w14:textId="2BC5AB6F">
      <w:pPr>
        <w:ind w:left="720" w:right="396"/>
        <w:jc w:val="both"/>
        <w:rPr>
          <w:rFonts w:ascii="Arial" w:hAnsi="Arial" w:cs="Arial"/>
          <w:sz w:val="24"/>
          <w:szCs w:val="24"/>
        </w:rPr>
      </w:pPr>
      <w:r w:rsidRPr="000C52AE">
        <w:rPr>
          <w:rFonts w:ascii="Arial" w:hAnsi="Arial" w:cs="Arial"/>
          <w:sz w:val="24"/>
          <w:szCs w:val="24"/>
        </w:rPr>
        <w:t xml:space="preserve">The information collected for EAPA investigations </w:t>
      </w:r>
      <w:r w:rsidR="00D052F5">
        <w:rPr>
          <w:rFonts w:ascii="Arial" w:hAnsi="Arial" w:cs="Arial"/>
          <w:sz w:val="24"/>
          <w:szCs w:val="24"/>
        </w:rPr>
        <w:t xml:space="preserve">through the EAPA portal </w:t>
      </w:r>
      <w:r w:rsidRPr="000C52AE">
        <w:rPr>
          <w:rFonts w:ascii="Arial" w:hAnsi="Arial" w:cs="Arial"/>
          <w:sz w:val="24"/>
          <w:szCs w:val="24"/>
        </w:rPr>
        <w:t>is used by a select team of CBP officials for the purpose of enforcing the collection of</w:t>
      </w:r>
      <w:r w:rsidRPr="000C52AE" w:rsidR="00930326">
        <w:rPr>
          <w:rFonts w:ascii="Arial" w:hAnsi="Arial" w:cs="Arial"/>
          <w:sz w:val="24"/>
          <w:szCs w:val="24"/>
        </w:rPr>
        <w:t xml:space="preserve"> proper AD/CVD duties; partner government agencies are consulted </w:t>
      </w:r>
      <w:r w:rsidR="00A653B9">
        <w:rPr>
          <w:rFonts w:ascii="Arial" w:hAnsi="Arial" w:cs="Arial"/>
          <w:sz w:val="24"/>
          <w:szCs w:val="24"/>
        </w:rPr>
        <w:t xml:space="preserve">and receive information </w:t>
      </w:r>
      <w:r w:rsidRPr="000C52AE" w:rsidR="00930326">
        <w:rPr>
          <w:rFonts w:ascii="Arial" w:hAnsi="Arial" w:cs="Arial"/>
          <w:sz w:val="24"/>
          <w:szCs w:val="24"/>
        </w:rPr>
        <w:t>as needed</w:t>
      </w:r>
      <w:r w:rsidR="00A653B9">
        <w:rPr>
          <w:rFonts w:ascii="Arial" w:hAnsi="Arial" w:cs="Arial"/>
          <w:sz w:val="24"/>
          <w:szCs w:val="24"/>
        </w:rPr>
        <w:t xml:space="preserve"> and in accordance with law</w:t>
      </w:r>
      <w:r w:rsidRPr="000C52AE" w:rsidR="0057257B">
        <w:rPr>
          <w:rFonts w:ascii="Arial" w:hAnsi="Arial" w:cs="Arial"/>
          <w:sz w:val="24"/>
          <w:szCs w:val="24"/>
        </w:rPr>
        <w:t xml:space="preserve">.  </w:t>
      </w:r>
      <w:r w:rsidRPr="000C52AE" w:rsidR="00930326">
        <w:rPr>
          <w:rFonts w:ascii="Arial" w:hAnsi="Arial" w:cs="Arial"/>
          <w:sz w:val="24"/>
          <w:szCs w:val="24"/>
        </w:rPr>
        <w:t xml:space="preserve">CBP collects the </w:t>
      </w:r>
      <w:r w:rsidRPr="000C52AE">
        <w:rPr>
          <w:rFonts w:ascii="Arial" w:hAnsi="Arial" w:cs="Arial"/>
          <w:sz w:val="24"/>
          <w:szCs w:val="24"/>
        </w:rPr>
        <w:t xml:space="preserve">information </w:t>
      </w:r>
      <w:r w:rsidR="00DE667D">
        <w:rPr>
          <w:rFonts w:ascii="Arial" w:hAnsi="Arial" w:cs="Arial"/>
          <w:sz w:val="24"/>
          <w:szCs w:val="24"/>
        </w:rPr>
        <w:t xml:space="preserve">for analysis to </w:t>
      </w:r>
      <w:r w:rsidR="002C7469">
        <w:rPr>
          <w:rFonts w:ascii="Arial" w:hAnsi="Arial" w:cs="Arial"/>
          <w:sz w:val="24"/>
          <w:szCs w:val="24"/>
        </w:rPr>
        <w:t xml:space="preserve">ensure </w:t>
      </w:r>
      <w:r w:rsidRPr="000C52AE" w:rsidR="002C7469">
        <w:rPr>
          <w:rFonts w:ascii="Arial" w:hAnsi="Arial" w:cs="Arial"/>
          <w:sz w:val="24"/>
          <w:szCs w:val="24"/>
        </w:rPr>
        <w:t>that</w:t>
      </w:r>
      <w:r w:rsidRPr="000C52AE">
        <w:rPr>
          <w:rFonts w:ascii="Arial" w:hAnsi="Arial" w:cs="Arial"/>
          <w:sz w:val="24"/>
          <w:szCs w:val="24"/>
        </w:rPr>
        <w:t xml:space="preserve"> CBP </w:t>
      </w:r>
      <w:r w:rsidRPr="000C52AE" w:rsidR="00930326">
        <w:rPr>
          <w:rFonts w:ascii="Arial" w:hAnsi="Arial" w:cs="Arial"/>
          <w:sz w:val="24"/>
          <w:szCs w:val="24"/>
        </w:rPr>
        <w:t>collect</w:t>
      </w:r>
      <w:r w:rsidR="00DE667D">
        <w:rPr>
          <w:rFonts w:ascii="Arial" w:hAnsi="Arial" w:cs="Arial"/>
          <w:sz w:val="24"/>
          <w:szCs w:val="24"/>
        </w:rPr>
        <w:t>s</w:t>
      </w:r>
      <w:r w:rsidRPr="000C52AE" w:rsidR="00930326">
        <w:rPr>
          <w:rFonts w:ascii="Arial" w:hAnsi="Arial" w:cs="Arial"/>
          <w:sz w:val="24"/>
          <w:szCs w:val="24"/>
        </w:rPr>
        <w:t xml:space="preserve"> </w:t>
      </w:r>
      <w:r w:rsidRPr="000C52AE">
        <w:rPr>
          <w:rFonts w:ascii="Arial" w:hAnsi="Arial" w:cs="Arial"/>
          <w:sz w:val="24"/>
          <w:szCs w:val="24"/>
        </w:rPr>
        <w:t>revenue</w:t>
      </w:r>
      <w:r w:rsidR="00DE667D">
        <w:rPr>
          <w:rFonts w:ascii="Arial" w:hAnsi="Arial" w:cs="Arial"/>
          <w:sz w:val="24"/>
          <w:szCs w:val="24"/>
        </w:rPr>
        <w:t xml:space="preserve"> lawfully</w:t>
      </w:r>
      <w:r w:rsidRPr="000C52AE">
        <w:rPr>
          <w:rFonts w:ascii="Arial" w:hAnsi="Arial" w:cs="Arial"/>
          <w:sz w:val="24"/>
          <w:szCs w:val="24"/>
        </w:rPr>
        <w:t xml:space="preserve"> </w:t>
      </w:r>
      <w:r w:rsidRPr="000C52AE" w:rsidR="00930326">
        <w:rPr>
          <w:rFonts w:ascii="Arial" w:hAnsi="Arial" w:cs="Arial"/>
          <w:sz w:val="24"/>
          <w:szCs w:val="24"/>
        </w:rPr>
        <w:t xml:space="preserve">owed to the U.S. government and to </w:t>
      </w:r>
      <w:r w:rsidR="00244F6B">
        <w:rPr>
          <w:rFonts w:ascii="Arial" w:hAnsi="Arial" w:cs="Arial"/>
          <w:sz w:val="24"/>
          <w:szCs w:val="24"/>
        </w:rPr>
        <w:t>confirm</w:t>
      </w:r>
      <w:r w:rsidRPr="000C52AE" w:rsidR="003D637E">
        <w:rPr>
          <w:rFonts w:ascii="Arial" w:hAnsi="Arial" w:cs="Arial"/>
          <w:sz w:val="24"/>
          <w:szCs w:val="24"/>
        </w:rPr>
        <w:t xml:space="preserve"> </w:t>
      </w:r>
      <w:r w:rsidRPr="000C52AE" w:rsidR="00930326">
        <w:rPr>
          <w:rFonts w:ascii="Arial" w:hAnsi="Arial" w:cs="Arial"/>
          <w:sz w:val="24"/>
          <w:szCs w:val="24"/>
        </w:rPr>
        <w:t>compliance with U.S. AD/CVD laws and regulations</w:t>
      </w:r>
      <w:r w:rsidRPr="000C52AE" w:rsidR="0057257B">
        <w:rPr>
          <w:rFonts w:ascii="Arial" w:hAnsi="Arial" w:cs="Arial"/>
          <w:sz w:val="24"/>
          <w:szCs w:val="24"/>
        </w:rPr>
        <w:t xml:space="preserve">.  </w:t>
      </w:r>
      <w:r w:rsidRPr="000C52AE" w:rsidR="00944776">
        <w:rPr>
          <w:rFonts w:ascii="Arial" w:hAnsi="Arial" w:cs="Arial"/>
          <w:sz w:val="24"/>
          <w:szCs w:val="24"/>
        </w:rPr>
        <w:t>CBP will refer any he</w:t>
      </w:r>
      <w:r w:rsidRPr="000C52AE" w:rsidR="00FB582D">
        <w:rPr>
          <w:rFonts w:ascii="Arial" w:hAnsi="Arial" w:cs="Arial"/>
          <w:sz w:val="24"/>
          <w:szCs w:val="24"/>
        </w:rPr>
        <w:t>a</w:t>
      </w:r>
      <w:r w:rsidRPr="000C52AE" w:rsidR="00944776">
        <w:rPr>
          <w:rFonts w:ascii="Arial" w:hAnsi="Arial" w:cs="Arial"/>
          <w:sz w:val="24"/>
          <w:szCs w:val="24"/>
        </w:rPr>
        <w:t xml:space="preserve">lth and safety issues that arise during an EAPA investigation to the proper U.S. Government officials. </w:t>
      </w:r>
    </w:p>
    <w:p w:rsidR="000E1AC2" w:rsidP="00496FB2" w14:paraId="425958AA" w14:textId="77777777">
      <w:pPr>
        <w:pStyle w:val="Footer"/>
        <w:tabs>
          <w:tab w:val="clear" w:pos="4320"/>
          <w:tab w:val="clear" w:pos="8640"/>
        </w:tabs>
        <w:ind w:left="720" w:right="396"/>
        <w:jc w:val="both"/>
        <w:rPr>
          <w:rFonts w:ascii="Arial" w:hAnsi="Arial" w:cs="Arial"/>
          <w:sz w:val="24"/>
          <w:szCs w:val="24"/>
          <w:highlight w:val="yellow"/>
        </w:rPr>
      </w:pPr>
    </w:p>
    <w:p w:rsidR="00E37440" w:rsidP="001B748D" w14:paraId="6F1CA4A0" w14:textId="3CCFBEA4">
      <w:pPr>
        <w:pStyle w:val="Footer"/>
        <w:tabs>
          <w:tab w:val="clear" w:pos="4320"/>
          <w:tab w:val="clear" w:pos="8640"/>
        </w:tabs>
        <w:ind w:right="396"/>
        <w:jc w:val="both"/>
        <w:rPr>
          <w:rFonts w:ascii="Arial" w:hAnsi="Arial" w:cs="Arial"/>
          <w:sz w:val="24"/>
          <w:szCs w:val="24"/>
        </w:rPr>
      </w:pPr>
      <w:bookmarkStart w:id="3" w:name="OLE_LINK18"/>
    </w:p>
    <w:p w:rsidR="00E37440" w:rsidP="00E37440" w14:paraId="4268378F" w14:textId="125E8710">
      <w:pPr>
        <w:pStyle w:val="Footer"/>
        <w:tabs>
          <w:tab w:val="left" w:pos="720"/>
        </w:tabs>
        <w:ind w:left="720" w:right="396"/>
        <w:jc w:val="both"/>
        <w:rPr>
          <w:rFonts w:ascii="Arial" w:hAnsi="Arial" w:cs="Arial"/>
          <w:sz w:val="24"/>
          <w:szCs w:val="24"/>
        </w:rPr>
      </w:pPr>
      <w:r>
        <w:rPr>
          <w:rFonts w:ascii="Arial" w:hAnsi="Arial" w:cs="Arial"/>
          <w:sz w:val="24"/>
          <w:szCs w:val="24"/>
        </w:rPr>
        <w:t>With the new change</w:t>
      </w:r>
      <w:r w:rsidR="00244F6B">
        <w:rPr>
          <w:rFonts w:ascii="Arial" w:hAnsi="Arial" w:cs="Arial"/>
          <w:sz w:val="24"/>
          <w:szCs w:val="24"/>
        </w:rPr>
        <w:t xml:space="preserve"> in</w:t>
      </w:r>
      <w:r w:rsidR="0042350A">
        <w:rPr>
          <w:rFonts w:ascii="Arial" w:hAnsi="Arial" w:cs="Arial"/>
          <w:sz w:val="24"/>
          <w:szCs w:val="24"/>
        </w:rPr>
        <w:t xml:space="preserve"> collecting additional information</w:t>
      </w:r>
      <w:r>
        <w:rPr>
          <w:rFonts w:ascii="Arial" w:hAnsi="Arial" w:cs="Arial"/>
          <w:sz w:val="24"/>
          <w:szCs w:val="24"/>
        </w:rPr>
        <w:t>, legal representatives</w:t>
      </w:r>
      <w:r w:rsidR="0042350A">
        <w:rPr>
          <w:rFonts w:ascii="Arial" w:hAnsi="Arial" w:cs="Arial"/>
          <w:sz w:val="24"/>
          <w:szCs w:val="24"/>
        </w:rPr>
        <w:t>, as well as their support staff,</w:t>
      </w:r>
      <w:r>
        <w:rPr>
          <w:rFonts w:ascii="Arial" w:hAnsi="Arial" w:cs="Arial"/>
          <w:sz w:val="24"/>
          <w:szCs w:val="24"/>
        </w:rPr>
        <w:t xml:space="preserve"> </w:t>
      </w:r>
      <w:r w:rsidR="0042350A">
        <w:rPr>
          <w:rFonts w:ascii="Arial" w:hAnsi="Arial" w:cs="Arial"/>
          <w:sz w:val="24"/>
          <w:szCs w:val="24"/>
        </w:rPr>
        <w:t xml:space="preserve">for </w:t>
      </w:r>
      <w:r>
        <w:rPr>
          <w:rFonts w:ascii="Arial" w:hAnsi="Arial" w:cs="Arial"/>
          <w:sz w:val="24"/>
          <w:szCs w:val="24"/>
        </w:rPr>
        <w:t xml:space="preserve">the alleger or U.S. importer, in addition to the U.S. officials mentioned above, will be allowed to view business confidential information used during the EAPA proceeding.  </w:t>
      </w:r>
    </w:p>
    <w:p w:rsidR="00E37440" w:rsidRPr="00E37440" w:rsidP="00496FB2" w14:paraId="65C4C8E3" w14:textId="77777777">
      <w:pPr>
        <w:pStyle w:val="Footer"/>
        <w:tabs>
          <w:tab w:val="clear" w:pos="4320"/>
          <w:tab w:val="clear" w:pos="8640"/>
        </w:tabs>
        <w:ind w:left="720" w:right="396"/>
        <w:jc w:val="both"/>
        <w:rPr>
          <w:rFonts w:ascii="Arial" w:hAnsi="Arial" w:cs="Arial"/>
          <w:sz w:val="24"/>
          <w:szCs w:val="24"/>
        </w:rPr>
      </w:pPr>
    </w:p>
    <w:bookmarkEnd w:id="3"/>
    <w:p w:rsidR="00005126" w:rsidRPr="000C52AE" w:rsidP="00496FB2" w14:paraId="17FFA63C" w14:textId="77777777">
      <w:pPr>
        <w:pStyle w:val="Footer"/>
        <w:tabs>
          <w:tab w:val="clear" w:pos="4320"/>
          <w:tab w:val="clear" w:pos="8640"/>
        </w:tabs>
        <w:ind w:left="720" w:right="396"/>
        <w:jc w:val="both"/>
        <w:rPr>
          <w:rFonts w:ascii="Arial" w:hAnsi="Arial" w:cs="Arial"/>
          <w:sz w:val="24"/>
          <w:szCs w:val="24"/>
          <w:highlight w:val="yellow"/>
        </w:rPr>
      </w:pPr>
    </w:p>
    <w:p w:rsidR="00270DA1" w:rsidRPr="000C52AE" w:rsidP="00496FB2" w14:paraId="4E7B2FB7" w14:textId="77C5D7C1">
      <w:pPr>
        <w:ind w:left="720" w:right="396" w:hanging="720"/>
        <w:jc w:val="both"/>
        <w:rPr>
          <w:rFonts w:ascii="Arial" w:hAnsi="Arial" w:cs="Arial"/>
          <w:b/>
          <w:sz w:val="24"/>
          <w:szCs w:val="24"/>
        </w:rPr>
      </w:pPr>
      <w:r w:rsidRPr="00121060">
        <w:rPr>
          <w:rFonts w:ascii="Arial" w:hAnsi="Arial" w:cs="Arial"/>
          <w:b/>
          <w:sz w:val="24"/>
          <w:szCs w:val="24"/>
        </w:rPr>
        <w:t xml:space="preserve">3. </w:t>
      </w:r>
      <w:r w:rsidRPr="00121060" w:rsidR="0023738E">
        <w:rPr>
          <w:rFonts w:ascii="Arial" w:hAnsi="Arial" w:cs="Arial"/>
          <w:b/>
          <w:sz w:val="24"/>
          <w:szCs w:val="24"/>
        </w:rPr>
        <w:tab/>
      </w:r>
      <w:r w:rsidRPr="00121060">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0C52AE">
        <w:rPr>
          <w:rFonts w:ascii="Arial" w:hAnsi="Arial" w:cs="Arial"/>
          <w:b/>
          <w:sz w:val="24"/>
          <w:szCs w:val="24"/>
        </w:rPr>
        <w:t xml:space="preserve">  </w:t>
      </w:r>
    </w:p>
    <w:p w:rsidR="00270DA1" w:rsidRPr="000C52AE" w:rsidP="00496FB2" w14:paraId="66E25F76" w14:textId="77777777">
      <w:pPr>
        <w:pStyle w:val="Footer"/>
        <w:tabs>
          <w:tab w:val="clear" w:pos="4320"/>
          <w:tab w:val="clear" w:pos="8640"/>
        </w:tabs>
        <w:ind w:left="720" w:right="396"/>
        <w:jc w:val="both"/>
        <w:rPr>
          <w:rFonts w:ascii="Arial" w:hAnsi="Arial" w:cs="Arial"/>
          <w:sz w:val="24"/>
          <w:szCs w:val="24"/>
          <w:highlight w:val="yellow"/>
        </w:rPr>
      </w:pPr>
    </w:p>
    <w:p w:rsidR="005F6D43" w:rsidP="00496FB2" w14:paraId="157525DC" w14:textId="1E6FF8D7">
      <w:pPr>
        <w:pStyle w:val="Footer"/>
        <w:tabs>
          <w:tab w:val="clear" w:pos="4320"/>
          <w:tab w:val="clear" w:pos="8640"/>
        </w:tabs>
        <w:ind w:left="720" w:right="396"/>
        <w:jc w:val="both"/>
        <w:rPr>
          <w:rFonts w:ascii="Arial" w:hAnsi="Arial" w:cs="Arial"/>
          <w:sz w:val="24"/>
          <w:szCs w:val="22"/>
        </w:rPr>
      </w:pPr>
      <w:r w:rsidRPr="000C52AE">
        <w:rPr>
          <w:rFonts w:ascii="Arial" w:hAnsi="Arial" w:cs="Arial"/>
          <w:sz w:val="24"/>
          <w:szCs w:val="24"/>
        </w:rPr>
        <w:t xml:space="preserve">Information regarding potential trade violations </w:t>
      </w:r>
      <w:r w:rsidRPr="000C52AE" w:rsidR="00782A8E">
        <w:rPr>
          <w:rFonts w:ascii="Arial" w:hAnsi="Arial" w:cs="Arial"/>
          <w:sz w:val="24"/>
          <w:szCs w:val="24"/>
        </w:rPr>
        <w:t>are</w:t>
      </w:r>
      <w:r w:rsidRPr="000C52AE">
        <w:rPr>
          <w:rFonts w:ascii="Arial" w:hAnsi="Arial" w:cs="Arial"/>
          <w:sz w:val="24"/>
          <w:szCs w:val="24"/>
        </w:rPr>
        <w:t xml:space="preserve"> electronically submitted via </w:t>
      </w:r>
      <w:r w:rsidRPr="000C52AE" w:rsidR="008C6BAE">
        <w:rPr>
          <w:rFonts w:ascii="Arial" w:hAnsi="Arial" w:cs="Arial"/>
          <w:sz w:val="24"/>
          <w:szCs w:val="24"/>
        </w:rPr>
        <w:t xml:space="preserve">the e-Allegations </w:t>
      </w:r>
      <w:r w:rsidRPr="000C52AE">
        <w:rPr>
          <w:rFonts w:ascii="Arial" w:hAnsi="Arial" w:cs="Arial"/>
          <w:sz w:val="24"/>
          <w:szCs w:val="24"/>
        </w:rPr>
        <w:t xml:space="preserve">website </w:t>
      </w:r>
      <w:r w:rsidRPr="000C52AE" w:rsidR="008C6BAE">
        <w:rPr>
          <w:rFonts w:ascii="Arial" w:hAnsi="Arial" w:cs="Arial"/>
          <w:sz w:val="24"/>
          <w:szCs w:val="24"/>
        </w:rPr>
        <w:t>at</w:t>
      </w:r>
      <w:r w:rsidRPr="000C52AE" w:rsidR="00FF4FD3">
        <w:rPr>
          <w:rFonts w:ascii="Arial" w:hAnsi="Arial" w:cs="Arial"/>
          <w:sz w:val="24"/>
          <w:szCs w:val="24"/>
        </w:rPr>
        <w:t xml:space="preserve"> </w:t>
      </w:r>
      <w:bookmarkStart w:id="4" w:name="OLE_LINK4"/>
      <w:hyperlink r:id="rId9" w:history="1">
        <w:r w:rsidRPr="000C52AE" w:rsidR="00B223DC">
          <w:rPr>
            <w:rStyle w:val="Hyperlink"/>
            <w:rFonts w:ascii="Arial" w:hAnsi="Arial" w:cs="Arial"/>
            <w:sz w:val="24"/>
            <w:szCs w:val="24"/>
          </w:rPr>
          <w:t>https://www.cbp.gov/trade/e-allegations/</w:t>
        </w:r>
      </w:hyperlink>
      <w:bookmarkEnd w:id="4"/>
      <w:r w:rsidRPr="000C52AE" w:rsidR="00B223DC">
        <w:rPr>
          <w:rFonts w:ascii="Arial" w:hAnsi="Arial" w:cs="Arial"/>
          <w:sz w:val="24"/>
          <w:szCs w:val="24"/>
        </w:rPr>
        <w:t xml:space="preserve">. </w:t>
      </w:r>
      <w:r w:rsidRPr="000C52AE" w:rsidR="000E41F4">
        <w:rPr>
          <w:rFonts w:ascii="Arial" w:hAnsi="Arial" w:cs="Arial"/>
          <w:sz w:val="24"/>
          <w:szCs w:val="22"/>
        </w:rPr>
        <w:t xml:space="preserve">  </w:t>
      </w:r>
    </w:p>
    <w:p w:rsidR="001870CF" w:rsidP="00496FB2" w14:paraId="67E88FBE" w14:textId="77777777">
      <w:pPr>
        <w:pStyle w:val="Footer"/>
        <w:tabs>
          <w:tab w:val="clear" w:pos="4320"/>
          <w:tab w:val="clear" w:pos="8640"/>
        </w:tabs>
        <w:ind w:left="720" w:right="396"/>
        <w:jc w:val="both"/>
        <w:rPr>
          <w:rFonts w:ascii="Arial" w:hAnsi="Arial" w:cs="Arial"/>
          <w:sz w:val="24"/>
          <w:szCs w:val="22"/>
        </w:rPr>
      </w:pPr>
    </w:p>
    <w:p w:rsidR="00D052F5" w:rsidRPr="00D052F5" w:rsidP="0076497D" w14:paraId="34EB1B81" w14:textId="30178AFE">
      <w:pPr>
        <w:pStyle w:val="Footer"/>
        <w:ind w:left="720"/>
        <w:rPr>
          <w:rFonts w:ascii="Arial" w:hAnsi="Arial" w:cs="Arial"/>
          <w:b/>
          <w:bCs/>
          <w:sz w:val="24"/>
          <w:szCs w:val="22"/>
        </w:rPr>
      </w:pPr>
      <w:bookmarkStart w:id="5" w:name="OLE_LINK19"/>
      <w:r>
        <w:rPr>
          <w:rFonts w:ascii="Arial" w:hAnsi="Arial" w:cs="Arial"/>
          <w:sz w:val="24"/>
          <w:szCs w:val="22"/>
        </w:rPr>
        <w:t>The</w:t>
      </w:r>
      <w:r w:rsidRPr="00D052F5">
        <w:rPr>
          <w:rFonts w:ascii="Arial" w:hAnsi="Arial" w:cs="Arial"/>
          <w:sz w:val="24"/>
          <w:szCs w:val="22"/>
        </w:rPr>
        <w:t xml:space="preserve"> Trade Violations Reporting (TVR) portal facilitate</w:t>
      </w:r>
      <w:r>
        <w:rPr>
          <w:rFonts w:ascii="Arial" w:hAnsi="Arial" w:cs="Arial"/>
          <w:sz w:val="24"/>
          <w:szCs w:val="22"/>
        </w:rPr>
        <w:t>s</w:t>
      </w:r>
      <w:r w:rsidRPr="00D052F5">
        <w:rPr>
          <w:rFonts w:ascii="Arial" w:hAnsi="Arial" w:cs="Arial"/>
          <w:sz w:val="24"/>
          <w:szCs w:val="22"/>
        </w:rPr>
        <w:t xml:space="preserve"> reporting allegations of trade violations (i.e., e-Allegations) and evasion violations via the Enforce and Protect Act of 2015 (EAPA). Additionally, TVR provides a link to the ICE Tip Form </w:t>
      </w:r>
      <w:hyperlink r:id="rId11" w:history="1">
        <w:r w:rsidRPr="00D052F5">
          <w:rPr>
            <w:rStyle w:val="Hyperlink"/>
            <w:rFonts w:ascii="Arial" w:hAnsi="Arial" w:cs="Arial"/>
            <w:sz w:val="24"/>
            <w:szCs w:val="22"/>
          </w:rPr>
          <w:t>https://www.ice.gov/webform/ice-tip-form</w:t>
        </w:r>
      </w:hyperlink>
      <w:r w:rsidRPr="00D052F5">
        <w:rPr>
          <w:rFonts w:ascii="Arial" w:hAnsi="Arial" w:cs="Arial"/>
          <w:sz w:val="24"/>
          <w:szCs w:val="22"/>
        </w:rPr>
        <w:t xml:space="preserve">, for reporting allegations of criminal or illegal activity to Immigration Customs Enforcement (ICE), which ICE is responsible for managing, The TVR portal is accessed through the e-Allegations website at </w:t>
      </w:r>
      <w:hyperlink r:id="rId12" w:history="1">
        <w:r w:rsidRPr="00D052F5">
          <w:rPr>
            <w:rStyle w:val="Hyperlink"/>
            <w:rFonts w:ascii="Arial" w:hAnsi="Arial" w:cs="Arial"/>
            <w:sz w:val="24"/>
            <w:szCs w:val="22"/>
          </w:rPr>
          <w:t>https://eallegations.cbp.gov</w:t>
        </w:r>
      </w:hyperlink>
      <w:r w:rsidRPr="00D052F5">
        <w:rPr>
          <w:rFonts w:ascii="Arial" w:hAnsi="Arial" w:cs="Arial"/>
          <w:sz w:val="24"/>
          <w:szCs w:val="22"/>
        </w:rPr>
        <w:t xml:space="preserve">.  </w:t>
      </w:r>
    </w:p>
    <w:p w:rsidR="00D92990" w:rsidP="00D92990" w14:paraId="2226EC67" w14:textId="77777777">
      <w:pPr>
        <w:pStyle w:val="Footer"/>
        <w:ind w:left="720"/>
        <w:rPr>
          <w:rFonts w:ascii="Arial" w:hAnsi="Arial" w:cs="Arial"/>
          <w:sz w:val="24"/>
          <w:szCs w:val="22"/>
        </w:rPr>
      </w:pPr>
    </w:p>
    <w:p w:rsidR="00D92990" w:rsidRPr="00D92990" w:rsidP="0076497D" w14:paraId="41C15570" w14:textId="76DB5E76">
      <w:pPr>
        <w:pStyle w:val="Footer"/>
        <w:ind w:left="720"/>
        <w:rPr>
          <w:rFonts w:ascii="Arial" w:hAnsi="Arial" w:cs="Arial"/>
          <w:sz w:val="24"/>
          <w:szCs w:val="22"/>
        </w:rPr>
      </w:pPr>
      <w:r w:rsidRPr="00D92990">
        <w:rPr>
          <w:rFonts w:ascii="Arial" w:hAnsi="Arial" w:cs="Arial"/>
          <w:sz w:val="24"/>
          <w:szCs w:val="22"/>
        </w:rPr>
        <w:t xml:space="preserve">Information regarding e-Allegations is also electronically submitted via the TVR web portal. Allegers can submit documentation through the TVR at initial submission, and additional information pertinent to the allegation can be submitted electronically via email at </w:t>
      </w:r>
      <w:hyperlink r:id="rId13" w:history="1">
        <w:r w:rsidRPr="00D92990">
          <w:rPr>
            <w:rStyle w:val="Hyperlink"/>
            <w:rFonts w:ascii="Arial" w:hAnsi="Arial" w:cs="Arial"/>
            <w:sz w:val="24"/>
            <w:szCs w:val="22"/>
          </w:rPr>
          <w:t>eallegations@cbp.dhs.gov</w:t>
        </w:r>
      </w:hyperlink>
      <w:r w:rsidRPr="00D92990">
        <w:rPr>
          <w:rFonts w:ascii="Arial" w:hAnsi="Arial" w:cs="Arial"/>
          <w:sz w:val="24"/>
          <w:szCs w:val="22"/>
        </w:rPr>
        <w:t xml:space="preserve">. Process notifications are sent automatically through the Analysis and Referral Management  (ARM) application at various points in an allegation’s lifecycle from submission to closure. </w:t>
      </w:r>
    </w:p>
    <w:p w:rsidR="00D92990" w:rsidP="00D92990" w14:paraId="30F78759" w14:textId="77777777">
      <w:pPr>
        <w:pStyle w:val="Footer"/>
        <w:rPr>
          <w:rFonts w:ascii="Arial" w:hAnsi="Arial" w:cs="Arial"/>
          <w:sz w:val="24"/>
          <w:szCs w:val="22"/>
        </w:rPr>
      </w:pPr>
    </w:p>
    <w:p w:rsidR="00606016" w:rsidRPr="00606016" w:rsidP="0076497D" w14:paraId="6C239EF7" w14:textId="2234B3EE">
      <w:pPr>
        <w:pStyle w:val="Footer"/>
        <w:ind w:left="720"/>
        <w:rPr>
          <w:rFonts w:ascii="Arial" w:hAnsi="Arial" w:cs="Arial"/>
          <w:sz w:val="24"/>
          <w:szCs w:val="22"/>
        </w:rPr>
      </w:pPr>
      <w:r w:rsidRPr="00D92990">
        <w:rPr>
          <w:rFonts w:ascii="Arial" w:hAnsi="Arial" w:cs="Arial"/>
          <w:sz w:val="24"/>
          <w:szCs w:val="22"/>
        </w:rPr>
        <w:t>The new information will be submitted electronically through the EAPA Case Management System (CMS)</w:t>
      </w:r>
      <w:r>
        <w:rPr>
          <w:rFonts w:ascii="Arial" w:hAnsi="Arial" w:cs="Arial"/>
          <w:sz w:val="24"/>
          <w:szCs w:val="22"/>
        </w:rPr>
        <w:t xml:space="preserve"> (also known as the EAPA Portal)</w:t>
      </w:r>
      <w:r>
        <w:rPr>
          <w:rFonts w:ascii="Arial" w:hAnsi="Arial" w:cs="Arial"/>
          <w:sz w:val="24"/>
          <w:szCs w:val="22"/>
        </w:rPr>
        <w:t>.</w:t>
      </w:r>
      <w:r w:rsidRPr="00D92990">
        <w:rPr>
          <w:rFonts w:ascii="Arial" w:hAnsi="Arial" w:cs="Arial"/>
          <w:sz w:val="24"/>
          <w:szCs w:val="22"/>
        </w:rPr>
        <w:t xml:space="preserve"> </w:t>
      </w:r>
      <w:r w:rsidRPr="00606016">
        <w:rPr>
          <w:rFonts w:ascii="Arial" w:hAnsi="Arial" w:cs="Arial"/>
          <w:sz w:val="24"/>
          <w:szCs w:val="22"/>
        </w:rPr>
        <w:t>The portal can be reached in two ways – through the TVR web portal at</w:t>
      </w:r>
      <w:r>
        <w:rPr>
          <w:rFonts w:ascii="Arial" w:hAnsi="Arial" w:cs="Arial"/>
          <w:sz w:val="24"/>
          <w:szCs w:val="22"/>
        </w:rPr>
        <w:t xml:space="preserve"> </w:t>
      </w:r>
      <w:hyperlink r:id="rId14" w:history="1">
        <w:r w:rsidRPr="00606016">
          <w:rPr>
            <w:rStyle w:val="Hyperlink"/>
            <w:rFonts w:ascii="Arial" w:hAnsi="Arial" w:cs="Arial"/>
            <w:sz w:val="24"/>
            <w:szCs w:val="22"/>
          </w:rPr>
          <w:t>https://eallegations.cbp.gov/s/</w:t>
        </w:r>
      </w:hyperlink>
      <w:r w:rsidRPr="00606016">
        <w:rPr>
          <w:rFonts w:ascii="Arial" w:hAnsi="Arial" w:cs="Arial"/>
          <w:sz w:val="24"/>
          <w:szCs w:val="22"/>
        </w:rPr>
        <w:t xml:space="preserve"> and through the EAPA website at https://cbp.gov/trade/trade-enforcement/tftea/eapa by clicking the field titled “Filing an EAPA Allegation.”   </w:t>
      </w:r>
    </w:p>
    <w:p w:rsidR="00D92990" w:rsidRPr="00D92990" w:rsidP="0076497D" w14:paraId="455E5FBB" w14:textId="2D9661B1">
      <w:pPr>
        <w:pStyle w:val="Footer"/>
        <w:ind w:left="720"/>
        <w:rPr>
          <w:rFonts w:ascii="Arial" w:hAnsi="Arial" w:cs="Arial"/>
          <w:sz w:val="24"/>
          <w:szCs w:val="22"/>
        </w:rPr>
      </w:pPr>
    </w:p>
    <w:p w:rsidR="00D92990" w:rsidRPr="00D92990" w:rsidP="0076497D" w14:paraId="6AF93CD3" w14:textId="77777777">
      <w:pPr>
        <w:pStyle w:val="Footer"/>
        <w:ind w:left="720"/>
        <w:rPr>
          <w:rFonts w:ascii="Arial" w:hAnsi="Arial" w:cs="Arial"/>
          <w:sz w:val="24"/>
          <w:szCs w:val="22"/>
        </w:rPr>
      </w:pPr>
    </w:p>
    <w:p w:rsidR="00D92990" w:rsidRPr="00D92990" w:rsidP="0076497D" w14:paraId="23103D1F" w14:textId="64618BDF">
      <w:pPr>
        <w:pStyle w:val="Footer"/>
        <w:tabs>
          <w:tab w:val="left" w:pos="720"/>
        </w:tabs>
        <w:ind w:left="720"/>
        <w:rPr>
          <w:rFonts w:ascii="Arial" w:hAnsi="Arial" w:cs="Arial"/>
          <w:sz w:val="24"/>
          <w:szCs w:val="22"/>
        </w:rPr>
      </w:pPr>
      <w:r w:rsidRPr="00D92990">
        <w:rPr>
          <w:rFonts w:ascii="Arial" w:hAnsi="Arial" w:cs="Arial"/>
          <w:sz w:val="24"/>
          <w:szCs w:val="22"/>
        </w:rPr>
        <w:t>An interested party, as defined in 19 U.S.C. 1517(a)(6), can submit EAPA allegations through the EAPA portal, and parties to the investigation, as defined in 19 CFR 165.1, can submit, receive, and view documents relating to the investigation in the EAPA portal.  Parties to the investigation will receive notifications delivered through the CMS (EAPA portal) for all actions, including when the administrative record is ready to be viewed.  Requests for Information on CBP Form 28 (CF-28), Initial Request for Information questionnaires and Supplemental Request for Information questionnaires from the EAPA branches will come in form of a “task” in an email to the parties to the investigation.  In addition, a party who filed an allegation and a Federal agency that filed a request for an investigation may withdraw the allegation/the request for an investigation by submitting a request to withdraw via email or the EAPA portal.</w:t>
      </w:r>
    </w:p>
    <w:p w:rsidR="00D92990" w:rsidP="0076497D" w14:paraId="75AE1059" w14:textId="77777777">
      <w:pPr>
        <w:pStyle w:val="Footer"/>
        <w:tabs>
          <w:tab w:val="left" w:pos="720"/>
        </w:tabs>
        <w:ind w:right="396"/>
        <w:jc w:val="both"/>
        <w:rPr>
          <w:rFonts w:ascii="Arial" w:hAnsi="Arial" w:cs="Arial"/>
          <w:sz w:val="24"/>
          <w:szCs w:val="22"/>
        </w:rPr>
      </w:pPr>
    </w:p>
    <w:bookmarkEnd w:id="5"/>
    <w:p w:rsidR="005F6D43" w:rsidRPr="000C52AE" w:rsidP="00496FB2" w14:paraId="4A3A234A" w14:textId="4D0DECAA">
      <w:pPr>
        <w:pStyle w:val="Footer"/>
        <w:tabs>
          <w:tab w:val="clear" w:pos="4320"/>
          <w:tab w:val="clear" w:pos="8640"/>
        </w:tabs>
        <w:ind w:right="396"/>
        <w:jc w:val="both"/>
        <w:rPr>
          <w:rFonts w:ascii="Arial" w:hAnsi="Arial" w:cs="Arial"/>
          <w:sz w:val="24"/>
          <w:szCs w:val="24"/>
        </w:rPr>
      </w:pPr>
    </w:p>
    <w:p w:rsidR="005F6D43" w:rsidRPr="000C52AE" w:rsidP="00496FB2" w14:paraId="3368BAD4" w14:textId="432D2DF9">
      <w:pPr>
        <w:ind w:left="720" w:right="396" w:hanging="720"/>
        <w:jc w:val="both"/>
        <w:rPr>
          <w:rFonts w:ascii="Arial" w:hAnsi="Arial" w:cs="Arial"/>
          <w:b/>
          <w:sz w:val="24"/>
          <w:szCs w:val="24"/>
        </w:rPr>
      </w:pPr>
      <w:r w:rsidRPr="000C52AE">
        <w:rPr>
          <w:rFonts w:ascii="Arial" w:hAnsi="Arial" w:cs="Arial"/>
          <w:b/>
          <w:sz w:val="24"/>
          <w:szCs w:val="24"/>
        </w:rPr>
        <w:t xml:space="preserve">4. </w:t>
      </w:r>
      <w:r w:rsidRPr="000C52AE" w:rsidR="0023738E">
        <w:rPr>
          <w:rFonts w:ascii="Arial" w:hAnsi="Arial" w:cs="Arial"/>
          <w:b/>
          <w:sz w:val="24"/>
          <w:szCs w:val="24"/>
        </w:rPr>
        <w:tab/>
      </w:r>
      <w:r w:rsidRPr="000C52AE">
        <w:rPr>
          <w:rFonts w:ascii="Arial" w:hAnsi="Arial" w:cs="Arial"/>
          <w:b/>
          <w:sz w:val="24"/>
          <w:szCs w:val="24"/>
        </w:rPr>
        <w:t xml:space="preserve">Describe efforts to identify duplication.  Show specifically why any similar information already available cannot be used or modified for use for the purposes described in Item 2 above. </w:t>
      </w:r>
    </w:p>
    <w:p w:rsidR="005F6D43" w:rsidRPr="000C52AE" w:rsidP="00496FB2" w14:paraId="53D434E6" w14:textId="77777777">
      <w:pPr>
        <w:ind w:right="396"/>
        <w:jc w:val="both"/>
        <w:rPr>
          <w:rFonts w:ascii="Arial" w:hAnsi="Arial" w:cs="Arial"/>
          <w:b/>
          <w:sz w:val="24"/>
          <w:szCs w:val="24"/>
        </w:rPr>
      </w:pPr>
    </w:p>
    <w:p w:rsidR="005F6D43" w:rsidRPr="000C52AE" w:rsidP="00496FB2" w14:paraId="0EFE4C40" w14:textId="77777777">
      <w:pPr>
        <w:ind w:right="396" w:firstLine="720"/>
        <w:jc w:val="both"/>
        <w:rPr>
          <w:rFonts w:ascii="Arial" w:hAnsi="Arial" w:cs="Arial"/>
          <w:b/>
          <w:sz w:val="24"/>
          <w:szCs w:val="24"/>
        </w:rPr>
      </w:pPr>
      <w:r w:rsidRPr="000C52AE">
        <w:rPr>
          <w:rFonts w:ascii="Arial" w:hAnsi="Arial" w:cs="Arial"/>
          <w:sz w:val="24"/>
          <w:szCs w:val="24"/>
        </w:rPr>
        <w:t>This information is not duplicated in any other place or any other form.</w:t>
      </w:r>
      <w:r w:rsidRPr="000C52AE">
        <w:rPr>
          <w:rFonts w:ascii="Arial" w:hAnsi="Arial" w:cs="Arial"/>
          <w:b/>
          <w:sz w:val="24"/>
          <w:szCs w:val="24"/>
        </w:rPr>
        <w:t xml:space="preserve"> </w:t>
      </w:r>
    </w:p>
    <w:p w:rsidR="005F6D43" w:rsidRPr="000C52AE" w:rsidP="00496FB2" w14:paraId="4CBFEDEB" w14:textId="77777777">
      <w:pPr>
        <w:ind w:right="396"/>
        <w:jc w:val="both"/>
        <w:rPr>
          <w:rFonts w:ascii="Arial" w:hAnsi="Arial" w:cs="Arial"/>
          <w:sz w:val="24"/>
          <w:szCs w:val="24"/>
        </w:rPr>
      </w:pPr>
    </w:p>
    <w:p w:rsidR="005F6D43" w:rsidRPr="000C52AE" w:rsidP="00496FB2" w14:paraId="7A1732D3" w14:textId="2F5BDAF1">
      <w:pPr>
        <w:ind w:left="720" w:right="396" w:hanging="720"/>
        <w:jc w:val="both"/>
        <w:rPr>
          <w:rFonts w:ascii="Arial" w:hAnsi="Arial" w:cs="Arial"/>
          <w:b/>
          <w:sz w:val="24"/>
          <w:szCs w:val="24"/>
        </w:rPr>
      </w:pPr>
      <w:r w:rsidRPr="000C52AE">
        <w:rPr>
          <w:rFonts w:ascii="Arial" w:hAnsi="Arial" w:cs="Arial"/>
          <w:b/>
          <w:sz w:val="24"/>
          <w:szCs w:val="24"/>
        </w:rPr>
        <w:t xml:space="preserve">5. </w:t>
      </w:r>
      <w:r w:rsidRPr="000C52AE" w:rsidR="0023738E">
        <w:rPr>
          <w:rFonts w:ascii="Arial" w:hAnsi="Arial" w:cs="Arial"/>
          <w:b/>
          <w:sz w:val="24"/>
          <w:szCs w:val="24"/>
        </w:rPr>
        <w:tab/>
      </w:r>
      <w:r w:rsidRPr="000C52AE">
        <w:rPr>
          <w:rFonts w:ascii="Arial" w:hAnsi="Arial" w:cs="Arial"/>
          <w:b/>
          <w:sz w:val="24"/>
          <w:szCs w:val="24"/>
        </w:rPr>
        <w:t xml:space="preserve">If the collection of information impacts small businesses or other small entities, describe any methods used to minimize burden.  </w:t>
      </w:r>
    </w:p>
    <w:p w:rsidR="005F6D43" w:rsidRPr="000C52AE" w:rsidP="00496FB2" w14:paraId="6705BC6A" w14:textId="77777777">
      <w:pPr>
        <w:ind w:right="396"/>
        <w:jc w:val="both"/>
        <w:rPr>
          <w:rFonts w:ascii="Arial" w:hAnsi="Arial" w:cs="Arial"/>
          <w:sz w:val="24"/>
          <w:szCs w:val="24"/>
        </w:rPr>
      </w:pPr>
    </w:p>
    <w:p w:rsidR="005F6D43" w:rsidRPr="000C52AE" w:rsidP="00496FB2" w14:paraId="621A20C6" w14:textId="78C6AB6E">
      <w:pPr>
        <w:pStyle w:val="BodyTextIndent3"/>
        <w:ind w:left="720" w:right="396" w:firstLine="0"/>
        <w:jc w:val="both"/>
        <w:rPr>
          <w:rFonts w:cs="Arial"/>
          <w:szCs w:val="24"/>
        </w:rPr>
      </w:pPr>
      <w:r w:rsidRPr="000C52AE">
        <w:rPr>
          <w:rFonts w:cs="Arial"/>
          <w:szCs w:val="24"/>
        </w:rPr>
        <w:t xml:space="preserve">This information collection does not have a </w:t>
      </w:r>
      <w:r w:rsidRPr="000C52AE" w:rsidR="0057257B">
        <w:rPr>
          <w:rFonts w:cs="Arial"/>
          <w:szCs w:val="24"/>
        </w:rPr>
        <w:t>significant</w:t>
      </w:r>
      <w:r w:rsidRPr="000C52AE">
        <w:rPr>
          <w:rFonts w:cs="Arial"/>
          <w:szCs w:val="24"/>
        </w:rPr>
        <w:t xml:space="preserve"> impact on a substantial number of small businesses or entities.  </w:t>
      </w:r>
    </w:p>
    <w:p w:rsidR="005F6D43" w:rsidRPr="000C52AE" w:rsidP="00496FB2" w14:paraId="1F6825D9" w14:textId="77777777">
      <w:pPr>
        <w:ind w:left="360" w:right="396"/>
        <w:jc w:val="both"/>
        <w:rPr>
          <w:rFonts w:ascii="Arial" w:hAnsi="Arial" w:cs="Arial"/>
          <w:sz w:val="24"/>
          <w:szCs w:val="24"/>
        </w:rPr>
      </w:pPr>
    </w:p>
    <w:p w:rsidR="005F6D43" w:rsidRPr="000C52AE" w:rsidP="00496FB2" w14:paraId="7980A81B" w14:textId="10109859">
      <w:pPr>
        <w:ind w:left="720" w:right="396" w:hanging="720"/>
        <w:jc w:val="both"/>
        <w:rPr>
          <w:rFonts w:ascii="Arial" w:hAnsi="Arial" w:cs="Arial"/>
          <w:b/>
          <w:sz w:val="24"/>
          <w:szCs w:val="24"/>
        </w:rPr>
      </w:pPr>
      <w:r w:rsidRPr="000C52AE">
        <w:rPr>
          <w:rFonts w:ascii="Arial" w:hAnsi="Arial" w:cs="Arial"/>
          <w:b/>
          <w:sz w:val="24"/>
          <w:szCs w:val="24"/>
        </w:rPr>
        <w:t xml:space="preserve">6. </w:t>
      </w:r>
      <w:r w:rsidRPr="000C52AE" w:rsidR="0023738E">
        <w:rPr>
          <w:rFonts w:ascii="Arial" w:hAnsi="Arial" w:cs="Arial"/>
          <w:b/>
          <w:sz w:val="24"/>
          <w:szCs w:val="24"/>
        </w:rPr>
        <w:tab/>
      </w:r>
      <w:r w:rsidRPr="0076497D">
        <w:rPr>
          <w:rFonts w:ascii="Arial" w:hAnsi="Arial" w:cs="Arial"/>
          <w:b/>
          <w:sz w:val="24"/>
          <w:szCs w:val="24"/>
        </w:rPr>
        <w:t>Describe consequences to Federal program or policy activities if the collection is not conducted or is conducted less frequently, as well as any technical or legal obstacles to reducing burden.</w:t>
      </w:r>
    </w:p>
    <w:p w:rsidR="005F6D43" w:rsidRPr="000C52AE" w:rsidP="00496FB2" w14:paraId="57BE0F70" w14:textId="77777777">
      <w:pPr>
        <w:ind w:right="396"/>
        <w:jc w:val="both"/>
        <w:rPr>
          <w:rFonts w:ascii="Arial" w:hAnsi="Arial" w:cs="Arial"/>
          <w:b/>
          <w:sz w:val="24"/>
          <w:szCs w:val="24"/>
        </w:rPr>
      </w:pPr>
    </w:p>
    <w:p w:rsidR="005F6D43" w:rsidP="00496FB2" w14:paraId="316330CD" w14:textId="1E61BBE4">
      <w:pPr>
        <w:ind w:left="720" w:right="396"/>
        <w:jc w:val="both"/>
        <w:rPr>
          <w:rFonts w:ascii="Arial" w:hAnsi="Arial" w:cs="Arial"/>
          <w:sz w:val="24"/>
          <w:szCs w:val="24"/>
        </w:rPr>
      </w:pPr>
      <w:r w:rsidRPr="000C52AE">
        <w:rPr>
          <w:rFonts w:ascii="Arial" w:hAnsi="Arial" w:cs="Arial"/>
          <w:sz w:val="24"/>
          <w:szCs w:val="24"/>
        </w:rPr>
        <w:t>T</w:t>
      </w:r>
      <w:r w:rsidRPr="000C52AE" w:rsidR="00453CB6">
        <w:rPr>
          <w:rFonts w:ascii="Arial" w:hAnsi="Arial" w:cs="Arial"/>
          <w:sz w:val="24"/>
          <w:szCs w:val="24"/>
        </w:rPr>
        <w:t>he consequence of not allowing this collection is that</w:t>
      </w:r>
      <w:r w:rsidR="00576B43">
        <w:rPr>
          <w:rFonts w:ascii="Arial" w:hAnsi="Arial" w:cs="Arial"/>
          <w:sz w:val="24"/>
          <w:szCs w:val="24"/>
        </w:rPr>
        <w:t>,</w:t>
      </w:r>
      <w:r w:rsidRPr="000C52AE" w:rsidR="00453CB6">
        <w:rPr>
          <w:rFonts w:ascii="Arial" w:hAnsi="Arial" w:cs="Arial"/>
          <w:sz w:val="24"/>
          <w:szCs w:val="24"/>
        </w:rPr>
        <w:t xml:space="preserve"> </w:t>
      </w:r>
      <w:r w:rsidR="004F4B1D">
        <w:rPr>
          <w:rFonts w:ascii="Arial" w:hAnsi="Arial" w:cs="Arial"/>
          <w:sz w:val="24"/>
          <w:szCs w:val="24"/>
        </w:rPr>
        <w:t xml:space="preserve">in order to maximize its law enforcement efforts to ensure collection of the revenue and compliance with </w:t>
      </w:r>
      <w:r w:rsidR="00576B43">
        <w:rPr>
          <w:rFonts w:ascii="Arial" w:hAnsi="Arial" w:cs="Arial"/>
          <w:sz w:val="24"/>
          <w:szCs w:val="24"/>
        </w:rPr>
        <w:t xml:space="preserve">relevant U.S. law, CBP relies on the trade community to report alleged </w:t>
      </w:r>
      <w:r w:rsidRPr="000C52AE" w:rsidR="00453CB6">
        <w:rPr>
          <w:rFonts w:ascii="Arial" w:hAnsi="Arial" w:cs="Arial"/>
          <w:sz w:val="24"/>
          <w:szCs w:val="24"/>
        </w:rPr>
        <w:t xml:space="preserve"> violations </w:t>
      </w:r>
      <w:r w:rsidR="00246AC6">
        <w:rPr>
          <w:rFonts w:ascii="Arial" w:hAnsi="Arial" w:cs="Arial"/>
          <w:sz w:val="24"/>
          <w:szCs w:val="24"/>
        </w:rPr>
        <w:t xml:space="preserve">through publicly available reporting </w:t>
      </w:r>
      <w:r w:rsidR="00C91A2C">
        <w:rPr>
          <w:rFonts w:ascii="Arial" w:hAnsi="Arial" w:cs="Arial"/>
          <w:sz w:val="24"/>
          <w:szCs w:val="24"/>
        </w:rPr>
        <w:t>mechanism</w:t>
      </w:r>
      <w:r w:rsidR="00D622D7">
        <w:rPr>
          <w:rFonts w:ascii="Arial" w:hAnsi="Arial" w:cs="Arial"/>
          <w:sz w:val="24"/>
          <w:szCs w:val="24"/>
        </w:rPr>
        <w:t>s</w:t>
      </w:r>
      <w:r w:rsidR="00C91A2C">
        <w:rPr>
          <w:rFonts w:ascii="Arial" w:hAnsi="Arial" w:cs="Arial"/>
          <w:sz w:val="24"/>
          <w:szCs w:val="24"/>
        </w:rPr>
        <w:t xml:space="preserve"> </w:t>
      </w:r>
      <w:r w:rsidRPr="000C52AE" w:rsidR="00453CB6">
        <w:rPr>
          <w:rFonts w:ascii="Arial" w:hAnsi="Arial" w:cs="Arial"/>
          <w:sz w:val="24"/>
          <w:szCs w:val="24"/>
        </w:rPr>
        <w:t xml:space="preserve">.  </w:t>
      </w:r>
      <w:r w:rsidR="001A284E">
        <w:rPr>
          <w:rFonts w:ascii="Arial" w:hAnsi="Arial" w:cs="Arial"/>
          <w:sz w:val="24"/>
          <w:szCs w:val="24"/>
        </w:rPr>
        <w:t>To the extent that CBP does not collect this information, there is increased</w:t>
      </w:r>
      <w:r w:rsidR="00C91B9F">
        <w:rPr>
          <w:rFonts w:ascii="Arial" w:hAnsi="Arial" w:cs="Arial"/>
          <w:sz w:val="24"/>
          <w:szCs w:val="24"/>
        </w:rPr>
        <w:t xml:space="preserve"> risk of</w:t>
      </w:r>
      <w:r w:rsidRPr="000C52AE" w:rsidR="00453CB6">
        <w:rPr>
          <w:rFonts w:ascii="Arial" w:hAnsi="Arial" w:cs="Arial"/>
          <w:sz w:val="24"/>
          <w:szCs w:val="24"/>
        </w:rPr>
        <w:t xml:space="preserve"> economic injury to the United States, a risk to public health and safety, and a greater </w:t>
      </w:r>
      <w:r w:rsidRPr="000C52AE" w:rsidR="002A5EDA">
        <w:rPr>
          <w:rFonts w:ascii="Arial" w:hAnsi="Arial" w:cs="Arial"/>
          <w:sz w:val="24"/>
          <w:szCs w:val="24"/>
        </w:rPr>
        <w:t>threat</w:t>
      </w:r>
      <w:r w:rsidRPr="000C52AE" w:rsidR="00453CB6">
        <w:rPr>
          <w:rFonts w:ascii="Arial" w:hAnsi="Arial" w:cs="Arial"/>
          <w:sz w:val="24"/>
          <w:szCs w:val="24"/>
        </w:rPr>
        <w:t xml:space="preserve"> of terrorist attack in the U.S.</w:t>
      </w:r>
    </w:p>
    <w:p w:rsidR="00C6088D" w:rsidP="00496FB2" w14:paraId="734D0B8D" w14:textId="77777777">
      <w:pPr>
        <w:ind w:left="720" w:right="396"/>
        <w:jc w:val="both"/>
        <w:rPr>
          <w:rFonts w:ascii="Arial" w:hAnsi="Arial" w:cs="Arial"/>
          <w:sz w:val="24"/>
          <w:szCs w:val="24"/>
        </w:rPr>
      </w:pPr>
    </w:p>
    <w:p w:rsidR="00C6088D" w:rsidRPr="000C52AE" w:rsidP="00496FB2" w14:paraId="0718936E" w14:textId="77AAFFA6">
      <w:pPr>
        <w:ind w:left="720" w:right="396"/>
        <w:jc w:val="both"/>
        <w:rPr>
          <w:rFonts w:ascii="Arial" w:hAnsi="Arial" w:cs="Arial"/>
          <w:sz w:val="24"/>
          <w:szCs w:val="24"/>
        </w:rPr>
      </w:pPr>
      <w:r>
        <w:rPr>
          <w:rFonts w:ascii="Arial" w:hAnsi="Arial" w:cs="Arial"/>
          <w:sz w:val="24"/>
          <w:szCs w:val="24"/>
        </w:rPr>
        <w:t xml:space="preserve">The consequence of not allowing this new collection is </w:t>
      </w:r>
      <w:r w:rsidR="00E3110A">
        <w:rPr>
          <w:rFonts w:ascii="Arial" w:hAnsi="Arial" w:cs="Arial"/>
          <w:sz w:val="24"/>
          <w:szCs w:val="24"/>
        </w:rPr>
        <w:t xml:space="preserve">that </w:t>
      </w:r>
      <w:r>
        <w:rPr>
          <w:rFonts w:ascii="Arial" w:hAnsi="Arial" w:cs="Arial"/>
          <w:sz w:val="24"/>
          <w:szCs w:val="24"/>
        </w:rPr>
        <w:t>t</w:t>
      </w:r>
      <w:r w:rsidR="00410229">
        <w:rPr>
          <w:rFonts w:ascii="Arial" w:hAnsi="Arial" w:cs="Arial"/>
          <w:sz w:val="24"/>
          <w:szCs w:val="24"/>
        </w:rPr>
        <w:t xml:space="preserve">he agency </w:t>
      </w:r>
      <w:r w:rsidR="00C91B9F">
        <w:rPr>
          <w:rFonts w:ascii="Arial" w:hAnsi="Arial" w:cs="Arial"/>
          <w:sz w:val="24"/>
          <w:szCs w:val="24"/>
        </w:rPr>
        <w:t>will not be able to afford due process contrary to</w:t>
      </w:r>
      <w:r w:rsidR="00410229">
        <w:rPr>
          <w:rFonts w:ascii="Arial" w:hAnsi="Arial" w:cs="Arial"/>
          <w:sz w:val="24"/>
          <w:szCs w:val="24"/>
        </w:rPr>
        <w:t xml:space="preserve"> </w:t>
      </w:r>
      <w:r w:rsidR="00C777E4">
        <w:rPr>
          <w:rFonts w:ascii="Arial" w:hAnsi="Arial" w:cs="Arial"/>
          <w:sz w:val="24"/>
          <w:szCs w:val="24"/>
        </w:rPr>
        <w:t xml:space="preserve">a </w:t>
      </w:r>
      <w:r w:rsidR="001610C4">
        <w:rPr>
          <w:rFonts w:ascii="Arial" w:hAnsi="Arial" w:cs="Arial"/>
          <w:sz w:val="24"/>
          <w:szCs w:val="24"/>
        </w:rPr>
        <w:t>decision by</w:t>
      </w:r>
      <w:r w:rsidR="00C777E4">
        <w:rPr>
          <w:rFonts w:ascii="Arial" w:hAnsi="Arial" w:cs="Arial"/>
          <w:sz w:val="24"/>
          <w:szCs w:val="24"/>
        </w:rPr>
        <w:t xml:space="preserve"> </w:t>
      </w:r>
      <w:r w:rsidR="00410229">
        <w:rPr>
          <w:rFonts w:ascii="Arial" w:hAnsi="Arial" w:cs="Arial"/>
          <w:sz w:val="24"/>
          <w:szCs w:val="24"/>
        </w:rPr>
        <w:t>the U.S. Court of Appeals for the Federal Circuit</w:t>
      </w:r>
      <w:r w:rsidR="00A07AB3">
        <w:rPr>
          <w:rFonts w:ascii="Arial" w:hAnsi="Arial" w:cs="Arial"/>
          <w:sz w:val="24"/>
          <w:szCs w:val="24"/>
        </w:rPr>
        <w:t xml:space="preserve"> issued in July 2023</w:t>
      </w:r>
      <w:r w:rsidR="00923244">
        <w:rPr>
          <w:rFonts w:ascii="Arial" w:hAnsi="Arial" w:cs="Arial"/>
          <w:sz w:val="24"/>
          <w:szCs w:val="24"/>
        </w:rPr>
        <w:t xml:space="preserve">, and </w:t>
      </w:r>
      <w:r w:rsidR="00BB5E76">
        <w:rPr>
          <w:rFonts w:ascii="Arial" w:hAnsi="Arial" w:cs="Arial"/>
          <w:sz w:val="24"/>
          <w:szCs w:val="24"/>
        </w:rPr>
        <w:t xml:space="preserve">two </w:t>
      </w:r>
      <w:r w:rsidR="006719FB">
        <w:rPr>
          <w:rFonts w:ascii="Arial" w:hAnsi="Arial" w:cs="Arial"/>
          <w:sz w:val="24"/>
          <w:szCs w:val="24"/>
        </w:rPr>
        <w:t>orders</w:t>
      </w:r>
      <w:r w:rsidR="00BB0C75">
        <w:rPr>
          <w:rFonts w:ascii="Arial" w:hAnsi="Arial" w:cs="Arial"/>
          <w:sz w:val="24"/>
          <w:szCs w:val="24"/>
        </w:rPr>
        <w:t xml:space="preserve"> issued by </w:t>
      </w:r>
      <w:r w:rsidR="009F3071">
        <w:rPr>
          <w:rFonts w:ascii="Arial" w:hAnsi="Arial" w:cs="Arial"/>
          <w:sz w:val="24"/>
          <w:szCs w:val="24"/>
        </w:rPr>
        <w:t xml:space="preserve">U.S. </w:t>
      </w:r>
      <w:r w:rsidR="00BB5E76">
        <w:rPr>
          <w:rFonts w:ascii="Arial" w:hAnsi="Arial" w:cs="Arial"/>
          <w:sz w:val="24"/>
          <w:szCs w:val="24"/>
        </w:rPr>
        <w:t>Co</w:t>
      </w:r>
      <w:r w:rsidR="006719FB">
        <w:rPr>
          <w:rFonts w:ascii="Arial" w:hAnsi="Arial" w:cs="Arial"/>
          <w:sz w:val="24"/>
          <w:szCs w:val="24"/>
        </w:rPr>
        <w:t xml:space="preserve">urt of International Trade </w:t>
      </w:r>
      <w:r w:rsidR="003F3A76">
        <w:rPr>
          <w:rFonts w:ascii="Arial" w:hAnsi="Arial" w:cs="Arial"/>
          <w:sz w:val="24"/>
          <w:szCs w:val="24"/>
        </w:rPr>
        <w:t>in March 2024</w:t>
      </w:r>
      <w:r>
        <w:rPr>
          <w:rFonts w:ascii="Arial" w:hAnsi="Arial" w:cs="Arial"/>
          <w:sz w:val="24"/>
          <w:szCs w:val="24"/>
        </w:rPr>
        <w:t xml:space="preserve">. </w:t>
      </w:r>
    </w:p>
    <w:p w:rsidR="005F6D43" w:rsidP="00496FB2" w14:paraId="4553FEA4" w14:textId="77777777">
      <w:pPr>
        <w:ind w:right="396"/>
        <w:jc w:val="both"/>
        <w:rPr>
          <w:rFonts w:ascii="Arial" w:hAnsi="Arial" w:cs="Arial"/>
          <w:sz w:val="24"/>
          <w:szCs w:val="24"/>
        </w:rPr>
      </w:pPr>
    </w:p>
    <w:p w:rsidR="004271CC" w:rsidRPr="000C52AE" w:rsidP="00496FB2" w14:paraId="6A0D8635" w14:textId="77777777">
      <w:pPr>
        <w:ind w:right="396"/>
        <w:jc w:val="both"/>
        <w:rPr>
          <w:rFonts w:ascii="Arial" w:hAnsi="Arial" w:cs="Arial"/>
          <w:sz w:val="24"/>
          <w:szCs w:val="24"/>
        </w:rPr>
      </w:pPr>
    </w:p>
    <w:p w:rsidR="005F6D43" w:rsidRPr="000C52AE" w:rsidP="00496FB2" w14:paraId="425CAF12" w14:textId="55BE66CA">
      <w:pPr>
        <w:ind w:left="720" w:right="396" w:hanging="720"/>
        <w:jc w:val="both"/>
        <w:rPr>
          <w:rFonts w:ascii="Arial" w:hAnsi="Arial" w:cs="Arial"/>
          <w:b/>
          <w:sz w:val="24"/>
          <w:szCs w:val="24"/>
        </w:rPr>
      </w:pPr>
      <w:r w:rsidRPr="000C52AE">
        <w:rPr>
          <w:rFonts w:ascii="Arial" w:hAnsi="Arial" w:cs="Arial"/>
          <w:b/>
          <w:sz w:val="24"/>
          <w:szCs w:val="24"/>
        </w:rPr>
        <w:t xml:space="preserve">7. </w:t>
      </w:r>
      <w:r w:rsidRPr="000C52AE" w:rsidR="0023738E">
        <w:rPr>
          <w:rFonts w:ascii="Arial" w:hAnsi="Arial" w:cs="Arial"/>
          <w:b/>
          <w:sz w:val="24"/>
          <w:szCs w:val="24"/>
        </w:rPr>
        <w:tab/>
      </w:r>
      <w:r w:rsidRPr="000C52AE">
        <w:rPr>
          <w:rFonts w:ascii="Arial" w:hAnsi="Arial" w:cs="Arial"/>
          <w:b/>
          <w:sz w:val="24"/>
          <w:szCs w:val="24"/>
        </w:rPr>
        <w:t>Explain any special circumstances</w:t>
      </w:r>
      <w:r w:rsidRPr="000C52AE" w:rsidR="002B2088">
        <w:rPr>
          <w:rFonts w:ascii="Arial" w:hAnsi="Arial" w:cs="Arial"/>
          <w:b/>
          <w:sz w:val="24"/>
          <w:szCs w:val="24"/>
        </w:rPr>
        <w:t>.</w:t>
      </w:r>
    </w:p>
    <w:p w:rsidR="005F6D43" w:rsidRPr="000C52AE" w:rsidP="00496FB2" w14:paraId="78B5290A" w14:textId="77777777">
      <w:pPr>
        <w:ind w:left="360" w:right="396"/>
        <w:jc w:val="both"/>
        <w:rPr>
          <w:rFonts w:ascii="Arial" w:hAnsi="Arial" w:cs="Arial"/>
          <w:b/>
          <w:sz w:val="24"/>
          <w:szCs w:val="24"/>
        </w:rPr>
      </w:pPr>
    </w:p>
    <w:p w:rsidR="005F6D43" w:rsidP="00496FB2" w14:paraId="58F46D3A" w14:textId="77777777">
      <w:pPr>
        <w:ind w:left="720" w:right="396"/>
        <w:jc w:val="both"/>
        <w:rPr>
          <w:rFonts w:ascii="Arial" w:hAnsi="Arial" w:cs="Arial"/>
          <w:sz w:val="24"/>
          <w:szCs w:val="24"/>
        </w:rPr>
      </w:pPr>
      <w:r w:rsidRPr="000C52AE">
        <w:rPr>
          <w:rFonts w:ascii="Arial" w:hAnsi="Arial" w:cs="Arial"/>
          <w:sz w:val="24"/>
          <w:szCs w:val="24"/>
        </w:rPr>
        <w:t>This information collection is conducted in a manner consistent with the guidelines in 5 CFR 1320.6.</w:t>
      </w:r>
    </w:p>
    <w:p w:rsidR="00630CA6" w:rsidP="00496FB2" w14:paraId="353A298C" w14:textId="77777777">
      <w:pPr>
        <w:ind w:left="720" w:right="396"/>
        <w:jc w:val="both"/>
        <w:rPr>
          <w:rFonts w:ascii="Arial" w:hAnsi="Arial" w:cs="Arial"/>
          <w:sz w:val="24"/>
          <w:szCs w:val="24"/>
        </w:rPr>
      </w:pPr>
    </w:p>
    <w:p w:rsidR="00630CA6" w:rsidRPr="000C52AE" w:rsidP="00496FB2" w14:paraId="62ACC9C8" w14:textId="1C6BBA00">
      <w:pPr>
        <w:ind w:left="720" w:right="396"/>
        <w:jc w:val="both"/>
        <w:rPr>
          <w:rFonts w:ascii="Arial" w:hAnsi="Arial" w:cs="Arial"/>
          <w:sz w:val="24"/>
          <w:szCs w:val="24"/>
        </w:rPr>
      </w:pPr>
      <w:r>
        <w:rPr>
          <w:rFonts w:ascii="Arial" w:hAnsi="Arial" w:cs="Arial"/>
          <w:sz w:val="24"/>
          <w:szCs w:val="24"/>
        </w:rPr>
        <w:t>The</w:t>
      </w:r>
      <w:r w:rsidR="00423A37">
        <w:rPr>
          <w:rFonts w:ascii="Arial" w:hAnsi="Arial" w:cs="Arial"/>
          <w:sz w:val="24"/>
          <w:szCs w:val="24"/>
        </w:rPr>
        <w:t xml:space="preserve"> requirement for the collection of</w:t>
      </w:r>
      <w:r>
        <w:rPr>
          <w:rFonts w:ascii="Arial" w:hAnsi="Arial" w:cs="Arial"/>
          <w:sz w:val="24"/>
          <w:szCs w:val="24"/>
        </w:rPr>
        <w:t xml:space="preserve"> new information </w:t>
      </w:r>
      <w:r w:rsidR="00423A37">
        <w:rPr>
          <w:rFonts w:ascii="Arial" w:hAnsi="Arial" w:cs="Arial"/>
          <w:sz w:val="24"/>
          <w:szCs w:val="24"/>
        </w:rPr>
        <w:t>is</w:t>
      </w:r>
      <w:r>
        <w:rPr>
          <w:rFonts w:ascii="Arial" w:hAnsi="Arial" w:cs="Arial"/>
          <w:sz w:val="24"/>
          <w:szCs w:val="24"/>
        </w:rPr>
        <w:t xml:space="preserve"> consistent with</w:t>
      </w:r>
      <w:r w:rsidR="00423A37">
        <w:rPr>
          <w:rFonts w:ascii="Arial" w:hAnsi="Arial" w:cs="Arial"/>
          <w:sz w:val="24"/>
          <w:szCs w:val="24"/>
        </w:rPr>
        <w:t xml:space="preserve"> the requirements in</w:t>
      </w:r>
      <w:r w:rsidR="001B7093">
        <w:rPr>
          <w:rFonts w:ascii="Arial" w:hAnsi="Arial" w:cs="Arial"/>
          <w:sz w:val="24"/>
          <w:szCs w:val="24"/>
        </w:rPr>
        <w:t xml:space="preserve"> </w:t>
      </w:r>
      <w:r w:rsidRPr="001B7093" w:rsidR="001B7093">
        <w:rPr>
          <w:rFonts w:ascii="Arial" w:hAnsi="Arial" w:cs="Arial"/>
          <w:sz w:val="24"/>
          <w:szCs w:val="24"/>
        </w:rPr>
        <w:t>Royal Brush Mfg., Inc. v. United States, 75 F.4th 1250 (Fed. Cir. 2023</w:t>
      </w:r>
      <w:r w:rsidR="00613FC5">
        <w:rPr>
          <w:rFonts w:ascii="Arial" w:hAnsi="Arial" w:cs="Arial"/>
          <w:sz w:val="24"/>
          <w:szCs w:val="24"/>
        </w:rPr>
        <w:t>)</w:t>
      </w:r>
      <w:r w:rsidR="0065552D">
        <w:rPr>
          <w:rFonts w:ascii="Arial" w:hAnsi="Arial" w:cs="Arial"/>
          <w:sz w:val="24"/>
          <w:szCs w:val="24"/>
        </w:rPr>
        <w:t xml:space="preserve"> (</w:t>
      </w:r>
      <w:r w:rsidRPr="0065552D" w:rsidR="0065552D">
        <w:rPr>
          <w:rFonts w:ascii="Arial" w:hAnsi="Arial" w:cs="Arial"/>
          <w:i/>
          <w:iCs/>
          <w:sz w:val="24"/>
          <w:szCs w:val="24"/>
        </w:rPr>
        <w:t>Royal Brush</w:t>
      </w:r>
      <w:r w:rsidR="0065552D">
        <w:rPr>
          <w:rFonts w:ascii="Arial" w:hAnsi="Arial" w:cs="Arial"/>
          <w:sz w:val="24"/>
          <w:szCs w:val="24"/>
        </w:rPr>
        <w:t>)</w:t>
      </w:r>
      <w:r w:rsidR="00613FC5">
        <w:rPr>
          <w:rFonts w:ascii="Arial" w:hAnsi="Arial" w:cs="Arial"/>
          <w:sz w:val="24"/>
          <w:szCs w:val="24"/>
        </w:rPr>
        <w:t>.</w:t>
      </w:r>
      <w:r w:rsidR="00423A37">
        <w:rPr>
          <w:rFonts w:ascii="Arial" w:hAnsi="Arial" w:cs="Arial"/>
          <w:sz w:val="24"/>
          <w:szCs w:val="24"/>
        </w:rPr>
        <w:t xml:space="preserve">  It is also imperative to initiate this requirement as soon as possible given that the CIT </w:t>
      </w:r>
      <w:r w:rsidR="00CE4EB8">
        <w:rPr>
          <w:rFonts w:ascii="Arial" w:hAnsi="Arial" w:cs="Arial"/>
          <w:sz w:val="24"/>
          <w:szCs w:val="24"/>
        </w:rPr>
        <w:t>has recently required, in three separate matters, that CBP implement an APO mechanism because it has declined to extend a JPO to administrative remand proceedings in those cases.</w:t>
      </w:r>
    </w:p>
    <w:p w:rsidR="00270DA1" w:rsidRPr="000C52AE" w:rsidP="00496FB2" w14:paraId="340F2901" w14:textId="77777777">
      <w:pPr>
        <w:ind w:left="720" w:right="396"/>
        <w:jc w:val="both"/>
        <w:rPr>
          <w:rFonts w:ascii="Arial" w:hAnsi="Arial" w:cs="Arial"/>
          <w:sz w:val="24"/>
          <w:szCs w:val="24"/>
        </w:rPr>
      </w:pPr>
    </w:p>
    <w:p w:rsidR="005F6D43" w:rsidRPr="000C52AE" w:rsidP="00496FB2" w14:paraId="44A4EA86" w14:textId="0BB0DF9E">
      <w:pPr>
        <w:ind w:left="720" w:right="396" w:hanging="720"/>
        <w:jc w:val="both"/>
        <w:rPr>
          <w:rFonts w:ascii="Arial" w:hAnsi="Arial" w:cs="Arial"/>
          <w:b/>
          <w:sz w:val="24"/>
          <w:szCs w:val="24"/>
        </w:rPr>
      </w:pPr>
      <w:r w:rsidRPr="000C52AE">
        <w:rPr>
          <w:rFonts w:ascii="Arial" w:hAnsi="Arial" w:cs="Arial"/>
          <w:b/>
          <w:sz w:val="24"/>
          <w:szCs w:val="24"/>
        </w:rPr>
        <w:t xml:space="preserve">8. </w:t>
      </w:r>
      <w:r w:rsidRPr="000C52AE" w:rsidR="0023738E">
        <w:rPr>
          <w:rFonts w:ascii="Arial" w:hAnsi="Arial" w:cs="Arial"/>
          <w:b/>
          <w:sz w:val="24"/>
          <w:szCs w:val="24"/>
        </w:rPr>
        <w:tab/>
      </w:r>
      <w:r w:rsidRPr="000C52AE">
        <w:rPr>
          <w:rFonts w:ascii="Arial" w:hAnsi="Arial" w:cs="Arial"/>
          <w:b/>
          <w:sz w:val="24"/>
          <w:szCs w:val="24"/>
        </w:rPr>
        <w:t>If applicable, provide a copy and identify the date and page number of publication in the Federal Register of the agency's notice, required by 5 CFR 1320.8(d),</w:t>
      </w:r>
      <w:r w:rsidRPr="000C52AE" w:rsidR="00741086">
        <w:rPr>
          <w:rFonts w:ascii="Arial" w:hAnsi="Arial" w:cs="Arial"/>
          <w:b/>
          <w:sz w:val="24"/>
          <w:szCs w:val="24"/>
        </w:rPr>
        <w:t xml:space="preserve"> </w:t>
      </w:r>
      <w:r w:rsidRPr="000C52AE">
        <w:rPr>
          <w:rFonts w:ascii="Arial" w:hAnsi="Arial" w:cs="Arial"/>
          <w:b/>
          <w:sz w:val="24"/>
          <w:szCs w:val="24"/>
        </w:rPr>
        <w:t xml:space="preserve">soliciting comments on the information collection prior to submission to OMB.  Summarize public comments received in response to that notice and describe actions taken by the agency in response to these comments.  </w:t>
      </w:r>
    </w:p>
    <w:p w:rsidR="00AF5FAD" w:rsidRPr="000C52AE" w:rsidP="00496FB2" w14:paraId="36DF25E1" w14:textId="77777777">
      <w:pPr>
        <w:ind w:left="720" w:right="396"/>
        <w:jc w:val="both"/>
        <w:rPr>
          <w:rFonts w:ascii="Arial" w:hAnsi="Arial" w:cs="Arial"/>
          <w:sz w:val="24"/>
          <w:szCs w:val="24"/>
          <w:highlight w:val="cyan"/>
        </w:rPr>
      </w:pPr>
    </w:p>
    <w:p w:rsidR="00D92990" w:rsidRPr="00D92990" w:rsidP="00D92990" w14:paraId="69A127B3" w14:textId="34F6BB8B">
      <w:pPr>
        <w:ind w:left="720" w:right="396"/>
        <w:jc w:val="both"/>
        <w:rPr>
          <w:rFonts w:ascii="Arial" w:hAnsi="Arial" w:cs="Arial"/>
          <w:sz w:val="24"/>
          <w:szCs w:val="24"/>
        </w:rPr>
      </w:pPr>
      <w:r w:rsidRPr="00D92990">
        <w:rPr>
          <w:rFonts w:ascii="Arial" w:hAnsi="Arial" w:cs="Arial"/>
          <w:sz w:val="24"/>
          <w:szCs w:val="24"/>
        </w:rPr>
        <w:t>An Interim Final Rule (IFR) was published soliciting public comment on August 22, 2016 (Volume 81, Page 56477)</w:t>
      </w:r>
      <w:r w:rsidR="00022CC0">
        <w:rPr>
          <w:rFonts w:ascii="Arial" w:hAnsi="Arial" w:cs="Arial"/>
          <w:sz w:val="24"/>
          <w:szCs w:val="24"/>
        </w:rPr>
        <w:t xml:space="preserve"> and the Final Rule published March 18, 2024 (Volume 89, Page </w:t>
      </w:r>
      <w:r w:rsidR="0037167C">
        <w:rPr>
          <w:rFonts w:ascii="Arial" w:hAnsi="Arial" w:cs="Arial"/>
          <w:sz w:val="24"/>
          <w:szCs w:val="24"/>
        </w:rPr>
        <w:t>19239)</w:t>
      </w:r>
      <w:r w:rsidRPr="00D92990">
        <w:rPr>
          <w:rFonts w:ascii="Arial" w:hAnsi="Arial" w:cs="Arial"/>
          <w:sz w:val="24"/>
          <w:szCs w:val="24"/>
        </w:rPr>
        <w:t xml:space="preserve">. </w:t>
      </w:r>
    </w:p>
    <w:p w:rsidR="002A60F7" w:rsidRPr="000C52AE" w:rsidP="00496FB2" w14:paraId="447C9403" w14:textId="77777777">
      <w:pPr>
        <w:ind w:left="720" w:right="396"/>
        <w:jc w:val="both"/>
        <w:rPr>
          <w:rFonts w:ascii="Arial" w:hAnsi="Arial" w:cs="Arial"/>
          <w:sz w:val="24"/>
          <w:szCs w:val="24"/>
        </w:rPr>
      </w:pPr>
    </w:p>
    <w:p w:rsidR="005F6D43" w:rsidRPr="000C52AE" w:rsidP="00496FB2" w14:paraId="7A471559" w14:textId="1140E317">
      <w:pPr>
        <w:ind w:left="720" w:right="396" w:hanging="720"/>
        <w:jc w:val="both"/>
        <w:rPr>
          <w:rFonts w:ascii="Arial" w:hAnsi="Arial" w:cs="Arial"/>
          <w:sz w:val="24"/>
          <w:szCs w:val="24"/>
        </w:rPr>
      </w:pPr>
      <w:r w:rsidRPr="000C52AE">
        <w:rPr>
          <w:rFonts w:ascii="Arial" w:hAnsi="Arial" w:cs="Arial"/>
          <w:b/>
          <w:sz w:val="24"/>
          <w:szCs w:val="24"/>
        </w:rPr>
        <w:t xml:space="preserve">9. </w:t>
      </w:r>
      <w:r w:rsidRPr="000C52AE" w:rsidR="0023738E">
        <w:rPr>
          <w:rFonts w:ascii="Arial" w:hAnsi="Arial" w:cs="Arial"/>
          <w:b/>
          <w:sz w:val="24"/>
          <w:szCs w:val="24"/>
        </w:rPr>
        <w:tab/>
      </w:r>
      <w:r w:rsidRPr="000C52AE">
        <w:rPr>
          <w:rFonts w:ascii="Arial" w:hAnsi="Arial" w:cs="Arial"/>
          <w:b/>
          <w:sz w:val="24"/>
          <w:szCs w:val="24"/>
        </w:rPr>
        <w:t>Explain any decision to provide any payment or gift to respondents, other than remuneration of contractors or grantees.</w:t>
      </w:r>
    </w:p>
    <w:p w:rsidR="005F6D43" w:rsidRPr="000C52AE" w:rsidP="00496FB2" w14:paraId="140AE481" w14:textId="77777777">
      <w:pPr>
        <w:ind w:right="396"/>
        <w:jc w:val="both"/>
        <w:rPr>
          <w:rFonts w:ascii="Arial" w:hAnsi="Arial" w:cs="Arial"/>
          <w:b/>
          <w:sz w:val="24"/>
          <w:szCs w:val="24"/>
        </w:rPr>
      </w:pPr>
    </w:p>
    <w:p w:rsidR="005F6D43" w:rsidRPr="000C52AE" w:rsidP="00496FB2" w14:paraId="00ECF55F" w14:textId="77777777">
      <w:pPr>
        <w:pStyle w:val="BodyTextIndent3"/>
        <w:ind w:right="396" w:firstLine="720"/>
        <w:jc w:val="both"/>
        <w:rPr>
          <w:rFonts w:cs="Arial"/>
          <w:szCs w:val="24"/>
        </w:rPr>
      </w:pPr>
      <w:r w:rsidRPr="000C52AE">
        <w:rPr>
          <w:rFonts w:cs="Arial"/>
          <w:szCs w:val="24"/>
        </w:rPr>
        <w:t>There is no offer of a monetary or material value for this information collection.</w:t>
      </w:r>
    </w:p>
    <w:p w:rsidR="004B5724" w:rsidRPr="000C52AE" w:rsidP="00496FB2" w14:paraId="1D8DDC16" w14:textId="77777777">
      <w:pPr>
        <w:pStyle w:val="BodyTextIndent3"/>
        <w:ind w:right="396"/>
        <w:jc w:val="both"/>
        <w:rPr>
          <w:rFonts w:cs="Arial"/>
          <w:szCs w:val="24"/>
        </w:rPr>
      </w:pPr>
    </w:p>
    <w:p w:rsidR="005F6D43" w:rsidRPr="000C52AE" w:rsidP="00496FB2" w14:paraId="6640EFAA" w14:textId="467A495C">
      <w:pPr>
        <w:ind w:left="720" w:right="396" w:hanging="720"/>
        <w:jc w:val="both"/>
        <w:rPr>
          <w:rFonts w:ascii="Arial" w:hAnsi="Arial" w:cs="Arial"/>
          <w:b/>
          <w:sz w:val="24"/>
          <w:szCs w:val="24"/>
        </w:rPr>
      </w:pPr>
      <w:bookmarkStart w:id="6" w:name="OLE_LINK46"/>
      <w:r w:rsidRPr="00C85BD1">
        <w:rPr>
          <w:rFonts w:ascii="Arial" w:hAnsi="Arial" w:cs="Arial"/>
          <w:b/>
          <w:sz w:val="24"/>
          <w:szCs w:val="24"/>
        </w:rPr>
        <w:t xml:space="preserve">10. </w:t>
      </w:r>
      <w:r w:rsidRPr="00C85BD1" w:rsidR="0023738E">
        <w:rPr>
          <w:rFonts w:ascii="Arial" w:hAnsi="Arial" w:cs="Arial"/>
          <w:b/>
          <w:sz w:val="24"/>
          <w:szCs w:val="24"/>
        </w:rPr>
        <w:tab/>
      </w:r>
      <w:r w:rsidRPr="00C85BD1">
        <w:rPr>
          <w:rFonts w:ascii="Arial" w:hAnsi="Arial" w:cs="Arial"/>
          <w:b/>
          <w:sz w:val="24"/>
          <w:szCs w:val="24"/>
        </w:rPr>
        <w:t>Describe any assurance of confidentiality provided to respondents and the basis for the assurance in statute, regulation, or agency policy.</w:t>
      </w:r>
    </w:p>
    <w:p w:rsidR="005F6D43" w:rsidRPr="000C52AE" w:rsidP="00496FB2" w14:paraId="64373086" w14:textId="77777777">
      <w:pPr>
        <w:ind w:right="396"/>
        <w:jc w:val="both"/>
        <w:rPr>
          <w:rFonts w:ascii="Arial" w:hAnsi="Arial" w:cs="Arial"/>
          <w:b/>
          <w:sz w:val="24"/>
          <w:szCs w:val="24"/>
        </w:rPr>
      </w:pPr>
    </w:p>
    <w:p w:rsidR="00C85BD1" w:rsidRPr="00C85BD1" w:rsidP="00C85BD1" w14:paraId="3B793A76" w14:textId="77777777">
      <w:pPr>
        <w:ind w:left="720" w:right="396"/>
        <w:jc w:val="both"/>
        <w:rPr>
          <w:rFonts w:ascii="Arial" w:hAnsi="Arial" w:cs="Arial"/>
          <w:sz w:val="24"/>
          <w:szCs w:val="24"/>
        </w:rPr>
      </w:pPr>
      <w:bookmarkStart w:id="7" w:name="OLE_LINK1"/>
      <w:bookmarkEnd w:id="6"/>
      <w:r w:rsidRPr="00C85BD1">
        <w:rPr>
          <w:rFonts w:ascii="Arial" w:hAnsi="Arial" w:cs="Arial"/>
          <w:sz w:val="24"/>
          <w:szCs w:val="24"/>
        </w:rPr>
        <w:t xml:space="preserve">There are no assurances of confidentiality provided to the respondents of this information collection. </w:t>
      </w:r>
    </w:p>
    <w:p w:rsidR="00C85BD1" w:rsidRPr="00C85BD1" w:rsidP="00C85BD1" w14:paraId="34C48221" w14:textId="77777777">
      <w:pPr>
        <w:ind w:left="720" w:right="396"/>
        <w:jc w:val="both"/>
        <w:rPr>
          <w:rFonts w:ascii="Arial" w:hAnsi="Arial" w:cs="Arial"/>
          <w:sz w:val="24"/>
          <w:szCs w:val="24"/>
        </w:rPr>
      </w:pPr>
    </w:p>
    <w:p w:rsidR="00C85BD1" w:rsidRPr="00C85BD1" w:rsidP="00C85BD1" w14:paraId="71C10DD8" w14:textId="77777777">
      <w:pPr>
        <w:ind w:left="720" w:right="396"/>
        <w:jc w:val="both"/>
        <w:rPr>
          <w:rFonts w:ascii="Arial" w:hAnsi="Arial" w:cs="Arial"/>
          <w:bCs/>
          <w:sz w:val="24"/>
          <w:szCs w:val="24"/>
        </w:rPr>
      </w:pPr>
      <w:bookmarkStart w:id="8" w:name="OLE_LINK12"/>
      <w:r w:rsidRPr="00C85BD1">
        <w:rPr>
          <w:rFonts w:ascii="Arial" w:hAnsi="Arial" w:cs="Arial"/>
          <w:bCs/>
          <w:sz w:val="24"/>
          <w:szCs w:val="24"/>
        </w:rPr>
        <w:t>This collection is covered by the following Privacy Impact Assessments:</w:t>
      </w:r>
    </w:p>
    <w:p w:rsidR="00C85BD1" w:rsidRPr="00CD4746" w:rsidP="00C85BD1" w14:paraId="163CF9DA" w14:textId="77777777">
      <w:pPr>
        <w:ind w:left="720" w:right="396"/>
        <w:jc w:val="both"/>
        <w:rPr>
          <w:rFonts w:ascii="Arial" w:hAnsi="Arial" w:cs="Arial"/>
          <w:bCs/>
          <w:sz w:val="24"/>
          <w:szCs w:val="24"/>
          <w:lang w:val="es-PA"/>
        </w:rPr>
      </w:pPr>
      <w:r w:rsidRPr="00CD4746">
        <w:rPr>
          <w:rFonts w:ascii="Arial" w:hAnsi="Arial" w:cs="Arial"/>
          <w:bCs/>
          <w:sz w:val="24"/>
          <w:szCs w:val="24"/>
          <w:lang w:val="es-PA"/>
        </w:rPr>
        <w:t>•</w:t>
      </w:r>
      <w:r w:rsidRPr="00CD4746">
        <w:rPr>
          <w:rFonts w:ascii="Arial" w:hAnsi="Arial" w:cs="Arial"/>
          <w:bCs/>
          <w:sz w:val="24"/>
          <w:szCs w:val="24"/>
          <w:lang w:val="es-PA"/>
        </w:rPr>
        <w:tab/>
      </w:r>
      <w:hyperlink r:id="rId15" w:history="1">
        <w:r w:rsidRPr="00CD4746">
          <w:rPr>
            <w:rStyle w:val="Hyperlink"/>
            <w:rFonts w:ascii="Arial" w:hAnsi="Arial" w:cs="Arial"/>
            <w:bCs/>
            <w:sz w:val="24"/>
            <w:szCs w:val="24"/>
            <w:lang w:val="es-PA"/>
          </w:rPr>
          <w:t>DHS/CBP/PIA-060 e-Allegations Portal</w:t>
        </w:r>
      </w:hyperlink>
      <w:r w:rsidRPr="00CD4746">
        <w:rPr>
          <w:rFonts w:ascii="Arial" w:hAnsi="Arial" w:cs="Arial"/>
          <w:bCs/>
          <w:sz w:val="24"/>
          <w:szCs w:val="24"/>
          <w:lang w:val="es-PA"/>
        </w:rPr>
        <w:t xml:space="preserve"> </w:t>
      </w:r>
    </w:p>
    <w:p w:rsidR="00C85BD1" w:rsidRPr="00C85BD1" w:rsidP="00C85BD1" w14:paraId="3C49E6B4" w14:textId="77777777">
      <w:pPr>
        <w:ind w:left="720" w:right="396"/>
        <w:jc w:val="both"/>
        <w:rPr>
          <w:rFonts w:ascii="Arial" w:hAnsi="Arial" w:cs="Arial"/>
          <w:bCs/>
          <w:sz w:val="24"/>
          <w:szCs w:val="24"/>
        </w:rPr>
      </w:pPr>
      <w:r w:rsidRPr="00C85BD1">
        <w:rPr>
          <w:rFonts w:ascii="Arial" w:hAnsi="Arial" w:cs="Arial"/>
          <w:bCs/>
          <w:sz w:val="24"/>
          <w:szCs w:val="24"/>
        </w:rPr>
        <w:t>•</w:t>
      </w:r>
      <w:r w:rsidRPr="00C85BD1">
        <w:rPr>
          <w:rFonts w:ascii="Arial" w:hAnsi="Arial" w:cs="Arial"/>
          <w:bCs/>
          <w:sz w:val="24"/>
          <w:szCs w:val="24"/>
        </w:rPr>
        <w:tab/>
      </w:r>
      <w:hyperlink r:id="rId16" w:history="1">
        <w:r w:rsidRPr="00C85BD1">
          <w:rPr>
            <w:rStyle w:val="Hyperlink"/>
            <w:rFonts w:ascii="Arial" w:hAnsi="Arial" w:cs="Arial"/>
            <w:bCs/>
            <w:sz w:val="24"/>
            <w:szCs w:val="24"/>
          </w:rPr>
          <w:t>DHS/CBP/PIA-003 Automated Commercial Environment (ACE)</w:t>
        </w:r>
      </w:hyperlink>
      <w:r w:rsidRPr="00C85BD1">
        <w:rPr>
          <w:rFonts w:ascii="Arial" w:hAnsi="Arial" w:cs="Arial"/>
          <w:bCs/>
          <w:sz w:val="24"/>
          <w:szCs w:val="24"/>
        </w:rPr>
        <w:t xml:space="preserve"> and subsequent series</w:t>
      </w:r>
    </w:p>
    <w:p w:rsidR="00C85BD1" w:rsidRPr="00C85BD1" w:rsidP="00C85BD1" w14:paraId="7A245E4E" w14:textId="77777777">
      <w:pPr>
        <w:ind w:left="720" w:right="396"/>
        <w:jc w:val="both"/>
        <w:rPr>
          <w:rFonts w:ascii="Arial" w:hAnsi="Arial" w:cs="Arial"/>
          <w:bCs/>
          <w:sz w:val="24"/>
          <w:szCs w:val="24"/>
        </w:rPr>
      </w:pPr>
    </w:p>
    <w:p w:rsidR="00C85BD1" w:rsidRPr="00C85BD1" w:rsidP="00C85BD1" w14:paraId="6042CB26" w14:textId="77777777">
      <w:pPr>
        <w:ind w:left="720" w:right="396"/>
        <w:jc w:val="both"/>
        <w:rPr>
          <w:rFonts w:ascii="Arial" w:hAnsi="Arial" w:cs="Arial"/>
          <w:bCs/>
          <w:sz w:val="24"/>
          <w:szCs w:val="24"/>
        </w:rPr>
      </w:pPr>
      <w:r w:rsidRPr="00C85BD1">
        <w:rPr>
          <w:rFonts w:ascii="Arial" w:hAnsi="Arial" w:cs="Arial"/>
          <w:bCs/>
          <w:sz w:val="24"/>
          <w:szCs w:val="24"/>
        </w:rPr>
        <w:t xml:space="preserve">This collection is covered by the following System of Record Notices (SORNs):   </w:t>
      </w:r>
    </w:p>
    <w:p w:rsidR="00C85BD1" w:rsidRPr="00C85BD1" w:rsidP="00C85BD1" w14:paraId="7D785189" w14:textId="77777777">
      <w:pPr>
        <w:ind w:left="720" w:right="396"/>
        <w:jc w:val="both"/>
        <w:rPr>
          <w:rFonts w:ascii="Arial" w:hAnsi="Arial" w:cs="Arial"/>
          <w:bCs/>
          <w:sz w:val="24"/>
          <w:szCs w:val="24"/>
        </w:rPr>
      </w:pPr>
      <w:r w:rsidRPr="00C85BD1">
        <w:rPr>
          <w:rFonts w:ascii="Arial" w:hAnsi="Arial" w:cs="Arial"/>
          <w:bCs/>
          <w:sz w:val="24"/>
          <w:szCs w:val="24"/>
        </w:rPr>
        <w:t>•</w:t>
      </w:r>
      <w:r w:rsidRPr="00C85BD1">
        <w:rPr>
          <w:rFonts w:ascii="Arial" w:hAnsi="Arial" w:cs="Arial"/>
          <w:bCs/>
          <w:sz w:val="24"/>
          <w:szCs w:val="24"/>
        </w:rPr>
        <w:tab/>
      </w:r>
      <w:bookmarkStart w:id="9" w:name="OLE_LINK9"/>
      <w:hyperlink r:id="rId17" w:history="1">
        <w:r w:rsidRPr="00C85BD1">
          <w:rPr>
            <w:rStyle w:val="Hyperlink"/>
            <w:rFonts w:ascii="Arial" w:hAnsi="Arial" w:cs="Arial"/>
            <w:bCs/>
            <w:sz w:val="24"/>
            <w:szCs w:val="24"/>
          </w:rPr>
          <w:t>DHS/CBP-13 Seized Assets and Case Tracking</w:t>
        </w:r>
      </w:hyperlink>
    </w:p>
    <w:bookmarkEnd w:id="9"/>
    <w:p w:rsidR="00C85BD1" w:rsidRPr="00C85BD1" w:rsidP="00C85BD1" w14:paraId="0BDCE1B8" w14:textId="77777777">
      <w:pPr>
        <w:ind w:left="720" w:right="396"/>
        <w:jc w:val="both"/>
        <w:rPr>
          <w:rFonts w:ascii="Arial" w:hAnsi="Arial" w:cs="Arial"/>
          <w:bCs/>
          <w:sz w:val="24"/>
          <w:szCs w:val="24"/>
        </w:rPr>
      </w:pPr>
      <w:r w:rsidRPr="00C85BD1">
        <w:rPr>
          <w:rFonts w:ascii="Arial" w:hAnsi="Arial" w:cs="Arial"/>
          <w:bCs/>
          <w:sz w:val="24"/>
          <w:szCs w:val="24"/>
        </w:rPr>
        <w:t>•</w:t>
      </w:r>
      <w:r w:rsidRPr="00C85BD1">
        <w:rPr>
          <w:rFonts w:ascii="Arial" w:hAnsi="Arial" w:cs="Arial"/>
          <w:bCs/>
          <w:sz w:val="24"/>
          <w:szCs w:val="24"/>
        </w:rPr>
        <w:tab/>
      </w:r>
      <w:bookmarkStart w:id="10" w:name="OLE_LINK10"/>
      <w:r w:rsidR="00CF06FE">
        <w:fldChar w:fldCharType="begin"/>
      </w:r>
      <w:r w:rsidR="00CF06FE">
        <w:instrText>HYPERLINK "https://www.regulations.gov/document/DHS-2016-0048-0001"</w:instrText>
      </w:r>
      <w:r w:rsidR="00CF06FE">
        <w:fldChar w:fldCharType="separate"/>
      </w:r>
      <w:r w:rsidRPr="00C85BD1">
        <w:rPr>
          <w:rStyle w:val="Hyperlink"/>
          <w:rFonts w:ascii="Arial" w:hAnsi="Arial" w:cs="Arial"/>
          <w:bCs/>
          <w:sz w:val="24"/>
          <w:szCs w:val="24"/>
        </w:rPr>
        <w:t>DHS/CBP-001 Import Information System</w:t>
      </w:r>
      <w:r w:rsidR="00CF06FE">
        <w:rPr>
          <w:rStyle w:val="Hyperlink"/>
          <w:rFonts w:ascii="Arial" w:hAnsi="Arial" w:cs="Arial"/>
          <w:bCs/>
          <w:sz w:val="24"/>
          <w:szCs w:val="24"/>
        </w:rPr>
        <w:fldChar w:fldCharType="end"/>
      </w:r>
      <w:bookmarkEnd w:id="10"/>
      <w:r w:rsidRPr="00C85BD1">
        <w:rPr>
          <w:rFonts w:ascii="Arial" w:hAnsi="Arial" w:cs="Arial"/>
          <w:bCs/>
          <w:sz w:val="24"/>
          <w:szCs w:val="24"/>
        </w:rPr>
        <w:t xml:space="preserve"> </w:t>
      </w:r>
    </w:p>
    <w:p w:rsidR="00C85BD1" w:rsidRPr="00C85BD1" w:rsidP="00C85BD1" w14:paraId="33CC0784" w14:textId="77777777">
      <w:pPr>
        <w:ind w:left="720" w:right="396"/>
        <w:jc w:val="both"/>
        <w:rPr>
          <w:rFonts w:ascii="Arial" w:hAnsi="Arial" w:cs="Arial"/>
          <w:bCs/>
          <w:sz w:val="24"/>
          <w:szCs w:val="24"/>
        </w:rPr>
      </w:pPr>
      <w:r w:rsidRPr="00C85BD1">
        <w:rPr>
          <w:rFonts w:ascii="Arial" w:hAnsi="Arial" w:cs="Arial"/>
          <w:bCs/>
          <w:sz w:val="24"/>
          <w:szCs w:val="24"/>
        </w:rPr>
        <w:t>•</w:t>
      </w:r>
      <w:r w:rsidRPr="00C85BD1">
        <w:rPr>
          <w:rFonts w:ascii="Arial" w:hAnsi="Arial" w:cs="Arial"/>
          <w:bCs/>
          <w:sz w:val="24"/>
          <w:szCs w:val="24"/>
        </w:rPr>
        <w:tab/>
      </w:r>
      <w:bookmarkStart w:id="11" w:name="OLE_LINK11"/>
      <w:hyperlink r:id="rId18" w:history="1">
        <w:r w:rsidRPr="00C85BD1">
          <w:rPr>
            <w:rStyle w:val="Hyperlink"/>
            <w:rFonts w:ascii="Arial" w:hAnsi="Arial" w:cs="Arial"/>
            <w:bCs/>
            <w:sz w:val="24"/>
            <w:szCs w:val="24"/>
          </w:rPr>
          <w:t>DHS/CBP-020 Export Information System</w:t>
        </w:r>
      </w:hyperlink>
      <w:r w:rsidRPr="00C85BD1">
        <w:rPr>
          <w:rFonts w:ascii="Arial" w:hAnsi="Arial" w:cs="Arial"/>
          <w:bCs/>
          <w:sz w:val="24"/>
          <w:szCs w:val="24"/>
        </w:rPr>
        <w:t xml:space="preserve"> </w:t>
      </w:r>
    </w:p>
    <w:bookmarkEnd w:id="11"/>
    <w:p w:rsidR="00C85BD1" w:rsidRPr="00C85BD1" w:rsidP="00C85BD1" w14:paraId="35492B38" w14:textId="77777777">
      <w:pPr>
        <w:ind w:left="720" w:right="396"/>
        <w:jc w:val="both"/>
        <w:rPr>
          <w:rFonts w:ascii="Arial" w:hAnsi="Arial" w:cs="Arial"/>
          <w:bCs/>
          <w:sz w:val="24"/>
          <w:szCs w:val="24"/>
        </w:rPr>
      </w:pPr>
      <w:r w:rsidRPr="00C85BD1">
        <w:rPr>
          <w:rFonts w:ascii="Arial" w:hAnsi="Arial" w:cs="Arial"/>
          <w:bCs/>
          <w:sz w:val="24"/>
          <w:szCs w:val="24"/>
        </w:rPr>
        <w:t>•</w:t>
      </w:r>
      <w:r w:rsidRPr="00C85BD1">
        <w:rPr>
          <w:rFonts w:ascii="Arial" w:hAnsi="Arial" w:cs="Arial"/>
          <w:bCs/>
          <w:sz w:val="24"/>
          <w:szCs w:val="24"/>
        </w:rPr>
        <w:tab/>
      </w:r>
      <w:bookmarkStart w:id="12" w:name="OLE_LINK14"/>
      <w:r w:rsidR="00CF06FE">
        <w:fldChar w:fldCharType="begin"/>
      </w:r>
      <w:r w:rsidR="00CF06FE">
        <w:instrText>HYPERLINK "https://www.govinfo.gov/content/pkg/FR-2012-11-27/html/2012-28675.htm"</w:instrText>
      </w:r>
      <w:r w:rsidR="00CF06FE">
        <w:fldChar w:fldCharType="separate"/>
      </w:r>
      <w:r w:rsidRPr="00C85BD1">
        <w:rPr>
          <w:rStyle w:val="Hyperlink"/>
          <w:rFonts w:ascii="Arial" w:hAnsi="Arial" w:cs="Arial"/>
          <w:bCs/>
          <w:sz w:val="24"/>
          <w:szCs w:val="24"/>
        </w:rPr>
        <w:t>DHS/ALL-004 GITAARS</w:t>
      </w:r>
      <w:r w:rsidR="00CF06FE">
        <w:rPr>
          <w:rStyle w:val="Hyperlink"/>
          <w:rFonts w:ascii="Arial" w:hAnsi="Arial" w:cs="Arial"/>
          <w:bCs/>
          <w:sz w:val="24"/>
          <w:szCs w:val="24"/>
        </w:rPr>
        <w:fldChar w:fldCharType="end"/>
      </w:r>
      <w:bookmarkEnd w:id="7"/>
      <w:bookmarkEnd w:id="8"/>
    </w:p>
    <w:bookmarkEnd w:id="12"/>
    <w:p w:rsidR="00F27A26" w:rsidRPr="000C52AE" w:rsidP="00496FB2" w14:paraId="19382E95" w14:textId="77777777">
      <w:pPr>
        <w:ind w:right="396"/>
        <w:jc w:val="both"/>
        <w:rPr>
          <w:rFonts w:ascii="Arial" w:hAnsi="Arial" w:cs="Arial"/>
          <w:b/>
          <w:sz w:val="24"/>
          <w:szCs w:val="24"/>
        </w:rPr>
      </w:pPr>
    </w:p>
    <w:p w:rsidR="005F6D43" w:rsidRPr="000C52AE" w:rsidP="00496FB2" w14:paraId="1B5FD283" w14:textId="34895C19">
      <w:pPr>
        <w:ind w:left="720" w:right="396" w:hanging="720"/>
        <w:jc w:val="both"/>
        <w:rPr>
          <w:rFonts w:ascii="Arial" w:hAnsi="Arial" w:cs="Arial"/>
          <w:b/>
          <w:sz w:val="24"/>
          <w:szCs w:val="24"/>
        </w:rPr>
      </w:pPr>
      <w:r w:rsidRPr="000C52AE">
        <w:rPr>
          <w:rFonts w:ascii="Arial" w:hAnsi="Arial" w:cs="Arial"/>
          <w:b/>
          <w:sz w:val="24"/>
          <w:szCs w:val="24"/>
        </w:rPr>
        <w:t xml:space="preserve">11. </w:t>
      </w:r>
      <w:r w:rsidRPr="000C52AE" w:rsidR="0023738E">
        <w:rPr>
          <w:rFonts w:ascii="Arial" w:hAnsi="Arial" w:cs="Arial"/>
          <w:b/>
          <w:sz w:val="24"/>
          <w:szCs w:val="24"/>
        </w:rPr>
        <w:tab/>
      </w:r>
      <w:r w:rsidRPr="000C52AE">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F6D43" w:rsidRPr="000C52AE" w:rsidP="00496FB2" w14:paraId="461BB0E6" w14:textId="77777777">
      <w:pPr>
        <w:ind w:right="396"/>
        <w:jc w:val="both"/>
        <w:rPr>
          <w:rFonts w:ascii="Arial" w:hAnsi="Arial" w:cs="Arial"/>
          <w:b/>
          <w:sz w:val="24"/>
          <w:szCs w:val="24"/>
        </w:rPr>
      </w:pPr>
    </w:p>
    <w:p w:rsidR="005F6D43" w:rsidRPr="000C52AE" w:rsidP="00496FB2" w14:paraId="2F5E4212" w14:textId="77777777">
      <w:pPr>
        <w:ind w:left="720" w:right="396"/>
        <w:jc w:val="both"/>
        <w:rPr>
          <w:rFonts w:ascii="Arial" w:hAnsi="Arial" w:cs="Arial"/>
          <w:sz w:val="24"/>
          <w:szCs w:val="24"/>
        </w:rPr>
      </w:pPr>
      <w:r w:rsidRPr="000C52AE">
        <w:rPr>
          <w:rFonts w:ascii="Arial" w:hAnsi="Arial" w:cs="Arial"/>
          <w:sz w:val="24"/>
          <w:szCs w:val="24"/>
        </w:rPr>
        <w:t>This information collection does not involve questions of a personal or sensitive nature.</w:t>
      </w:r>
    </w:p>
    <w:p w:rsidR="00E7030B" w:rsidRPr="000C52AE" w:rsidP="00496FB2" w14:paraId="4E197033" w14:textId="77777777">
      <w:pPr>
        <w:ind w:right="396"/>
        <w:jc w:val="both"/>
        <w:rPr>
          <w:rFonts w:ascii="Arial" w:hAnsi="Arial" w:cs="Arial"/>
          <w:sz w:val="24"/>
          <w:szCs w:val="24"/>
        </w:rPr>
      </w:pPr>
    </w:p>
    <w:p w:rsidR="00C8360E" w:rsidRPr="000C52AE" w:rsidP="00496FB2" w14:paraId="40F22F31" w14:textId="16F04ADA">
      <w:pPr>
        <w:ind w:left="720" w:right="396" w:hanging="720"/>
        <w:jc w:val="both"/>
        <w:rPr>
          <w:rFonts w:ascii="Arial" w:hAnsi="Arial" w:cs="Arial"/>
          <w:sz w:val="24"/>
          <w:szCs w:val="24"/>
        </w:rPr>
      </w:pPr>
      <w:r w:rsidRPr="00FC4ED7">
        <w:rPr>
          <w:rFonts w:ascii="Arial" w:hAnsi="Arial" w:cs="Arial"/>
          <w:b/>
          <w:bCs/>
          <w:sz w:val="24"/>
          <w:szCs w:val="24"/>
        </w:rPr>
        <w:t xml:space="preserve">12. </w:t>
      </w:r>
      <w:r w:rsidRPr="00FC4ED7" w:rsidR="0023738E">
        <w:rPr>
          <w:rFonts w:ascii="Arial" w:hAnsi="Arial" w:cs="Arial"/>
          <w:b/>
          <w:bCs/>
          <w:sz w:val="24"/>
          <w:szCs w:val="24"/>
        </w:rPr>
        <w:tab/>
      </w:r>
      <w:r w:rsidRPr="00FC4ED7">
        <w:rPr>
          <w:rFonts w:ascii="Arial" w:hAnsi="Arial" w:cs="Arial"/>
          <w:b/>
          <w:sz w:val="24"/>
          <w:szCs w:val="24"/>
        </w:rPr>
        <w:t>Provide estimates of the hour burden of the collection of information.</w:t>
      </w:r>
      <w:r w:rsidRPr="000C52AE">
        <w:rPr>
          <w:rFonts w:ascii="Arial" w:hAnsi="Arial" w:cs="Arial"/>
          <w:sz w:val="24"/>
          <w:szCs w:val="24"/>
        </w:rPr>
        <w:t xml:space="preserve"> </w:t>
      </w:r>
    </w:p>
    <w:p w:rsidR="00C8360E" w:rsidRPr="000C52AE" w:rsidP="00C8360E" w14:paraId="26093C66" w14:textId="77777777">
      <w:pPr>
        <w:jc w:val="both"/>
        <w:rPr>
          <w:rFonts w:ascii="Arial" w:hAnsi="Arial"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1968718D" w14:textId="77777777" w:rsidTr="00DA402C">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C8360E" w:rsidRPr="000C52AE" w:rsidP="00DA402C" w14:paraId="4B5EE77A" w14:textId="77777777">
            <w:pPr>
              <w:pStyle w:val="Style"/>
              <w:tabs>
                <w:tab w:val="left" w:pos="-1440"/>
              </w:tabs>
              <w:ind w:left="0" w:firstLine="0"/>
              <w:jc w:val="both"/>
              <w:rPr>
                <w:rFonts w:ascii="Arial" w:hAnsi="Arial" w:cs="Arial"/>
                <w:sz w:val="20"/>
              </w:rPr>
            </w:pPr>
          </w:p>
          <w:p w:rsidR="00C8360E" w:rsidRPr="000C52AE" w:rsidP="00DA402C" w14:paraId="12E305AB" w14:textId="77777777">
            <w:pPr>
              <w:pStyle w:val="Style"/>
              <w:tabs>
                <w:tab w:val="left" w:pos="-1440"/>
              </w:tabs>
              <w:ind w:left="0" w:firstLine="0"/>
              <w:jc w:val="both"/>
              <w:rPr>
                <w:rFonts w:ascii="Arial" w:hAnsi="Arial" w:cs="Arial"/>
                <w:sz w:val="20"/>
              </w:rPr>
            </w:pPr>
            <w:r w:rsidRPr="000C52AE">
              <w:rPr>
                <w:rFonts w:ascii="Arial" w:hAnsi="Arial" w:cs="Arial"/>
                <w:b/>
                <w:sz w:val="20"/>
              </w:rPr>
              <w:t xml:space="preserve">INFORMATION COLLECTION </w:t>
            </w:r>
          </w:p>
        </w:tc>
        <w:tc>
          <w:tcPr>
            <w:tcW w:w="1260" w:type="dxa"/>
            <w:shd w:val="clear" w:color="auto" w:fill="auto"/>
          </w:tcPr>
          <w:p w:rsidR="00C8360E" w:rsidRPr="000C52AE" w:rsidP="00DA402C" w14:paraId="2A5D3C80" w14:textId="77777777">
            <w:pPr>
              <w:pStyle w:val="Style"/>
              <w:tabs>
                <w:tab w:val="left" w:pos="-1440"/>
              </w:tabs>
              <w:ind w:left="0" w:firstLine="0"/>
              <w:jc w:val="both"/>
              <w:rPr>
                <w:rFonts w:ascii="Arial" w:hAnsi="Arial" w:cs="Arial"/>
                <w:b/>
                <w:sz w:val="20"/>
              </w:rPr>
            </w:pPr>
            <w:r w:rsidRPr="000C52AE">
              <w:rPr>
                <w:rFonts w:ascii="Arial" w:hAnsi="Arial" w:cs="Arial"/>
                <w:b/>
                <w:sz w:val="20"/>
              </w:rPr>
              <w:t>TOTAL ANNUAL BURDEN HOURS</w:t>
            </w:r>
          </w:p>
        </w:tc>
        <w:tc>
          <w:tcPr>
            <w:tcW w:w="1890" w:type="dxa"/>
            <w:shd w:val="clear" w:color="auto" w:fill="auto"/>
          </w:tcPr>
          <w:p w:rsidR="00C8360E" w:rsidRPr="000C52AE" w:rsidP="00DA402C" w14:paraId="55E6C9FF" w14:textId="77777777">
            <w:pPr>
              <w:pStyle w:val="Style"/>
              <w:tabs>
                <w:tab w:val="left" w:pos="-1440"/>
              </w:tabs>
              <w:ind w:left="0" w:firstLine="0"/>
              <w:jc w:val="both"/>
              <w:rPr>
                <w:rFonts w:ascii="Arial" w:hAnsi="Arial" w:cs="Arial"/>
                <w:b/>
                <w:sz w:val="20"/>
              </w:rPr>
            </w:pPr>
            <w:r w:rsidRPr="000C52AE">
              <w:rPr>
                <w:rFonts w:ascii="Arial" w:hAnsi="Arial" w:cs="Arial"/>
                <w:b/>
                <w:sz w:val="20"/>
              </w:rPr>
              <w:t>NO. OF</w:t>
            </w:r>
          </w:p>
          <w:p w:rsidR="00C8360E" w:rsidRPr="000C52AE" w:rsidP="00DA402C" w14:paraId="11E03121" w14:textId="77777777">
            <w:pPr>
              <w:pStyle w:val="Style"/>
              <w:tabs>
                <w:tab w:val="left" w:pos="-1440"/>
              </w:tabs>
              <w:ind w:left="0" w:firstLine="0"/>
              <w:jc w:val="both"/>
              <w:rPr>
                <w:rFonts w:ascii="Arial" w:hAnsi="Arial" w:cs="Arial"/>
                <w:b/>
                <w:sz w:val="20"/>
              </w:rPr>
            </w:pPr>
            <w:r w:rsidRPr="000C52AE">
              <w:rPr>
                <w:rFonts w:ascii="Arial" w:hAnsi="Arial" w:cs="Arial"/>
                <w:b/>
                <w:sz w:val="20"/>
              </w:rPr>
              <w:t>RESPONDENTS</w:t>
            </w:r>
          </w:p>
        </w:tc>
        <w:tc>
          <w:tcPr>
            <w:tcW w:w="1710" w:type="dxa"/>
            <w:shd w:val="clear" w:color="auto" w:fill="auto"/>
          </w:tcPr>
          <w:p w:rsidR="00C8360E" w:rsidRPr="000C52AE" w:rsidP="00DA402C" w14:paraId="60C96B45" w14:textId="77777777">
            <w:pPr>
              <w:pStyle w:val="Style"/>
              <w:tabs>
                <w:tab w:val="left" w:pos="-1440"/>
              </w:tabs>
              <w:ind w:left="0" w:firstLine="0"/>
              <w:rPr>
                <w:rFonts w:ascii="Arial" w:hAnsi="Arial" w:cs="Arial"/>
                <w:b/>
                <w:sz w:val="20"/>
              </w:rPr>
            </w:pPr>
            <w:r w:rsidRPr="000C52AE">
              <w:rPr>
                <w:rFonts w:ascii="Arial" w:hAnsi="Arial" w:cs="Arial"/>
                <w:b/>
                <w:sz w:val="20"/>
              </w:rPr>
              <w:t>NO. OF RESPONSES PER RESPONDENT</w:t>
            </w:r>
          </w:p>
        </w:tc>
        <w:tc>
          <w:tcPr>
            <w:tcW w:w="1530" w:type="dxa"/>
            <w:shd w:val="clear" w:color="auto" w:fill="auto"/>
          </w:tcPr>
          <w:p w:rsidR="00C8360E" w:rsidRPr="000C52AE" w:rsidP="00DA402C" w14:paraId="2A251D52" w14:textId="77777777">
            <w:pPr>
              <w:pStyle w:val="Style"/>
              <w:tabs>
                <w:tab w:val="left" w:pos="-1440"/>
              </w:tabs>
              <w:ind w:left="0" w:firstLine="0"/>
              <w:jc w:val="both"/>
              <w:rPr>
                <w:rFonts w:ascii="Arial" w:hAnsi="Arial" w:cs="Arial"/>
                <w:sz w:val="20"/>
              </w:rPr>
            </w:pPr>
          </w:p>
          <w:p w:rsidR="00C8360E" w:rsidRPr="000C52AE" w:rsidP="00DA402C" w14:paraId="6CE291CD" w14:textId="77777777">
            <w:pPr>
              <w:pStyle w:val="Style"/>
              <w:tabs>
                <w:tab w:val="left" w:pos="-1440"/>
              </w:tabs>
              <w:ind w:left="0" w:firstLine="0"/>
              <w:jc w:val="both"/>
              <w:rPr>
                <w:rFonts w:ascii="Arial" w:hAnsi="Arial" w:cs="Arial"/>
                <w:b/>
                <w:sz w:val="20"/>
              </w:rPr>
            </w:pPr>
            <w:r w:rsidRPr="000C52AE">
              <w:rPr>
                <w:rFonts w:ascii="Arial" w:hAnsi="Arial" w:cs="Arial"/>
                <w:b/>
                <w:sz w:val="20"/>
              </w:rPr>
              <w:t>TOTAL</w:t>
            </w:r>
          </w:p>
          <w:p w:rsidR="00C8360E" w:rsidRPr="000C52AE" w:rsidP="00DA402C" w14:paraId="4B005C75" w14:textId="77777777">
            <w:pPr>
              <w:pStyle w:val="Style"/>
              <w:tabs>
                <w:tab w:val="left" w:pos="-1440"/>
              </w:tabs>
              <w:ind w:left="0" w:firstLine="0"/>
              <w:jc w:val="both"/>
              <w:rPr>
                <w:rFonts w:ascii="Arial" w:hAnsi="Arial" w:cs="Arial"/>
                <w:sz w:val="20"/>
              </w:rPr>
            </w:pPr>
            <w:r w:rsidRPr="000C52AE">
              <w:rPr>
                <w:rFonts w:ascii="Arial" w:hAnsi="Arial" w:cs="Arial"/>
                <w:b/>
                <w:sz w:val="20"/>
              </w:rPr>
              <w:t>RESPONSES</w:t>
            </w:r>
          </w:p>
        </w:tc>
        <w:tc>
          <w:tcPr>
            <w:tcW w:w="1476" w:type="dxa"/>
            <w:shd w:val="clear" w:color="auto" w:fill="auto"/>
          </w:tcPr>
          <w:p w:rsidR="00C8360E" w:rsidRPr="000C52AE" w:rsidP="00DA402C" w14:paraId="67E7DF6D" w14:textId="77777777">
            <w:pPr>
              <w:pStyle w:val="Style"/>
              <w:tabs>
                <w:tab w:val="left" w:pos="-1440"/>
              </w:tabs>
              <w:ind w:left="0" w:firstLine="0"/>
              <w:jc w:val="both"/>
              <w:rPr>
                <w:rFonts w:ascii="Arial" w:hAnsi="Arial" w:cs="Arial"/>
                <w:sz w:val="20"/>
              </w:rPr>
            </w:pPr>
          </w:p>
          <w:p w:rsidR="00C8360E" w:rsidRPr="000C52AE" w:rsidP="00DA402C" w14:paraId="45733A27" w14:textId="77777777">
            <w:pPr>
              <w:pStyle w:val="Style"/>
              <w:tabs>
                <w:tab w:val="left" w:pos="-1440"/>
              </w:tabs>
              <w:ind w:left="0" w:firstLine="0"/>
              <w:jc w:val="both"/>
              <w:rPr>
                <w:rFonts w:ascii="Arial" w:hAnsi="Arial" w:cs="Arial"/>
                <w:b/>
                <w:sz w:val="20"/>
              </w:rPr>
            </w:pPr>
            <w:r w:rsidRPr="000C52AE">
              <w:rPr>
                <w:rFonts w:ascii="Arial" w:hAnsi="Arial" w:cs="Arial"/>
                <w:b/>
                <w:sz w:val="20"/>
              </w:rPr>
              <w:t>TIME PER</w:t>
            </w:r>
          </w:p>
          <w:p w:rsidR="00C8360E" w:rsidRPr="000C52AE" w:rsidP="00DA402C" w14:paraId="708AD709" w14:textId="77777777">
            <w:pPr>
              <w:pStyle w:val="Style"/>
              <w:tabs>
                <w:tab w:val="left" w:pos="-1440"/>
              </w:tabs>
              <w:ind w:left="0" w:firstLine="0"/>
              <w:jc w:val="both"/>
              <w:rPr>
                <w:rFonts w:ascii="Arial" w:hAnsi="Arial" w:cs="Arial"/>
                <w:sz w:val="20"/>
              </w:rPr>
            </w:pPr>
            <w:r w:rsidRPr="000C52AE">
              <w:rPr>
                <w:rFonts w:ascii="Arial" w:hAnsi="Arial" w:cs="Arial"/>
                <w:b/>
                <w:sz w:val="20"/>
              </w:rPr>
              <w:t>RESPONSE</w:t>
            </w:r>
          </w:p>
        </w:tc>
      </w:tr>
      <w:tr w14:paraId="04D835E1" w14:textId="77777777" w:rsidTr="00A57B74">
        <w:tblPrEx>
          <w:tblW w:w="0" w:type="auto"/>
          <w:tblInd w:w="288" w:type="dxa"/>
          <w:tblLayout w:type="fixed"/>
          <w:tblLook w:val="01E0"/>
        </w:tblPrEx>
        <w:trPr>
          <w:trHeight w:val="593"/>
        </w:trPr>
        <w:tc>
          <w:tcPr>
            <w:tcW w:w="1710" w:type="dxa"/>
            <w:shd w:val="clear" w:color="auto" w:fill="auto"/>
          </w:tcPr>
          <w:p w:rsidR="00C8360E" w:rsidRPr="000C52AE" w:rsidP="00A57B74" w14:paraId="56D8FCAC" w14:textId="77777777">
            <w:pPr>
              <w:pStyle w:val="Style"/>
              <w:tabs>
                <w:tab w:val="left" w:pos="-1440"/>
              </w:tabs>
              <w:ind w:left="0" w:firstLine="0"/>
              <w:rPr>
                <w:rFonts w:ascii="Arial" w:hAnsi="Arial" w:cs="Arial"/>
                <w:sz w:val="22"/>
                <w:szCs w:val="22"/>
              </w:rPr>
            </w:pPr>
            <w:bookmarkStart w:id="13" w:name="_Hlk272395016"/>
          </w:p>
          <w:p w:rsidR="001950BD" w:rsidRPr="000C52AE" w:rsidP="00A57B74" w14:paraId="5D623324" w14:textId="77777777">
            <w:pPr>
              <w:pStyle w:val="Style"/>
              <w:tabs>
                <w:tab w:val="left" w:pos="-1440"/>
              </w:tabs>
              <w:ind w:left="0" w:firstLine="0"/>
              <w:rPr>
                <w:rFonts w:ascii="Arial" w:hAnsi="Arial" w:cs="Arial"/>
                <w:sz w:val="22"/>
                <w:szCs w:val="22"/>
              </w:rPr>
            </w:pPr>
            <w:r w:rsidRPr="000C52AE">
              <w:rPr>
                <w:rFonts w:ascii="Arial" w:hAnsi="Arial" w:cs="Arial"/>
                <w:sz w:val="22"/>
                <w:szCs w:val="22"/>
              </w:rPr>
              <w:t>e</w:t>
            </w:r>
            <w:r w:rsidRPr="000C52AE" w:rsidR="00A26571">
              <w:rPr>
                <w:rFonts w:ascii="Arial" w:hAnsi="Arial" w:cs="Arial"/>
                <w:sz w:val="22"/>
                <w:szCs w:val="22"/>
              </w:rPr>
              <w:t>-</w:t>
            </w:r>
            <w:r w:rsidRPr="000C52AE">
              <w:rPr>
                <w:rFonts w:ascii="Arial" w:hAnsi="Arial" w:cs="Arial"/>
                <w:sz w:val="22"/>
                <w:szCs w:val="22"/>
              </w:rPr>
              <w:t>Allegations</w:t>
            </w:r>
          </w:p>
        </w:tc>
        <w:tc>
          <w:tcPr>
            <w:tcW w:w="1260" w:type="dxa"/>
            <w:shd w:val="clear" w:color="auto" w:fill="auto"/>
          </w:tcPr>
          <w:p w:rsidR="00C8360E" w:rsidRPr="000C52AE" w:rsidP="007B433A" w14:paraId="1B50D20F" w14:textId="77777777">
            <w:pPr>
              <w:pStyle w:val="Style"/>
              <w:tabs>
                <w:tab w:val="left" w:pos="-1440"/>
              </w:tabs>
              <w:ind w:left="0" w:firstLine="0"/>
              <w:jc w:val="center"/>
              <w:rPr>
                <w:rFonts w:ascii="Arial" w:hAnsi="Arial" w:cs="Arial"/>
              </w:rPr>
            </w:pPr>
          </w:p>
          <w:p w:rsidR="00C8360E" w:rsidRPr="000C52AE" w:rsidP="007B433A" w14:paraId="06974519" w14:textId="04FAC59A">
            <w:pPr>
              <w:pStyle w:val="Style"/>
              <w:tabs>
                <w:tab w:val="left" w:pos="-1440"/>
              </w:tabs>
              <w:ind w:left="0" w:firstLine="0"/>
              <w:jc w:val="center"/>
              <w:rPr>
                <w:rFonts w:ascii="Arial" w:hAnsi="Arial" w:cs="Arial"/>
                <w:szCs w:val="24"/>
              </w:rPr>
            </w:pPr>
            <w:r w:rsidRPr="000C52AE">
              <w:rPr>
                <w:rFonts w:ascii="Arial" w:hAnsi="Arial" w:cs="Arial"/>
              </w:rPr>
              <w:t>272</w:t>
            </w:r>
          </w:p>
        </w:tc>
        <w:tc>
          <w:tcPr>
            <w:tcW w:w="1890" w:type="dxa"/>
            <w:shd w:val="clear" w:color="auto" w:fill="auto"/>
          </w:tcPr>
          <w:p w:rsidR="00C8360E" w:rsidRPr="000C52AE" w:rsidP="007B433A" w14:paraId="744273AC" w14:textId="77777777">
            <w:pPr>
              <w:pStyle w:val="Style"/>
              <w:tabs>
                <w:tab w:val="left" w:pos="-1440"/>
              </w:tabs>
              <w:ind w:left="0" w:firstLine="0"/>
              <w:jc w:val="center"/>
              <w:rPr>
                <w:rFonts w:ascii="Arial" w:hAnsi="Arial" w:cs="Arial"/>
              </w:rPr>
            </w:pPr>
          </w:p>
          <w:p w:rsidR="00C8360E" w:rsidRPr="000C52AE" w:rsidP="007B433A" w14:paraId="345C720A" w14:textId="2B1CA1E1">
            <w:pPr>
              <w:pStyle w:val="Style"/>
              <w:tabs>
                <w:tab w:val="left" w:pos="-1440"/>
              </w:tabs>
              <w:ind w:left="0" w:firstLine="0"/>
              <w:jc w:val="center"/>
              <w:rPr>
                <w:rFonts w:ascii="Arial" w:hAnsi="Arial" w:cs="Arial"/>
              </w:rPr>
            </w:pPr>
            <w:r w:rsidRPr="000C52AE">
              <w:rPr>
                <w:rFonts w:ascii="Arial" w:hAnsi="Arial" w:cs="Arial"/>
              </w:rPr>
              <w:t>1,088</w:t>
            </w:r>
          </w:p>
        </w:tc>
        <w:tc>
          <w:tcPr>
            <w:tcW w:w="1710" w:type="dxa"/>
            <w:shd w:val="clear" w:color="auto" w:fill="auto"/>
          </w:tcPr>
          <w:p w:rsidR="00C8360E" w:rsidRPr="000C52AE" w:rsidP="007B433A" w14:paraId="598FBA7B" w14:textId="77777777">
            <w:pPr>
              <w:pStyle w:val="Style"/>
              <w:tabs>
                <w:tab w:val="left" w:pos="-1440"/>
              </w:tabs>
              <w:ind w:left="0" w:firstLine="0"/>
              <w:jc w:val="center"/>
              <w:rPr>
                <w:rFonts w:ascii="Arial" w:hAnsi="Arial" w:cs="Arial"/>
              </w:rPr>
            </w:pPr>
          </w:p>
          <w:p w:rsidR="00C8360E" w:rsidRPr="000C52AE" w:rsidP="007B433A" w14:paraId="79F1DA25" w14:textId="77777777">
            <w:pPr>
              <w:pStyle w:val="Style"/>
              <w:tabs>
                <w:tab w:val="left" w:pos="-1440"/>
              </w:tabs>
              <w:ind w:left="0" w:firstLine="0"/>
              <w:jc w:val="center"/>
              <w:rPr>
                <w:rFonts w:ascii="Arial" w:hAnsi="Arial" w:cs="Arial"/>
              </w:rPr>
            </w:pPr>
            <w:r w:rsidRPr="000C52AE">
              <w:rPr>
                <w:rFonts w:ascii="Arial" w:hAnsi="Arial" w:cs="Arial"/>
              </w:rPr>
              <w:t>1</w:t>
            </w:r>
          </w:p>
        </w:tc>
        <w:tc>
          <w:tcPr>
            <w:tcW w:w="1530" w:type="dxa"/>
            <w:shd w:val="clear" w:color="auto" w:fill="auto"/>
          </w:tcPr>
          <w:p w:rsidR="00C8360E" w:rsidRPr="000C52AE" w:rsidP="007B433A" w14:paraId="4E4AB8FF" w14:textId="77777777">
            <w:pPr>
              <w:pStyle w:val="Style"/>
              <w:tabs>
                <w:tab w:val="left" w:pos="-1440"/>
              </w:tabs>
              <w:ind w:left="0" w:firstLine="0"/>
              <w:jc w:val="center"/>
              <w:rPr>
                <w:rFonts w:ascii="Arial" w:hAnsi="Arial" w:cs="Arial"/>
              </w:rPr>
            </w:pPr>
          </w:p>
          <w:p w:rsidR="00C8360E" w:rsidRPr="000C52AE" w:rsidP="007B433A" w14:paraId="23A7FCB5" w14:textId="4E0FFB08">
            <w:pPr>
              <w:pStyle w:val="Style"/>
              <w:tabs>
                <w:tab w:val="left" w:pos="-1440"/>
              </w:tabs>
              <w:ind w:left="0" w:firstLine="0"/>
              <w:jc w:val="center"/>
              <w:rPr>
                <w:rFonts w:ascii="Arial" w:hAnsi="Arial" w:cs="Arial"/>
              </w:rPr>
            </w:pPr>
            <w:r w:rsidRPr="000C52AE">
              <w:rPr>
                <w:rFonts w:ascii="Arial" w:hAnsi="Arial" w:cs="Arial"/>
              </w:rPr>
              <w:t>1,088</w:t>
            </w:r>
          </w:p>
        </w:tc>
        <w:tc>
          <w:tcPr>
            <w:tcW w:w="1476" w:type="dxa"/>
            <w:shd w:val="clear" w:color="auto" w:fill="auto"/>
          </w:tcPr>
          <w:p w:rsidR="00C8360E" w:rsidRPr="000C52AE" w:rsidP="007B433A" w14:paraId="7E967F12" w14:textId="77777777">
            <w:pPr>
              <w:pStyle w:val="Style"/>
              <w:tabs>
                <w:tab w:val="left" w:pos="-1440"/>
              </w:tabs>
              <w:ind w:left="0" w:firstLine="0"/>
              <w:jc w:val="center"/>
              <w:rPr>
                <w:rFonts w:ascii="Arial" w:hAnsi="Arial" w:cs="Arial"/>
                <w:sz w:val="22"/>
                <w:szCs w:val="22"/>
              </w:rPr>
            </w:pPr>
          </w:p>
          <w:p w:rsidR="00C8360E" w:rsidRPr="000C52AE" w:rsidP="007B433A" w14:paraId="6E95D524" w14:textId="77777777">
            <w:pPr>
              <w:pStyle w:val="Style"/>
              <w:tabs>
                <w:tab w:val="left" w:pos="-1440"/>
              </w:tabs>
              <w:ind w:left="0" w:firstLine="0"/>
              <w:jc w:val="center"/>
              <w:rPr>
                <w:rFonts w:ascii="Arial" w:hAnsi="Arial" w:cs="Arial"/>
                <w:sz w:val="22"/>
                <w:szCs w:val="22"/>
              </w:rPr>
            </w:pPr>
            <w:r w:rsidRPr="000C52AE">
              <w:rPr>
                <w:rFonts w:ascii="Arial" w:hAnsi="Arial" w:cs="Arial"/>
                <w:sz w:val="22"/>
                <w:szCs w:val="22"/>
              </w:rPr>
              <w:t>15 minutes</w:t>
            </w:r>
          </w:p>
          <w:p w:rsidR="00C8360E" w:rsidRPr="000C52AE" w:rsidP="007B433A" w14:paraId="051EACCF" w14:textId="77777777">
            <w:pPr>
              <w:pStyle w:val="Style"/>
              <w:tabs>
                <w:tab w:val="left" w:pos="-1440"/>
              </w:tabs>
              <w:ind w:left="0" w:firstLine="0"/>
              <w:jc w:val="center"/>
              <w:rPr>
                <w:rFonts w:ascii="Arial" w:hAnsi="Arial" w:cs="Arial"/>
                <w:sz w:val="22"/>
                <w:szCs w:val="22"/>
              </w:rPr>
            </w:pPr>
            <w:r w:rsidRPr="000C52AE">
              <w:rPr>
                <w:rFonts w:ascii="Arial" w:hAnsi="Arial" w:cs="Arial"/>
                <w:sz w:val="22"/>
                <w:szCs w:val="22"/>
              </w:rPr>
              <w:t>(.25 hours)</w:t>
            </w:r>
          </w:p>
        </w:tc>
      </w:tr>
      <w:tr w14:paraId="77CF7CE5" w14:textId="77777777" w:rsidTr="00A57B74">
        <w:tblPrEx>
          <w:tblW w:w="0" w:type="auto"/>
          <w:tblInd w:w="288" w:type="dxa"/>
          <w:tblLayout w:type="fixed"/>
          <w:tblLook w:val="01E0"/>
        </w:tblPrEx>
        <w:tc>
          <w:tcPr>
            <w:tcW w:w="1710" w:type="dxa"/>
            <w:shd w:val="clear" w:color="auto" w:fill="auto"/>
          </w:tcPr>
          <w:p w:rsidR="001950BD" w:rsidRPr="000C52AE" w:rsidP="00A57B74" w14:paraId="7597A073" w14:textId="77777777">
            <w:pPr>
              <w:pStyle w:val="Style"/>
              <w:tabs>
                <w:tab w:val="left" w:pos="-1440"/>
              </w:tabs>
              <w:ind w:left="0" w:firstLine="0"/>
              <w:rPr>
                <w:rFonts w:ascii="Arial" w:hAnsi="Arial" w:cs="Arial"/>
                <w:sz w:val="22"/>
                <w:szCs w:val="22"/>
              </w:rPr>
            </w:pPr>
            <w:r w:rsidRPr="000C52AE">
              <w:rPr>
                <w:rFonts w:ascii="Arial" w:hAnsi="Arial" w:cs="Arial"/>
                <w:sz w:val="22"/>
                <w:szCs w:val="22"/>
              </w:rPr>
              <w:t>EAPA Allegations</w:t>
            </w:r>
          </w:p>
        </w:tc>
        <w:tc>
          <w:tcPr>
            <w:tcW w:w="1260" w:type="dxa"/>
            <w:shd w:val="clear" w:color="auto" w:fill="auto"/>
            <w:vAlign w:val="center"/>
          </w:tcPr>
          <w:p w:rsidR="001950BD" w:rsidRPr="000C52AE" w:rsidP="00FC1CAA" w14:paraId="54F33FF5" w14:textId="1E8DD966">
            <w:pPr>
              <w:pStyle w:val="Style"/>
              <w:tabs>
                <w:tab w:val="left" w:pos="-1440"/>
              </w:tabs>
              <w:ind w:left="0" w:firstLine="0"/>
              <w:jc w:val="center"/>
              <w:rPr>
                <w:rFonts w:ascii="Arial" w:hAnsi="Arial" w:cs="Arial"/>
              </w:rPr>
            </w:pPr>
            <w:r>
              <w:rPr>
                <w:rFonts w:ascii="Arial" w:hAnsi="Arial" w:cs="Arial"/>
              </w:rPr>
              <w:t>30</w:t>
            </w:r>
          </w:p>
        </w:tc>
        <w:tc>
          <w:tcPr>
            <w:tcW w:w="1890" w:type="dxa"/>
            <w:shd w:val="clear" w:color="auto" w:fill="auto"/>
            <w:vAlign w:val="center"/>
          </w:tcPr>
          <w:p w:rsidR="001950BD" w:rsidRPr="000C52AE" w:rsidP="00A57B74" w14:paraId="12E96E4D" w14:textId="42D9D6ED">
            <w:pPr>
              <w:pStyle w:val="Style"/>
              <w:tabs>
                <w:tab w:val="left" w:pos="-1440"/>
              </w:tabs>
              <w:ind w:left="0" w:firstLine="0"/>
              <w:jc w:val="center"/>
              <w:rPr>
                <w:rFonts w:ascii="Arial" w:hAnsi="Arial" w:cs="Arial"/>
              </w:rPr>
            </w:pPr>
            <w:r>
              <w:rPr>
                <w:rFonts w:ascii="Arial" w:hAnsi="Arial" w:cs="Arial"/>
              </w:rPr>
              <w:t>149</w:t>
            </w:r>
          </w:p>
        </w:tc>
        <w:tc>
          <w:tcPr>
            <w:tcW w:w="1710" w:type="dxa"/>
            <w:shd w:val="clear" w:color="auto" w:fill="auto"/>
            <w:vAlign w:val="center"/>
          </w:tcPr>
          <w:p w:rsidR="001950BD" w:rsidRPr="000C52AE" w:rsidP="00A57B74" w14:paraId="203940B7" w14:textId="77777777">
            <w:pPr>
              <w:pStyle w:val="Style"/>
              <w:tabs>
                <w:tab w:val="left" w:pos="-1440"/>
              </w:tabs>
              <w:ind w:left="0" w:firstLine="0"/>
              <w:jc w:val="center"/>
              <w:rPr>
                <w:rFonts w:ascii="Arial" w:hAnsi="Arial" w:cs="Arial"/>
              </w:rPr>
            </w:pPr>
            <w:r w:rsidRPr="000C52AE">
              <w:rPr>
                <w:rFonts w:ascii="Arial" w:hAnsi="Arial" w:cs="Arial"/>
              </w:rPr>
              <w:t>1</w:t>
            </w:r>
          </w:p>
        </w:tc>
        <w:tc>
          <w:tcPr>
            <w:tcW w:w="1530" w:type="dxa"/>
            <w:shd w:val="clear" w:color="auto" w:fill="auto"/>
            <w:vAlign w:val="center"/>
          </w:tcPr>
          <w:p w:rsidR="001950BD" w:rsidRPr="000C52AE" w:rsidP="00A57B74" w14:paraId="4F745D8F" w14:textId="3A1716C4">
            <w:pPr>
              <w:pStyle w:val="Style"/>
              <w:tabs>
                <w:tab w:val="left" w:pos="-1440"/>
              </w:tabs>
              <w:ind w:left="0" w:firstLine="0"/>
              <w:jc w:val="center"/>
              <w:rPr>
                <w:rFonts w:ascii="Arial" w:hAnsi="Arial" w:cs="Arial"/>
              </w:rPr>
            </w:pPr>
            <w:r>
              <w:rPr>
                <w:rFonts w:ascii="Arial" w:hAnsi="Arial" w:cs="Arial"/>
              </w:rPr>
              <w:t>149</w:t>
            </w:r>
          </w:p>
        </w:tc>
        <w:tc>
          <w:tcPr>
            <w:tcW w:w="1476" w:type="dxa"/>
            <w:shd w:val="clear" w:color="auto" w:fill="auto"/>
            <w:vAlign w:val="center"/>
          </w:tcPr>
          <w:p w:rsidR="001950BD" w:rsidRPr="000C52AE" w:rsidP="00A57B74" w14:paraId="3E360FD1" w14:textId="22D140C9">
            <w:pPr>
              <w:pStyle w:val="Style"/>
              <w:tabs>
                <w:tab w:val="left" w:pos="-1440"/>
              </w:tabs>
              <w:ind w:left="0" w:firstLine="0"/>
              <w:jc w:val="center"/>
              <w:rPr>
                <w:rFonts w:ascii="Arial" w:hAnsi="Arial" w:cs="Arial"/>
                <w:sz w:val="22"/>
                <w:szCs w:val="22"/>
              </w:rPr>
            </w:pPr>
            <w:r w:rsidRPr="000C52AE">
              <w:rPr>
                <w:rFonts w:ascii="Arial" w:hAnsi="Arial" w:cs="Arial"/>
                <w:sz w:val="22"/>
                <w:szCs w:val="22"/>
              </w:rPr>
              <w:t>1</w:t>
            </w:r>
            <w:r w:rsidR="00FC4DB0">
              <w:rPr>
                <w:rFonts w:ascii="Arial" w:hAnsi="Arial" w:cs="Arial"/>
                <w:sz w:val="22"/>
                <w:szCs w:val="22"/>
              </w:rPr>
              <w:t>2</w:t>
            </w:r>
            <w:r w:rsidRPr="000C52AE">
              <w:rPr>
                <w:rFonts w:ascii="Arial" w:hAnsi="Arial" w:cs="Arial"/>
                <w:sz w:val="22"/>
                <w:szCs w:val="22"/>
              </w:rPr>
              <w:t xml:space="preserve"> </w:t>
            </w:r>
            <w:r w:rsidRPr="000C52AE" w:rsidR="007B433A">
              <w:rPr>
                <w:rFonts w:ascii="Arial" w:hAnsi="Arial" w:cs="Arial"/>
                <w:sz w:val="22"/>
                <w:szCs w:val="22"/>
              </w:rPr>
              <w:t>minutes</w:t>
            </w:r>
          </w:p>
          <w:p w:rsidR="007B433A" w:rsidRPr="000C52AE" w:rsidP="00A57B74" w14:paraId="3B0988BD" w14:textId="50AF21DB">
            <w:pPr>
              <w:pStyle w:val="Style"/>
              <w:tabs>
                <w:tab w:val="left" w:pos="-1440"/>
              </w:tabs>
              <w:ind w:left="0" w:firstLine="0"/>
              <w:jc w:val="center"/>
              <w:rPr>
                <w:rFonts w:ascii="Arial" w:hAnsi="Arial" w:cs="Arial"/>
                <w:sz w:val="22"/>
                <w:szCs w:val="22"/>
              </w:rPr>
            </w:pPr>
            <w:r w:rsidRPr="000C52AE">
              <w:rPr>
                <w:rFonts w:ascii="Arial" w:hAnsi="Arial" w:cs="Arial"/>
                <w:sz w:val="22"/>
                <w:szCs w:val="22"/>
              </w:rPr>
              <w:t>(</w:t>
            </w:r>
            <w:r w:rsidR="00FC4DB0">
              <w:rPr>
                <w:rFonts w:ascii="Arial" w:hAnsi="Arial" w:cs="Arial"/>
                <w:sz w:val="22"/>
                <w:szCs w:val="22"/>
              </w:rPr>
              <w:t>0</w:t>
            </w:r>
            <w:r w:rsidRPr="000C52AE">
              <w:rPr>
                <w:rFonts w:ascii="Arial" w:hAnsi="Arial" w:cs="Arial"/>
                <w:sz w:val="22"/>
                <w:szCs w:val="22"/>
              </w:rPr>
              <w:t>.</w:t>
            </w:r>
            <w:r w:rsidR="00FC4DB0">
              <w:rPr>
                <w:rFonts w:ascii="Arial" w:hAnsi="Arial" w:cs="Arial"/>
                <w:sz w:val="22"/>
                <w:szCs w:val="22"/>
              </w:rPr>
              <w:t>20</w:t>
            </w:r>
            <w:r w:rsidRPr="000C52AE">
              <w:rPr>
                <w:rFonts w:ascii="Arial" w:hAnsi="Arial" w:cs="Arial"/>
                <w:sz w:val="22"/>
                <w:szCs w:val="22"/>
              </w:rPr>
              <w:t xml:space="preserve"> hours)</w:t>
            </w:r>
          </w:p>
        </w:tc>
      </w:tr>
      <w:tr w14:paraId="499470A4" w14:textId="77777777" w:rsidTr="00A57B74">
        <w:tblPrEx>
          <w:tblW w:w="0" w:type="auto"/>
          <w:tblInd w:w="288" w:type="dxa"/>
          <w:tblLayout w:type="fixed"/>
          <w:tblLook w:val="01E0"/>
        </w:tblPrEx>
        <w:tc>
          <w:tcPr>
            <w:tcW w:w="1710" w:type="dxa"/>
            <w:shd w:val="clear" w:color="auto" w:fill="auto"/>
          </w:tcPr>
          <w:p w:rsidR="00BA76F9" w:rsidRPr="000C52AE" w:rsidP="00A57B74" w14:paraId="561E9B2D" w14:textId="093F384F">
            <w:pPr>
              <w:pStyle w:val="Style"/>
              <w:tabs>
                <w:tab w:val="left" w:pos="-1440"/>
              </w:tabs>
              <w:ind w:left="0" w:firstLine="0"/>
              <w:rPr>
                <w:rFonts w:ascii="Arial" w:hAnsi="Arial" w:cs="Arial"/>
                <w:sz w:val="22"/>
                <w:szCs w:val="22"/>
              </w:rPr>
            </w:pPr>
            <w:bookmarkStart w:id="14" w:name="OLE_LINK20"/>
            <w:r>
              <w:rPr>
                <w:rFonts w:ascii="Arial" w:hAnsi="Arial" w:cs="Arial"/>
                <w:sz w:val="22"/>
                <w:szCs w:val="22"/>
              </w:rPr>
              <w:t>EAPA Portal Account Creation</w:t>
            </w:r>
            <w:bookmarkEnd w:id="14"/>
          </w:p>
        </w:tc>
        <w:tc>
          <w:tcPr>
            <w:tcW w:w="1260" w:type="dxa"/>
            <w:shd w:val="clear" w:color="auto" w:fill="auto"/>
            <w:vAlign w:val="center"/>
          </w:tcPr>
          <w:p w:rsidR="00BA76F9" w:rsidP="00FC1CAA" w14:paraId="6F33EBD4" w14:textId="1BEC2ACB">
            <w:pPr>
              <w:pStyle w:val="Style"/>
              <w:tabs>
                <w:tab w:val="left" w:pos="-1440"/>
              </w:tabs>
              <w:ind w:left="0" w:firstLine="0"/>
              <w:jc w:val="center"/>
              <w:rPr>
                <w:rFonts w:ascii="Arial" w:hAnsi="Arial" w:cs="Arial"/>
              </w:rPr>
            </w:pPr>
            <w:r>
              <w:rPr>
                <w:rFonts w:ascii="Arial" w:hAnsi="Arial" w:cs="Arial"/>
              </w:rPr>
              <w:t>13</w:t>
            </w:r>
          </w:p>
        </w:tc>
        <w:tc>
          <w:tcPr>
            <w:tcW w:w="1890" w:type="dxa"/>
            <w:shd w:val="clear" w:color="auto" w:fill="auto"/>
            <w:vAlign w:val="center"/>
          </w:tcPr>
          <w:p w:rsidR="00BA76F9" w:rsidP="00A57B74" w14:paraId="35EB2618" w14:textId="2D302F75">
            <w:pPr>
              <w:pStyle w:val="Style"/>
              <w:tabs>
                <w:tab w:val="left" w:pos="-1440"/>
              </w:tabs>
              <w:ind w:left="0" w:firstLine="0"/>
              <w:jc w:val="center"/>
              <w:rPr>
                <w:rFonts w:ascii="Arial" w:hAnsi="Arial" w:cs="Arial"/>
              </w:rPr>
            </w:pPr>
            <w:r>
              <w:rPr>
                <w:rFonts w:ascii="Arial" w:hAnsi="Arial" w:cs="Arial"/>
              </w:rPr>
              <w:t>250</w:t>
            </w:r>
          </w:p>
        </w:tc>
        <w:tc>
          <w:tcPr>
            <w:tcW w:w="1710" w:type="dxa"/>
            <w:shd w:val="clear" w:color="auto" w:fill="auto"/>
            <w:vAlign w:val="center"/>
          </w:tcPr>
          <w:p w:rsidR="00BA76F9" w:rsidRPr="000C52AE" w:rsidP="00A57B74" w14:paraId="192126C9" w14:textId="2CB9F0B3">
            <w:pPr>
              <w:pStyle w:val="Style"/>
              <w:tabs>
                <w:tab w:val="left" w:pos="-1440"/>
              </w:tabs>
              <w:ind w:left="0" w:firstLine="0"/>
              <w:jc w:val="center"/>
              <w:rPr>
                <w:rFonts w:ascii="Arial" w:hAnsi="Arial" w:cs="Arial"/>
              </w:rPr>
            </w:pPr>
            <w:r>
              <w:rPr>
                <w:rFonts w:ascii="Arial" w:hAnsi="Arial" w:cs="Arial"/>
              </w:rPr>
              <w:t>1</w:t>
            </w:r>
          </w:p>
        </w:tc>
        <w:tc>
          <w:tcPr>
            <w:tcW w:w="1530" w:type="dxa"/>
            <w:shd w:val="clear" w:color="auto" w:fill="auto"/>
            <w:vAlign w:val="center"/>
          </w:tcPr>
          <w:p w:rsidR="00BA76F9" w:rsidP="00A57B74" w14:paraId="27D9AC1C" w14:textId="30EA40E1">
            <w:pPr>
              <w:pStyle w:val="Style"/>
              <w:tabs>
                <w:tab w:val="left" w:pos="-1440"/>
              </w:tabs>
              <w:ind w:left="0" w:firstLine="0"/>
              <w:jc w:val="center"/>
              <w:rPr>
                <w:rFonts w:ascii="Arial" w:hAnsi="Arial" w:cs="Arial"/>
              </w:rPr>
            </w:pPr>
            <w:r>
              <w:rPr>
                <w:rFonts w:ascii="Arial" w:hAnsi="Arial" w:cs="Arial"/>
              </w:rPr>
              <w:t>250</w:t>
            </w:r>
          </w:p>
        </w:tc>
        <w:tc>
          <w:tcPr>
            <w:tcW w:w="1476" w:type="dxa"/>
            <w:shd w:val="clear" w:color="auto" w:fill="auto"/>
            <w:vAlign w:val="center"/>
          </w:tcPr>
          <w:p w:rsidR="00BA76F9" w:rsidP="00A57B74" w14:paraId="2FF3B62E" w14:textId="77777777">
            <w:pPr>
              <w:pStyle w:val="Style"/>
              <w:tabs>
                <w:tab w:val="left" w:pos="-1440"/>
              </w:tabs>
              <w:ind w:left="0" w:firstLine="0"/>
              <w:jc w:val="center"/>
              <w:rPr>
                <w:rFonts w:ascii="Arial" w:hAnsi="Arial" w:cs="Arial"/>
                <w:sz w:val="22"/>
                <w:szCs w:val="22"/>
              </w:rPr>
            </w:pPr>
            <w:r>
              <w:rPr>
                <w:rFonts w:ascii="Arial" w:hAnsi="Arial" w:cs="Arial"/>
                <w:sz w:val="22"/>
                <w:szCs w:val="22"/>
              </w:rPr>
              <w:t>3 minutes</w:t>
            </w:r>
          </w:p>
          <w:p w:rsidR="00FC4DB0" w:rsidRPr="000C52AE" w:rsidP="00A57B74" w14:paraId="64AC85C3" w14:textId="61AED71A">
            <w:pPr>
              <w:pStyle w:val="Style"/>
              <w:tabs>
                <w:tab w:val="left" w:pos="-1440"/>
              </w:tabs>
              <w:ind w:left="0" w:firstLine="0"/>
              <w:jc w:val="center"/>
              <w:rPr>
                <w:rFonts w:ascii="Arial" w:hAnsi="Arial" w:cs="Arial"/>
                <w:sz w:val="22"/>
                <w:szCs w:val="22"/>
              </w:rPr>
            </w:pPr>
            <w:r>
              <w:rPr>
                <w:rFonts w:ascii="Arial" w:hAnsi="Arial" w:cs="Arial"/>
                <w:sz w:val="22"/>
                <w:szCs w:val="22"/>
              </w:rPr>
              <w:t>(0.05 hours)</w:t>
            </w:r>
          </w:p>
        </w:tc>
      </w:tr>
      <w:tr w14:paraId="26A2912A" w14:textId="77777777" w:rsidTr="00A57B74">
        <w:tblPrEx>
          <w:tblW w:w="0" w:type="auto"/>
          <w:tblInd w:w="288" w:type="dxa"/>
          <w:tblLayout w:type="fixed"/>
          <w:tblLook w:val="01E0"/>
        </w:tblPrEx>
        <w:tc>
          <w:tcPr>
            <w:tcW w:w="1710" w:type="dxa"/>
            <w:shd w:val="clear" w:color="auto" w:fill="auto"/>
          </w:tcPr>
          <w:p w:rsidR="006468C0" w:rsidRPr="000C52AE" w:rsidP="00A57B74" w14:paraId="5A18AD10" w14:textId="41E43BF7">
            <w:pPr>
              <w:pStyle w:val="Style"/>
              <w:tabs>
                <w:tab w:val="left" w:pos="-1440"/>
              </w:tabs>
              <w:ind w:left="0" w:firstLine="0"/>
              <w:rPr>
                <w:rFonts w:ascii="Arial" w:hAnsi="Arial" w:cs="Arial"/>
                <w:sz w:val="22"/>
                <w:szCs w:val="22"/>
              </w:rPr>
            </w:pPr>
            <w:bookmarkStart w:id="15" w:name="OLE_LINK21"/>
            <w:r>
              <w:rPr>
                <w:rFonts w:ascii="Arial" w:hAnsi="Arial" w:cs="Arial"/>
                <w:sz w:val="22"/>
                <w:szCs w:val="22"/>
              </w:rPr>
              <w:t>EAPA APO Information</w:t>
            </w:r>
            <w:bookmarkEnd w:id="15"/>
          </w:p>
        </w:tc>
        <w:tc>
          <w:tcPr>
            <w:tcW w:w="1260" w:type="dxa"/>
            <w:shd w:val="clear" w:color="auto" w:fill="auto"/>
            <w:vAlign w:val="center"/>
          </w:tcPr>
          <w:p w:rsidR="006468C0" w:rsidP="00FC1CAA" w14:paraId="7FB42456" w14:textId="69E97CD0">
            <w:pPr>
              <w:pStyle w:val="Style"/>
              <w:tabs>
                <w:tab w:val="left" w:pos="-1440"/>
              </w:tabs>
              <w:ind w:left="0" w:firstLine="0"/>
              <w:jc w:val="center"/>
              <w:rPr>
                <w:rFonts w:ascii="Arial" w:hAnsi="Arial" w:cs="Arial"/>
              </w:rPr>
            </w:pPr>
            <w:r>
              <w:rPr>
                <w:rFonts w:ascii="Arial" w:hAnsi="Arial" w:cs="Arial"/>
              </w:rPr>
              <w:t>17</w:t>
            </w:r>
          </w:p>
        </w:tc>
        <w:tc>
          <w:tcPr>
            <w:tcW w:w="1890" w:type="dxa"/>
            <w:shd w:val="clear" w:color="auto" w:fill="auto"/>
            <w:vAlign w:val="center"/>
          </w:tcPr>
          <w:p w:rsidR="006468C0" w:rsidP="00A57B74" w14:paraId="3CE2FC2A" w14:textId="4921B635">
            <w:pPr>
              <w:pStyle w:val="Style"/>
              <w:tabs>
                <w:tab w:val="left" w:pos="-1440"/>
              </w:tabs>
              <w:ind w:left="0" w:firstLine="0"/>
              <w:jc w:val="center"/>
              <w:rPr>
                <w:rFonts w:ascii="Arial" w:hAnsi="Arial" w:cs="Arial"/>
              </w:rPr>
            </w:pPr>
            <w:r>
              <w:rPr>
                <w:rFonts w:ascii="Arial" w:hAnsi="Arial" w:cs="Arial"/>
              </w:rPr>
              <w:t>100</w:t>
            </w:r>
          </w:p>
        </w:tc>
        <w:tc>
          <w:tcPr>
            <w:tcW w:w="1710" w:type="dxa"/>
            <w:shd w:val="clear" w:color="auto" w:fill="auto"/>
            <w:vAlign w:val="center"/>
          </w:tcPr>
          <w:p w:rsidR="006468C0" w:rsidRPr="000C52AE" w:rsidP="00A57B74" w14:paraId="6AF0BA16" w14:textId="26FF90F9">
            <w:pPr>
              <w:pStyle w:val="Style"/>
              <w:tabs>
                <w:tab w:val="left" w:pos="-1440"/>
              </w:tabs>
              <w:ind w:left="0" w:firstLine="0"/>
              <w:jc w:val="center"/>
              <w:rPr>
                <w:rFonts w:ascii="Arial" w:hAnsi="Arial" w:cs="Arial"/>
              </w:rPr>
            </w:pPr>
            <w:r>
              <w:rPr>
                <w:rFonts w:ascii="Arial" w:hAnsi="Arial" w:cs="Arial"/>
              </w:rPr>
              <w:t>1</w:t>
            </w:r>
          </w:p>
        </w:tc>
        <w:tc>
          <w:tcPr>
            <w:tcW w:w="1530" w:type="dxa"/>
            <w:shd w:val="clear" w:color="auto" w:fill="auto"/>
            <w:vAlign w:val="center"/>
          </w:tcPr>
          <w:p w:rsidR="006468C0" w:rsidP="00A57B74" w14:paraId="301FCE3C" w14:textId="2C65F496">
            <w:pPr>
              <w:pStyle w:val="Style"/>
              <w:tabs>
                <w:tab w:val="left" w:pos="-1440"/>
              </w:tabs>
              <w:ind w:left="0" w:firstLine="0"/>
              <w:jc w:val="center"/>
              <w:rPr>
                <w:rFonts w:ascii="Arial" w:hAnsi="Arial" w:cs="Arial"/>
              </w:rPr>
            </w:pPr>
            <w:r>
              <w:rPr>
                <w:rFonts w:ascii="Arial" w:hAnsi="Arial" w:cs="Arial"/>
              </w:rPr>
              <w:t>100</w:t>
            </w:r>
          </w:p>
        </w:tc>
        <w:tc>
          <w:tcPr>
            <w:tcW w:w="1476" w:type="dxa"/>
            <w:shd w:val="clear" w:color="auto" w:fill="auto"/>
            <w:vAlign w:val="center"/>
          </w:tcPr>
          <w:p w:rsidR="006468C0" w:rsidRPr="000C52AE" w:rsidP="00A57B74" w14:paraId="4F37B188" w14:textId="4490A20B">
            <w:pPr>
              <w:pStyle w:val="Style"/>
              <w:tabs>
                <w:tab w:val="left" w:pos="-1440"/>
              </w:tabs>
              <w:ind w:left="0" w:firstLine="0"/>
              <w:jc w:val="center"/>
              <w:rPr>
                <w:rFonts w:ascii="Arial" w:hAnsi="Arial" w:cs="Arial"/>
                <w:sz w:val="22"/>
                <w:szCs w:val="22"/>
              </w:rPr>
            </w:pPr>
            <w:r>
              <w:rPr>
                <w:rFonts w:ascii="Arial" w:hAnsi="Arial" w:cs="Arial"/>
                <w:sz w:val="22"/>
                <w:szCs w:val="22"/>
              </w:rPr>
              <w:t>10 minutes (.</w:t>
            </w:r>
            <w:r w:rsidR="001E06FB">
              <w:rPr>
                <w:rFonts w:ascii="Arial" w:hAnsi="Arial" w:cs="Arial"/>
                <w:sz w:val="22"/>
                <w:szCs w:val="22"/>
              </w:rPr>
              <w:t>167 hours)</w:t>
            </w:r>
          </w:p>
        </w:tc>
      </w:tr>
      <w:tr w14:paraId="5A27210E" w14:textId="77777777" w:rsidTr="00A57B74">
        <w:tblPrEx>
          <w:tblW w:w="0" w:type="auto"/>
          <w:tblInd w:w="288" w:type="dxa"/>
          <w:tblLayout w:type="fixed"/>
          <w:tblLook w:val="01E0"/>
        </w:tblPrEx>
        <w:tc>
          <w:tcPr>
            <w:tcW w:w="1710" w:type="dxa"/>
            <w:shd w:val="clear" w:color="auto" w:fill="auto"/>
          </w:tcPr>
          <w:p w:rsidR="001610C4" w:rsidP="00A57B74" w14:paraId="4221DD6A" w14:textId="64ADC0D7">
            <w:pPr>
              <w:pStyle w:val="Style"/>
              <w:tabs>
                <w:tab w:val="left" w:pos="-1440"/>
              </w:tabs>
              <w:ind w:left="0" w:firstLine="0"/>
              <w:rPr>
                <w:rFonts w:ascii="Arial" w:hAnsi="Arial" w:cs="Arial"/>
                <w:sz w:val="22"/>
                <w:szCs w:val="22"/>
              </w:rPr>
            </w:pPr>
            <w:r>
              <w:rPr>
                <w:rFonts w:ascii="Arial" w:hAnsi="Arial" w:cs="Arial"/>
                <w:sz w:val="22"/>
                <w:szCs w:val="22"/>
              </w:rPr>
              <w:t>Total:</w:t>
            </w:r>
          </w:p>
        </w:tc>
        <w:tc>
          <w:tcPr>
            <w:tcW w:w="1260" w:type="dxa"/>
            <w:shd w:val="clear" w:color="auto" w:fill="auto"/>
            <w:vAlign w:val="center"/>
          </w:tcPr>
          <w:p w:rsidR="001610C4" w:rsidP="00FC1CAA" w14:paraId="283811A3" w14:textId="69B2A94B">
            <w:pPr>
              <w:pStyle w:val="Style"/>
              <w:tabs>
                <w:tab w:val="left" w:pos="-1440"/>
              </w:tabs>
              <w:ind w:left="0" w:firstLine="0"/>
              <w:jc w:val="center"/>
              <w:rPr>
                <w:rFonts w:ascii="Arial" w:hAnsi="Arial" w:cs="Arial"/>
              </w:rPr>
            </w:pPr>
            <w:r>
              <w:rPr>
                <w:rFonts w:ascii="Arial" w:hAnsi="Arial" w:cs="Arial"/>
              </w:rPr>
              <w:t>332</w:t>
            </w:r>
          </w:p>
        </w:tc>
        <w:tc>
          <w:tcPr>
            <w:tcW w:w="1890" w:type="dxa"/>
            <w:shd w:val="clear" w:color="auto" w:fill="auto"/>
            <w:vAlign w:val="center"/>
          </w:tcPr>
          <w:p w:rsidR="001610C4" w:rsidP="00A57B74" w14:paraId="0A0963CC" w14:textId="0615A12E">
            <w:pPr>
              <w:pStyle w:val="Style"/>
              <w:tabs>
                <w:tab w:val="left" w:pos="-1440"/>
              </w:tabs>
              <w:ind w:left="0" w:firstLine="0"/>
              <w:jc w:val="center"/>
              <w:rPr>
                <w:rFonts w:ascii="Arial" w:hAnsi="Arial" w:cs="Arial"/>
              </w:rPr>
            </w:pPr>
            <w:r>
              <w:rPr>
                <w:rFonts w:ascii="Arial" w:hAnsi="Arial" w:cs="Arial"/>
              </w:rPr>
              <w:t>1,</w:t>
            </w:r>
            <w:r w:rsidR="00FC4DB0">
              <w:rPr>
                <w:rFonts w:ascii="Arial" w:hAnsi="Arial" w:cs="Arial"/>
              </w:rPr>
              <w:t>587</w:t>
            </w:r>
          </w:p>
        </w:tc>
        <w:tc>
          <w:tcPr>
            <w:tcW w:w="1710" w:type="dxa"/>
            <w:shd w:val="clear" w:color="auto" w:fill="auto"/>
            <w:vAlign w:val="center"/>
          </w:tcPr>
          <w:p w:rsidR="001610C4" w:rsidP="00A57B74" w14:paraId="25464AD3" w14:textId="77777777">
            <w:pPr>
              <w:pStyle w:val="Style"/>
              <w:tabs>
                <w:tab w:val="left" w:pos="-1440"/>
              </w:tabs>
              <w:ind w:left="0" w:firstLine="0"/>
              <w:jc w:val="center"/>
              <w:rPr>
                <w:rFonts w:ascii="Arial" w:hAnsi="Arial" w:cs="Arial"/>
              </w:rPr>
            </w:pPr>
          </w:p>
        </w:tc>
        <w:tc>
          <w:tcPr>
            <w:tcW w:w="1530" w:type="dxa"/>
            <w:shd w:val="clear" w:color="auto" w:fill="auto"/>
            <w:vAlign w:val="center"/>
          </w:tcPr>
          <w:p w:rsidR="001610C4" w:rsidP="00A57B74" w14:paraId="14B13F98" w14:textId="06D509A7">
            <w:pPr>
              <w:pStyle w:val="Style"/>
              <w:tabs>
                <w:tab w:val="left" w:pos="-1440"/>
              </w:tabs>
              <w:ind w:left="0" w:firstLine="0"/>
              <w:jc w:val="center"/>
              <w:rPr>
                <w:rFonts w:ascii="Arial" w:hAnsi="Arial" w:cs="Arial"/>
              </w:rPr>
            </w:pPr>
            <w:r>
              <w:rPr>
                <w:rFonts w:ascii="Arial" w:hAnsi="Arial" w:cs="Arial"/>
              </w:rPr>
              <w:t>1,</w:t>
            </w:r>
            <w:r w:rsidR="00FC4DB0">
              <w:rPr>
                <w:rFonts w:ascii="Arial" w:hAnsi="Arial" w:cs="Arial"/>
              </w:rPr>
              <w:t>587</w:t>
            </w:r>
          </w:p>
        </w:tc>
        <w:tc>
          <w:tcPr>
            <w:tcW w:w="1476" w:type="dxa"/>
            <w:shd w:val="clear" w:color="auto" w:fill="auto"/>
            <w:vAlign w:val="center"/>
          </w:tcPr>
          <w:p w:rsidR="001610C4" w:rsidP="00A57B74" w14:paraId="6EE173DF" w14:textId="77777777">
            <w:pPr>
              <w:pStyle w:val="Style"/>
              <w:tabs>
                <w:tab w:val="left" w:pos="-1440"/>
              </w:tabs>
              <w:ind w:left="0" w:firstLine="0"/>
              <w:jc w:val="center"/>
              <w:rPr>
                <w:rFonts w:ascii="Arial" w:hAnsi="Arial" w:cs="Arial"/>
                <w:sz w:val="22"/>
                <w:szCs w:val="22"/>
              </w:rPr>
            </w:pPr>
          </w:p>
        </w:tc>
      </w:tr>
    </w:tbl>
    <w:bookmarkEnd w:id="13"/>
    <w:p w:rsidR="00C8360E" w:rsidRPr="000C52AE" w:rsidP="00C8360E" w14:paraId="6DF74CE8" w14:textId="77777777">
      <w:pPr>
        <w:tabs>
          <w:tab w:val="left" w:pos="-1440"/>
        </w:tabs>
        <w:ind w:left="720" w:hanging="720"/>
        <w:jc w:val="both"/>
        <w:rPr>
          <w:rFonts w:ascii="Arial" w:hAnsi="Arial" w:cs="Arial"/>
        </w:rPr>
      </w:pPr>
      <w:r w:rsidRPr="000C52AE">
        <w:rPr>
          <w:rFonts w:ascii="Arial" w:hAnsi="Arial" w:cs="Arial"/>
        </w:rPr>
        <w:tab/>
      </w:r>
    </w:p>
    <w:p w:rsidR="00DC67D8" w:rsidRPr="000C52AE" w:rsidP="00496FB2" w14:paraId="2FDB522D" w14:textId="41E544FF">
      <w:pPr>
        <w:tabs>
          <w:tab w:val="left" w:pos="-1440"/>
        </w:tabs>
        <w:ind w:left="720" w:right="216" w:hanging="720"/>
        <w:jc w:val="both"/>
        <w:rPr>
          <w:rFonts w:ascii="Arial" w:hAnsi="Arial" w:cs="Arial"/>
          <w:b/>
          <w:bCs/>
          <w:sz w:val="24"/>
          <w:szCs w:val="24"/>
        </w:rPr>
      </w:pPr>
      <w:r w:rsidRPr="000C52AE">
        <w:rPr>
          <w:rFonts w:ascii="Arial" w:hAnsi="Arial" w:cs="Arial"/>
          <w:b/>
          <w:bCs/>
          <w:szCs w:val="24"/>
        </w:rPr>
        <w:tab/>
      </w:r>
      <w:r w:rsidRPr="000C52AE">
        <w:rPr>
          <w:rFonts w:ascii="Arial" w:hAnsi="Arial" w:cs="Arial"/>
          <w:b/>
          <w:bCs/>
          <w:sz w:val="24"/>
          <w:szCs w:val="24"/>
        </w:rPr>
        <w:t>Public Cost</w:t>
      </w:r>
    </w:p>
    <w:p w:rsidR="00AF5FAD" w:rsidRPr="000C52AE" w:rsidP="00496FB2" w14:paraId="1394C873" w14:textId="77777777">
      <w:pPr>
        <w:tabs>
          <w:tab w:val="left" w:pos="-1440"/>
        </w:tabs>
        <w:ind w:left="720" w:right="216" w:hanging="720"/>
        <w:jc w:val="both"/>
        <w:rPr>
          <w:rFonts w:ascii="Arial" w:hAnsi="Arial" w:cs="Arial"/>
          <w:b/>
          <w:bCs/>
          <w:sz w:val="24"/>
          <w:szCs w:val="24"/>
        </w:rPr>
      </w:pPr>
    </w:p>
    <w:p w:rsidR="00BA76F9" w:rsidP="00BA76F9" w14:paraId="2760A570" w14:textId="77777777">
      <w:pPr>
        <w:ind w:left="720" w:right="216"/>
        <w:jc w:val="both"/>
        <w:rPr>
          <w:rFonts w:ascii="Arial" w:hAnsi="Arial" w:cs="Arial"/>
          <w:sz w:val="24"/>
          <w:szCs w:val="24"/>
        </w:rPr>
      </w:pPr>
      <w:r>
        <w:rPr>
          <w:rFonts w:ascii="Arial" w:hAnsi="Arial" w:cs="Arial"/>
          <w:b/>
          <w:sz w:val="24"/>
          <w:szCs w:val="24"/>
        </w:rPr>
        <w:t xml:space="preserve">e-Allegations:  </w:t>
      </w:r>
      <w:r>
        <w:rPr>
          <w:rFonts w:ascii="Arial" w:hAnsi="Arial" w:cs="Arial"/>
          <w:sz w:val="24"/>
          <w:szCs w:val="24"/>
        </w:rPr>
        <w:t>The estimated cost to the respondents is $8,533.  This is based on the estimated burden hours (272) multiplied by the average loaded hourly wage rate for importers ($31.37).  CBP calculated this loaded wage rate by first multiplying the Bureau of Labor Statistics’ (BLS) 2020 median hourly wage rate for Cargo and Freight Agents ($21.04), which CBP assumes best represents the wage for importers, by the ratio of BLS’ average 2020 total compensation to wages and salaries for Office and Administrative Support occupations (1.4912), the assumed occupational group for importers, to account for non-salary employee benefits.</w:t>
      </w:r>
      <w:r>
        <w:rPr>
          <w:rFonts w:ascii="Arial" w:hAnsi="Arial" w:cs="Arial"/>
          <w:sz w:val="24"/>
          <w:szCs w:val="24"/>
          <w:vertAlign w:val="superscript"/>
        </w:rPr>
        <w:footnoteReference w:id="4"/>
      </w:r>
      <w:r>
        <w:rPr>
          <w:rFonts w:ascii="Arial" w:hAnsi="Arial" w:cs="Arial"/>
          <w:sz w:val="24"/>
          <w:szCs w:val="24"/>
          <w:vertAlign w:val="superscript"/>
        </w:rPr>
        <w:t xml:space="preserve">  </w:t>
      </w:r>
      <w:r>
        <w:rPr>
          <w:rFonts w:ascii="Arial" w:hAnsi="Arial" w:cs="Arial"/>
          <w:sz w:val="24"/>
          <w:szCs w:val="24"/>
        </w:rPr>
        <w:t>This figure is in 2020 U.S. dollars and CBP assumes an annual growth rate of 0 percent; the 2020 U.S. dollar value is equal to the 2021 U.S. dollar value.</w:t>
      </w:r>
    </w:p>
    <w:p w:rsidR="00BA76F9" w:rsidP="00BA76F9" w14:paraId="41B78AD6" w14:textId="77777777">
      <w:pPr>
        <w:ind w:left="720" w:right="216"/>
        <w:jc w:val="both"/>
        <w:rPr>
          <w:rFonts w:ascii="Arial" w:hAnsi="Arial" w:cs="Arial"/>
          <w:b/>
          <w:sz w:val="24"/>
          <w:szCs w:val="24"/>
        </w:rPr>
      </w:pPr>
    </w:p>
    <w:p w:rsidR="00BA76F9" w:rsidP="00BA76F9" w14:paraId="395602B8" w14:textId="77777777">
      <w:pPr>
        <w:ind w:left="720" w:right="216"/>
        <w:jc w:val="both"/>
        <w:rPr>
          <w:rFonts w:ascii="Arial" w:hAnsi="Arial" w:cs="Arial"/>
          <w:sz w:val="24"/>
          <w:szCs w:val="24"/>
        </w:rPr>
      </w:pPr>
    </w:p>
    <w:p w:rsidR="00BA76F9" w:rsidP="00BA76F9" w14:paraId="33B3118E" w14:textId="77777777">
      <w:pPr>
        <w:ind w:left="720" w:right="216"/>
        <w:rPr>
          <w:rFonts w:ascii="Arial" w:hAnsi="Arial" w:cs="Arial"/>
          <w:sz w:val="24"/>
          <w:szCs w:val="24"/>
        </w:rPr>
      </w:pPr>
    </w:p>
    <w:p w:rsidR="00BA76F9" w:rsidP="00BA76F9" w14:paraId="77B53DB6" w14:textId="77777777">
      <w:pPr>
        <w:ind w:left="720" w:right="216"/>
        <w:jc w:val="both"/>
        <w:rPr>
          <w:rFonts w:ascii="Arial" w:hAnsi="Arial" w:cs="Arial"/>
          <w:sz w:val="24"/>
          <w:szCs w:val="24"/>
        </w:rPr>
      </w:pPr>
      <w:r>
        <w:rPr>
          <w:rFonts w:ascii="Arial" w:hAnsi="Arial" w:cs="Arial"/>
          <w:b/>
          <w:sz w:val="24"/>
          <w:szCs w:val="24"/>
        </w:rPr>
        <w:t xml:space="preserve">EAPA Allegations:  </w:t>
      </w:r>
      <w:bookmarkStart w:id="16" w:name="_Hlk83026442"/>
      <w:r>
        <w:rPr>
          <w:rFonts w:ascii="Arial" w:hAnsi="Arial" w:cs="Arial"/>
          <w:sz w:val="24"/>
          <w:szCs w:val="24"/>
        </w:rPr>
        <w:t>The estimated cost to the respondents is $12,896.  This is based on the estimated burden hours (30) multiplied by the average loaded hourly wage rate for external attorneys ($429.86).  CBP determined this is the best estimate for private lawyers hired outside of a company and was obtained from an American Intellectual Property Law Association (AIPLA) study on the average hourly billing rate for lawyers.  AIPLA’s study surveyed intellectual property (IP) lawyers that were used in the 2017 Report of the Economic Survey.  The median hourly billing rate for these lawyers was $400 in 2016 dollars, which is the most recent data available, and $429.86 after adjustment to 2020 dollars.</w:t>
      </w:r>
      <w:r>
        <w:rPr>
          <w:vertAlign w:val="superscript"/>
        </w:rPr>
        <w:footnoteReference w:id="5"/>
      </w:r>
      <w:r>
        <w:rPr>
          <w:rFonts w:ascii="Arial" w:hAnsi="Arial" w:cs="Arial"/>
          <w:sz w:val="24"/>
          <w:szCs w:val="24"/>
        </w:rPr>
        <w:t xml:space="preserve"> </w:t>
      </w:r>
      <w:r>
        <w:rPr>
          <w:vertAlign w:val="superscript"/>
        </w:rPr>
        <w:footnoteReference w:id="6"/>
      </w:r>
      <w:r>
        <w:rPr>
          <w:rFonts w:ascii="Arial" w:hAnsi="Arial" w:cs="Arial"/>
          <w:sz w:val="24"/>
          <w:szCs w:val="24"/>
        </w:rPr>
        <w:t xml:space="preserve">  CBP assumes an annual growth rate of 0 percent for 2021; the 2020 U.S. dollar value is equal to the 2021 U.S. dollar value.</w:t>
      </w:r>
    </w:p>
    <w:bookmarkEnd w:id="16"/>
    <w:p w:rsidR="00BA76F9" w:rsidP="00BA76F9" w14:paraId="7F0D7A1B" w14:textId="77777777">
      <w:pPr>
        <w:ind w:left="720" w:right="216"/>
        <w:jc w:val="both"/>
        <w:rPr>
          <w:rFonts w:ascii="Arial" w:hAnsi="Arial" w:cs="Arial"/>
          <w:sz w:val="24"/>
          <w:szCs w:val="24"/>
        </w:rPr>
      </w:pPr>
    </w:p>
    <w:p w:rsidR="00BA76F9" w:rsidP="00BA76F9" w14:paraId="43125BEA" w14:textId="77777777">
      <w:pPr>
        <w:ind w:left="720" w:right="216"/>
        <w:jc w:val="both"/>
        <w:rPr>
          <w:rFonts w:ascii="Arial" w:hAnsi="Arial" w:cs="Arial"/>
          <w:sz w:val="24"/>
          <w:szCs w:val="24"/>
        </w:rPr>
      </w:pPr>
    </w:p>
    <w:p w:rsidR="00BA76F9" w:rsidP="00BA76F9" w14:paraId="325CEE75" w14:textId="77777777">
      <w:pPr>
        <w:ind w:left="720" w:right="216"/>
        <w:jc w:val="both"/>
        <w:rPr>
          <w:rFonts w:ascii="Arial" w:hAnsi="Arial" w:cs="Arial"/>
          <w:b/>
          <w:sz w:val="24"/>
          <w:szCs w:val="24"/>
        </w:rPr>
      </w:pPr>
    </w:p>
    <w:p w:rsidR="00BA76F9" w:rsidP="00BA76F9" w14:paraId="3234DF2A" w14:textId="77777777">
      <w:pPr>
        <w:ind w:left="720" w:right="216"/>
        <w:jc w:val="both"/>
        <w:rPr>
          <w:rFonts w:ascii="Arial" w:hAnsi="Arial" w:cs="Arial"/>
          <w:bCs/>
          <w:sz w:val="24"/>
          <w:szCs w:val="24"/>
        </w:rPr>
      </w:pPr>
      <w:r>
        <w:rPr>
          <w:rFonts w:ascii="Arial" w:hAnsi="Arial" w:cs="Arial"/>
          <w:b/>
          <w:sz w:val="24"/>
          <w:szCs w:val="24"/>
        </w:rPr>
        <w:t xml:space="preserve">EAPA portal account creation:  </w:t>
      </w:r>
      <w:r>
        <w:rPr>
          <w:rFonts w:ascii="Arial" w:hAnsi="Arial" w:cs="Arial"/>
          <w:bCs/>
          <w:sz w:val="24"/>
          <w:szCs w:val="24"/>
        </w:rPr>
        <w:t>The estimated cost to the respondents is $5,588.  This is based on the estimated burden hours (13) multiplied by the average loaded hourly wage rate for external attorneys ($429.86).  CBP determined this is the best estimate for private lawyers hired outside of a company and was obtained from an American Intellectual Property Law Association (AIPLA) study on the average hourly billing rate for lawyers.  AIPLA’s study surveyed intellectual property (IP) lawyers that were used in the 2017 Report of the Economic Survey.  The median hourly billing rate for these lawyers was $400 in 2016 dollars, which is the most recent data available, and $429.86 after adjustment to 2020 dollars.</w:t>
      </w:r>
      <w:r>
        <w:rPr>
          <w:rFonts w:ascii="Arial" w:hAnsi="Arial" w:cs="Arial"/>
          <w:bCs/>
          <w:sz w:val="24"/>
          <w:szCs w:val="24"/>
          <w:vertAlign w:val="superscript"/>
        </w:rPr>
        <w:footnoteReference w:id="7"/>
      </w:r>
      <w:r>
        <w:rPr>
          <w:rFonts w:ascii="Arial" w:hAnsi="Arial" w:cs="Arial"/>
          <w:bCs/>
          <w:sz w:val="24"/>
          <w:szCs w:val="24"/>
        </w:rPr>
        <w:t xml:space="preserve"> </w:t>
      </w:r>
      <w:r>
        <w:rPr>
          <w:rFonts w:ascii="Arial" w:hAnsi="Arial" w:cs="Arial"/>
          <w:bCs/>
          <w:sz w:val="24"/>
          <w:szCs w:val="24"/>
          <w:vertAlign w:val="superscript"/>
        </w:rPr>
        <w:footnoteReference w:id="8"/>
      </w:r>
      <w:r>
        <w:rPr>
          <w:rFonts w:ascii="Arial" w:hAnsi="Arial" w:cs="Arial"/>
          <w:bCs/>
          <w:sz w:val="24"/>
          <w:szCs w:val="24"/>
        </w:rPr>
        <w:t xml:space="preserve">  CBP assumes an annual growth rate of 0 percent for 2021; the 2020 U.S. dollar value is equal to the 2021 U.S. dollar value.</w:t>
      </w:r>
    </w:p>
    <w:p w:rsidR="00C869FC" w:rsidP="00C869FC" w14:paraId="4084867C" w14:textId="77777777">
      <w:pPr>
        <w:ind w:left="720" w:right="216"/>
        <w:jc w:val="both"/>
        <w:rPr>
          <w:rFonts w:ascii="Arial" w:hAnsi="Arial" w:cs="Arial"/>
          <w:b/>
          <w:bCs/>
          <w:sz w:val="24"/>
          <w:szCs w:val="24"/>
        </w:rPr>
      </w:pPr>
    </w:p>
    <w:p w:rsidR="00C869FC" w:rsidRPr="00612432" w:rsidP="00C869FC" w14:paraId="65B06F3E" w14:textId="5BCC1D15">
      <w:pPr>
        <w:ind w:left="720" w:right="216"/>
        <w:jc w:val="both"/>
        <w:rPr>
          <w:rFonts w:ascii="Arial" w:hAnsi="Arial" w:cs="Arial"/>
          <w:sz w:val="24"/>
          <w:szCs w:val="24"/>
        </w:rPr>
      </w:pPr>
      <w:r>
        <w:rPr>
          <w:rFonts w:ascii="Arial" w:hAnsi="Arial" w:cs="Arial"/>
          <w:b/>
          <w:bCs/>
          <w:sz w:val="24"/>
          <w:szCs w:val="24"/>
        </w:rPr>
        <w:t xml:space="preserve">EAPA APO:   </w:t>
      </w:r>
      <w:r w:rsidRPr="00612432">
        <w:rPr>
          <w:rFonts w:ascii="Arial" w:hAnsi="Arial" w:cs="Arial"/>
          <w:sz w:val="24"/>
          <w:szCs w:val="24"/>
        </w:rPr>
        <w:t>The estimated cost to the respondents is $</w:t>
      </w:r>
      <w:r>
        <w:rPr>
          <w:rFonts w:ascii="Arial" w:hAnsi="Arial" w:cs="Arial"/>
          <w:sz w:val="24"/>
          <w:szCs w:val="24"/>
        </w:rPr>
        <w:t>8,755</w:t>
      </w:r>
      <w:r w:rsidRPr="00612432">
        <w:rPr>
          <w:rFonts w:ascii="Arial" w:hAnsi="Arial" w:cs="Arial"/>
          <w:sz w:val="24"/>
          <w:szCs w:val="24"/>
        </w:rPr>
        <w:t>.  This is based on the estimated burden hours (</w:t>
      </w:r>
      <w:r>
        <w:rPr>
          <w:rFonts w:ascii="Arial" w:hAnsi="Arial" w:cs="Arial"/>
          <w:sz w:val="24"/>
          <w:szCs w:val="24"/>
        </w:rPr>
        <w:t>17</w:t>
      </w:r>
      <w:r w:rsidRPr="00612432">
        <w:rPr>
          <w:rFonts w:ascii="Arial" w:hAnsi="Arial" w:cs="Arial"/>
          <w:sz w:val="24"/>
          <w:szCs w:val="24"/>
        </w:rPr>
        <w:t>) multiplied by the average loaded hourly wage rate for external attorneys ($514.99).  CBP determined this is the best estimate for private lawyers hired outside of a company and was obtained from an American Intellectual Property Law Association (AIPLA) study on the average hourly billing rate for lawyers.  AIPLA’s study surveyed intellectual property (IP) lawyers that were used in the 2017 Report of the Economic Survey.  The median hourly billing rate for these lawyers was $400 in 2016 dollars, which is the most recent data available, and $481.28 after adjustment to 2022 dollars.</w:t>
      </w:r>
      <w:r>
        <w:rPr>
          <w:rFonts w:ascii="Arial" w:hAnsi="Arial" w:cs="Arial"/>
          <w:sz w:val="24"/>
          <w:szCs w:val="24"/>
          <w:vertAlign w:val="superscript"/>
        </w:rPr>
        <w:footnoteReference w:id="9"/>
      </w:r>
      <w:r w:rsidRPr="00612432">
        <w:rPr>
          <w:rFonts w:ascii="Arial" w:hAnsi="Arial" w:cs="Arial"/>
          <w:sz w:val="24"/>
          <w:szCs w:val="24"/>
        </w:rPr>
        <w:t xml:space="preserve"> </w:t>
      </w:r>
      <w:r>
        <w:rPr>
          <w:rFonts w:ascii="Arial" w:hAnsi="Arial" w:cs="Arial"/>
          <w:sz w:val="24"/>
          <w:szCs w:val="24"/>
          <w:vertAlign w:val="superscript"/>
        </w:rPr>
        <w:footnoteReference w:id="10"/>
      </w:r>
      <w:r w:rsidRPr="00612432">
        <w:rPr>
          <w:rFonts w:ascii="Arial" w:hAnsi="Arial" w:cs="Arial"/>
          <w:sz w:val="24"/>
          <w:szCs w:val="24"/>
        </w:rPr>
        <w:t xml:space="preserve">  CBP assumes an annual growth rate of 7.01% based on the prior year's change in the implicit price deflator, published by the Bureau of Economic Analysis.</w:t>
      </w:r>
      <w:r>
        <w:rPr>
          <w:rFonts w:ascii="Arial" w:hAnsi="Arial" w:cs="Arial"/>
          <w:sz w:val="24"/>
          <w:szCs w:val="24"/>
          <w:vertAlign w:val="superscript"/>
        </w:rPr>
        <w:footnoteReference w:id="11"/>
      </w:r>
      <w:r w:rsidRPr="00612432">
        <w:rPr>
          <w:rFonts w:ascii="Arial" w:hAnsi="Arial" w:cs="Arial"/>
          <w:sz w:val="24"/>
          <w:szCs w:val="24"/>
        </w:rPr>
        <w:t xml:space="preserve"> </w:t>
      </w:r>
    </w:p>
    <w:p w:rsidR="003243AA" w:rsidRPr="000C52AE" w:rsidP="00496FB2" w14:paraId="6F882F67" w14:textId="77777777">
      <w:pPr>
        <w:ind w:left="720" w:right="216"/>
        <w:jc w:val="both"/>
        <w:rPr>
          <w:rFonts w:ascii="Arial" w:hAnsi="Arial" w:cs="Arial"/>
          <w:b/>
          <w:sz w:val="24"/>
          <w:szCs w:val="24"/>
        </w:rPr>
      </w:pPr>
    </w:p>
    <w:p w:rsidR="005F6D43" w:rsidRPr="000C52AE" w:rsidP="00496FB2" w14:paraId="568F69AB" w14:textId="767B5C1E">
      <w:pPr>
        <w:ind w:left="720" w:right="216" w:hanging="720"/>
        <w:jc w:val="both"/>
        <w:rPr>
          <w:rFonts w:ascii="Arial" w:hAnsi="Arial" w:cs="Arial"/>
          <w:sz w:val="24"/>
          <w:szCs w:val="24"/>
        </w:rPr>
      </w:pPr>
      <w:r w:rsidRPr="000C52AE">
        <w:rPr>
          <w:rFonts w:ascii="Arial" w:hAnsi="Arial" w:cs="Arial"/>
          <w:b/>
          <w:sz w:val="24"/>
          <w:szCs w:val="24"/>
        </w:rPr>
        <w:t xml:space="preserve">13. </w:t>
      </w:r>
      <w:r w:rsidRPr="000C52AE" w:rsidR="0023738E">
        <w:rPr>
          <w:rFonts w:ascii="Arial" w:hAnsi="Arial" w:cs="Arial"/>
          <w:b/>
          <w:sz w:val="24"/>
          <w:szCs w:val="24"/>
        </w:rPr>
        <w:tab/>
      </w:r>
      <w:r w:rsidRPr="000C52AE">
        <w:rPr>
          <w:rFonts w:ascii="Arial" w:hAnsi="Arial" w:cs="Arial"/>
          <w:b/>
          <w:sz w:val="24"/>
          <w:szCs w:val="24"/>
        </w:rPr>
        <w:t>Provide an estimate of the total annual cost burden to respondents or recordkeepers resulting from the collection of information.</w:t>
      </w:r>
      <w:r w:rsidRPr="000C52AE">
        <w:rPr>
          <w:rFonts w:ascii="Arial" w:hAnsi="Arial" w:cs="Arial"/>
          <w:sz w:val="24"/>
          <w:szCs w:val="24"/>
        </w:rPr>
        <w:t xml:space="preserve"> </w:t>
      </w:r>
    </w:p>
    <w:p w:rsidR="005F6D43" w:rsidRPr="000C52AE" w:rsidP="00496FB2" w14:paraId="56D5AAA6" w14:textId="77777777">
      <w:pPr>
        <w:ind w:right="216"/>
        <w:jc w:val="both"/>
        <w:rPr>
          <w:rFonts w:ascii="Arial" w:hAnsi="Arial" w:cs="Arial"/>
          <w:sz w:val="24"/>
          <w:szCs w:val="24"/>
        </w:rPr>
      </w:pPr>
    </w:p>
    <w:p w:rsidR="00CB3E25" w:rsidRPr="000C52AE" w:rsidP="00496FB2" w14:paraId="5E0080DD" w14:textId="77777777">
      <w:pPr>
        <w:ind w:left="720" w:right="216"/>
        <w:rPr>
          <w:rFonts w:ascii="Arial" w:hAnsi="Arial" w:cs="Arial"/>
          <w:sz w:val="24"/>
          <w:szCs w:val="24"/>
        </w:rPr>
      </w:pPr>
      <w:r w:rsidRPr="000C52AE">
        <w:rPr>
          <w:rFonts w:ascii="Arial" w:hAnsi="Arial" w:cs="Arial"/>
          <w:sz w:val="24"/>
          <w:szCs w:val="24"/>
        </w:rPr>
        <w:t>There are no capitalization costs associated with this information collection.</w:t>
      </w:r>
    </w:p>
    <w:p w:rsidR="00245B77" w:rsidRPr="000C52AE" w:rsidP="00496FB2" w14:paraId="545C80F7" w14:textId="77777777">
      <w:pPr>
        <w:ind w:left="360" w:right="216"/>
        <w:jc w:val="both"/>
        <w:rPr>
          <w:rFonts w:ascii="Arial" w:hAnsi="Arial" w:cs="Arial"/>
          <w:sz w:val="24"/>
          <w:szCs w:val="24"/>
        </w:rPr>
      </w:pPr>
    </w:p>
    <w:p w:rsidR="005F6D43" w:rsidRPr="000C52AE" w:rsidP="00496FB2" w14:paraId="7BCC6608" w14:textId="0DCA73C9">
      <w:pPr>
        <w:ind w:left="720" w:right="216" w:hanging="720"/>
        <w:jc w:val="both"/>
        <w:rPr>
          <w:rFonts w:ascii="Arial" w:hAnsi="Arial" w:cs="Arial"/>
          <w:b/>
          <w:sz w:val="24"/>
          <w:szCs w:val="24"/>
        </w:rPr>
      </w:pPr>
      <w:r w:rsidRPr="000C52AE">
        <w:rPr>
          <w:rFonts w:ascii="Arial" w:hAnsi="Arial" w:cs="Arial"/>
          <w:b/>
          <w:sz w:val="24"/>
          <w:szCs w:val="24"/>
        </w:rPr>
        <w:t xml:space="preserve">14. </w:t>
      </w:r>
      <w:r w:rsidRPr="000C52AE" w:rsidR="0023738E">
        <w:rPr>
          <w:rFonts w:ascii="Arial" w:hAnsi="Arial" w:cs="Arial"/>
          <w:b/>
          <w:sz w:val="24"/>
          <w:szCs w:val="24"/>
        </w:rPr>
        <w:tab/>
      </w:r>
      <w:r w:rsidRPr="000C52AE">
        <w:rPr>
          <w:rFonts w:ascii="Arial" w:hAnsi="Arial" w:cs="Arial"/>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F6D43" w:rsidRPr="000C52AE" w:rsidP="00496FB2" w14:paraId="6B734D18" w14:textId="320E0F44">
      <w:pPr>
        <w:ind w:right="216"/>
        <w:jc w:val="both"/>
        <w:rPr>
          <w:rFonts w:ascii="Arial" w:hAnsi="Arial" w:cs="Arial"/>
          <w:b/>
          <w:sz w:val="24"/>
          <w:szCs w:val="24"/>
        </w:rPr>
      </w:pPr>
      <w:r w:rsidRPr="000C52AE">
        <w:rPr>
          <w:rFonts w:ascii="Arial" w:hAnsi="Arial" w:cs="Arial"/>
          <w:b/>
          <w:sz w:val="24"/>
          <w:szCs w:val="24"/>
        </w:rPr>
        <w:tab/>
      </w:r>
    </w:p>
    <w:p w:rsidR="00BA76F9" w:rsidP="00BA76F9" w14:paraId="2022E8D9" w14:textId="77777777">
      <w:pPr>
        <w:ind w:left="720" w:right="216"/>
        <w:jc w:val="both"/>
        <w:rPr>
          <w:rFonts w:ascii="Arial" w:hAnsi="Arial" w:cs="Arial"/>
          <w:bCs/>
          <w:sz w:val="24"/>
          <w:szCs w:val="24"/>
        </w:rPr>
      </w:pPr>
      <w:r>
        <w:rPr>
          <w:rFonts w:ascii="Arial" w:hAnsi="Arial" w:cs="Arial"/>
          <w:bCs/>
          <w:sz w:val="24"/>
          <w:szCs w:val="24"/>
        </w:rPr>
        <w:t>The estimated total average cost to the federal government is $</w:t>
      </w:r>
      <w:bookmarkStart w:id="17" w:name="OLE_LINK16"/>
      <w:r>
        <w:rPr>
          <w:rFonts w:ascii="Arial" w:hAnsi="Arial" w:cs="Arial"/>
          <w:bCs/>
          <w:sz w:val="24"/>
          <w:szCs w:val="24"/>
        </w:rPr>
        <w:t>419,691</w:t>
      </w:r>
      <w:bookmarkEnd w:id="17"/>
      <w:r>
        <w:rPr>
          <w:rFonts w:ascii="Arial" w:hAnsi="Arial" w:cs="Arial"/>
          <w:bCs/>
          <w:sz w:val="24"/>
          <w:szCs w:val="24"/>
        </w:rPr>
        <w:t>.</w:t>
      </w:r>
    </w:p>
    <w:p w:rsidR="00BA76F9" w:rsidP="00BA76F9" w14:paraId="764B92E3" w14:textId="77777777">
      <w:pPr>
        <w:ind w:left="720" w:right="216"/>
        <w:jc w:val="both"/>
        <w:rPr>
          <w:rFonts w:ascii="Arial" w:hAnsi="Arial" w:cs="Arial"/>
          <w:bCs/>
          <w:sz w:val="24"/>
          <w:szCs w:val="24"/>
        </w:rPr>
      </w:pPr>
    </w:p>
    <w:p w:rsidR="00BA76F9" w:rsidP="00BA76F9" w14:paraId="4C4F084C" w14:textId="77777777">
      <w:pPr>
        <w:tabs>
          <w:tab w:val="left" w:pos="-1440"/>
        </w:tabs>
        <w:ind w:left="720" w:right="216"/>
        <w:jc w:val="both"/>
        <w:rPr>
          <w:rFonts w:ascii="Arial" w:hAnsi="Arial" w:cs="Arial"/>
          <w:sz w:val="24"/>
          <w:szCs w:val="24"/>
        </w:rPr>
      </w:pPr>
      <w:r>
        <w:rPr>
          <w:rFonts w:ascii="Arial" w:hAnsi="Arial" w:cs="Arial"/>
          <w:b/>
          <w:sz w:val="24"/>
          <w:szCs w:val="24"/>
        </w:rPr>
        <w:t>e-Allegations:</w:t>
      </w:r>
      <w:r>
        <w:rPr>
          <w:rFonts w:ascii="Arial" w:hAnsi="Arial" w:cs="Arial"/>
          <w:sz w:val="24"/>
          <w:szCs w:val="24"/>
        </w:rPr>
        <w:t xml:space="preserve">  </w:t>
      </w:r>
    </w:p>
    <w:p w:rsidR="00BA76F9" w:rsidP="00BA76F9" w14:paraId="0EFE32F0" w14:textId="77777777">
      <w:pPr>
        <w:tabs>
          <w:tab w:val="left" w:pos="-1440"/>
        </w:tabs>
        <w:ind w:left="720" w:right="216"/>
        <w:jc w:val="both"/>
        <w:rPr>
          <w:rFonts w:ascii="Arial" w:hAnsi="Arial" w:cs="Arial"/>
          <w:sz w:val="24"/>
          <w:szCs w:val="24"/>
        </w:rPr>
      </w:pPr>
    </w:p>
    <w:p w:rsidR="00BA76F9" w:rsidP="00BA76F9" w14:paraId="48F4E72C" w14:textId="22503B17">
      <w:pPr>
        <w:tabs>
          <w:tab w:val="left" w:pos="-1440"/>
        </w:tabs>
        <w:ind w:left="720" w:right="216"/>
        <w:jc w:val="both"/>
        <w:rPr>
          <w:rFonts w:ascii="Arial" w:hAnsi="Arial" w:cs="Arial"/>
          <w:sz w:val="24"/>
          <w:szCs w:val="24"/>
        </w:rPr>
      </w:pPr>
      <w:r>
        <w:rPr>
          <w:rFonts w:ascii="Arial" w:hAnsi="Arial" w:cs="Arial"/>
          <w:sz w:val="24"/>
          <w:szCs w:val="24"/>
        </w:rPr>
        <w:t xml:space="preserve">Based on the CBP approved Service Delivery Requirements Document, below, are the costs for e-Allegations O&amp;M. O&amp;M costs begin in FY20 and include varying hours of work each year to address server maintenance and patching, code corrections, security, user support and troubleshooting. The estimated average cost to the federal </w:t>
      </w:r>
      <w:r w:rsidR="00C62B05">
        <w:rPr>
          <w:rFonts w:ascii="Arial" w:hAnsi="Arial" w:cs="Arial"/>
          <w:sz w:val="24"/>
          <w:szCs w:val="24"/>
        </w:rPr>
        <w:t>government</w:t>
      </w:r>
      <w:r>
        <w:rPr>
          <w:rFonts w:ascii="Arial" w:hAnsi="Arial" w:cs="Arial"/>
          <w:sz w:val="24"/>
          <w:szCs w:val="24"/>
        </w:rPr>
        <w:t xml:space="preserve"> associated with this information collection based on the table below is $103,940.</w:t>
      </w:r>
    </w:p>
    <w:p w:rsidR="00BA76F9" w:rsidP="00BA76F9" w14:paraId="76554F7C" w14:textId="77777777">
      <w:pPr>
        <w:tabs>
          <w:tab w:val="left" w:pos="-1440"/>
        </w:tabs>
        <w:ind w:left="720" w:right="216"/>
        <w:jc w:val="both"/>
        <w:rPr>
          <w:rFonts w:ascii="Arial" w:hAnsi="Arial" w:cs="Arial"/>
          <w:sz w:val="24"/>
          <w:szCs w:val="24"/>
        </w:rPr>
      </w:pPr>
    </w:p>
    <w:tbl>
      <w:tblPr>
        <w:tblW w:w="9165" w:type="dxa"/>
        <w:tblInd w:w="755" w:type="dxa"/>
        <w:tblLayout w:type="fixed"/>
        <w:tblCellMar>
          <w:left w:w="0" w:type="dxa"/>
          <w:right w:w="0" w:type="dxa"/>
        </w:tblCellMar>
        <w:tblLook w:val="04A0"/>
      </w:tblPr>
      <w:tblGrid>
        <w:gridCol w:w="1767"/>
        <w:gridCol w:w="1260"/>
        <w:gridCol w:w="1239"/>
        <w:gridCol w:w="1251"/>
        <w:gridCol w:w="1270"/>
        <w:gridCol w:w="1186"/>
        <w:gridCol w:w="1192"/>
      </w:tblGrid>
      <w:tr w14:paraId="526323CB" w14:textId="77777777" w:rsidTr="00BA76F9">
        <w:tblPrEx>
          <w:tblW w:w="9165" w:type="dxa"/>
          <w:tblInd w:w="755" w:type="dxa"/>
          <w:tblLayout w:type="fixed"/>
          <w:tblCellMar>
            <w:left w:w="0" w:type="dxa"/>
            <w:right w:w="0" w:type="dxa"/>
          </w:tblCellMar>
          <w:tblLook w:val="04A0"/>
        </w:tblPrEx>
        <w:trPr>
          <w:trHeight w:val="46"/>
        </w:trPr>
        <w:tc>
          <w:tcPr>
            <w:tcW w:w="1767" w:type="dxa"/>
            <w:tcBorders>
              <w:top w:val="nil"/>
              <w:left w:val="single" w:sz="8" w:space="0" w:color="auto"/>
              <w:bottom w:val="nil"/>
              <w:right w:val="nil"/>
            </w:tcBorders>
            <w:shd w:val="clear" w:color="auto" w:fill="002060"/>
            <w:tcMar>
              <w:top w:w="0" w:type="dxa"/>
              <w:left w:w="108" w:type="dxa"/>
              <w:bottom w:w="0" w:type="dxa"/>
              <w:right w:w="108" w:type="dxa"/>
            </w:tcMar>
            <w:hideMark/>
          </w:tcPr>
          <w:p w:rsidR="00BA76F9" w14:paraId="41D73358" w14:textId="77777777">
            <w:pPr>
              <w:rPr>
                <w:color w:val="FFFFFF"/>
              </w:rPr>
            </w:pPr>
            <w:r>
              <w:rPr>
                <w:color w:val="FFFFFF"/>
              </w:rPr>
              <w:t>Type</w:t>
            </w:r>
          </w:p>
        </w:tc>
        <w:tc>
          <w:tcPr>
            <w:tcW w:w="1260" w:type="dxa"/>
            <w:tcBorders>
              <w:top w:val="nil"/>
              <w:left w:val="single" w:sz="8" w:space="0" w:color="auto"/>
              <w:bottom w:val="nil"/>
              <w:right w:val="single" w:sz="8" w:space="0" w:color="auto"/>
            </w:tcBorders>
            <w:shd w:val="clear" w:color="auto" w:fill="002060"/>
            <w:tcMar>
              <w:top w:w="0" w:type="dxa"/>
              <w:left w:w="108" w:type="dxa"/>
              <w:bottom w:w="0" w:type="dxa"/>
              <w:right w:w="108" w:type="dxa"/>
            </w:tcMar>
            <w:hideMark/>
          </w:tcPr>
          <w:p w:rsidR="00BA76F9" w14:paraId="77D99500" w14:textId="77777777">
            <w:pPr>
              <w:rPr>
                <w:color w:val="FFFFFF"/>
              </w:rPr>
            </w:pPr>
            <w:r>
              <w:rPr>
                <w:color w:val="FFFFFF"/>
              </w:rPr>
              <w:t>FY19</w:t>
            </w:r>
          </w:p>
        </w:tc>
        <w:tc>
          <w:tcPr>
            <w:tcW w:w="1238" w:type="dxa"/>
            <w:shd w:val="clear" w:color="auto" w:fill="002060"/>
            <w:noWrap/>
            <w:tcMar>
              <w:top w:w="0" w:type="dxa"/>
              <w:left w:w="108" w:type="dxa"/>
              <w:bottom w:w="0" w:type="dxa"/>
              <w:right w:w="108" w:type="dxa"/>
            </w:tcMar>
            <w:vAlign w:val="bottom"/>
            <w:hideMark/>
          </w:tcPr>
          <w:p w:rsidR="00BA76F9" w14:paraId="71361FA0" w14:textId="77777777">
            <w:pPr>
              <w:rPr>
                <w:color w:val="FFFFFF"/>
              </w:rPr>
            </w:pPr>
            <w:r>
              <w:rPr>
                <w:color w:val="FFFFFF"/>
              </w:rPr>
              <w:t>FY20</w:t>
            </w:r>
          </w:p>
        </w:tc>
        <w:tc>
          <w:tcPr>
            <w:tcW w:w="1250"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44683C6E" w14:textId="77777777">
            <w:pPr>
              <w:rPr>
                <w:color w:val="FFFFFF"/>
              </w:rPr>
            </w:pPr>
            <w:r>
              <w:rPr>
                <w:color w:val="FFFFFF"/>
              </w:rPr>
              <w:t>FY21</w:t>
            </w:r>
          </w:p>
        </w:tc>
        <w:tc>
          <w:tcPr>
            <w:tcW w:w="1269"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6DE312D0" w14:textId="77777777">
            <w:pPr>
              <w:jc w:val="both"/>
              <w:rPr>
                <w:color w:val="FFFFFF"/>
              </w:rPr>
            </w:pPr>
            <w:r>
              <w:rPr>
                <w:color w:val="FFFFFF"/>
              </w:rPr>
              <w:t>FY22</w:t>
            </w:r>
          </w:p>
        </w:tc>
        <w:tc>
          <w:tcPr>
            <w:tcW w:w="1185"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3B55A103" w14:textId="77777777">
            <w:pPr>
              <w:jc w:val="both"/>
              <w:rPr>
                <w:color w:val="FFFFFF"/>
              </w:rPr>
            </w:pPr>
            <w:r>
              <w:rPr>
                <w:color w:val="FFFFFF"/>
              </w:rPr>
              <w:t>FY23</w:t>
            </w:r>
          </w:p>
        </w:tc>
        <w:tc>
          <w:tcPr>
            <w:tcW w:w="1191"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5F0EB5D9" w14:textId="77777777">
            <w:pPr>
              <w:jc w:val="both"/>
              <w:rPr>
                <w:color w:val="FFFFFF"/>
              </w:rPr>
            </w:pPr>
            <w:r>
              <w:rPr>
                <w:color w:val="FFFFFF"/>
              </w:rPr>
              <w:t>FY24</w:t>
            </w:r>
          </w:p>
        </w:tc>
      </w:tr>
      <w:tr w14:paraId="73DC2E79" w14:textId="77777777" w:rsidTr="00BA76F9">
        <w:tblPrEx>
          <w:tblW w:w="9165" w:type="dxa"/>
          <w:tblInd w:w="755" w:type="dxa"/>
          <w:tblLayout w:type="fixed"/>
          <w:tblCellMar>
            <w:left w:w="0" w:type="dxa"/>
            <w:right w:w="0" w:type="dxa"/>
          </w:tblCellMar>
          <w:tblLook w:val="04A0"/>
        </w:tblPrEx>
        <w:trPr>
          <w:trHeight w:val="232"/>
        </w:trPr>
        <w:tc>
          <w:tcPr>
            <w:tcW w:w="17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76F9" w14:paraId="4060F40B" w14:textId="77777777">
            <w:pPr>
              <w:rPr>
                <w:color w:val="FFFFFF"/>
              </w:rPr>
            </w:pP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A76F9" w14:paraId="627F26E8" w14:textId="77777777">
            <w:pPr>
              <w:rPr>
                <w:color w:val="000000"/>
              </w:rPr>
            </w:pPr>
          </w:p>
        </w:tc>
        <w:tc>
          <w:tcPr>
            <w:tcW w:w="12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4304751D" w14:textId="77777777">
            <w:pPr>
              <w:rPr>
                <w:color w:val="000000"/>
              </w:rPr>
            </w:pPr>
          </w:p>
        </w:tc>
        <w:tc>
          <w:tcPr>
            <w:tcW w:w="12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1D0DA36B" w14:textId="77777777">
            <w:pPr>
              <w:jc w:val="both"/>
              <w:rPr>
                <w:color w:val="000000"/>
              </w:rPr>
            </w:pPr>
          </w:p>
        </w:tc>
        <w:tc>
          <w:tcPr>
            <w:tcW w:w="126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2F42F718" w14:textId="77777777">
            <w:pPr>
              <w:jc w:val="both"/>
              <w:rPr>
                <w:color w:val="000000"/>
              </w:rPr>
            </w:pPr>
          </w:p>
        </w:tc>
        <w:tc>
          <w:tcPr>
            <w:tcW w:w="11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370E288A" w14:textId="77777777">
            <w:pPr>
              <w:jc w:val="both"/>
              <w:rPr>
                <w:color w:val="000000"/>
              </w:rPr>
            </w:pPr>
          </w:p>
        </w:tc>
        <w:tc>
          <w:tcPr>
            <w:tcW w:w="11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35360149" w14:textId="77777777">
            <w:pPr>
              <w:jc w:val="both"/>
              <w:rPr>
                <w:color w:val="000000"/>
              </w:rPr>
            </w:pPr>
          </w:p>
        </w:tc>
      </w:tr>
      <w:tr w14:paraId="653F2C3B" w14:textId="77777777" w:rsidTr="00BA76F9">
        <w:tblPrEx>
          <w:tblW w:w="9165" w:type="dxa"/>
          <w:tblInd w:w="755" w:type="dxa"/>
          <w:tblLayout w:type="fixed"/>
          <w:tblCellMar>
            <w:left w:w="0" w:type="dxa"/>
            <w:right w:w="0" w:type="dxa"/>
          </w:tblCellMar>
          <w:tblLook w:val="04A0"/>
        </w:tblPrEx>
        <w:trPr>
          <w:trHeight w:val="178"/>
        </w:trPr>
        <w:tc>
          <w:tcPr>
            <w:tcW w:w="17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76F9" w14:paraId="60EFD9CE" w14:textId="77777777">
            <w:pPr>
              <w:jc w:val="both"/>
              <w:rPr>
                <w:color w:val="000000"/>
              </w:rPr>
            </w:pPr>
            <w:r>
              <w:rPr>
                <w:color w:val="000000"/>
              </w:rPr>
              <w:t>e-Allegation O&amp;M</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76F9" w14:paraId="6C83ABCB" w14:textId="77777777">
            <w:pPr>
              <w:rPr>
                <w:color w:val="000000"/>
              </w:rPr>
            </w:pPr>
            <w:r>
              <w:rPr>
                <w:color w:val="000000"/>
              </w:rPr>
              <w:t>$0</w:t>
            </w:r>
          </w:p>
        </w:tc>
        <w:tc>
          <w:tcPr>
            <w:tcW w:w="123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12628389" w14:textId="77777777">
            <w:pPr>
              <w:rPr>
                <w:color w:val="000000"/>
              </w:rPr>
            </w:pPr>
            <w:r>
              <w:rPr>
                <w:color w:val="000000"/>
              </w:rPr>
              <w:t>$130,737.58</w:t>
            </w:r>
          </w:p>
        </w:tc>
        <w:tc>
          <w:tcPr>
            <w:tcW w:w="125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685CCAC0" w14:textId="77777777">
            <w:pPr>
              <w:rPr>
                <w:color w:val="000000"/>
              </w:rPr>
            </w:pPr>
            <w:r>
              <w:rPr>
                <w:color w:val="000000"/>
              </w:rPr>
              <w:t>$133,429.84</w:t>
            </w:r>
          </w:p>
        </w:tc>
        <w:tc>
          <w:tcPr>
            <w:tcW w:w="126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4ADB197E" w14:textId="77777777">
            <w:pPr>
              <w:rPr>
                <w:color w:val="000000"/>
              </w:rPr>
            </w:pPr>
            <w:r>
              <w:rPr>
                <w:color w:val="000000"/>
              </w:rPr>
              <w:t>$110,959.60</w:t>
            </w:r>
          </w:p>
        </w:tc>
        <w:tc>
          <w:tcPr>
            <w:tcW w:w="11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526DC646" w14:textId="77777777">
            <w:pPr>
              <w:rPr>
                <w:color w:val="000000"/>
              </w:rPr>
            </w:pPr>
            <w:r>
              <w:rPr>
                <w:color w:val="000000"/>
              </w:rPr>
              <w:t>$85,716.29</w:t>
            </w:r>
          </w:p>
        </w:tc>
        <w:tc>
          <w:tcPr>
            <w:tcW w:w="119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585C3A8E" w14:textId="77777777">
            <w:pPr>
              <w:rPr>
                <w:color w:val="000000"/>
              </w:rPr>
            </w:pPr>
            <w:r>
              <w:rPr>
                <w:color w:val="000000"/>
              </w:rPr>
              <w:t>$58,858.52</w:t>
            </w:r>
          </w:p>
        </w:tc>
      </w:tr>
    </w:tbl>
    <w:p w:rsidR="00BA76F9" w:rsidP="00BA76F9" w14:paraId="4390BAAF" w14:textId="77777777">
      <w:pPr>
        <w:tabs>
          <w:tab w:val="left" w:pos="-1440"/>
        </w:tabs>
        <w:ind w:left="720" w:right="216"/>
        <w:jc w:val="both"/>
        <w:rPr>
          <w:rFonts w:ascii="Arial" w:hAnsi="Arial" w:cs="Arial"/>
          <w:sz w:val="24"/>
          <w:szCs w:val="24"/>
        </w:rPr>
      </w:pPr>
      <w:r>
        <w:rPr>
          <w:rFonts w:ascii="Arial" w:hAnsi="Arial" w:cs="Arial"/>
          <w:sz w:val="24"/>
          <w:szCs w:val="24"/>
        </w:rPr>
        <w:t xml:space="preserve"> </w:t>
      </w:r>
    </w:p>
    <w:p w:rsidR="00BA76F9" w:rsidP="00BA76F9" w14:paraId="2256B0F4" w14:textId="77777777">
      <w:pPr>
        <w:tabs>
          <w:tab w:val="left" w:pos="-1440"/>
        </w:tabs>
        <w:ind w:left="720" w:right="216"/>
        <w:jc w:val="both"/>
        <w:rPr>
          <w:rFonts w:ascii="Arial" w:hAnsi="Arial" w:cs="Arial"/>
          <w:sz w:val="24"/>
          <w:szCs w:val="24"/>
        </w:rPr>
      </w:pPr>
    </w:p>
    <w:p w:rsidR="00BA76F9" w:rsidP="00BA76F9" w14:paraId="72CF5143" w14:textId="77777777">
      <w:pPr>
        <w:tabs>
          <w:tab w:val="left" w:pos="-1440"/>
        </w:tabs>
        <w:ind w:left="720" w:right="216"/>
        <w:jc w:val="both"/>
        <w:rPr>
          <w:rFonts w:ascii="Arial" w:hAnsi="Arial" w:cs="Arial"/>
          <w:sz w:val="24"/>
          <w:szCs w:val="24"/>
        </w:rPr>
      </w:pPr>
      <w:r>
        <w:rPr>
          <w:rFonts w:ascii="Arial" w:hAnsi="Arial" w:cs="Arial"/>
          <w:b/>
          <w:sz w:val="24"/>
          <w:szCs w:val="24"/>
        </w:rPr>
        <w:t xml:space="preserve">EAPA Allegations:  </w:t>
      </w:r>
    </w:p>
    <w:p w:rsidR="00BA76F9" w:rsidP="00BA76F9" w14:paraId="166D6244" w14:textId="77777777">
      <w:pPr>
        <w:tabs>
          <w:tab w:val="left" w:pos="-1440"/>
        </w:tabs>
        <w:ind w:left="720" w:right="216"/>
        <w:jc w:val="both"/>
        <w:rPr>
          <w:rFonts w:ascii="Arial" w:hAnsi="Arial" w:cs="Arial"/>
          <w:b/>
          <w:sz w:val="24"/>
          <w:szCs w:val="24"/>
        </w:rPr>
      </w:pPr>
    </w:p>
    <w:p w:rsidR="00BA76F9" w:rsidP="00BA76F9" w14:paraId="7D5F85F8" w14:textId="77777777">
      <w:pPr>
        <w:pStyle w:val="xmsonormal"/>
        <w:ind w:left="720" w:right="216"/>
        <w:jc w:val="both"/>
        <w:rPr>
          <w:rFonts w:ascii="Arial" w:eastAsia="Times New Roman" w:hAnsi="Arial" w:cs="Arial"/>
          <w:sz w:val="24"/>
          <w:szCs w:val="24"/>
        </w:rPr>
      </w:pPr>
      <w:r>
        <w:rPr>
          <w:rFonts w:ascii="Arial" w:eastAsia="Times New Roman" w:hAnsi="Arial" w:cs="Arial"/>
          <w:sz w:val="24"/>
          <w:szCs w:val="24"/>
        </w:rPr>
        <w:t xml:space="preserve">Based on the DHS approved ATAP Life Cycle Cost Estimate (LCCE) document below are the estimated costs for EAPA O&amp;M. O&amp;M includes recurring costs for Infrastructure Support, Salesforce user licenses, contractor labor support for O&amp;M bug fixes, and help desk support. Costs for FY22 and beyond include 2% inflation. O&amp;M costs were derived via conversations with CBP Office of Information Technology (OIT), and Service Delivery Requirement (SDR) agreements with OIT. </w:t>
      </w:r>
      <w:bookmarkStart w:id="18" w:name="_Hlk92957977"/>
      <w:r>
        <w:rPr>
          <w:rFonts w:ascii="Arial" w:eastAsia="Times New Roman" w:hAnsi="Arial" w:cs="Arial"/>
          <w:sz w:val="24"/>
          <w:szCs w:val="24"/>
        </w:rPr>
        <w:t>The estimated average cost to the federal government associated with this information collection, based on the table below is $315,751.</w:t>
      </w:r>
      <w:bookmarkEnd w:id="18"/>
    </w:p>
    <w:p w:rsidR="00BA76F9" w:rsidP="00BA76F9" w14:paraId="54A36EEF" w14:textId="77777777">
      <w:pPr>
        <w:pStyle w:val="xmsonormal"/>
        <w:ind w:left="720" w:right="216"/>
        <w:jc w:val="both"/>
        <w:rPr>
          <w:rFonts w:ascii="Arial" w:hAnsi="Arial" w:cs="Arial"/>
          <w:color w:val="4472C4"/>
          <w:sz w:val="24"/>
          <w:szCs w:val="24"/>
        </w:rPr>
      </w:pPr>
    </w:p>
    <w:tbl>
      <w:tblPr>
        <w:tblW w:w="9861" w:type="dxa"/>
        <w:tblInd w:w="520" w:type="dxa"/>
        <w:tblCellMar>
          <w:left w:w="0" w:type="dxa"/>
          <w:right w:w="0" w:type="dxa"/>
        </w:tblCellMar>
        <w:tblLook w:val="04A0"/>
      </w:tblPr>
      <w:tblGrid>
        <w:gridCol w:w="739"/>
        <w:gridCol w:w="966"/>
        <w:gridCol w:w="966"/>
        <w:gridCol w:w="966"/>
        <w:gridCol w:w="966"/>
        <w:gridCol w:w="966"/>
        <w:gridCol w:w="966"/>
        <w:gridCol w:w="966"/>
        <w:gridCol w:w="966"/>
        <w:gridCol w:w="966"/>
        <w:gridCol w:w="966"/>
      </w:tblGrid>
      <w:tr w14:paraId="3C222EAE" w14:textId="77777777" w:rsidTr="00BA76F9">
        <w:tblPrEx>
          <w:tblW w:w="9861" w:type="dxa"/>
          <w:tblInd w:w="520" w:type="dxa"/>
          <w:tblCellMar>
            <w:left w:w="0" w:type="dxa"/>
            <w:right w:w="0" w:type="dxa"/>
          </w:tblCellMar>
          <w:tblLook w:val="04A0"/>
        </w:tblPrEx>
        <w:trPr>
          <w:trHeight w:val="294"/>
        </w:trPr>
        <w:tc>
          <w:tcPr>
            <w:tcW w:w="701" w:type="dxa"/>
            <w:tcBorders>
              <w:top w:val="nil"/>
              <w:left w:val="single" w:sz="8" w:space="0" w:color="auto"/>
              <w:bottom w:val="nil"/>
              <w:right w:val="nil"/>
            </w:tcBorders>
            <w:shd w:val="clear" w:color="auto" w:fill="002060"/>
            <w:tcMar>
              <w:top w:w="0" w:type="dxa"/>
              <w:left w:w="108" w:type="dxa"/>
              <w:bottom w:w="0" w:type="dxa"/>
              <w:right w:w="108" w:type="dxa"/>
            </w:tcMar>
            <w:hideMark/>
          </w:tcPr>
          <w:p w:rsidR="00BA76F9" w14:paraId="1CE399C6" w14:textId="77777777">
            <w:pPr>
              <w:jc w:val="both"/>
              <w:rPr>
                <w:color w:val="FFFFFF"/>
              </w:rPr>
            </w:pPr>
            <w:bookmarkStart w:id="19" w:name="_Hlk83127856"/>
            <w:r>
              <w:rPr>
                <w:color w:val="FFFFFF"/>
              </w:rPr>
              <w:t>ATAP LCCE</w:t>
            </w:r>
          </w:p>
        </w:tc>
        <w:tc>
          <w:tcPr>
            <w:tcW w:w="916" w:type="dxa"/>
            <w:tcBorders>
              <w:top w:val="nil"/>
              <w:left w:val="single" w:sz="8" w:space="0" w:color="auto"/>
              <w:bottom w:val="nil"/>
              <w:right w:val="single" w:sz="8" w:space="0" w:color="auto"/>
            </w:tcBorders>
            <w:shd w:val="clear" w:color="auto" w:fill="002060"/>
            <w:tcMar>
              <w:top w:w="0" w:type="dxa"/>
              <w:left w:w="108" w:type="dxa"/>
              <w:bottom w:w="0" w:type="dxa"/>
              <w:right w:w="108" w:type="dxa"/>
            </w:tcMar>
          </w:tcPr>
          <w:p w:rsidR="00BA76F9" w14:paraId="628EF753" w14:textId="77777777">
            <w:pPr>
              <w:rPr>
                <w:color w:val="FFFFFF"/>
              </w:rPr>
            </w:pPr>
          </w:p>
          <w:p w:rsidR="00BA76F9" w14:paraId="21B32669" w14:textId="77777777">
            <w:pPr>
              <w:rPr>
                <w:color w:val="FFFFFF"/>
              </w:rPr>
            </w:pPr>
            <w:r>
              <w:rPr>
                <w:color w:val="FFFFFF"/>
              </w:rPr>
              <w:t>FY21</w:t>
            </w:r>
          </w:p>
        </w:tc>
        <w:tc>
          <w:tcPr>
            <w:tcW w:w="916" w:type="dxa"/>
            <w:shd w:val="clear" w:color="auto" w:fill="002060"/>
            <w:noWrap/>
            <w:tcMar>
              <w:top w:w="0" w:type="dxa"/>
              <w:left w:w="108" w:type="dxa"/>
              <w:bottom w:w="0" w:type="dxa"/>
              <w:right w:w="108" w:type="dxa"/>
            </w:tcMar>
            <w:vAlign w:val="bottom"/>
            <w:hideMark/>
          </w:tcPr>
          <w:p w:rsidR="00BA76F9" w14:paraId="70D55C43" w14:textId="77777777">
            <w:pPr>
              <w:rPr>
                <w:color w:val="FFFFFF"/>
              </w:rPr>
            </w:pPr>
            <w:r>
              <w:rPr>
                <w:color w:val="FFFFFF"/>
              </w:rPr>
              <w:t>FY22</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4441798A" w14:textId="77777777">
            <w:pPr>
              <w:rPr>
                <w:color w:val="FFFFFF"/>
              </w:rPr>
            </w:pPr>
            <w:r>
              <w:rPr>
                <w:color w:val="FFFFFF"/>
              </w:rPr>
              <w:t>FY23</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1EE07F12" w14:textId="77777777">
            <w:pPr>
              <w:rPr>
                <w:color w:val="FFFFFF"/>
              </w:rPr>
            </w:pPr>
            <w:r>
              <w:rPr>
                <w:color w:val="FFFFFF"/>
              </w:rPr>
              <w:t>FY24</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2577AA82" w14:textId="77777777">
            <w:pPr>
              <w:rPr>
                <w:color w:val="FFFFFF"/>
              </w:rPr>
            </w:pPr>
            <w:r>
              <w:rPr>
                <w:color w:val="FFFFFF"/>
              </w:rPr>
              <w:t>FY25</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7AD51650" w14:textId="77777777">
            <w:pPr>
              <w:rPr>
                <w:color w:val="FFFFFF"/>
              </w:rPr>
            </w:pPr>
            <w:r>
              <w:rPr>
                <w:color w:val="FFFFFF"/>
              </w:rPr>
              <w:t>FY26</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5BC5FA24" w14:textId="77777777">
            <w:pPr>
              <w:rPr>
                <w:color w:val="FFFFFF"/>
              </w:rPr>
            </w:pPr>
            <w:r>
              <w:rPr>
                <w:color w:val="FFFFFF"/>
              </w:rPr>
              <w:t>FY27</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551A1350" w14:textId="77777777">
            <w:pPr>
              <w:rPr>
                <w:color w:val="FFFFFF"/>
              </w:rPr>
            </w:pPr>
            <w:r>
              <w:rPr>
                <w:color w:val="FFFFFF"/>
              </w:rPr>
              <w:t>FY28</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6463D4E7" w14:textId="77777777">
            <w:pPr>
              <w:rPr>
                <w:color w:val="FFFFFF"/>
              </w:rPr>
            </w:pPr>
            <w:r>
              <w:rPr>
                <w:color w:val="FFFFFF"/>
              </w:rPr>
              <w:t>FY29</w:t>
            </w:r>
          </w:p>
        </w:tc>
        <w:tc>
          <w:tcPr>
            <w:tcW w:w="916" w:type="dxa"/>
            <w:tcBorders>
              <w:top w:val="nil"/>
              <w:left w:val="single" w:sz="8" w:space="0" w:color="auto"/>
              <w:bottom w:val="nil"/>
              <w:right w:val="nil"/>
            </w:tcBorders>
            <w:shd w:val="clear" w:color="auto" w:fill="002060"/>
            <w:noWrap/>
            <w:tcMar>
              <w:top w:w="0" w:type="dxa"/>
              <w:left w:w="108" w:type="dxa"/>
              <w:bottom w:w="0" w:type="dxa"/>
              <w:right w:w="108" w:type="dxa"/>
            </w:tcMar>
            <w:vAlign w:val="bottom"/>
            <w:hideMark/>
          </w:tcPr>
          <w:p w:rsidR="00BA76F9" w14:paraId="64EB90E3" w14:textId="77777777">
            <w:pPr>
              <w:rPr>
                <w:color w:val="FFFFFF"/>
              </w:rPr>
            </w:pPr>
            <w:r>
              <w:rPr>
                <w:color w:val="FFFFFF"/>
              </w:rPr>
              <w:t>FY30</w:t>
            </w:r>
          </w:p>
        </w:tc>
      </w:tr>
      <w:tr w14:paraId="16E65D22" w14:textId="77777777" w:rsidTr="00BA76F9">
        <w:tblPrEx>
          <w:tblW w:w="9861" w:type="dxa"/>
          <w:tblInd w:w="520" w:type="dxa"/>
          <w:tblCellMar>
            <w:left w:w="0" w:type="dxa"/>
            <w:right w:w="0" w:type="dxa"/>
          </w:tblCellMar>
          <w:tblLook w:val="04A0"/>
        </w:tblPrEx>
        <w:trPr>
          <w:trHeight w:val="425"/>
        </w:trPr>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76F9" w14:paraId="0665975D" w14:textId="77777777">
            <w:pPr>
              <w:rPr>
                <w:color w:val="FFFFFF"/>
              </w:rPr>
            </w:pPr>
          </w:p>
        </w:tc>
        <w:tc>
          <w:tcPr>
            <w:tcW w:w="9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76F9" w14:paraId="026C8F93" w14:textId="77777777">
            <w:pPr>
              <w:rPr>
                <w:rFonts w:ascii="Times" w:hAnsi="Times"/>
                <w:lang w:eastAsia="zh-CN"/>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19CCA424"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5AC1B339"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540580C0"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722926EE"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2FC768DB"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100E5EB8"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1254856C"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4F8F4C23" w14:textId="77777777">
            <w:pPr>
              <w:rPr>
                <w:color w:val="000000"/>
              </w:rPr>
            </w:pPr>
          </w:p>
        </w:tc>
        <w:tc>
          <w:tcPr>
            <w:tcW w:w="9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BA76F9" w14:paraId="4768B4A1" w14:textId="77777777">
            <w:pPr>
              <w:rPr>
                <w:color w:val="000000"/>
              </w:rPr>
            </w:pPr>
          </w:p>
        </w:tc>
      </w:tr>
      <w:tr w14:paraId="508B763F" w14:textId="77777777" w:rsidTr="00BA76F9">
        <w:tblPrEx>
          <w:tblW w:w="9861" w:type="dxa"/>
          <w:tblInd w:w="520" w:type="dxa"/>
          <w:tblCellMar>
            <w:left w:w="0" w:type="dxa"/>
            <w:right w:w="0" w:type="dxa"/>
          </w:tblCellMar>
          <w:tblLook w:val="04A0"/>
        </w:tblPrEx>
        <w:trPr>
          <w:trHeight w:val="325"/>
        </w:trPr>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A76F9" w14:paraId="1E8F9042" w14:textId="77777777">
            <w:pPr>
              <w:jc w:val="both"/>
              <w:rPr>
                <w:color w:val="000000"/>
              </w:rPr>
            </w:pPr>
          </w:p>
          <w:p w:rsidR="00BA76F9" w14:paraId="049E0295" w14:textId="77777777">
            <w:pPr>
              <w:jc w:val="both"/>
              <w:rPr>
                <w:color w:val="000000"/>
              </w:rPr>
            </w:pPr>
            <w:r>
              <w:rPr>
                <w:color w:val="000000"/>
              </w:rPr>
              <w:t>EAPA O&amp;M</w:t>
            </w:r>
          </w:p>
        </w:tc>
        <w:tc>
          <w:tcPr>
            <w:tcW w:w="9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A76F9" w14:paraId="3CD5AFFF" w14:textId="77777777">
            <w:pPr>
              <w:rPr>
                <w:color w:val="000000"/>
              </w:rPr>
            </w:pPr>
            <w:r>
              <w:rPr>
                <w:color w:val="000000"/>
              </w:rPr>
              <w:t>$212,034</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6CCDA75F" w14:textId="77777777">
            <w:pPr>
              <w:rPr>
                <w:color w:val="000000"/>
              </w:rPr>
            </w:pPr>
            <w:r>
              <w:rPr>
                <w:color w:val="000000"/>
              </w:rPr>
              <w:t>$253,512</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289ACA45" w14:textId="77777777">
            <w:pPr>
              <w:rPr>
                <w:color w:val="000000"/>
              </w:rPr>
            </w:pPr>
            <w:r>
              <w:rPr>
                <w:color w:val="000000"/>
              </w:rPr>
              <w:t>$336,216</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554E7C20" w14:textId="77777777">
            <w:pPr>
              <w:rPr>
                <w:color w:val="000000"/>
              </w:rPr>
            </w:pPr>
            <w:r>
              <w:rPr>
                <w:color w:val="000000"/>
              </w:rPr>
              <w:t>$328,457</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3EFCC745" w14:textId="77777777">
            <w:pPr>
              <w:rPr>
                <w:color w:val="000000"/>
              </w:rPr>
            </w:pPr>
            <w:r>
              <w:rPr>
                <w:color w:val="000000"/>
              </w:rPr>
              <w:t>$321,378</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02756E46" w14:textId="77777777">
            <w:pPr>
              <w:rPr>
                <w:color w:val="000000"/>
              </w:rPr>
            </w:pPr>
            <w:r>
              <w:rPr>
                <w:color w:val="000000"/>
              </w:rPr>
              <w:t>$327,806</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6E141C7D" w14:textId="77777777">
            <w:pPr>
              <w:rPr>
                <w:color w:val="000000"/>
              </w:rPr>
            </w:pPr>
            <w:r>
              <w:rPr>
                <w:color w:val="000000"/>
              </w:rPr>
              <w:t>$334,362</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1495D5EF" w14:textId="77777777">
            <w:pPr>
              <w:rPr>
                <w:color w:val="000000"/>
              </w:rPr>
            </w:pPr>
            <w:r>
              <w:rPr>
                <w:color w:val="000000"/>
              </w:rPr>
              <w:t>$341,049</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533CF93B" w14:textId="77777777">
            <w:pPr>
              <w:rPr>
                <w:color w:val="000000"/>
              </w:rPr>
            </w:pPr>
            <w:r>
              <w:rPr>
                <w:color w:val="000000"/>
              </w:rPr>
              <w:t>$347,870</w:t>
            </w:r>
          </w:p>
        </w:tc>
        <w:tc>
          <w:tcPr>
            <w:tcW w:w="9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A76F9" w14:paraId="65322A3E" w14:textId="77777777">
            <w:pPr>
              <w:rPr>
                <w:color w:val="000000"/>
              </w:rPr>
            </w:pPr>
            <w:r>
              <w:rPr>
                <w:color w:val="000000"/>
              </w:rPr>
              <w:t>$354,827</w:t>
            </w:r>
          </w:p>
        </w:tc>
        <w:bookmarkEnd w:id="19"/>
      </w:tr>
    </w:tbl>
    <w:p w:rsidR="00C869FC" w:rsidP="00343277" w14:paraId="373CD17C" w14:textId="77777777">
      <w:pPr>
        <w:tabs>
          <w:tab w:val="left" w:pos="-1440"/>
        </w:tabs>
        <w:ind w:left="720" w:right="216"/>
        <w:jc w:val="both"/>
        <w:rPr>
          <w:rFonts w:ascii="Arial" w:hAnsi="Arial" w:cs="Arial"/>
          <w:b/>
          <w:sz w:val="24"/>
          <w:szCs w:val="24"/>
        </w:rPr>
      </w:pPr>
    </w:p>
    <w:p w:rsidR="00C869FC" w:rsidP="00343277" w14:paraId="648FDEC7" w14:textId="77777777">
      <w:pPr>
        <w:tabs>
          <w:tab w:val="left" w:pos="-1440"/>
        </w:tabs>
        <w:ind w:left="720" w:right="216"/>
        <w:jc w:val="both"/>
        <w:rPr>
          <w:rFonts w:ascii="Arial" w:hAnsi="Arial" w:cs="Arial"/>
          <w:b/>
          <w:sz w:val="24"/>
          <w:szCs w:val="24"/>
        </w:rPr>
      </w:pPr>
    </w:p>
    <w:p w:rsidR="00C869FC" w:rsidRPr="00C869FC" w:rsidP="00C869FC" w14:paraId="769CB7C7" w14:textId="7B547853">
      <w:pPr>
        <w:tabs>
          <w:tab w:val="left" w:pos="-1440"/>
        </w:tabs>
        <w:ind w:left="720" w:right="216"/>
        <w:jc w:val="both"/>
        <w:rPr>
          <w:rFonts w:ascii="Arial" w:hAnsi="Arial" w:cs="Arial"/>
          <w:b/>
          <w:sz w:val="24"/>
          <w:szCs w:val="24"/>
        </w:rPr>
      </w:pPr>
      <w:r>
        <w:rPr>
          <w:rFonts w:ascii="Arial" w:hAnsi="Arial" w:cs="Arial"/>
          <w:b/>
          <w:sz w:val="24"/>
          <w:szCs w:val="24"/>
        </w:rPr>
        <w:t xml:space="preserve">EAPA APO:  </w:t>
      </w:r>
      <w:r w:rsidRPr="00612432">
        <w:rPr>
          <w:rFonts w:ascii="Arial" w:hAnsi="Arial" w:cs="Arial"/>
          <w:sz w:val="24"/>
          <w:szCs w:val="24"/>
        </w:rPr>
        <w:t>The estimated annual cost to the Federal Government associated with the review of this information collection is $</w:t>
      </w:r>
      <w:r w:rsidRPr="0076497D" w:rsidR="00C62B05">
        <w:rPr>
          <w:rFonts w:ascii="Arial" w:hAnsi="Arial" w:cs="Arial"/>
          <w:sz w:val="24"/>
          <w:szCs w:val="24"/>
        </w:rPr>
        <w:t>3,038</w:t>
      </w:r>
      <w:r w:rsidRPr="00C62B05">
        <w:rPr>
          <w:rFonts w:ascii="Arial" w:hAnsi="Arial" w:cs="Arial"/>
          <w:sz w:val="24"/>
          <w:szCs w:val="24"/>
        </w:rPr>
        <w:t>.</w:t>
      </w:r>
      <w:r w:rsidRPr="00612432">
        <w:rPr>
          <w:rFonts w:ascii="Arial" w:hAnsi="Arial" w:cs="Arial"/>
          <w:sz w:val="24"/>
          <w:szCs w:val="24"/>
        </w:rPr>
        <w:t xml:space="preserve">  This is based on the number of responses that must be reviewed (</w:t>
      </w:r>
      <w:r>
        <w:rPr>
          <w:rFonts w:ascii="Arial" w:hAnsi="Arial" w:cs="Arial"/>
          <w:sz w:val="24"/>
          <w:szCs w:val="24"/>
        </w:rPr>
        <w:t>100</w:t>
      </w:r>
      <w:r w:rsidRPr="00612432">
        <w:rPr>
          <w:rFonts w:ascii="Arial" w:hAnsi="Arial" w:cs="Arial"/>
          <w:sz w:val="24"/>
          <w:szCs w:val="24"/>
        </w:rPr>
        <w:t>) multiplied by the time burden to review and process each response (</w:t>
      </w:r>
      <w:r w:rsidR="00871152">
        <w:rPr>
          <w:rFonts w:ascii="Arial" w:hAnsi="Arial" w:cs="Arial"/>
          <w:sz w:val="24"/>
          <w:szCs w:val="24"/>
        </w:rPr>
        <w:t>0.5</w:t>
      </w:r>
      <w:r w:rsidRPr="00612432">
        <w:rPr>
          <w:rFonts w:ascii="Arial" w:hAnsi="Arial" w:cs="Arial"/>
          <w:sz w:val="24"/>
          <w:szCs w:val="24"/>
        </w:rPr>
        <w:t xml:space="preserve"> hours</w:t>
      </w:r>
      <w:r w:rsidRPr="00E01A52">
        <w:rPr>
          <w:rFonts w:ascii="Arial" w:hAnsi="Arial" w:cs="Arial"/>
          <w:sz w:val="24"/>
          <w:szCs w:val="24"/>
        </w:rPr>
        <w:t xml:space="preserve">) = </w:t>
      </w:r>
      <w:r w:rsidRPr="0076497D" w:rsidR="00C62B05">
        <w:rPr>
          <w:rFonts w:ascii="Arial" w:hAnsi="Arial" w:cs="Arial"/>
          <w:sz w:val="24"/>
          <w:szCs w:val="24"/>
        </w:rPr>
        <w:t>50</w:t>
      </w:r>
      <w:r w:rsidRPr="00E01A52">
        <w:rPr>
          <w:rFonts w:ascii="Arial" w:hAnsi="Arial" w:cs="Arial"/>
          <w:sz w:val="24"/>
          <w:szCs w:val="24"/>
        </w:rPr>
        <w:t xml:space="preserve"> hours multiplied by the average hourly loaded rate for other CBP employees ($60.76)</w:t>
      </w:r>
      <w:r>
        <w:rPr>
          <w:rFonts w:ascii="Arial" w:hAnsi="Arial" w:cs="Arial"/>
          <w:sz w:val="24"/>
          <w:szCs w:val="24"/>
          <w:vertAlign w:val="superscript"/>
        </w:rPr>
        <w:footnoteReference w:id="12"/>
      </w:r>
      <w:r w:rsidRPr="00E01A52">
        <w:rPr>
          <w:rFonts w:ascii="Arial" w:hAnsi="Arial" w:cs="Arial"/>
          <w:sz w:val="24"/>
          <w:szCs w:val="24"/>
        </w:rPr>
        <w:t xml:space="preserve"> = $</w:t>
      </w:r>
      <w:r w:rsidRPr="0076497D" w:rsidR="00C62B05">
        <w:rPr>
          <w:rFonts w:ascii="Arial" w:hAnsi="Arial" w:cs="Arial"/>
          <w:sz w:val="24"/>
          <w:szCs w:val="24"/>
        </w:rPr>
        <w:t>3,038</w:t>
      </w:r>
      <w:r w:rsidRPr="00C62B05">
        <w:rPr>
          <w:rFonts w:ascii="Arial" w:hAnsi="Arial" w:cs="Arial"/>
          <w:sz w:val="24"/>
          <w:szCs w:val="24"/>
        </w:rPr>
        <w:t>.</w:t>
      </w:r>
      <w:r w:rsidRPr="00C869FC">
        <w:rPr>
          <w:rFonts w:ascii="Arial" w:hAnsi="Arial" w:cs="Arial"/>
          <w:b/>
          <w:sz w:val="24"/>
          <w:szCs w:val="24"/>
        </w:rPr>
        <w:t xml:space="preserve"> </w:t>
      </w:r>
    </w:p>
    <w:p w:rsidR="00C869FC" w:rsidRPr="00343277" w:rsidP="00343277" w14:paraId="32C19CE3" w14:textId="75433ECE">
      <w:pPr>
        <w:tabs>
          <w:tab w:val="left" w:pos="-1440"/>
        </w:tabs>
        <w:ind w:left="720" w:right="216"/>
        <w:jc w:val="both"/>
        <w:rPr>
          <w:rFonts w:ascii="Arial" w:hAnsi="Arial" w:cs="Arial"/>
          <w:b/>
          <w:sz w:val="24"/>
          <w:szCs w:val="24"/>
        </w:rPr>
      </w:pPr>
    </w:p>
    <w:p w:rsidR="006C3A54" w:rsidRPr="000C52AE" w:rsidP="00094DA2" w14:paraId="20380FB1" w14:textId="77777777">
      <w:pPr>
        <w:ind w:right="216"/>
        <w:jc w:val="both"/>
        <w:rPr>
          <w:rFonts w:ascii="Arial" w:hAnsi="Arial" w:cs="Arial"/>
          <w:sz w:val="24"/>
          <w:szCs w:val="24"/>
        </w:rPr>
      </w:pPr>
      <w:r w:rsidRPr="000C52AE">
        <w:rPr>
          <w:rFonts w:ascii="Arial" w:hAnsi="Arial" w:cs="Arial"/>
          <w:sz w:val="24"/>
          <w:szCs w:val="24"/>
        </w:rPr>
        <w:tab/>
      </w:r>
      <w:r w:rsidRPr="000C52AE">
        <w:rPr>
          <w:rFonts w:ascii="Arial" w:hAnsi="Arial" w:cs="Arial"/>
          <w:sz w:val="24"/>
          <w:szCs w:val="24"/>
        </w:rPr>
        <w:tab/>
        <w:t xml:space="preserve"> </w:t>
      </w:r>
    </w:p>
    <w:p w:rsidR="005F6D43" w:rsidRPr="000C52AE" w:rsidP="00496FB2" w14:paraId="21BEC49B" w14:textId="50375041">
      <w:pPr>
        <w:ind w:left="720" w:right="216" w:hanging="720"/>
        <w:jc w:val="both"/>
        <w:rPr>
          <w:rFonts w:ascii="Arial" w:hAnsi="Arial" w:cs="Arial"/>
          <w:b/>
          <w:sz w:val="24"/>
          <w:szCs w:val="24"/>
        </w:rPr>
      </w:pPr>
      <w:r w:rsidRPr="000C52AE">
        <w:rPr>
          <w:rFonts w:ascii="Arial" w:hAnsi="Arial" w:cs="Arial"/>
          <w:b/>
          <w:sz w:val="24"/>
          <w:szCs w:val="24"/>
        </w:rPr>
        <w:t xml:space="preserve">15. </w:t>
      </w:r>
      <w:r w:rsidRPr="000C52AE" w:rsidR="0023738E">
        <w:rPr>
          <w:rFonts w:ascii="Arial" w:hAnsi="Arial" w:cs="Arial"/>
          <w:b/>
          <w:sz w:val="24"/>
          <w:szCs w:val="24"/>
        </w:rPr>
        <w:tab/>
      </w:r>
      <w:r w:rsidRPr="000C52AE">
        <w:rPr>
          <w:rFonts w:ascii="Arial" w:hAnsi="Arial" w:cs="Arial"/>
          <w:b/>
          <w:sz w:val="24"/>
          <w:szCs w:val="24"/>
        </w:rPr>
        <w:t xml:space="preserve">Explain the reasons for any program changes or adjustments reported in Items </w:t>
      </w:r>
      <w:r w:rsidRPr="000C52AE" w:rsidR="001365AE">
        <w:rPr>
          <w:rFonts w:ascii="Arial" w:hAnsi="Arial" w:cs="Arial"/>
          <w:b/>
          <w:sz w:val="24"/>
          <w:szCs w:val="24"/>
        </w:rPr>
        <w:t xml:space="preserve">12 or </w:t>
      </w:r>
      <w:r w:rsidRPr="000C52AE">
        <w:rPr>
          <w:rFonts w:ascii="Arial" w:hAnsi="Arial" w:cs="Arial"/>
          <w:b/>
          <w:sz w:val="24"/>
          <w:szCs w:val="24"/>
        </w:rPr>
        <w:t>13 of th</w:t>
      </w:r>
      <w:r w:rsidRPr="000C52AE" w:rsidR="001365AE">
        <w:rPr>
          <w:rFonts w:ascii="Arial" w:hAnsi="Arial" w:cs="Arial"/>
          <w:b/>
          <w:sz w:val="24"/>
          <w:szCs w:val="24"/>
        </w:rPr>
        <w:t>is Statement</w:t>
      </w:r>
      <w:r w:rsidRPr="000C52AE">
        <w:rPr>
          <w:rFonts w:ascii="Arial" w:hAnsi="Arial" w:cs="Arial"/>
          <w:b/>
          <w:sz w:val="24"/>
          <w:szCs w:val="24"/>
        </w:rPr>
        <w:t xml:space="preserve">.  </w:t>
      </w:r>
    </w:p>
    <w:p w:rsidR="005F6D43" w:rsidRPr="000C52AE" w:rsidP="00496FB2" w14:paraId="2E8936D7" w14:textId="77777777">
      <w:pPr>
        <w:ind w:right="216"/>
        <w:jc w:val="both"/>
        <w:rPr>
          <w:rFonts w:ascii="Arial" w:hAnsi="Arial" w:cs="Arial"/>
          <w:sz w:val="24"/>
          <w:szCs w:val="24"/>
        </w:rPr>
      </w:pPr>
    </w:p>
    <w:p w:rsidR="001610C4" w:rsidP="001610C4" w14:paraId="05963824" w14:textId="42BBB8A8">
      <w:pPr>
        <w:ind w:left="720" w:right="216"/>
        <w:jc w:val="both"/>
        <w:rPr>
          <w:rFonts w:ascii="Arial" w:hAnsi="Arial" w:cs="Arial"/>
          <w:sz w:val="24"/>
          <w:szCs w:val="24"/>
        </w:rPr>
      </w:pPr>
      <w:bookmarkStart w:id="20" w:name="OLE_LINK22"/>
      <w:r w:rsidRPr="000C52AE">
        <w:rPr>
          <w:rFonts w:ascii="Arial" w:hAnsi="Arial" w:cs="Arial"/>
          <w:sz w:val="24"/>
          <w:szCs w:val="24"/>
        </w:rPr>
        <w:t xml:space="preserve">There has been </w:t>
      </w:r>
      <w:r w:rsidRPr="000C52AE" w:rsidR="00FC1CAA">
        <w:rPr>
          <w:rFonts w:ascii="Arial" w:hAnsi="Arial" w:cs="Arial"/>
          <w:sz w:val="24"/>
          <w:szCs w:val="24"/>
        </w:rPr>
        <w:t>a</w:t>
      </w:r>
      <w:r>
        <w:rPr>
          <w:rFonts w:ascii="Arial" w:hAnsi="Arial" w:cs="Arial"/>
          <w:sz w:val="24"/>
          <w:szCs w:val="24"/>
        </w:rPr>
        <w:t>n</w:t>
      </w:r>
      <w:r w:rsidRPr="000C52AE">
        <w:rPr>
          <w:rFonts w:ascii="Arial" w:hAnsi="Arial" w:cs="Arial"/>
          <w:sz w:val="24"/>
          <w:szCs w:val="24"/>
        </w:rPr>
        <w:t xml:space="preserve"> </w:t>
      </w:r>
      <w:r>
        <w:rPr>
          <w:rFonts w:ascii="Arial" w:hAnsi="Arial" w:cs="Arial"/>
          <w:sz w:val="24"/>
          <w:szCs w:val="24"/>
        </w:rPr>
        <w:t>increase</w:t>
      </w:r>
      <w:r w:rsidRPr="000C52AE">
        <w:rPr>
          <w:rFonts w:ascii="Arial" w:hAnsi="Arial" w:cs="Arial"/>
          <w:sz w:val="24"/>
          <w:szCs w:val="24"/>
        </w:rPr>
        <w:t xml:space="preserve"> in the estimated annual burden hours previously reported for this information collection</w:t>
      </w:r>
      <w:r w:rsidRPr="000C52AE" w:rsidR="00AF1ACA">
        <w:rPr>
          <w:rFonts w:ascii="Arial" w:hAnsi="Arial" w:cs="Arial"/>
          <w:sz w:val="24"/>
          <w:szCs w:val="24"/>
        </w:rPr>
        <w:t xml:space="preserve"> as a result </w:t>
      </w:r>
      <w:r w:rsidR="0061142E">
        <w:rPr>
          <w:rFonts w:ascii="Arial" w:hAnsi="Arial" w:cs="Arial"/>
          <w:sz w:val="24"/>
          <w:szCs w:val="24"/>
        </w:rPr>
        <w:t xml:space="preserve">of </w:t>
      </w:r>
      <w:r>
        <w:rPr>
          <w:rFonts w:ascii="Arial" w:hAnsi="Arial" w:cs="Arial"/>
          <w:sz w:val="24"/>
          <w:szCs w:val="24"/>
        </w:rPr>
        <w:t>t</w:t>
      </w:r>
      <w:r w:rsidRPr="007C5F96" w:rsidR="007C5F96">
        <w:rPr>
          <w:rFonts w:ascii="Arial" w:hAnsi="Arial" w:cs="Arial"/>
          <w:sz w:val="24"/>
          <w:szCs w:val="24"/>
        </w:rPr>
        <w:t>he U.S. Court of Appeals for the Federal Circuit</w:t>
      </w:r>
      <w:r w:rsidR="0061142E">
        <w:rPr>
          <w:rFonts w:ascii="Arial" w:hAnsi="Arial" w:cs="Arial"/>
          <w:sz w:val="24"/>
          <w:szCs w:val="24"/>
        </w:rPr>
        <w:t>’s</w:t>
      </w:r>
      <w:r w:rsidRPr="007C5F96" w:rsidR="007C5F96">
        <w:rPr>
          <w:rFonts w:ascii="Arial" w:hAnsi="Arial" w:cs="Arial"/>
          <w:sz w:val="24"/>
          <w:szCs w:val="24"/>
        </w:rPr>
        <w:t xml:space="preserve"> </w:t>
      </w:r>
      <w:r w:rsidR="00411BBF">
        <w:rPr>
          <w:rFonts w:ascii="Arial" w:hAnsi="Arial" w:cs="Arial"/>
          <w:sz w:val="24"/>
          <w:szCs w:val="24"/>
        </w:rPr>
        <w:t xml:space="preserve">decision in </w:t>
      </w:r>
      <w:r w:rsidRPr="00411BBF" w:rsidR="00411BBF">
        <w:rPr>
          <w:rFonts w:ascii="Arial" w:hAnsi="Arial" w:cs="Arial"/>
          <w:i/>
          <w:iCs/>
          <w:sz w:val="24"/>
          <w:szCs w:val="24"/>
        </w:rPr>
        <w:t>Royal Brush</w:t>
      </w:r>
      <w:r w:rsidR="00411BBF">
        <w:rPr>
          <w:rFonts w:ascii="Arial" w:hAnsi="Arial" w:cs="Arial"/>
          <w:sz w:val="24"/>
          <w:szCs w:val="24"/>
        </w:rPr>
        <w:t xml:space="preserve"> indicating </w:t>
      </w:r>
      <w:r w:rsidRPr="007C5F96" w:rsidR="007C5F96">
        <w:rPr>
          <w:rFonts w:ascii="Arial" w:hAnsi="Arial" w:cs="Arial"/>
          <w:sz w:val="24"/>
          <w:szCs w:val="24"/>
        </w:rPr>
        <w:t>that</w:t>
      </w:r>
      <w:r w:rsidR="00411BBF">
        <w:rPr>
          <w:rFonts w:ascii="Arial" w:hAnsi="Arial" w:cs="Arial"/>
          <w:sz w:val="24"/>
          <w:szCs w:val="24"/>
        </w:rPr>
        <w:t xml:space="preserve"> due process</w:t>
      </w:r>
      <w:r>
        <w:rPr>
          <w:rFonts w:ascii="Arial" w:hAnsi="Arial" w:cs="Arial"/>
          <w:sz w:val="24"/>
          <w:szCs w:val="24"/>
        </w:rPr>
        <w:t xml:space="preserve"> requires</w:t>
      </w:r>
      <w:r w:rsidRPr="007C5F96" w:rsidR="007C5F96">
        <w:rPr>
          <w:rFonts w:ascii="Arial" w:hAnsi="Arial" w:cs="Arial"/>
          <w:sz w:val="24"/>
          <w:szCs w:val="24"/>
        </w:rPr>
        <w:t xml:space="preserve"> CBP </w:t>
      </w:r>
      <w:r>
        <w:rPr>
          <w:rFonts w:ascii="Arial" w:hAnsi="Arial" w:cs="Arial"/>
          <w:sz w:val="24"/>
          <w:szCs w:val="24"/>
        </w:rPr>
        <w:t xml:space="preserve">to </w:t>
      </w:r>
      <w:r w:rsidRPr="007C5F96" w:rsidR="007C5F96">
        <w:rPr>
          <w:rFonts w:ascii="Arial" w:hAnsi="Arial" w:cs="Arial"/>
          <w:sz w:val="24"/>
          <w:szCs w:val="24"/>
        </w:rPr>
        <w:t>implement a mechanism called an Administrative Protective Order (APO) for</w:t>
      </w:r>
      <w:r w:rsidR="00482AD7">
        <w:rPr>
          <w:rFonts w:ascii="Arial" w:hAnsi="Arial" w:cs="Arial"/>
          <w:sz w:val="24"/>
          <w:szCs w:val="24"/>
        </w:rPr>
        <w:t xml:space="preserve"> certain parties to</w:t>
      </w:r>
      <w:r w:rsidRPr="007C5F96" w:rsidR="007C5F96">
        <w:rPr>
          <w:rFonts w:ascii="Arial" w:hAnsi="Arial" w:cs="Arial"/>
          <w:sz w:val="24"/>
          <w:szCs w:val="24"/>
        </w:rPr>
        <w:t xml:space="preserve"> access business confidential information used to make determinations in CBP’s EAPA investigations, administrative reviews, </w:t>
      </w:r>
      <w:r>
        <w:rPr>
          <w:rFonts w:ascii="Arial" w:hAnsi="Arial" w:cs="Arial"/>
          <w:sz w:val="24"/>
          <w:szCs w:val="24"/>
        </w:rPr>
        <w:t xml:space="preserve">and </w:t>
      </w:r>
      <w:r w:rsidRPr="007C5F96" w:rsidR="007C5F96">
        <w:rPr>
          <w:rFonts w:ascii="Arial" w:hAnsi="Arial" w:cs="Arial"/>
          <w:sz w:val="24"/>
          <w:szCs w:val="24"/>
        </w:rPr>
        <w:t>court remands.</w:t>
      </w:r>
    </w:p>
    <w:p w:rsidR="001610C4" w:rsidP="001610C4" w14:paraId="22107BE8" w14:textId="77777777">
      <w:pPr>
        <w:ind w:left="720" w:right="216"/>
        <w:jc w:val="both"/>
        <w:rPr>
          <w:rFonts w:ascii="Arial" w:hAnsi="Arial" w:cs="Arial"/>
          <w:sz w:val="24"/>
          <w:szCs w:val="24"/>
        </w:rPr>
      </w:pPr>
    </w:p>
    <w:p w:rsidR="00BA76F9" w:rsidP="000F1E26" w14:paraId="1B99FAEF" w14:textId="77777777">
      <w:pPr>
        <w:ind w:left="720" w:right="216"/>
        <w:jc w:val="both"/>
        <w:rPr>
          <w:rFonts w:ascii="Arial" w:hAnsi="Arial" w:cs="Arial"/>
          <w:sz w:val="24"/>
          <w:szCs w:val="24"/>
        </w:rPr>
      </w:pPr>
      <w:r>
        <w:rPr>
          <w:rFonts w:ascii="Arial" w:hAnsi="Arial" w:cs="Arial"/>
          <w:sz w:val="24"/>
          <w:szCs w:val="24"/>
        </w:rPr>
        <w:t xml:space="preserve">The new </w:t>
      </w:r>
      <w:r>
        <w:rPr>
          <w:rFonts w:ascii="Arial" w:hAnsi="Arial" w:cs="Arial"/>
          <w:sz w:val="24"/>
          <w:szCs w:val="24"/>
        </w:rPr>
        <w:t xml:space="preserve">APO </w:t>
      </w:r>
      <w:r>
        <w:rPr>
          <w:rFonts w:ascii="Arial" w:hAnsi="Arial" w:cs="Arial"/>
          <w:sz w:val="24"/>
          <w:szCs w:val="24"/>
        </w:rPr>
        <w:t>data collection adds 17 hours to the total annual burden and 100 new respondents/responses.</w:t>
      </w:r>
    </w:p>
    <w:p w:rsidR="00BA76F9" w:rsidP="000F1E26" w14:paraId="6508B97A" w14:textId="77777777">
      <w:pPr>
        <w:ind w:left="720" w:right="216"/>
        <w:jc w:val="both"/>
        <w:rPr>
          <w:rFonts w:ascii="Arial" w:hAnsi="Arial" w:cs="Arial"/>
          <w:sz w:val="24"/>
          <w:szCs w:val="24"/>
        </w:rPr>
      </w:pPr>
    </w:p>
    <w:p w:rsidR="00FC4DB0" w:rsidP="00FC4DB0" w14:paraId="79B1CC96" w14:textId="53F58785">
      <w:pPr>
        <w:ind w:left="720" w:right="216"/>
        <w:jc w:val="both"/>
        <w:rPr>
          <w:rFonts w:ascii="Arial" w:hAnsi="Arial" w:cs="Arial"/>
          <w:sz w:val="24"/>
          <w:szCs w:val="24"/>
        </w:rPr>
      </w:pPr>
      <w:r w:rsidRPr="00FC4DB0">
        <w:rPr>
          <w:rFonts w:ascii="Arial" w:hAnsi="Arial" w:cs="Arial"/>
          <w:sz w:val="24"/>
          <w:szCs w:val="24"/>
        </w:rPr>
        <w:t>The EAPA allegation time burden was reduced by 3 minutes (0.05 hours) because data elements provided during the EAPA portal account creation process are automatically filled into EAPA allegations by the portal, which reduces the time burden of EAPA allegations</w:t>
      </w:r>
      <w:bookmarkStart w:id="21" w:name="_Hlk74138233"/>
      <w:r w:rsidRPr="00FC4DB0">
        <w:rPr>
          <w:rFonts w:ascii="Arial" w:hAnsi="Arial" w:cs="Arial"/>
          <w:sz w:val="24"/>
          <w:szCs w:val="24"/>
        </w:rPr>
        <w:t xml:space="preserve">. </w:t>
      </w:r>
    </w:p>
    <w:p w:rsidR="00FC4DB0" w:rsidP="00FC4DB0" w14:paraId="7123E137" w14:textId="77777777">
      <w:pPr>
        <w:ind w:left="720" w:right="216"/>
        <w:jc w:val="both"/>
        <w:rPr>
          <w:rFonts w:ascii="Arial" w:hAnsi="Arial" w:cs="Arial"/>
          <w:sz w:val="24"/>
          <w:szCs w:val="24"/>
        </w:rPr>
      </w:pPr>
    </w:p>
    <w:p w:rsidR="00FC4DB0" w:rsidRPr="00FC4DB0" w:rsidP="00FC4DB0" w14:paraId="6E9FFD18" w14:textId="7ADB2F0F">
      <w:pPr>
        <w:ind w:left="720" w:right="216"/>
        <w:jc w:val="both"/>
        <w:rPr>
          <w:rFonts w:ascii="Arial" w:hAnsi="Arial" w:cs="Arial"/>
          <w:b/>
          <w:bCs/>
          <w:sz w:val="24"/>
          <w:szCs w:val="24"/>
        </w:rPr>
      </w:pPr>
      <w:r w:rsidRPr="00FC4DB0">
        <w:rPr>
          <w:rFonts w:ascii="Arial" w:hAnsi="Arial" w:cs="Arial"/>
          <w:sz w:val="24"/>
          <w:szCs w:val="24"/>
        </w:rPr>
        <w:t xml:space="preserve">EAPA portal account creation </w:t>
      </w:r>
      <w:bookmarkEnd w:id="21"/>
      <w:r w:rsidRPr="00FC4DB0">
        <w:rPr>
          <w:rFonts w:ascii="Arial" w:hAnsi="Arial" w:cs="Arial"/>
          <w:sz w:val="24"/>
          <w:szCs w:val="24"/>
        </w:rPr>
        <w:t xml:space="preserve">was added to the </w:t>
      </w:r>
      <w:r>
        <w:rPr>
          <w:rFonts w:ascii="Arial" w:hAnsi="Arial" w:cs="Arial"/>
          <w:sz w:val="24"/>
          <w:szCs w:val="24"/>
        </w:rPr>
        <w:t>table</w:t>
      </w:r>
      <w:r w:rsidRPr="00FC4DB0">
        <w:rPr>
          <w:rFonts w:ascii="Arial" w:hAnsi="Arial" w:cs="Arial"/>
          <w:sz w:val="24"/>
          <w:szCs w:val="24"/>
        </w:rPr>
        <w:t xml:space="preserve"> and 101 EAPA portal accounts were created beyond those that were needed to submit an EAPA allegation.</w:t>
      </w:r>
      <w:r w:rsidRPr="00FC4DB0">
        <w:rPr>
          <w:rFonts w:ascii="Arial" w:hAnsi="Arial" w:cs="Arial"/>
          <w:b/>
          <w:bCs/>
          <w:sz w:val="24"/>
          <w:szCs w:val="24"/>
        </w:rPr>
        <w:t xml:space="preserve"> </w:t>
      </w:r>
      <w:r w:rsidRPr="00FC4DB0">
        <w:rPr>
          <w:rFonts w:ascii="Arial" w:hAnsi="Arial" w:cs="Arial"/>
          <w:sz w:val="24"/>
          <w:szCs w:val="24"/>
        </w:rPr>
        <w:t>This results in a net increase in the estimated annual burden hours previously reported for this information collection.</w:t>
      </w:r>
    </w:p>
    <w:bookmarkEnd w:id="20"/>
    <w:p w:rsidR="00094DA2" w:rsidP="00496FB2" w14:paraId="675C302F" w14:textId="6ED4B6BD">
      <w:pPr>
        <w:ind w:right="216"/>
        <w:jc w:val="both"/>
        <w:rPr>
          <w:rFonts w:ascii="Arial" w:hAnsi="Arial" w:cs="Arial"/>
          <w:b/>
          <w:sz w:val="24"/>
          <w:szCs w:val="24"/>
        </w:rPr>
      </w:pPr>
    </w:p>
    <w:p w:rsidR="00B64EE7" w:rsidRPr="000C52AE" w:rsidP="00496FB2" w14:paraId="4AB2B3F7" w14:textId="0E016A6A">
      <w:pPr>
        <w:ind w:right="216"/>
        <w:jc w:val="both"/>
        <w:rPr>
          <w:rFonts w:ascii="Arial" w:hAnsi="Arial" w:cs="Arial"/>
          <w:b/>
          <w:sz w:val="24"/>
          <w:szCs w:val="24"/>
        </w:rPr>
      </w:pPr>
      <w:r w:rsidRPr="000C52AE">
        <w:rPr>
          <w:rFonts w:ascii="Arial" w:hAnsi="Arial" w:cs="Arial"/>
          <w:b/>
          <w:sz w:val="24"/>
          <w:szCs w:val="24"/>
        </w:rPr>
        <w:tab/>
      </w:r>
      <w:r w:rsidRPr="000C52AE">
        <w:rPr>
          <w:rFonts w:ascii="Arial" w:hAnsi="Arial" w:cs="Arial"/>
          <w:b/>
          <w:sz w:val="24"/>
          <w:szCs w:val="24"/>
        </w:rPr>
        <w:tab/>
      </w:r>
      <w:r w:rsidRPr="000C52AE">
        <w:rPr>
          <w:rFonts w:ascii="Arial" w:hAnsi="Arial" w:cs="Arial"/>
          <w:b/>
          <w:sz w:val="24"/>
          <w:szCs w:val="24"/>
        </w:rPr>
        <w:tab/>
      </w:r>
      <w:r w:rsidRPr="000C52AE">
        <w:rPr>
          <w:rFonts w:ascii="Arial" w:hAnsi="Arial" w:cs="Arial"/>
          <w:b/>
          <w:sz w:val="24"/>
          <w:szCs w:val="24"/>
        </w:rPr>
        <w:tab/>
      </w:r>
    </w:p>
    <w:p w:rsidR="005F6D43" w:rsidRPr="000C52AE" w:rsidP="00496FB2" w14:paraId="44AEF581" w14:textId="68367D4C">
      <w:pPr>
        <w:ind w:left="720" w:right="216" w:hanging="720"/>
        <w:jc w:val="both"/>
        <w:rPr>
          <w:rFonts w:ascii="Arial" w:hAnsi="Arial" w:cs="Arial"/>
          <w:b/>
          <w:sz w:val="24"/>
          <w:szCs w:val="24"/>
        </w:rPr>
      </w:pPr>
      <w:r w:rsidRPr="000C52AE">
        <w:rPr>
          <w:rFonts w:ascii="Arial" w:hAnsi="Arial" w:cs="Arial"/>
          <w:b/>
          <w:sz w:val="24"/>
          <w:szCs w:val="24"/>
        </w:rPr>
        <w:t xml:space="preserve">16. </w:t>
      </w:r>
      <w:r w:rsidRPr="000C52AE" w:rsidR="0023738E">
        <w:rPr>
          <w:rFonts w:ascii="Arial" w:hAnsi="Arial" w:cs="Arial"/>
          <w:b/>
          <w:sz w:val="24"/>
          <w:szCs w:val="24"/>
        </w:rPr>
        <w:tab/>
      </w:r>
      <w:r w:rsidRPr="000C52AE">
        <w:rPr>
          <w:rFonts w:ascii="Arial" w:hAnsi="Arial" w:cs="Arial"/>
          <w:b/>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F6D43" w:rsidRPr="000C52AE" w:rsidP="00496FB2" w14:paraId="070D297D" w14:textId="77777777">
      <w:pPr>
        <w:ind w:right="216"/>
        <w:jc w:val="both"/>
        <w:rPr>
          <w:rFonts w:ascii="Arial" w:hAnsi="Arial" w:cs="Arial"/>
          <w:sz w:val="24"/>
          <w:szCs w:val="24"/>
        </w:rPr>
      </w:pPr>
    </w:p>
    <w:p w:rsidR="005F6D43" w:rsidRPr="000C52AE" w:rsidP="00496FB2" w14:paraId="1EFD48CD" w14:textId="77777777">
      <w:pPr>
        <w:ind w:right="216" w:firstLine="720"/>
        <w:jc w:val="both"/>
        <w:rPr>
          <w:rFonts w:ascii="Arial" w:hAnsi="Arial" w:cs="Arial"/>
          <w:sz w:val="24"/>
          <w:szCs w:val="24"/>
        </w:rPr>
      </w:pPr>
      <w:r w:rsidRPr="000C52AE">
        <w:rPr>
          <w:rFonts w:ascii="Arial" w:hAnsi="Arial" w:cs="Arial"/>
          <w:sz w:val="24"/>
          <w:szCs w:val="24"/>
        </w:rPr>
        <w:t>This information collection will not be published.</w:t>
      </w:r>
    </w:p>
    <w:p w:rsidR="00F27A26" w:rsidRPr="000C52AE" w:rsidP="00496FB2" w14:paraId="75DE9046" w14:textId="77777777">
      <w:pPr>
        <w:ind w:right="216"/>
        <w:jc w:val="both"/>
        <w:rPr>
          <w:rFonts w:ascii="Arial" w:hAnsi="Arial" w:cs="Arial"/>
          <w:b/>
          <w:sz w:val="24"/>
          <w:szCs w:val="24"/>
        </w:rPr>
      </w:pPr>
    </w:p>
    <w:p w:rsidR="005F6D43" w:rsidRPr="000C52AE" w:rsidP="00496FB2" w14:paraId="7651C948" w14:textId="0F1BF8DB">
      <w:pPr>
        <w:ind w:left="720" w:right="216" w:hanging="720"/>
        <w:jc w:val="both"/>
        <w:rPr>
          <w:rFonts w:ascii="Arial" w:hAnsi="Arial" w:cs="Arial"/>
          <w:b/>
          <w:sz w:val="24"/>
          <w:szCs w:val="24"/>
        </w:rPr>
      </w:pPr>
      <w:r w:rsidRPr="000C52AE">
        <w:rPr>
          <w:rFonts w:ascii="Arial" w:hAnsi="Arial" w:cs="Arial"/>
          <w:b/>
          <w:sz w:val="24"/>
          <w:szCs w:val="24"/>
        </w:rPr>
        <w:t xml:space="preserve">17. </w:t>
      </w:r>
      <w:r w:rsidRPr="000C52AE" w:rsidR="0023738E">
        <w:rPr>
          <w:rFonts w:ascii="Arial" w:hAnsi="Arial" w:cs="Arial"/>
          <w:b/>
          <w:sz w:val="24"/>
          <w:szCs w:val="24"/>
        </w:rPr>
        <w:tab/>
      </w:r>
      <w:r w:rsidRPr="0076497D">
        <w:rPr>
          <w:rFonts w:ascii="Arial" w:hAnsi="Arial" w:cs="Arial"/>
          <w:b/>
          <w:sz w:val="24"/>
          <w:szCs w:val="24"/>
        </w:rPr>
        <w:t>If seeking approval to not display the expiration date for OMB approval of the information collection, explain the reasons that display would be inappropriate.</w:t>
      </w:r>
    </w:p>
    <w:p w:rsidR="005F6D43" w:rsidRPr="000C52AE" w:rsidP="00496FB2" w14:paraId="3AA3D91A" w14:textId="77777777">
      <w:pPr>
        <w:ind w:right="216"/>
        <w:jc w:val="both"/>
        <w:rPr>
          <w:rFonts w:ascii="Arial" w:hAnsi="Arial" w:cs="Arial"/>
          <w:sz w:val="24"/>
          <w:szCs w:val="24"/>
        </w:rPr>
      </w:pPr>
    </w:p>
    <w:p w:rsidR="005F6D43" w:rsidP="00496FB2" w14:paraId="3ACC7D5B" w14:textId="7EC3B926">
      <w:pPr>
        <w:ind w:left="720" w:right="216"/>
        <w:jc w:val="both"/>
        <w:rPr>
          <w:rFonts w:ascii="Arial" w:hAnsi="Arial" w:cs="Arial"/>
          <w:sz w:val="24"/>
          <w:szCs w:val="24"/>
        </w:rPr>
      </w:pPr>
      <w:r w:rsidRPr="000C52AE">
        <w:rPr>
          <w:rFonts w:ascii="Arial" w:hAnsi="Arial" w:cs="Arial"/>
          <w:bCs/>
          <w:sz w:val="24"/>
          <w:szCs w:val="24"/>
        </w:rPr>
        <w:t xml:space="preserve">CBP </w:t>
      </w:r>
      <w:r w:rsidRPr="000C52AE">
        <w:rPr>
          <w:rFonts w:ascii="Arial" w:hAnsi="Arial" w:cs="Arial"/>
          <w:sz w:val="24"/>
          <w:szCs w:val="24"/>
        </w:rPr>
        <w:t xml:space="preserve">will display the expiration date for OMB approval of this information </w:t>
      </w:r>
      <w:r w:rsidRPr="000C52AE" w:rsidR="0057257B">
        <w:rPr>
          <w:rFonts w:ascii="Arial" w:hAnsi="Arial" w:cs="Arial"/>
          <w:sz w:val="24"/>
          <w:szCs w:val="24"/>
        </w:rPr>
        <w:t>collection</w:t>
      </w:r>
      <w:r w:rsidR="00343277">
        <w:rPr>
          <w:rFonts w:ascii="Arial" w:hAnsi="Arial" w:cs="Arial"/>
          <w:sz w:val="24"/>
          <w:szCs w:val="24"/>
        </w:rPr>
        <w:t xml:space="preserve"> on the EAPA and e-Allegations websites</w:t>
      </w:r>
      <w:r w:rsidRPr="000C52AE">
        <w:rPr>
          <w:rFonts w:ascii="Arial" w:hAnsi="Arial" w:cs="Arial"/>
          <w:sz w:val="24"/>
          <w:szCs w:val="24"/>
        </w:rPr>
        <w:t>.</w:t>
      </w:r>
      <w:r w:rsidR="00343277">
        <w:rPr>
          <w:rFonts w:ascii="Arial" w:hAnsi="Arial" w:cs="Arial"/>
          <w:sz w:val="24"/>
          <w:szCs w:val="24"/>
        </w:rPr>
        <w:t xml:space="preserve"> </w:t>
      </w:r>
    </w:p>
    <w:p w:rsidR="00343277" w:rsidP="00496FB2" w14:paraId="275FE0C2" w14:textId="77777777">
      <w:pPr>
        <w:ind w:left="720" w:right="216"/>
        <w:jc w:val="both"/>
        <w:rPr>
          <w:rFonts w:ascii="Arial" w:hAnsi="Arial" w:cs="Arial"/>
          <w:sz w:val="24"/>
          <w:szCs w:val="24"/>
        </w:rPr>
      </w:pPr>
    </w:p>
    <w:p w:rsidR="00343277" w:rsidRPr="000C52AE" w:rsidP="00496FB2" w14:paraId="1C0983A5" w14:textId="159F81E4">
      <w:pPr>
        <w:ind w:left="720" w:right="216"/>
        <w:jc w:val="both"/>
        <w:rPr>
          <w:rFonts w:ascii="Arial" w:hAnsi="Arial" w:cs="Arial"/>
          <w:sz w:val="24"/>
          <w:szCs w:val="24"/>
        </w:rPr>
      </w:pPr>
      <w:r>
        <w:rPr>
          <w:rFonts w:ascii="Arial" w:hAnsi="Arial" w:cs="Arial"/>
          <w:sz w:val="24"/>
          <w:szCs w:val="24"/>
        </w:rPr>
        <w:t xml:space="preserve">The EAPA APO collection cannot display the expiration date or OMB control number because it is not a form/letter/sign—respondents provide CBP with a letter </w:t>
      </w:r>
      <w:r w:rsidR="00C91A2C">
        <w:rPr>
          <w:rFonts w:ascii="Arial" w:hAnsi="Arial" w:cs="Arial"/>
          <w:sz w:val="24"/>
          <w:szCs w:val="24"/>
        </w:rPr>
        <w:t xml:space="preserve">providing the information addressed by </w:t>
      </w:r>
      <w:r>
        <w:rPr>
          <w:rFonts w:ascii="Arial" w:hAnsi="Arial" w:cs="Arial"/>
          <w:sz w:val="24"/>
          <w:szCs w:val="24"/>
        </w:rPr>
        <w:t xml:space="preserve">this collection. </w:t>
      </w:r>
    </w:p>
    <w:p w:rsidR="005F6D43" w:rsidRPr="000C52AE" w:rsidP="00496FB2" w14:paraId="51F1EDC4" w14:textId="77777777">
      <w:pPr>
        <w:ind w:left="360" w:right="216"/>
        <w:jc w:val="both"/>
        <w:rPr>
          <w:rFonts w:ascii="Arial" w:hAnsi="Arial" w:cs="Arial"/>
          <w:sz w:val="24"/>
          <w:szCs w:val="24"/>
        </w:rPr>
      </w:pPr>
    </w:p>
    <w:p w:rsidR="005F6D43" w:rsidRPr="000C52AE" w:rsidP="00496FB2" w14:paraId="493B4CA6" w14:textId="005EBB0D">
      <w:pPr>
        <w:ind w:left="720" w:right="216" w:hanging="720"/>
        <w:jc w:val="both"/>
        <w:rPr>
          <w:rFonts w:ascii="Arial" w:hAnsi="Arial" w:cs="Arial"/>
          <w:b/>
          <w:sz w:val="24"/>
          <w:szCs w:val="24"/>
        </w:rPr>
      </w:pPr>
      <w:r w:rsidRPr="000C52AE">
        <w:rPr>
          <w:rFonts w:ascii="Arial" w:hAnsi="Arial" w:cs="Arial"/>
          <w:b/>
          <w:sz w:val="24"/>
          <w:szCs w:val="24"/>
        </w:rPr>
        <w:t xml:space="preserve">18. </w:t>
      </w:r>
      <w:r w:rsidRPr="000C52AE" w:rsidR="0023738E">
        <w:rPr>
          <w:rFonts w:ascii="Arial" w:hAnsi="Arial" w:cs="Arial"/>
          <w:b/>
          <w:sz w:val="24"/>
          <w:szCs w:val="24"/>
        </w:rPr>
        <w:tab/>
      </w:r>
      <w:r w:rsidRPr="000C52AE">
        <w:rPr>
          <w:rFonts w:ascii="Arial" w:hAnsi="Arial" w:cs="Arial"/>
          <w:b/>
          <w:sz w:val="24"/>
          <w:szCs w:val="24"/>
        </w:rPr>
        <w:t>Explain each exception to the certification statement identified in Item 19, “Certification for Paperwork Reduction Act Submissions”</w:t>
      </w:r>
      <w:r w:rsidRPr="000C52AE" w:rsidR="00DD1B37">
        <w:rPr>
          <w:rFonts w:ascii="Arial" w:hAnsi="Arial" w:cs="Arial"/>
          <w:b/>
          <w:sz w:val="24"/>
          <w:szCs w:val="24"/>
        </w:rPr>
        <w:t>.</w:t>
      </w:r>
    </w:p>
    <w:p w:rsidR="005F6D43" w:rsidRPr="000C52AE" w:rsidP="00496FB2" w14:paraId="02F84AFC" w14:textId="77777777">
      <w:pPr>
        <w:ind w:right="216"/>
        <w:jc w:val="both"/>
        <w:rPr>
          <w:rFonts w:ascii="Arial" w:hAnsi="Arial" w:cs="Arial"/>
          <w:b/>
          <w:sz w:val="24"/>
          <w:szCs w:val="24"/>
        </w:rPr>
      </w:pPr>
      <w:r w:rsidRPr="000C52AE">
        <w:rPr>
          <w:rFonts w:ascii="Arial" w:hAnsi="Arial" w:cs="Arial"/>
          <w:b/>
          <w:sz w:val="24"/>
          <w:szCs w:val="24"/>
        </w:rPr>
        <w:tab/>
      </w:r>
    </w:p>
    <w:p w:rsidR="00F556F8" w:rsidRPr="000C52AE" w:rsidP="00496FB2" w14:paraId="0A614E63" w14:textId="77777777">
      <w:pPr>
        <w:ind w:left="720" w:right="216"/>
        <w:jc w:val="both"/>
        <w:rPr>
          <w:rFonts w:ascii="Arial" w:hAnsi="Arial" w:cs="Arial"/>
          <w:b/>
          <w:sz w:val="24"/>
          <w:szCs w:val="24"/>
        </w:rPr>
      </w:pPr>
      <w:r w:rsidRPr="000C52AE">
        <w:rPr>
          <w:rFonts w:ascii="Arial" w:hAnsi="Arial" w:cs="Arial"/>
          <w:sz w:val="24"/>
          <w:szCs w:val="24"/>
        </w:rPr>
        <w:t>CBP does not request an exception to the certification of this information collection.</w:t>
      </w:r>
    </w:p>
    <w:p w:rsidR="005F6D43" w:rsidRPr="000C52AE" w:rsidP="00496FB2" w14:paraId="5208DF38" w14:textId="0994C3D7">
      <w:pPr>
        <w:pStyle w:val="Heading2"/>
        <w:numPr>
          <w:ilvl w:val="0"/>
          <w:numId w:val="0"/>
        </w:numPr>
        <w:ind w:left="720" w:right="216" w:hanging="720"/>
        <w:jc w:val="both"/>
        <w:rPr>
          <w:rFonts w:cs="Arial"/>
          <w:i w:val="0"/>
          <w:szCs w:val="24"/>
        </w:rPr>
      </w:pPr>
      <w:r w:rsidRPr="000C52AE">
        <w:rPr>
          <w:rFonts w:cs="Arial"/>
          <w:i w:val="0"/>
          <w:szCs w:val="24"/>
        </w:rPr>
        <w:t xml:space="preserve">19.  </w:t>
      </w:r>
      <w:r w:rsidRPr="000C52AE" w:rsidR="0023738E">
        <w:rPr>
          <w:rFonts w:cs="Arial"/>
          <w:i w:val="0"/>
          <w:szCs w:val="24"/>
        </w:rPr>
        <w:tab/>
      </w:r>
      <w:r w:rsidRPr="000C52AE">
        <w:rPr>
          <w:rFonts w:cs="Arial"/>
          <w:i w:val="0"/>
          <w:szCs w:val="24"/>
        </w:rPr>
        <w:t>Collection of Information Employing Statistical Methods</w:t>
      </w:r>
    </w:p>
    <w:p w:rsidR="00F75FAC" w:rsidRPr="000C52AE" w:rsidP="00496FB2" w14:paraId="276EDC7B" w14:textId="77777777">
      <w:pPr>
        <w:ind w:right="216" w:firstLine="720"/>
        <w:rPr>
          <w:rFonts w:ascii="Arial" w:hAnsi="Arial" w:cs="Arial"/>
          <w:sz w:val="24"/>
          <w:szCs w:val="24"/>
        </w:rPr>
      </w:pPr>
    </w:p>
    <w:p w:rsidR="005F6D43" w:rsidRPr="000C52AE" w:rsidP="00496FB2" w14:paraId="39683B1B" w14:textId="0D9EFD7A">
      <w:pPr>
        <w:ind w:right="216" w:firstLine="720"/>
        <w:rPr>
          <w:rFonts w:ascii="Arial" w:hAnsi="Arial" w:cs="Arial"/>
          <w:sz w:val="24"/>
          <w:szCs w:val="24"/>
        </w:rPr>
      </w:pPr>
      <w:r w:rsidRPr="000C52AE">
        <w:rPr>
          <w:rFonts w:ascii="Arial" w:hAnsi="Arial" w:cs="Arial"/>
          <w:sz w:val="24"/>
          <w:szCs w:val="24"/>
        </w:rPr>
        <w:t>No statistical methods were employed.</w:t>
      </w:r>
    </w:p>
    <w:sectPr>
      <w:footerReference w:type="even" r:id="rId19"/>
      <w:footnotePr>
        <w:numRestart w:val="eachSect"/>
      </w:footnotePr>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D43" w14:paraId="7112867B" w14:textId="77777777">
    <w:pPr>
      <w:pStyle w:val="Footer"/>
      <w:framePr w:wrap="around" w:vAnchor="text" w:hAnchor="margin" w:xAlign="center" w:y="1"/>
      <w:rPr>
        <w:rStyle w:val="PageNumber"/>
        <w:sz w:val="24"/>
      </w:rPr>
    </w:pPr>
  </w:p>
  <w:p w:rsidR="005F6D43" w14:paraId="6EBE058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61C4" w14:paraId="703A5923" w14:textId="77777777">
      <w:r>
        <w:separator/>
      </w:r>
    </w:p>
  </w:footnote>
  <w:footnote w:type="continuationSeparator" w:id="1">
    <w:p w:rsidR="00F061C4" w14:paraId="3B5ED497" w14:textId="77777777">
      <w:r>
        <w:continuationSeparator/>
      </w:r>
    </w:p>
  </w:footnote>
  <w:footnote w:id="2">
    <w:p w:rsidR="00CA19D1" w:rsidRPr="000F1E26" w14:paraId="32335C6B" w14:textId="56C5A227">
      <w:pPr>
        <w:pStyle w:val="FootnoteText"/>
        <w:rPr>
          <w:rFonts w:ascii="Arial" w:hAnsi="Arial" w:cs="Arial"/>
        </w:rPr>
      </w:pPr>
      <w:r w:rsidRPr="000F1E26">
        <w:rPr>
          <w:rStyle w:val="FootnoteReference"/>
          <w:rFonts w:ascii="Arial" w:hAnsi="Arial" w:cs="Arial"/>
        </w:rPr>
        <w:footnoteRef/>
      </w:r>
      <w:r w:rsidRPr="000F1E26">
        <w:rPr>
          <w:rFonts w:ascii="Arial" w:hAnsi="Arial" w:cs="Arial"/>
        </w:rPr>
        <w:t xml:space="preserve"> Royal Brush Mfg., Inc. v. United States, 75 F.4th 1250 (Fed. Cir. 2023)</w:t>
      </w:r>
    </w:p>
  </w:footnote>
  <w:footnote w:id="3">
    <w:p w:rsidR="002C7469" w:rsidRPr="002C7469" w:rsidP="002C7469" w14:paraId="1697495A" w14:textId="77777777">
      <w:pPr>
        <w:pStyle w:val="FootnoteText"/>
        <w:rPr>
          <w:rFonts w:ascii="Arial" w:hAnsi="Arial" w:cs="Arial"/>
        </w:rPr>
      </w:pPr>
      <w:r w:rsidRPr="002C7469">
        <w:rPr>
          <w:rStyle w:val="FootnoteReference"/>
          <w:rFonts w:ascii="Arial" w:hAnsi="Arial" w:cs="Arial"/>
        </w:rPr>
        <w:footnoteRef/>
      </w:r>
      <w:r w:rsidRPr="002C7469">
        <w:rPr>
          <w:rFonts w:ascii="Arial" w:hAnsi="Arial" w:cs="Arial"/>
        </w:rPr>
        <w:t xml:space="preserve"> </w:t>
      </w:r>
      <w:bookmarkStart w:id="2" w:name="OLE_LINK15"/>
      <w:r w:rsidRPr="002C7469">
        <w:rPr>
          <w:rFonts w:ascii="Arial" w:hAnsi="Arial" w:cs="Arial"/>
        </w:rPr>
        <w:t xml:space="preserve">Investigation of Claims of Evasion of Antidumping and Countervailing Duties </w:t>
      </w:r>
      <w:bookmarkEnd w:id="2"/>
      <w:hyperlink r:id="rId1" w:history="1">
        <w:r w:rsidRPr="002C7469">
          <w:rPr>
            <w:rStyle w:val="Hyperlink"/>
            <w:rFonts w:ascii="Arial" w:hAnsi="Arial" w:cs="Arial"/>
          </w:rPr>
          <w:t>https://www.federalregister.gov/documents/2024/03/18/2024-04713/investigation-of-claims-of-evasion-of-antidumping-and-countervailing-duties</w:t>
        </w:r>
      </w:hyperlink>
    </w:p>
    <w:p w:rsidR="002C7469" w14:paraId="67B46330" w14:textId="44E5C1C2">
      <w:pPr>
        <w:pStyle w:val="FootnoteText"/>
      </w:pPr>
    </w:p>
  </w:footnote>
  <w:footnote w:id="4">
    <w:p w:rsidR="00BA76F9" w:rsidP="00BA76F9" w14:paraId="31620DE0" w14:textId="77777777">
      <w:pPr>
        <w:rPr>
          <w:color w:val="1F497D"/>
          <w:lang w:val="en"/>
        </w:rPr>
      </w:pPr>
      <w:r>
        <w:rPr>
          <w:rStyle w:val="FootnoteReference"/>
        </w:rPr>
        <w:footnoteRef/>
      </w:r>
      <w:r>
        <w:t xml:space="preserve"> Source of median wage rate: </w:t>
      </w:r>
      <w:r>
        <w:rPr>
          <w:lang w:val="en"/>
        </w:rPr>
        <w:t xml:space="preserve">U.S. Bureau of Labor Statistics.  Occupational Employment Statistics, “May 2020 National Occupational Employment and Wage Estimates United States.”  Updated March 31, 2021.  Available at https://www.bls.gov/oes/2020/may/oes_nat.htm.  Accessed June 1, 2021.  </w:t>
      </w:r>
      <w:r>
        <w:t xml:space="preserve">The </w:t>
      </w:r>
      <w:r>
        <w:rPr>
          <w:lang w:val="en"/>
        </w:rPr>
        <w:t>total compensation to wages and salaries ratio is equal to the calculated average of the 2020 quarterly estimates (shown under Mar., June, Sep., Dec.) of the total compensation cost per hour worked for Office and Administrative Support occupations ($28.8875) divided by the calculated average of the 2020 quarterly estimates (shown under Mar., June, Sep., Dec.) of wages and salaries cost per hour worked for the same occupation category ($19.3725).  Source of total compensation to wages and salaries ratio data: U.S. Bureau of Labor Statistics.  Employer Costs for Employee Compensation.  Employer Costs for Employee Compensation Historical Listing March 2004 – December 2020, “Table 3. Civilian workers, by occupational group: employer costs per hours worked for employee compensation and costs as a percentage of total compensation, 2004-2020.”  March 2021.  Available at https://www.bls.gov/web/ecec/ececqrtn.pdf.  Accessed June 1, 2021.</w:t>
      </w:r>
    </w:p>
  </w:footnote>
  <w:footnote w:id="5">
    <w:p w:rsidR="00BA76F9" w:rsidP="00BA76F9" w14:paraId="19BB0605" w14:textId="77777777">
      <w:pPr>
        <w:autoSpaceDE w:val="0"/>
        <w:autoSpaceDN w:val="0"/>
        <w:adjustRightInd w:val="0"/>
        <w:ind w:right="-720"/>
      </w:pPr>
      <w:r>
        <w:rPr>
          <w:rStyle w:val="FootnoteReference"/>
        </w:rPr>
        <w:footnoteRef/>
      </w:r>
      <w:r>
        <w:t xml:space="preserve"> </w:t>
      </w:r>
      <w:r>
        <w:rPr>
          <w:lang w:val="en"/>
        </w:rPr>
        <w:t xml:space="preserve">Source: American Intellectual Property Law Association.  </w:t>
      </w:r>
      <w:r>
        <w:rPr>
          <w:i/>
          <w:lang w:val="en"/>
        </w:rPr>
        <w:t>2017 Report of the Economic Survey</w:t>
      </w:r>
      <w:r>
        <w:rPr>
          <w:lang w:val="en"/>
        </w:rPr>
        <w:t>.  “Billable Hours, Billing Rate, Dollars Billed (Q29, Q30, Q27).”  June 2017.</w:t>
      </w:r>
    </w:p>
  </w:footnote>
  <w:footnote w:id="6">
    <w:p w:rsidR="00BA76F9" w:rsidP="00BA76F9" w14:paraId="36E2B7C6" w14:textId="7777777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CBP calculated the 2020 adjusted dollar amount using the percent increase in the Annual Average GDP Price Deflator (2015 =100) between 2016 and 2020. The annual average GDP Price Deflator value in 2016 = 101.0481, the annual average GDP Price Deflator value in 2020 = 108.5904, the percent increase was estimated to be around 7.4641% (108.5904/101.0481 = 107.4641 or 7.4641%). This percent increase was applied to the 2016 estimated hourly billing rate of $400 for external attorneys to estimate the 2020 hourly billing rate of $429.86 for external attorneys.</w:t>
      </w:r>
    </w:p>
  </w:footnote>
  <w:footnote w:id="7">
    <w:p w:rsidR="00BA76F9" w:rsidP="00BA76F9" w14:paraId="32B0E51F" w14:textId="77777777">
      <w:pPr>
        <w:autoSpaceDE w:val="0"/>
        <w:autoSpaceDN w:val="0"/>
        <w:adjustRightInd w:val="0"/>
        <w:ind w:right="-720"/>
      </w:pPr>
      <w:r>
        <w:rPr>
          <w:rStyle w:val="FootnoteReference"/>
        </w:rPr>
        <w:footnoteRef/>
      </w:r>
      <w:r>
        <w:t xml:space="preserve"> </w:t>
      </w:r>
      <w:r>
        <w:rPr>
          <w:lang w:val="en"/>
        </w:rPr>
        <w:t xml:space="preserve">Source: American Intellectual Property Law Association.  </w:t>
      </w:r>
      <w:r>
        <w:rPr>
          <w:i/>
          <w:lang w:val="en"/>
        </w:rPr>
        <w:t>2017 Report of the Economic Survey</w:t>
      </w:r>
      <w:r>
        <w:rPr>
          <w:lang w:val="en"/>
        </w:rPr>
        <w:t>.  “Billable Hours, Billing Rate, Dollars Billed (Q29, Q30, Q27).”  June 2017.</w:t>
      </w:r>
    </w:p>
  </w:footnote>
  <w:footnote w:id="8">
    <w:p w:rsidR="00BA76F9" w:rsidP="00BA76F9" w14:paraId="4752A6F6" w14:textId="7777777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CBP calculated the 2020 adjusted dollar amount using the percent increase in the Annual Average GDP Price Deflator (2015 =100) between 2016 and 2020. The annual average GDP Price Deflator value in 2016 = 101.0481, the annual average GDP Price Deflator value in 2020 = 108.5904, the percent increase was estimated to be around 7.4641% (108.5904/101.0481 = 107.4641 or 7.4641%). This percent increase was applied to the 2016 estimated hourly billing rate of $400 for external attorneys to estimate the 2020 hourly billing rate of $429.86 for external attorneys.</w:t>
      </w:r>
    </w:p>
  </w:footnote>
  <w:footnote w:id="9">
    <w:p w:rsidR="00C869FC" w:rsidRPr="000F1E26" w:rsidP="00C869FC" w14:paraId="27176F87" w14:textId="77777777">
      <w:pPr>
        <w:pStyle w:val="FootnoteText"/>
        <w:rPr>
          <w:rFonts w:ascii="Arial" w:hAnsi="Arial" w:cs="Arial"/>
        </w:rPr>
      </w:pPr>
      <w:r w:rsidRPr="000F1E26">
        <w:rPr>
          <w:rStyle w:val="FootnoteReference"/>
          <w:rFonts w:ascii="Arial" w:hAnsi="Arial" w:cs="Arial"/>
        </w:rPr>
        <w:footnoteRef/>
      </w:r>
      <w:r w:rsidRPr="000F1E26">
        <w:rPr>
          <w:rFonts w:ascii="Arial" w:hAnsi="Arial" w:cs="Arial"/>
        </w:rPr>
        <w:t xml:space="preserve"> </w:t>
      </w:r>
      <w:r w:rsidRPr="000F1E26">
        <w:rPr>
          <w:rFonts w:ascii="Arial" w:hAnsi="Arial" w:cs="Arial"/>
          <w:lang w:val="en"/>
        </w:rPr>
        <w:t>Source: American Intellectual Property Law Association.  2017 Report of the Economic Survey.  “Billable Hours, Billing Rate, Dollars Billed (Q29, Q30, Q27).”  June 2017.</w:t>
      </w:r>
    </w:p>
  </w:footnote>
  <w:footnote w:id="10">
    <w:p w:rsidR="00C869FC" w:rsidRPr="000F1E26" w:rsidP="00C869FC" w14:paraId="491E4AF6" w14:textId="77777777">
      <w:pPr>
        <w:pStyle w:val="FootnoteText"/>
        <w:rPr>
          <w:rFonts w:ascii="Arial" w:hAnsi="Arial" w:cs="Arial"/>
        </w:rPr>
      </w:pPr>
      <w:r w:rsidRPr="000F1E26">
        <w:rPr>
          <w:rStyle w:val="FootnoteReference"/>
          <w:rFonts w:ascii="Arial" w:hAnsi="Arial" w:cs="Arial"/>
        </w:rPr>
        <w:footnoteRef/>
      </w:r>
      <w:r w:rsidRPr="000F1E26">
        <w:rPr>
          <w:rFonts w:ascii="Arial" w:hAnsi="Arial" w:cs="Arial"/>
        </w:rPr>
        <w:t xml:space="preserve"> CBP calculated the 2022 adjusted dollar amount using the percent increase in the Annual Average GDP Price Deflator (2012=100) between 2016 and 2022.  The annual average GDP Price Deflator value in 2016 was 105.74, and the annual average GDP Price Deflator value in 2022 was 127.224.  Hence, the percent increase was estimated to be around 20.3178% (127.224/105.74-1 = 0.203178 or 20.3178%).  This percent increase was applied to the 2016 estimated hourly billing rate of $400 for external attorneys to estimate the 2022 hourly billing rate of $481.27 for external attorneys.</w:t>
      </w:r>
    </w:p>
  </w:footnote>
  <w:footnote w:id="11">
    <w:p w:rsidR="00C869FC" w:rsidRPr="000F1E26" w:rsidP="00C869FC" w14:paraId="2A2E8CB2" w14:textId="77777777">
      <w:pPr>
        <w:pStyle w:val="FootnoteText"/>
        <w:rPr>
          <w:rFonts w:ascii="Arial" w:hAnsi="Arial" w:cs="Arial"/>
        </w:rPr>
      </w:pPr>
      <w:r w:rsidRPr="000F1E26">
        <w:rPr>
          <w:rStyle w:val="FootnoteReference"/>
          <w:rFonts w:ascii="Arial" w:hAnsi="Arial" w:cs="Arial"/>
        </w:rPr>
        <w:footnoteRef/>
      </w:r>
      <w:r w:rsidRPr="000F1E26">
        <w:rPr>
          <w:rFonts w:ascii="Arial" w:hAnsi="Arial" w:cs="Arial"/>
        </w:rPr>
        <w:t xml:space="preserve"> To adjust to 2023 dollars, multiply by the 2021-2022 percent change in the Bureau of Economic Analysis's Implicit Price Deflators for Gross Domestic Product (127.224/118.895-1).  </w:t>
      </w:r>
      <w:r w:rsidRPr="000F1E26">
        <w:rPr>
          <w:rFonts w:ascii="Arial" w:hAnsi="Arial" w:cs="Arial"/>
          <w:i/>
          <w:iCs/>
        </w:rPr>
        <w:t>See</w:t>
      </w:r>
      <w:r w:rsidRPr="000F1E26">
        <w:rPr>
          <w:rFonts w:ascii="Arial" w:hAnsi="Arial" w:cs="Arial"/>
        </w:rPr>
        <w:t xml:space="preserve"> “Table 1.1.9.  Implicit Price Deflators for Gross Domestic Product,” Line 1 Gross Domestic Product, annual.  Bureau of Economic Analysis.  Updated August 30, 2023.  Available at https://apps.bea.gov/iTable/?reqid=19&amp;step=2&amp;isuri=1&amp;categories=survey#eyJhcHBpZCI6MTksInN0ZXBzIjpbMSwyLDMsM10sImRhdGEiOltbImNhdGVnb3JpZXMiLCJTdXJ2ZXkiXSxbIk5JUEFfVGFibGVfTGlzdCIsIjEzIl0sWyJGaXJzdF9ZZWFyIiwiMjAxNiJdLFsiTGFzdF9ZZWFyIiwiMjAyMyJdLFsiU2NhbGUiLCIwIl0sWyJTZXJpZXMiLCJBIl1dfQ==.  Accessed September 20, 2023.</w:t>
      </w:r>
    </w:p>
  </w:footnote>
  <w:footnote w:id="12">
    <w:p w:rsidR="00C869FC" w:rsidRPr="00B261B3" w:rsidP="00C869FC" w14:paraId="2FCD6C3C" w14:textId="77777777">
      <w:pPr>
        <w:pStyle w:val="FootnoteText"/>
        <w:rPr>
          <w:rFonts w:ascii="Arial" w:hAnsi="Arial" w:cs="Arial"/>
        </w:rPr>
      </w:pPr>
      <w:r w:rsidRPr="00B261B3">
        <w:rPr>
          <w:rStyle w:val="FootnoteReference"/>
          <w:rFonts w:ascii="Arial" w:hAnsi="Arial" w:cs="Arial"/>
        </w:rPr>
        <w:footnoteRef/>
      </w:r>
      <w:r w:rsidRPr="00B261B3">
        <w:rPr>
          <w:rFonts w:ascii="Arial" w:hAnsi="Arial" w:cs="Arial"/>
        </w:rPr>
        <w:t xml:space="preserve"> CBP bases this wage on the FY 2023 salary and benefits of the national average of other CBP positions, which is equal to a GS-11, Step 4.  Source: </w:t>
      </w:r>
      <w:r w:rsidRPr="00B261B3">
        <w:rPr>
          <w:rFonts w:ascii="Arial" w:hAnsi="Arial" w:cs="Arial"/>
          <w:lang w:val="en"/>
        </w:rPr>
        <w:t>Email correspondence with CBP’s Office of Finance on September 26, 2023</w:t>
      </w:r>
      <w:r w:rsidRPr="00B261B3">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4"/>
      <w:numFmt w:val="decimal"/>
      <w:pStyle w:val="Heading1"/>
      <w:lvlText w:val="%1."/>
      <w:legacy w:legacy="1" w:legacySpace="0" w:legacyIndent="0"/>
      <w:lvlJc w:val="left"/>
      <w:pPr>
        <w:ind w:left="0" w:firstLine="0"/>
      </w:pPr>
    </w:lvl>
    <w:lvl w:ilvl="1">
      <w:start w:val="1"/>
      <w:numFmt w:val="lowerLetter"/>
      <w:pStyle w:val="Heading2"/>
      <w:lvlText w:val="%2."/>
      <w:legacy w:legacy="1" w:legacySpace="0" w:legacyIndent="720"/>
      <w:lvlJc w:val="left"/>
      <w:pPr>
        <w:ind w:left="720" w:hanging="720"/>
      </w:pPr>
    </w:lvl>
    <w:lvl w:ilvl="2">
      <w:start w:val="1"/>
      <w:numFmt w:val="decimal"/>
      <w:pStyle w:val="Heading3"/>
      <w:lvlText w:val="%3."/>
      <w:legacy w:legacy="1" w:legacySpace="0" w:legacyIndent="720"/>
      <w:lvlJc w:val="left"/>
      <w:pPr>
        <w:ind w:left="1440" w:hanging="720"/>
      </w:pPr>
    </w:lvl>
    <w:lvl w:ilvl="3">
      <w:start w:val="1"/>
      <w:numFmt w:val="lowerLetter"/>
      <w:pStyle w:val="Heading4"/>
      <w:lvlText w:val="%4)"/>
      <w:legacy w:legacy="1" w:legacySpace="0" w:legacyIndent="720"/>
      <w:lvlJc w:val="left"/>
      <w:pPr>
        <w:ind w:left="2160" w:hanging="720"/>
      </w:pPr>
    </w:lvl>
    <w:lvl w:ilvl="4">
      <w:start w:val="1"/>
      <w:numFmt w:val="decimal"/>
      <w:pStyle w:val="Heading5"/>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3600" w:hanging="720"/>
      </w:pPr>
    </w:lvl>
    <w:lvl w:ilvl="6">
      <w:start w:val="1"/>
      <w:numFmt w:val="lowerRoman"/>
      <w:pStyle w:val="Heading7"/>
      <w:lvlText w:val="(%7)"/>
      <w:legacy w:legacy="1" w:legacySpace="0" w:legacyIndent="720"/>
      <w:lvlJc w:val="left"/>
      <w:pPr>
        <w:ind w:left="4320" w:hanging="720"/>
      </w:pPr>
    </w:lvl>
    <w:lvl w:ilvl="7">
      <w:start w:val="1"/>
      <w:numFmt w:val="lowerLetter"/>
      <w:pStyle w:val="Heading8"/>
      <w:lvlText w:val="(%8)"/>
      <w:legacy w:legacy="1" w:legacySpace="0" w:legacyIndent="720"/>
      <w:lvlJc w:val="left"/>
      <w:pPr>
        <w:ind w:left="5040" w:hanging="720"/>
      </w:pPr>
    </w:lvl>
    <w:lvl w:ilvl="8">
      <w:start w:val="1"/>
      <w:numFmt w:val="lowerRoman"/>
      <w:pStyle w:val="Heading9"/>
      <w:lvlText w:val="(%9)"/>
      <w:legacy w:legacy="1" w:legacySpace="0" w:legacyIndent="720"/>
      <w:lvlJc w:val="left"/>
      <w:pPr>
        <w:ind w:left="5760" w:hanging="720"/>
      </w:pPr>
    </w:lvl>
  </w:abstractNum>
  <w:abstractNum w:abstractNumId="1">
    <w:nsid w:val="0CA244DA"/>
    <w:multiLevelType w:val="multilevel"/>
    <w:tmpl w:val="8EC22676"/>
    <w:lvl w:ilvl="0">
      <w:start w:val="1"/>
      <w:numFmt w:val="decimal"/>
      <w:lvlText w:val="%1."/>
      <w:lvlJc w:val="left"/>
      <w:pPr>
        <w:tabs>
          <w:tab w:val="num" w:pos="390"/>
        </w:tabs>
        <w:ind w:left="39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6EC0CD9"/>
    <w:multiLevelType w:val="hybridMultilevel"/>
    <w:tmpl w:val="515E1844"/>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DF2757C"/>
    <w:multiLevelType w:val="hybridMultilevel"/>
    <w:tmpl w:val="C0F4CE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A73513"/>
    <w:multiLevelType w:val="hybridMultilevel"/>
    <w:tmpl w:val="752ED89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F567957"/>
    <w:multiLevelType w:val="multilevel"/>
    <w:tmpl w:val="875C7AEC"/>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2880"/>
        </w:tabs>
        <w:ind w:left="2880" w:hanging="144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47BB1F59"/>
    <w:multiLevelType w:val="singleLevel"/>
    <w:tmpl w:val="0409000F"/>
    <w:lvl w:ilvl="0">
      <w:start w:val="1"/>
      <w:numFmt w:val="decimal"/>
      <w:lvlText w:val="%1."/>
      <w:lvlJc w:val="left"/>
      <w:pPr>
        <w:tabs>
          <w:tab w:val="num" w:pos="360"/>
        </w:tabs>
        <w:ind w:left="360" w:hanging="360"/>
      </w:pPr>
    </w:lvl>
  </w:abstractNum>
  <w:abstractNum w:abstractNumId="7">
    <w:nsid w:val="5DAD0779"/>
    <w:multiLevelType w:val="hybridMultilevel"/>
    <w:tmpl w:val="9F6672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50B3665"/>
    <w:multiLevelType w:val="hybridMultilevel"/>
    <w:tmpl w:val="02421B9C"/>
    <w:lvl w:ilvl="0">
      <w:start w:val="1"/>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68E44743"/>
    <w:multiLevelType w:val="hybridMultilevel"/>
    <w:tmpl w:val="B78A9D9E"/>
    <w:lvl w:ilvl="0">
      <w:start w:val="1"/>
      <w:numFmt w:val="decimal"/>
      <w:lvlText w:val="%1)"/>
      <w:lvlJc w:val="left"/>
      <w:pPr>
        <w:ind w:left="1100" w:hanging="3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8911717">
    <w:abstractNumId w:val="0"/>
  </w:num>
  <w:num w:numId="2" w16cid:durableId="1922716134">
    <w:abstractNumId w:val="6"/>
  </w:num>
  <w:num w:numId="3" w16cid:durableId="1027827453">
    <w:abstractNumId w:val="2"/>
  </w:num>
  <w:num w:numId="4" w16cid:durableId="1940940126">
    <w:abstractNumId w:val="5"/>
  </w:num>
  <w:num w:numId="5" w16cid:durableId="1328093535">
    <w:abstractNumId w:val="4"/>
  </w:num>
  <w:num w:numId="6" w16cid:durableId="656224608">
    <w:abstractNumId w:val="1"/>
  </w:num>
  <w:num w:numId="7" w16cid:durableId="966007084">
    <w:abstractNumId w:val="3"/>
  </w:num>
  <w:num w:numId="8" w16cid:durableId="16011306">
    <w:abstractNumId w:val="8"/>
  </w:num>
  <w:num w:numId="9" w16cid:durableId="1523395191">
    <w:abstractNumId w:val="7"/>
  </w:num>
  <w:num w:numId="10" w16cid:durableId="3166182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numRestart w:val="eachSect"/>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4FA"/>
    <w:rsid w:val="00004A71"/>
    <w:rsid w:val="00005126"/>
    <w:rsid w:val="00006A76"/>
    <w:rsid w:val="00020D6E"/>
    <w:rsid w:val="00021485"/>
    <w:rsid w:val="00022CC0"/>
    <w:rsid w:val="00027D20"/>
    <w:rsid w:val="0003130D"/>
    <w:rsid w:val="00046ECB"/>
    <w:rsid w:val="00051593"/>
    <w:rsid w:val="00075E59"/>
    <w:rsid w:val="00093163"/>
    <w:rsid w:val="00094DA2"/>
    <w:rsid w:val="000A3314"/>
    <w:rsid w:val="000A74CE"/>
    <w:rsid w:val="000B38F4"/>
    <w:rsid w:val="000C52AE"/>
    <w:rsid w:val="000D48C8"/>
    <w:rsid w:val="000E1AC2"/>
    <w:rsid w:val="000E41F4"/>
    <w:rsid w:val="000F1E26"/>
    <w:rsid w:val="0011171A"/>
    <w:rsid w:val="00121060"/>
    <w:rsid w:val="00121287"/>
    <w:rsid w:val="00123B16"/>
    <w:rsid w:val="00126680"/>
    <w:rsid w:val="001321D8"/>
    <w:rsid w:val="00136510"/>
    <w:rsid w:val="001365AE"/>
    <w:rsid w:val="00136A36"/>
    <w:rsid w:val="00155B14"/>
    <w:rsid w:val="001610C4"/>
    <w:rsid w:val="001677DD"/>
    <w:rsid w:val="001870CF"/>
    <w:rsid w:val="001950BD"/>
    <w:rsid w:val="00195C63"/>
    <w:rsid w:val="001A067C"/>
    <w:rsid w:val="001A284E"/>
    <w:rsid w:val="001A65BE"/>
    <w:rsid w:val="001B33BB"/>
    <w:rsid w:val="001B624E"/>
    <w:rsid w:val="001B7093"/>
    <w:rsid w:val="001B748D"/>
    <w:rsid w:val="001C2331"/>
    <w:rsid w:val="001C687E"/>
    <w:rsid w:val="001C71C7"/>
    <w:rsid w:val="001D2BF8"/>
    <w:rsid w:val="001D6B0D"/>
    <w:rsid w:val="001D7E94"/>
    <w:rsid w:val="001E06FB"/>
    <w:rsid w:val="001E7CCE"/>
    <w:rsid w:val="001F4486"/>
    <w:rsid w:val="002013FB"/>
    <w:rsid w:val="00203C85"/>
    <w:rsid w:val="00221C79"/>
    <w:rsid w:val="00222A6A"/>
    <w:rsid w:val="0022637F"/>
    <w:rsid w:val="0023738E"/>
    <w:rsid w:val="00237954"/>
    <w:rsid w:val="00244C65"/>
    <w:rsid w:val="00244F6B"/>
    <w:rsid w:val="00245B77"/>
    <w:rsid w:val="00246AC6"/>
    <w:rsid w:val="00250C6F"/>
    <w:rsid w:val="00262245"/>
    <w:rsid w:val="00264B58"/>
    <w:rsid w:val="00264DD7"/>
    <w:rsid w:val="002706D2"/>
    <w:rsid w:val="00270DA1"/>
    <w:rsid w:val="00281F85"/>
    <w:rsid w:val="002825BC"/>
    <w:rsid w:val="00295F1A"/>
    <w:rsid w:val="002A1578"/>
    <w:rsid w:val="002A34A2"/>
    <w:rsid w:val="002A5EDA"/>
    <w:rsid w:val="002A60F7"/>
    <w:rsid w:val="002B2088"/>
    <w:rsid w:val="002C2257"/>
    <w:rsid w:val="002C7469"/>
    <w:rsid w:val="002D6A15"/>
    <w:rsid w:val="002F2A1B"/>
    <w:rsid w:val="003028BB"/>
    <w:rsid w:val="00305CB5"/>
    <w:rsid w:val="0031701B"/>
    <w:rsid w:val="003243AA"/>
    <w:rsid w:val="00331043"/>
    <w:rsid w:val="00331A79"/>
    <w:rsid w:val="00334B04"/>
    <w:rsid w:val="00343277"/>
    <w:rsid w:val="003504C6"/>
    <w:rsid w:val="00351C37"/>
    <w:rsid w:val="0037167C"/>
    <w:rsid w:val="00374E4C"/>
    <w:rsid w:val="00375872"/>
    <w:rsid w:val="00393609"/>
    <w:rsid w:val="003A5B53"/>
    <w:rsid w:val="003B28D7"/>
    <w:rsid w:val="003B4088"/>
    <w:rsid w:val="003D637E"/>
    <w:rsid w:val="003E4B91"/>
    <w:rsid w:val="003E79FE"/>
    <w:rsid w:val="003F3A76"/>
    <w:rsid w:val="00400D51"/>
    <w:rsid w:val="00406D57"/>
    <w:rsid w:val="00410229"/>
    <w:rsid w:val="00411BBF"/>
    <w:rsid w:val="0042350A"/>
    <w:rsid w:val="00423A37"/>
    <w:rsid w:val="004269B0"/>
    <w:rsid w:val="004271CC"/>
    <w:rsid w:val="00433F56"/>
    <w:rsid w:val="0043415F"/>
    <w:rsid w:val="00434445"/>
    <w:rsid w:val="00437367"/>
    <w:rsid w:val="00442418"/>
    <w:rsid w:val="00444AD9"/>
    <w:rsid w:val="00453CB6"/>
    <w:rsid w:val="0046076E"/>
    <w:rsid w:val="00482AD7"/>
    <w:rsid w:val="004962B0"/>
    <w:rsid w:val="00496FB2"/>
    <w:rsid w:val="004B5724"/>
    <w:rsid w:val="004C167A"/>
    <w:rsid w:val="004C5543"/>
    <w:rsid w:val="004D0AAC"/>
    <w:rsid w:val="004D0CF0"/>
    <w:rsid w:val="004E5CBE"/>
    <w:rsid w:val="004F0392"/>
    <w:rsid w:val="004F48E7"/>
    <w:rsid w:val="004F4B1D"/>
    <w:rsid w:val="004F5B0A"/>
    <w:rsid w:val="00500A04"/>
    <w:rsid w:val="00510008"/>
    <w:rsid w:val="00520F3A"/>
    <w:rsid w:val="00525C5C"/>
    <w:rsid w:val="00532084"/>
    <w:rsid w:val="00534AA8"/>
    <w:rsid w:val="00536D25"/>
    <w:rsid w:val="00550474"/>
    <w:rsid w:val="005541B0"/>
    <w:rsid w:val="00566AF5"/>
    <w:rsid w:val="00570270"/>
    <w:rsid w:val="00571094"/>
    <w:rsid w:val="0057257B"/>
    <w:rsid w:val="005753B3"/>
    <w:rsid w:val="00576B43"/>
    <w:rsid w:val="0059078A"/>
    <w:rsid w:val="005912AD"/>
    <w:rsid w:val="00592091"/>
    <w:rsid w:val="0059389E"/>
    <w:rsid w:val="005A7B04"/>
    <w:rsid w:val="005B0D97"/>
    <w:rsid w:val="005E0A4A"/>
    <w:rsid w:val="005F37F2"/>
    <w:rsid w:val="005F6D43"/>
    <w:rsid w:val="005F7911"/>
    <w:rsid w:val="00602F83"/>
    <w:rsid w:val="00606016"/>
    <w:rsid w:val="0061062B"/>
    <w:rsid w:val="00610696"/>
    <w:rsid w:val="0061142E"/>
    <w:rsid w:val="00612432"/>
    <w:rsid w:val="006139F8"/>
    <w:rsid w:val="00613FC5"/>
    <w:rsid w:val="00613FE6"/>
    <w:rsid w:val="006241F5"/>
    <w:rsid w:val="00625E3A"/>
    <w:rsid w:val="00630CA6"/>
    <w:rsid w:val="00632C7C"/>
    <w:rsid w:val="00633B84"/>
    <w:rsid w:val="00633BA8"/>
    <w:rsid w:val="006413EB"/>
    <w:rsid w:val="006427EA"/>
    <w:rsid w:val="006468C0"/>
    <w:rsid w:val="0065552D"/>
    <w:rsid w:val="0066503E"/>
    <w:rsid w:val="00670C4C"/>
    <w:rsid w:val="006719FB"/>
    <w:rsid w:val="00671F23"/>
    <w:rsid w:val="00674837"/>
    <w:rsid w:val="006854C5"/>
    <w:rsid w:val="00691FAD"/>
    <w:rsid w:val="006A566A"/>
    <w:rsid w:val="006B2687"/>
    <w:rsid w:val="006C0630"/>
    <w:rsid w:val="006C3A54"/>
    <w:rsid w:val="006D3D10"/>
    <w:rsid w:val="006D430F"/>
    <w:rsid w:val="006E6708"/>
    <w:rsid w:val="006E7A99"/>
    <w:rsid w:val="006F2409"/>
    <w:rsid w:val="00710438"/>
    <w:rsid w:val="00710AA4"/>
    <w:rsid w:val="007134C3"/>
    <w:rsid w:val="00716755"/>
    <w:rsid w:val="00717EA1"/>
    <w:rsid w:val="0072259E"/>
    <w:rsid w:val="007241FE"/>
    <w:rsid w:val="007328BD"/>
    <w:rsid w:val="00732F59"/>
    <w:rsid w:val="0073308D"/>
    <w:rsid w:val="00736101"/>
    <w:rsid w:val="00736DA1"/>
    <w:rsid w:val="00741086"/>
    <w:rsid w:val="00760544"/>
    <w:rsid w:val="00760553"/>
    <w:rsid w:val="0076497D"/>
    <w:rsid w:val="0076540E"/>
    <w:rsid w:val="00775530"/>
    <w:rsid w:val="00781C48"/>
    <w:rsid w:val="00782A8E"/>
    <w:rsid w:val="00790022"/>
    <w:rsid w:val="00795A4D"/>
    <w:rsid w:val="0079617E"/>
    <w:rsid w:val="007B2BBA"/>
    <w:rsid w:val="007B433A"/>
    <w:rsid w:val="007C5F96"/>
    <w:rsid w:val="007D2AE8"/>
    <w:rsid w:val="007D693E"/>
    <w:rsid w:val="007D71A2"/>
    <w:rsid w:val="007F351A"/>
    <w:rsid w:val="008058BF"/>
    <w:rsid w:val="0080709A"/>
    <w:rsid w:val="00807659"/>
    <w:rsid w:val="00816573"/>
    <w:rsid w:val="00825F74"/>
    <w:rsid w:val="0084339D"/>
    <w:rsid w:val="0084683E"/>
    <w:rsid w:val="008511C6"/>
    <w:rsid w:val="008545BF"/>
    <w:rsid w:val="00856081"/>
    <w:rsid w:val="00856A89"/>
    <w:rsid w:val="00860A5F"/>
    <w:rsid w:val="00871152"/>
    <w:rsid w:val="0087672F"/>
    <w:rsid w:val="00887355"/>
    <w:rsid w:val="008954FA"/>
    <w:rsid w:val="008C6BAE"/>
    <w:rsid w:val="008D05C2"/>
    <w:rsid w:val="008D33F7"/>
    <w:rsid w:val="008E0EE9"/>
    <w:rsid w:val="008E69AE"/>
    <w:rsid w:val="008F004E"/>
    <w:rsid w:val="008F0D4A"/>
    <w:rsid w:val="009033BB"/>
    <w:rsid w:val="00904373"/>
    <w:rsid w:val="00904895"/>
    <w:rsid w:val="00907DEC"/>
    <w:rsid w:val="009149D5"/>
    <w:rsid w:val="00915F51"/>
    <w:rsid w:val="00915F93"/>
    <w:rsid w:val="00923244"/>
    <w:rsid w:val="00924ACF"/>
    <w:rsid w:val="00927F60"/>
    <w:rsid w:val="00930326"/>
    <w:rsid w:val="009369C6"/>
    <w:rsid w:val="0094035B"/>
    <w:rsid w:val="00944776"/>
    <w:rsid w:val="00946612"/>
    <w:rsid w:val="00947B93"/>
    <w:rsid w:val="009507CA"/>
    <w:rsid w:val="00953A62"/>
    <w:rsid w:val="00953EA8"/>
    <w:rsid w:val="00964DB5"/>
    <w:rsid w:val="00965F16"/>
    <w:rsid w:val="009770EB"/>
    <w:rsid w:val="009774AD"/>
    <w:rsid w:val="00993464"/>
    <w:rsid w:val="009954B3"/>
    <w:rsid w:val="009A2AB9"/>
    <w:rsid w:val="009B1DFB"/>
    <w:rsid w:val="009B4806"/>
    <w:rsid w:val="009C38F6"/>
    <w:rsid w:val="009C7977"/>
    <w:rsid w:val="009D4641"/>
    <w:rsid w:val="009E586B"/>
    <w:rsid w:val="009E6251"/>
    <w:rsid w:val="009F3071"/>
    <w:rsid w:val="009F7D10"/>
    <w:rsid w:val="00A0145B"/>
    <w:rsid w:val="00A07AB3"/>
    <w:rsid w:val="00A1291B"/>
    <w:rsid w:val="00A179E6"/>
    <w:rsid w:val="00A2048C"/>
    <w:rsid w:val="00A21DD9"/>
    <w:rsid w:val="00A26571"/>
    <w:rsid w:val="00A355FD"/>
    <w:rsid w:val="00A55F1A"/>
    <w:rsid w:val="00A57B74"/>
    <w:rsid w:val="00A653B9"/>
    <w:rsid w:val="00A73AB2"/>
    <w:rsid w:val="00A743BA"/>
    <w:rsid w:val="00A745A8"/>
    <w:rsid w:val="00A910DF"/>
    <w:rsid w:val="00A91C98"/>
    <w:rsid w:val="00A969B0"/>
    <w:rsid w:val="00AA0FE8"/>
    <w:rsid w:val="00AB289D"/>
    <w:rsid w:val="00AE2FC5"/>
    <w:rsid w:val="00AF1ACA"/>
    <w:rsid w:val="00AF51A3"/>
    <w:rsid w:val="00AF5FAD"/>
    <w:rsid w:val="00B04AB7"/>
    <w:rsid w:val="00B118FD"/>
    <w:rsid w:val="00B1594B"/>
    <w:rsid w:val="00B21319"/>
    <w:rsid w:val="00B223DC"/>
    <w:rsid w:val="00B25B30"/>
    <w:rsid w:val="00B261B3"/>
    <w:rsid w:val="00B36939"/>
    <w:rsid w:val="00B437AA"/>
    <w:rsid w:val="00B472DE"/>
    <w:rsid w:val="00B56FB7"/>
    <w:rsid w:val="00B64EE7"/>
    <w:rsid w:val="00B77D71"/>
    <w:rsid w:val="00B810F3"/>
    <w:rsid w:val="00B82C52"/>
    <w:rsid w:val="00BA48D7"/>
    <w:rsid w:val="00BA76F9"/>
    <w:rsid w:val="00BB0C75"/>
    <w:rsid w:val="00BB176B"/>
    <w:rsid w:val="00BB2166"/>
    <w:rsid w:val="00BB5E76"/>
    <w:rsid w:val="00BE0135"/>
    <w:rsid w:val="00BE25F1"/>
    <w:rsid w:val="00C027F7"/>
    <w:rsid w:val="00C06927"/>
    <w:rsid w:val="00C17EF3"/>
    <w:rsid w:val="00C24993"/>
    <w:rsid w:val="00C271FD"/>
    <w:rsid w:val="00C34ABC"/>
    <w:rsid w:val="00C351EB"/>
    <w:rsid w:val="00C36AB2"/>
    <w:rsid w:val="00C43274"/>
    <w:rsid w:val="00C4506D"/>
    <w:rsid w:val="00C51631"/>
    <w:rsid w:val="00C6088D"/>
    <w:rsid w:val="00C62B05"/>
    <w:rsid w:val="00C66276"/>
    <w:rsid w:val="00C777E4"/>
    <w:rsid w:val="00C8360E"/>
    <w:rsid w:val="00C85BD1"/>
    <w:rsid w:val="00C869FC"/>
    <w:rsid w:val="00C91A2C"/>
    <w:rsid w:val="00C91B9F"/>
    <w:rsid w:val="00CA19D1"/>
    <w:rsid w:val="00CA3089"/>
    <w:rsid w:val="00CA7D49"/>
    <w:rsid w:val="00CB1270"/>
    <w:rsid w:val="00CB23D4"/>
    <w:rsid w:val="00CB3E25"/>
    <w:rsid w:val="00CB7FDF"/>
    <w:rsid w:val="00CC4F7A"/>
    <w:rsid w:val="00CC5D83"/>
    <w:rsid w:val="00CD1D18"/>
    <w:rsid w:val="00CD4746"/>
    <w:rsid w:val="00CD5DED"/>
    <w:rsid w:val="00CD5F04"/>
    <w:rsid w:val="00CE4EB8"/>
    <w:rsid w:val="00CE6513"/>
    <w:rsid w:val="00CF06FE"/>
    <w:rsid w:val="00CF3DB6"/>
    <w:rsid w:val="00D0002A"/>
    <w:rsid w:val="00D052F5"/>
    <w:rsid w:val="00D05567"/>
    <w:rsid w:val="00D06646"/>
    <w:rsid w:val="00D100E9"/>
    <w:rsid w:val="00D134F1"/>
    <w:rsid w:val="00D17264"/>
    <w:rsid w:val="00D17F45"/>
    <w:rsid w:val="00D2529E"/>
    <w:rsid w:val="00D268DA"/>
    <w:rsid w:val="00D27C1F"/>
    <w:rsid w:val="00D4321E"/>
    <w:rsid w:val="00D456CE"/>
    <w:rsid w:val="00D55B80"/>
    <w:rsid w:val="00D622D7"/>
    <w:rsid w:val="00D66C23"/>
    <w:rsid w:val="00D72555"/>
    <w:rsid w:val="00D72E06"/>
    <w:rsid w:val="00D73265"/>
    <w:rsid w:val="00D92990"/>
    <w:rsid w:val="00D93C14"/>
    <w:rsid w:val="00D946AA"/>
    <w:rsid w:val="00DA402C"/>
    <w:rsid w:val="00DA6ED8"/>
    <w:rsid w:val="00DB085E"/>
    <w:rsid w:val="00DC67D8"/>
    <w:rsid w:val="00DD03A0"/>
    <w:rsid w:val="00DD1B37"/>
    <w:rsid w:val="00DE0B96"/>
    <w:rsid w:val="00DE667D"/>
    <w:rsid w:val="00DE690B"/>
    <w:rsid w:val="00DF3D44"/>
    <w:rsid w:val="00DF56CA"/>
    <w:rsid w:val="00DF6EFD"/>
    <w:rsid w:val="00E01A52"/>
    <w:rsid w:val="00E02CFA"/>
    <w:rsid w:val="00E064F4"/>
    <w:rsid w:val="00E12096"/>
    <w:rsid w:val="00E12B5C"/>
    <w:rsid w:val="00E139B1"/>
    <w:rsid w:val="00E16830"/>
    <w:rsid w:val="00E25D09"/>
    <w:rsid w:val="00E26B59"/>
    <w:rsid w:val="00E3110A"/>
    <w:rsid w:val="00E37440"/>
    <w:rsid w:val="00E37698"/>
    <w:rsid w:val="00E43233"/>
    <w:rsid w:val="00E43253"/>
    <w:rsid w:val="00E437B8"/>
    <w:rsid w:val="00E46DB7"/>
    <w:rsid w:val="00E52735"/>
    <w:rsid w:val="00E539D4"/>
    <w:rsid w:val="00E55A10"/>
    <w:rsid w:val="00E63849"/>
    <w:rsid w:val="00E645E6"/>
    <w:rsid w:val="00E7030B"/>
    <w:rsid w:val="00E8026B"/>
    <w:rsid w:val="00E85E36"/>
    <w:rsid w:val="00E8699C"/>
    <w:rsid w:val="00E87510"/>
    <w:rsid w:val="00EB003D"/>
    <w:rsid w:val="00EB18D4"/>
    <w:rsid w:val="00EB4150"/>
    <w:rsid w:val="00EB667F"/>
    <w:rsid w:val="00EC6E20"/>
    <w:rsid w:val="00ED1CEF"/>
    <w:rsid w:val="00ED56B9"/>
    <w:rsid w:val="00EE1486"/>
    <w:rsid w:val="00EE3012"/>
    <w:rsid w:val="00EF5FD4"/>
    <w:rsid w:val="00EF7102"/>
    <w:rsid w:val="00F061C4"/>
    <w:rsid w:val="00F06471"/>
    <w:rsid w:val="00F12D8E"/>
    <w:rsid w:val="00F16772"/>
    <w:rsid w:val="00F213C8"/>
    <w:rsid w:val="00F2640B"/>
    <w:rsid w:val="00F264D6"/>
    <w:rsid w:val="00F279D2"/>
    <w:rsid w:val="00F27A26"/>
    <w:rsid w:val="00F3099B"/>
    <w:rsid w:val="00F350DE"/>
    <w:rsid w:val="00F45913"/>
    <w:rsid w:val="00F51D1E"/>
    <w:rsid w:val="00F537E0"/>
    <w:rsid w:val="00F556F8"/>
    <w:rsid w:val="00F65E43"/>
    <w:rsid w:val="00F73853"/>
    <w:rsid w:val="00F74435"/>
    <w:rsid w:val="00F757AD"/>
    <w:rsid w:val="00F75FAC"/>
    <w:rsid w:val="00FA423A"/>
    <w:rsid w:val="00FA743F"/>
    <w:rsid w:val="00FB2F3C"/>
    <w:rsid w:val="00FB582D"/>
    <w:rsid w:val="00FB66E1"/>
    <w:rsid w:val="00FC1CAA"/>
    <w:rsid w:val="00FC4DB0"/>
    <w:rsid w:val="00FC4ED7"/>
    <w:rsid w:val="00FD264E"/>
    <w:rsid w:val="00FD6133"/>
    <w:rsid w:val="00FE0DD1"/>
    <w:rsid w:val="00FF2888"/>
    <w:rsid w:val="00FF4FD3"/>
    <w:rsid w:val="00FF769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4A595E9"/>
  <w15:chartTrackingRefBased/>
  <w15:docId w15:val="{1D301AC5-4F77-43D4-B904-9BB9CC7B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Indent">
    <w:name w:val="Body Text Indent"/>
    <w:basedOn w:val="Normal"/>
    <w:pPr>
      <w:ind w:left="360"/>
    </w:pPr>
  </w:style>
  <w:style w:type="paragraph" w:styleId="BodyText2">
    <w:name w:val="Body Text 2"/>
    <w:basedOn w:val="Normal"/>
    <w:pPr>
      <w:jc w:val="center"/>
    </w:pPr>
    <w:rPr>
      <w:b/>
      <w:sz w:val="24"/>
    </w:rPr>
  </w:style>
  <w:style w:type="paragraph" w:styleId="BodyTextIndent2">
    <w:name w:val="Body Text Indent 2"/>
    <w:basedOn w:val="Normal"/>
    <w:pPr>
      <w:numPr>
        <w:ilvl w:val="12"/>
      </w:numPr>
      <w:ind w:left="-360"/>
    </w:pPr>
    <w:rPr>
      <w:rFonts w:ascii="Times" w:hAnsi="Times"/>
      <w:sz w:val="24"/>
    </w:rPr>
  </w:style>
  <w:style w:type="paragraph" w:styleId="BodyText3">
    <w:name w:val="Body Text 3"/>
    <w:basedOn w:val="Normal"/>
    <w:pPr>
      <w:jc w:val="both"/>
    </w:pPr>
    <w:rPr>
      <w:rFonts w:ascii="Times" w:hAnsi="Times"/>
      <w:sz w:val="24"/>
    </w:rPr>
  </w:style>
  <w:style w:type="paragraph" w:styleId="Title">
    <w:name w:val="Title"/>
    <w:basedOn w:val="Normal"/>
    <w:qFormat/>
    <w:pPr>
      <w:tabs>
        <w:tab w:val="left" w:pos="360"/>
      </w:tabs>
      <w:spacing w:before="120" w:after="120"/>
      <w:jc w:val="center"/>
    </w:pPr>
    <w:rPr>
      <w:rFonts w:ascii="Arial" w:hAnsi="Arial"/>
      <w:b/>
      <w:sz w:val="24"/>
    </w:rPr>
  </w:style>
  <w:style w:type="paragraph" w:styleId="BodyTextIndent3">
    <w:name w:val="Body Text Indent 3"/>
    <w:basedOn w:val="Normal"/>
    <w:pPr>
      <w:ind w:right="216" w:firstLine="360"/>
    </w:pPr>
    <w:rPr>
      <w:rFonts w:ascii="Arial" w:hAnsi="Arial"/>
      <w:sz w:val="24"/>
    </w:rPr>
  </w:style>
  <w:style w:type="paragraph" w:styleId="BlockText">
    <w:name w:val="Block Text"/>
    <w:basedOn w:val="Normal"/>
    <w:pPr>
      <w:ind w:left="360" w:right="216"/>
    </w:pPr>
    <w:rPr>
      <w:rFonts w:ascii="Arial" w:hAnsi="Arial"/>
      <w:sz w:val="24"/>
    </w:rPr>
  </w:style>
  <w:style w:type="character" w:customStyle="1" w:styleId="BodyTextChar">
    <w:name w:val="Body Text Char"/>
    <w:rPr>
      <w:rFonts w:ascii="Arial" w:hAnsi="Arial"/>
      <w:sz w:val="26"/>
      <w:lang w:val="en-US" w:eastAsia="en-US" w:bidi="ar-SA"/>
    </w:rPr>
  </w:style>
  <w:style w:type="paragraph" w:styleId="BalloonText">
    <w:name w:val="Balloon Text"/>
    <w:basedOn w:val="Normal"/>
    <w:semiHidden/>
    <w:rsid w:val="008954FA"/>
    <w:rPr>
      <w:rFonts w:ascii="Tahoma" w:hAnsi="Tahoma" w:cs="Tahoma"/>
      <w:sz w:val="16"/>
      <w:szCs w:val="16"/>
    </w:rPr>
  </w:style>
  <w:style w:type="character" w:styleId="Hyperlink">
    <w:name w:val="Hyperlink"/>
    <w:rsid w:val="00FF4FD3"/>
    <w:rPr>
      <w:color w:val="0000FF"/>
      <w:u w:val="single"/>
    </w:rPr>
  </w:style>
  <w:style w:type="paragraph" w:customStyle="1" w:styleId="Style">
    <w:name w:val="Style"/>
    <w:basedOn w:val="Normal"/>
    <w:rsid w:val="00C8360E"/>
    <w:pPr>
      <w:widowControl w:val="0"/>
      <w:ind w:left="1440" w:hanging="720"/>
    </w:pPr>
    <w:rPr>
      <w:snapToGrid w:val="0"/>
      <w:sz w:val="24"/>
    </w:rPr>
  </w:style>
  <w:style w:type="table" w:styleId="TableGrid">
    <w:name w:val="Table Grid"/>
    <w:basedOn w:val="TableNormal"/>
    <w:rsid w:val="00C8360E"/>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856A89"/>
    <w:rPr>
      <w:rFonts w:ascii="Calibri" w:eastAsia="Calibri" w:hAnsi="Calibri" w:cs="Calibri"/>
    </w:rPr>
  </w:style>
  <w:style w:type="character" w:customStyle="1" w:styleId="FootnoteTextChar">
    <w:name w:val="Footnote Text Char"/>
    <w:link w:val="FootnoteText"/>
    <w:rsid w:val="00856A89"/>
    <w:rPr>
      <w:rFonts w:ascii="Calibri" w:eastAsia="Calibri" w:hAnsi="Calibri" w:cs="Calibri"/>
    </w:rPr>
  </w:style>
  <w:style w:type="character" w:styleId="FootnoteReference">
    <w:name w:val="footnote reference"/>
    <w:uiPriority w:val="99"/>
    <w:unhideWhenUsed/>
    <w:rsid w:val="00856A89"/>
    <w:rPr>
      <w:vertAlign w:val="superscript"/>
    </w:rPr>
  </w:style>
  <w:style w:type="character" w:styleId="FollowedHyperlink">
    <w:name w:val="FollowedHyperlink"/>
    <w:rsid w:val="00BE25F1"/>
    <w:rPr>
      <w:color w:val="954F72"/>
      <w:u w:val="single"/>
    </w:rPr>
  </w:style>
  <w:style w:type="character" w:styleId="CommentReference">
    <w:name w:val="annotation reference"/>
    <w:rsid w:val="00BE25F1"/>
    <w:rPr>
      <w:sz w:val="16"/>
      <w:szCs w:val="16"/>
    </w:rPr>
  </w:style>
  <w:style w:type="paragraph" w:styleId="CommentText">
    <w:name w:val="annotation text"/>
    <w:basedOn w:val="Normal"/>
    <w:link w:val="CommentTextChar"/>
    <w:rsid w:val="00BE25F1"/>
  </w:style>
  <w:style w:type="character" w:customStyle="1" w:styleId="CommentTextChar">
    <w:name w:val="Comment Text Char"/>
    <w:link w:val="CommentText"/>
    <w:rsid w:val="00BE25F1"/>
    <w:rPr>
      <w:rFonts w:ascii="Times New Roman" w:hAnsi="Times New Roman"/>
    </w:rPr>
  </w:style>
  <w:style w:type="paragraph" w:styleId="CommentSubject">
    <w:name w:val="annotation subject"/>
    <w:basedOn w:val="CommentText"/>
    <w:next w:val="CommentText"/>
    <w:link w:val="CommentSubjectChar"/>
    <w:rsid w:val="00BE25F1"/>
    <w:rPr>
      <w:b/>
      <w:bCs/>
    </w:rPr>
  </w:style>
  <w:style w:type="character" w:customStyle="1" w:styleId="CommentSubjectChar">
    <w:name w:val="Comment Subject Char"/>
    <w:link w:val="CommentSubject"/>
    <w:rsid w:val="00BE25F1"/>
    <w:rPr>
      <w:rFonts w:ascii="Times New Roman" w:hAnsi="Times New Roman"/>
      <w:b/>
      <w:bCs/>
    </w:rPr>
  </w:style>
  <w:style w:type="paragraph" w:styleId="NormalWeb">
    <w:name w:val="Normal (Web)"/>
    <w:basedOn w:val="Normal"/>
    <w:uiPriority w:val="99"/>
    <w:unhideWhenUsed/>
    <w:rsid w:val="00D05567"/>
    <w:pPr>
      <w:spacing w:before="100" w:beforeAutospacing="1" w:after="100" w:afterAutospacing="1"/>
    </w:pPr>
    <w:rPr>
      <w:sz w:val="24"/>
      <w:szCs w:val="24"/>
    </w:rPr>
  </w:style>
  <w:style w:type="paragraph" w:styleId="ListParagraph">
    <w:name w:val="List Paragraph"/>
    <w:basedOn w:val="Normal"/>
    <w:uiPriority w:val="34"/>
    <w:qFormat/>
    <w:rsid w:val="00571094"/>
    <w:pPr>
      <w:ind w:left="720"/>
      <w:contextualSpacing/>
    </w:pPr>
  </w:style>
  <w:style w:type="paragraph" w:styleId="Revision">
    <w:name w:val="Revision"/>
    <w:hidden/>
    <w:uiPriority w:val="99"/>
    <w:semiHidden/>
    <w:rsid w:val="00E25D09"/>
    <w:rPr>
      <w:rFonts w:ascii="Times New Roman" w:hAnsi="Times New Roman"/>
    </w:rPr>
  </w:style>
  <w:style w:type="character" w:customStyle="1" w:styleId="FooterChar">
    <w:name w:val="Footer Char"/>
    <w:basedOn w:val="DefaultParagraphFont"/>
    <w:link w:val="Footer"/>
    <w:rsid w:val="00E37440"/>
    <w:rPr>
      <w:rFonts w:ascii="Times New Roman" w:hAnsi="Times New Roman"/>
    </w:rPr>
  </w:style>
  <w:style w:type="paragraph" w:customStyle="1" w:styleId="xmsonormal">
    <w:name w:val="x_msonormal"/>
    <w:basedOn w:val="Normal"/>
    <w:rsid w:val="00BA76F9"/>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92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allegations.cbp.gov/Home/Index2" TargetMode="External" /><Relationship Id="rId11" Type="http://schemas.openxmlformats.org/officeDocument/2006/relationships/hyperlink" Target="https://www.ice.gov/webform/ice-tip-form" TargetMode="External" /><Relationship Id="rId12" Type="http://schemas.openxmlformats.org/officeDocument/2006/relationships/hyperlink" Target="https://eallegations.cbp.gov/" TargetMode="External" /><Relationship Id="rId13" Type="http://schemas.openxmlformats.org/officeDocument/2006/relationships/hyperlink" Target="mailto:eallegations@cbp.dhs.gov" TargetMode="External" /><Relationship Id="rId14" Type="http://schemas.openxmlformats.org/officeDocument/2006/relationships/hyperlink" Target="https://eallegations.cbp.gov/s/" TargetMode="External" /><Relationship Id="rId15" Type="http://schemas.openxmlformats.org/officeDocument/2006/relationships/hyperlink" Target="https://www.dhs.gov/publication/dhscbppia-060-e-allegations-portal" TargetMode="External" /><Relationship Id="rId16" Type="http://schemas.openxmlformats.org/officeDocument/2006/relationships/hyperlink" Target="https://www.dhs.gov/publication/filing-data-acsace" TargetMode="External" /><Relationship Id="rId17" Type="http://schemas.openxmlformats.org/officeDocument/2006/relationships/hyperlink" Target="https://www.govinfo.gov/content/pkg/FR-2008-12-19/html/E8-29802.htm" TargetMode="External" /><Relationship Id="rId18" Type="http://schemas.openxmlformats.org/officeDocument/2006/relationships/hyperlink" Target="https://www.federalregister.gov/documents/2015/09/02/2015-21675/privacy-act-of-1974-department-of-homeland-security-us-customs-and-border-protection-dhscbp-020"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bp.gov/trade/e-allega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federalregister.gov%2Fdocuments%2F2024%2F03%2F18%2F2024-04713%2Finvestigation-of-claims-of-evasion-of-antidumping-and-countervailing-duties&amp;data=05%7C02%7CSHADE.WILLIAMS%40cbp.dhs.gov%7C4e2b898678a3497f972b08dc47418dc9%7Ce4b16b844c564f279af730345a161ad4%7C0%7C0%7C638463594470898561%7CUnknown%7CTWFpbGZsb3d8eyJWIjoiMC4wLjAwMDAiLCJQIjoiV2luMzIiLCJBTiI6Ik1haWwiLCJXVCI6Mn0%3D%7C0%7C%7C%7C&amp;sdata=J%2FRUkkJvDPRHETgshm%2F7oNWxT0eByWHFJmybYwXGjH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bde0c4f-a0e9-4b86-a121-e5996d68314b" xsi:nil="true"/>
    <lcf76f155ced4ddcb4097134ff3c332f xmlns="f060e205-b9ec-4737-9832-1f4a6badfe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ED7EE0E9021A47BBBC260ACD8F3F9C" ma:contentTypeVersion="10" ma:contentTypeDescription="Create a new document." ma:contentTypeScope="" ma:versionID="064c11581d275db052b2c9eeb4b9fda1">
  <xsd:schema xmlns:xsd="http://www.w3.org/2001/XMLSchema" xmlns:xs="http://www.w3.org/2001/XMLSchema" xmlns:p="http://schemas.microsoft.com/office/2006/metadata/properties" xmlns:ns2="f060e205-b9ec-4737-9832-1f4a6badfeed" xmlns:ns3="0bde0c4f-a0e9-4b86-a121-e5996d68314b" targetNamespace="http://schemas.microsoft.com/office/2006/metadata/properties" ma:root="true" ma:fieldsID="a63e3f71ee9dd154c4029cfd0606102c" ns2:_="" ns3:_="">
    <xsd:import namespace="f060e205-b9ec-4737-9832-1f4a6badfeed"/>
    <xsd:import namespace="0bde0c4f-a0e9-4b86-a121-e5996d6831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0e205-b9ec-4737-9832-1f4a6badfe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e0c4f-a0e9-4b86-a121-e5996d6831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627b59-3552-4729-8324-dfa10a34dee0}" ma:internalName="TaxCatchAll" ma:showField="CatchAllData" ma:web="0bde0c4f-a0e9-4b86-a121-e5996d683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61778-8F65-4740-A80B-975E42F63E3C}">
  <ds:schemaRefs>
    <ds:schemaRef ds:uri="http://schemas.microsoft.com/sharepoint/v3/contenttype/forms"/>
  </ds:schemaRefs>
</ds:datastoreItem>
</file>

<file path=customXml/itemProps2.xml><?xml version="1.0" encoding="utf-8"?>
<ds:datastoreItem xmlns:ds="http://schemas.openxmlformats.org/officeDocument/2006/customXml" ds:itemID="{4F96E431-49F2-4FFC-B104-342C65277C38}">
  <ds:schemaRefs>
    <ds:schemaRef ds:uri="http://schemas.openxmlformats.org/officeDocument/2006/bibliography"/>
  </ds:schemaRefs>
</ds:datastoreItem>
</file>

<file path=customXml/itemProps3.xml><?xml version="1.0" encoding="utf-8"?>
<ds:datastoreItem xmlns:ds="http://schemas.openxmlformats.org/officeDocument/2006/customXml" ds:itemID="{B3A6BF32-998E-4B58-9386-D302267C0ECE}">
  <ds:schemaRefs>
    <ds:schemaRef ds:uri="http://schemas.microsoft.com/office/2006/metadata/properties"/>
    <ds:schemaRef ds:uri="http://schemas.microsoft.com/office/infopath/2007/PartnerControls"/>
    <ds:schemaRef ds:uri="0bde0c4f-a0e9-4b86-a121-e5996d68314b"/>
    <ds:schemaRef ds:uri="f060e205-b9ec-4737-9832-1f4a6badfeed"/>
  </ds:schemaRefs>
</ds:datastoreItem>
</file>

<file path=customXml/itemProps4.xml><?xml version="1.0" encoding="utf-8"?>
<ds:datastoreItem xmlns:ds="http://schemas.openxmlformats.org/officeDocument/2006/customXml" ds:itemID="{8E78F6F8-894A-416D-BE40-1B3FCF9A3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0e205-b9ec-4737-9832-1f4a6badfeed"/>
    <ds:schemaRef ds:uri="0bde0c4f-a0e9-4b86-a121-e5996d68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10</Pages>
  <Words>3635</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INSTRUCTIONS FOR PREPARING AN</vt:lpstr>
    </vt:vector>
  </TitlesOfParts>
  <Company>OA</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AN</dc:title>
  <dc:creator>Shade Williams</dc:creator>
  <cp:lastModifiedBy>WILLIAMS, SHADE</cp:lastModifiedBy>
  <cp:revision>7</cp:revision>
  <cp:lastPrinted>2007-10-29T13:24:00Z</cp:lastPrinted>
  <dcterms:created xsi:type="dcterms:W3CDTF">2024-04-26T13:52:00Z</dcterms:created>
  <dcterms:modified xsi:type="dcterms:W3CDTF">2024-04-26T15:01:00Z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0x01010055ED7EE0E9021A47BBBC260ACD8F3F9C</vt:lpwstr>
  </property>
  <property fmtid="{D5CDD505-2E9C-101B-9397-08002B2CF9AE}" pid="3" name="MediaServiceImageTags">
    <vt:lpwstr/>
  </property>
</Properties>
</file>