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7806" w:rsidRPr="00423366" w:rsidP="00423366" w14:paraId="1E3A20C2" w14:textId="55949D9E">
      <w:pPr>
        <w:pStyle w:val="Heading1"/>
        <w:spacing w:before="0"/>
        <w:jc w:val="center"/>
        <w:rPr>
          <w:rFonts w:ascii="Tw Cen MT" w:hAnsi="Tw Cen MT" w:cs="Arial"/>
          <w:color w:val="181818"/>
        </w:rPr>
      </w:pPr>
      <w:r>
        <w:rPr>
          <w:rFonts w:ascii="Tw Cen MT" w:hAnsi="Tw Cen MT" w:cs="Arial"/>
          <w:color w:val="181818"/>
        </w:rPr>
        <w:t>Project AWARE-TISS Cross-Site Evaluation</w:t>
      </w:r>
    </w:p>
    <w:p w:rsidR="00A47806" w:rsidRPr="00423366" w:rsidP="00423366" w14:paraId="35CD260D" w14:textId="52463095">
      <w:pPr>
        <w:pStyle w:val="Heading1"/>
        <w:spacing w:before="0"/>
        <w:jc w:val="center"/>
        <w:rPr>
          <w:rFonts w:ascii="Tw Cen MT" w:hAnsi="Tw Cen MT" w:cs="Arial"/>
          <w:color w:val="181818"/>
        </w:rPr>
      </w:pPr>
      <w:r>
        <w:rPr>
          <w:rFonts w:ascii="Tw Cen MT" w:hAnsi="Tw Cen MT" w:cs="Arial"/>
          <w:color w:val="181818"/>
        </w:rPr>
        <w:t>Project AWARE</w:t>
      </w:r>
      <w:r w:rsidR="00CE2C95">
        <w:rPr>
          <w:rFonts w:ascii="Tw Cen MT" w:hAnsi="Tw Cen MT" w:cs="Arial"/>
          <w:color w:val="181818"/>
        </w:rPr>
        <w:t xml:space="preserve"> and TISS Programs</w:t>
      </w:r>
    </w:p>
    <w:p w:rsidR="00A47806" w:rsidRPr="00423366" w:rsidP="00423366" w14:paraId="1A398330" w14:textId="77777777">
      <w:pPr>
        <w:jc w:val="center"/>
        <w:rPr>
          <w:rFonts w:ascii="Tw Cen MT" w:hAnsi="Tw Cen MT"/>
          <w:b/>
          <w:sz w:val="28"/>
          <w:szCs w:val="28"/>
        </w:rPr>
      </w:pPr>
      <w:r w:rsidRPr="00423366">
        <w:rPr>
          <w:rFonts w:ascii="Tw Cen MT" w:hAnsi="Tw Cen MT" w:cs="Arial"/>
          <w:b/>
          <w:color w:val="181818"/>
          <w:sz w:val="28"/>
          <w:szCs w:val="28"/>
        </w:rPr>
        <w:t>Supporting Statement</w:t>
      </w:r>
    </w:p>
    <w:p w:rsidR="00A47806" w:rsidRPr="009756A4" w:rsidP="00A47806" w14:paraId="2B6A8056" w14:textId="77777777">
      <w:pPr>
        <w:tabs>
          <w:tab w:val="left" w:pos="2250"/>
        </w:tabs>
        <w:rPr>
          <w:rFonts w:ascii="Arial" w:hAnsi="Arial" w:cs="Arial"/>
        </w:rPr>
      </w:pPr>
      <w:r>
        <w:rPr>
          <w:rFonts w:ascii="Arial" w:hAnsi="Arial" w:cs="Arial"/>
        </w:rPr>
        <w:tab/>
      </w:r>
    </w:p>
    <w:p w:rsidR="00A47806" w:rsidRPr="009449B0" w:rsidP="004E195B" w14:paraId="2FCA2A0D" w14:textId="11CB6A81">
      <w:pPr>
        <w:pStyle w:val="BodyText"/>
        <w:numPr>
          <w:ilvl w:val="0"/>
          <w:numId w:val="9"/>
        </w:numPr>
        <w:tabs>
          <w:tab w:val="left" w:pos="843"/>
        </w:tabs>
        <w:spacing w:after="200"/>
        <w:rPr>
          <w:rFonts w:ascii="Tw Cen MT" w:hAnsi="Tw Cen MT" w:cs="Arial"/>
          <w:b/>
          <w:bCs/>
          <w:sz w:val="28"/>
          <w:szCs w:val="28"/>
        </w:rPr>
      </w:pPr>
      <w:r w:rsidRPr="51D65489">
        <w:rPr>
          <w:rFonts w:ascii="Tw Cen MT" w:hAnsi="Tw Cen MT" w:cs="Arial"/>
          <w:b/>
          <w:bCs/>
          <w:color w:val="181818"/>
          <w:sz w:val="28"/>
          <w:szCs w:val="28"/>
        </w:rPr>
        <w:t>Collections of Information Employing Statistical Methods</w:t>
      </w:r>
    </w:p>
    <w:p w:rsidR="00A47806" w:rsidRPr="0079556E" w:rsidP="004E195B" w14:paraId="2F3177AC" w14:textId="0C78273A">
      <w:pPr>
        <w:pStyle w:val="BodyText"/>
        <w:numPr>
          <w:ilvl w:val="0"/>
          <w:numId w:val="1"/>
        </w:numPr>
        <w:tabs>
          <w:tab w:val="left" w:pos="1563"/>
        </w:tabs>
        <w:spacing w:before="240" w:after="120"/>
        <w:rPr>
          <w:rFonts w:ascii="Tw Cen MT" w:hAnsi="Tw Cen MT" w:cs="Arial"/>
          <w:b/>
          <w:sz w:val="28"/>
          <w:szCs w:val="28"/>
        </w:rPr>
      </w:pPr>
      <w:r w:rsidRPr="0079556E">
        <w:rPr>
          <w:rFonts w:ascii="Tw Cen MT" w:hAnsi="Tw Cen MT" w:cs="Arial"/>
          <w:b/>
          <w:color w:val="181818"/>
          <w:sz w:val="28"/>
          <w:szCs w:val="28"/>
        </w:rPr>
        <w:t>Respondent Universe and Sampling Methods</w:t>
      </w:r>
    </w:p>
    <w:p w:rsidR="001B2E13" w:rsidP="004E195B" w14:paraId="78DBFAF3" w14:textId="503C5980">
      <w:pPr>
        <w:pStyle w:val="BodyText"/>
        <w:tabs>
          <w:tab w:val="left" w:pos="1563"/>
        </w:tabs>
        <w:spacing w:after="200"/>
        <w:rPr>
          <w:rFonts w:ascii="Times New Roman" w:hAnsi="Times New Roman" w:cs="Times New Roman"/>
          <w:color w:val="181818"/>
          <w:sz w:val="24"/>
          <w:szCs w:val="24"/>
        </w:rPr>
      </w:pPr>
      <w:r>
        <w:rPr>
          <w:rFonts w:ascii="Times New Roman" w:hAnsi="Times New Roman" w:cs="Times New Roman"/>
          <w:color w:val="181818"/>
          <w:sz w:val="24"/>
          <w:szCs w:val="24"/>
        </w:rPr>
        <w:t>Exhibit 1 displays the expected number of respondents to each data collection activity</w:t>
      </w:r>
      <w:r w:rsidR="000D3356">
        <w:rPr>
          <w:rFonts w:ascii="Times New Roman" w:hAnsi="Times New Roman" w:cs="Times New Roman"/>
          <w:color w:val="181818"/>
          <w:sz w:val="24"/>
          <w:szCs w:val="24"/>
        </w:rPr>
        <w:t xml:space="preserve"> in which primary data is collected</w:t>
      </w:r>
      <w:r>
        <w:rPr>
          <w:rFonts w:ascii="Times New Roman" w:hAnsi="Times New Roman" w:cs="Times New Roman"/>
          <w:color w:val="181818"/>
          <w:sz w:val="24"/>
          <w:szCs w:val="24"/>
        </w:rPr>
        <w:t xml:space="preserve"> across the three-year OMB period.</w:t>
      </w:r>
    </w:p>
    <w:p w:rsidR="001B2E13" w:rsidRPr="00D45265" w:rsidP="00B53357" w14:paraId="21B3C80E" w14:textId="662236E1">
      <w:pPr>
        <w:pStyle w:val="BodyText"/>
        <w:tabs>
          <w:tab w:val="left" w:pos="1563"/>
        </w:tabs>
        <w:spacing w:after="200"/>
        <w:jc w:val="center"/>
        <w:rPr>
          <w:rFonts w:ascii="Tw Cen MT" w:hAnsi="Tw Cen MT" w:cs="Times New Roman"/>
          <w:b/>
          <w:color w:val="181818"/>
          <w:sz w:val="24"/>
          <w:szCs w:val="24"/>
        </w:rPr>
      </w:pPr>
      <w:r w:rsidRPr="00D45265">
        <w:rPr>
          <w:rFonts w:ascii="Tw Cen MT" w:hAnsi="Tw Cen MT"/>
          <w:b/>
          <w:sz w:val="24"/>
          <w:szCs w:val="24"/>
        </w:rPr>
        <w:t xml:space="preserve">Exhibit 1. Total Number of Respondents by </w:t>
      </w:r>
      <w:r w:rsidR="006B249D">
        <w:rPr>
          <w:rFonts w:ascii="Tw Cen MT" w:hAnsi="Tw Cen MT"/>
          <w:b/>
          <w:sz w:val="24"/>
          <w:szCs w:val="24"/>
        </w:rPr>
        <w:t xml:space="preserve">“Primary” </w:t>
      </w:r>
      <w:r w:rsidRPr="00D45265">
        <w:rPr>
          <w:rFonts w:ascii="Tw Cen MT" w:hAnsi="Tw Cen MT"/>
          <w:b/>
          <w:sz w:val="24"/>
          <w:szCs w:val="24"/>
        </w:rPr>
        <w:t>Data Collection Activity</w:t>
      </w:r>
    </w:p>
    <w:tbl>
      <w:tblPr>
        <w:tblStyle w:val="TableGrid"/>
        <w:tblW w:w="9450" w:type="dxa"/>
        <w:tblInd w:w="-5" w:type="dxa"/>
        <w:tblLayout w:type="fixed"/>
        <w:tblLook w:val="04A0"/>
      </w:tblPr>
      <w:tblGrid>
        <w:gridCol w:w="1440"/>
        <w:gridCol w:w="2880"/>
        <w:gridCol w:w="2700"/>
        <w:gridCol w:w="2430"/>
      </w:tblGrid>
      <w:tr w14:paraId="60BC1894" w14:textId="77777777" w:rsidTr="001C10E6">
        <w:tblPrEx>
          <w:tblW w:w="9450" w:type="dxa"/>
          <w:tblInd w:w="-5" w:type="dxa"/>
          <w:tblLayout w:type="fixed"/>
          <w:tblLook w:val="04A0"/>
        </w:tblPrEx>
        <w:trPr>
          <w:trHeight w:val="432"/>
          <w:tblHeader/>
        </w:trPr>
        <w:tc>
          <w:tcPr>
            <w:tcW w:w="1440" w:type="dxa"/>
            <w:shd w:val="clear" w:color="auto" w:fill="404040" w:themeFill="text1" w:themeFillTint="BF"/>
            <w:tcMar>
              <w:left w:w="58" w:type="dxa"/>
              <w:right w:w="58" w:type="dxa"/>
            </w:tcMar>
            <w:vAlign w:val="center"/>
          </w:tcPr>
          <w:p w:rsidR="00B53357" w:rsidRPr="00062225" w:rsidP="005F2590" w14:paraId="6DD8EDCC" w14:textId="77777777">
            <w:pPr>
              <w:pStyle w:val="SuicideTableHeading1"/>
              <w:rPr>
                <w:rFonts w:ascii="Tw Cen MT" w:hAnsi="Tw Cen MT"/>
                <w:b w:val="0"/>
                <w:color w:val="FFFFFF" w:themeColor="background1"/>
                <w:spacing w:val="-4"/>
                <w:sz w:val="22"/>
                <w:szCs w:val="22"/>
              </w:rPr>
            </w:pPr>
            <w:r w:rsidRPr="00062225">
              <w:rPr>
                <w:rFonts w:ascii="Tw Cen MT" w:hAnsi="Tw Cen MT"/>
                <w:b w:val="0"/>
                <w:color w:val="FFFFFF" w:themeColor="background1"/>
                <w:spacing w:val="-4"/>
                <w:sz w:val="22"/>
                <w:szCs w:val="22"/>
              </w:rPr>
              <w:t>Instrument</w:t>
            </w:r>
          </w:p>
        </w:tc>
        <w:tc>
          <w:tcPr>
            <w:tcW w:w="2880" w:type="dxa"/>
            <w:shd w:val="clear" w:color="auto" w:fill="404040" w:themeFill="text1" w:themeFillTint="BF"/>
            <w:tcMar>
              <w:left w:w="58" w:type="dxa"/>
              <w:right w:w="58" w:type="dxa"/>
            </w:tcMar>
            <w:vAlign w:val="center"/>
          </w:tcPr>
          <w:p w:rsidR="00B53357" w:rsidRPr="00062225" w:rsidP="005F2590" w14:paraId="36278D1E" w14:textId="77F8E1F9">
            <w:pPr>
              <w:pStyle w:val="SuicideTableHeading1"/>
              <w:rPr>
                <w:rFonts w:ascii="Tw Cen MT" w:hAnsi="Tw Cen MT"/>
                <w:b w:val="0"/>
                <w:color w:val="FFFFFF" w:themeColor="background1"/>
                <w:spacing w:val="-4"/>
                <w:sz w:val="22"/>
                <w:szCs w:val="22"/>
              </w:rPr>
            </w:pPr>
            <w:r w:rsidRPr="00062225">
              <w:rPr>
                <w:rFonts w:ascii="Tw Cen MT" w:hAnsi="Tw Cen MT"/>
                <w:b w:val="0"/>
                <w:color w:val="FFFFFF" w:themeColor="background1"/>
                <w:spacing w:val="-4"/>
                <w:sz w:val="22"/>
                <w:szCs w:val="22"/>
              </w:rPr>
              <w:t>Participating Grantees</w:t>
            </w:r>
            <w:r w:rsidRPr="00062225" w:rsidR="009D59C5">
              <w:rPr>
                <w:rFonts w:ascii="Tw Cen MT" w:hAnsi="Tw Cen MT"/>
                <w:b w:val="0"/>
                <w:color w:val="FFFFFF" w:themeColor="background1"/>
                <w:spacing w:val="-4"/>
                <w:sz w:val="22"/>
                <w:szCs w:val="22"/>
              </w:rPr>
              <w:t>*</w:t>
            </w:r>
            <w:r w:rsidR="00D322EE">
              <w:rPr>
                <w:rFonts w:ascii="Tw Cen MT" w:hAnsi="Tw Cen MT"/>
                <w:b w:val="0"/>
                <w:color w:val="FFFFFF" w:themeColor="background1"/>
                <w:spacing w:val="-4"/>
                <w:sz w:val="22"/>
                <w:szCs w:val="22"/>
              </w:rPr>
              <w:t xml:space="preserve"> per Year</w:t>
            </w:r>
          </w:p>
        </w:tc>
        <w:tc>
          <w:tcPr>
            <w:tcW w:w="2700" w:type="dxa"/>
            <w:shd w:val="clear" w:color="auto" w:fill="404040" w:themeFill="text1" w:themeFillTint="BF"/>
            <w:tcMar>
              <w:left w:w="58" w:type="dxa"/>
              <w:right w:w="58" w:type="dxa"/>
            </w:tcMar>
            <w:vAlign w:val="center"/>
          </w:tcPr>
          <w:p w:rsidR="00B53357" w:rsidRPr="00062225" w:rsidP="005F2590" w14:paraId="265D81DB" w14:textId="16667773">
            <w:pPr>
              <w:pStyle w:val="SuicideTableHeading1"/>
              <w:rPr>
                <w:rFonts w:ascii="Tw Cen MT" w:hAnsi="Tw Cen MT"/>
                <w:b w:val="0"/>
                <w:color w:val="FFFFFF" w:themeColor="background1"/>
                <w:spacing w:val="-4"/>
                <w:sz w:val="22"/>
                <w:szCs w:val="22"/>
              </w:rPr>
            </w:pPr>
            <w:r w:rsidRPr="00062225">
              <w:rPr>
                <w:rFonts w:ascii="Tw Cen MT" w:hAnsi="Tw Cen MT"/>
                <w:b w:val="0"/>
                <w:color w:val="FFFFFF" w:themeColor="background1"/>
                <w:spacing w:val="-4"/>
                <w:sz w:val="22"/>
                <w:szCs w:val="22"/>
              </w:rPr>
              <w:t>Respondents per Grantee</w:t>
            </w:r>
            <w:r w:rsidR="00820C89">
              <w:rPr>
                <w:rFonts w:ascii="Tw Cen MT" w:hAnsi="Tw Cen MT"/>
                <w:b w:val="0"/>
                <w:color w:val="FFFFFF" w:themeColor="background1"/>
                <w:spacing w:val="-4"/>
                <w:sz w:val="22"/>
                <w:szCs w:val="22"/>
              </w:rPr>
              <w:t xml:space="preserve"> per Year</w:t>
            </w:r>
          </w:p>
        </w:tc>
        <w:tc>
          <w:tcPr>
            <w:tcW w:w="2430" w:type="dxa"/>
            <w:shd w:val="clear" w:color="auto" w:fill="404040" w:themeFill="text1" w:themeFillTint="BF"/>
            <w:tcMar>
              <w:left w:w="58" w:type="dxa"/>
              <w:right w:w="58" w:type="dxa"/>
            </w:tcMar>
            <w:vAlign w:val="center"/>
          </w:tcPr>
          <w:p w:rsidR="00B53357" w:rsidRPr="00062225" w:rsidP="005F2590" w14:paraId="6C4B6CBF" w14:textId="7CC2DD01">
            <w:pPr>
              <w:pStyle w:val="SuicideTableHeading1"/>
              <w:rPr>
                <w:rFonts w:ascii="Tw Cen MT" w:hAnsi="Tw Cen MT"/>
                <w:b w:val="0"/>
                <w:color w:val="FFFFFF" w:themeColor="background1"/>
                <w:spacing w:val="-4"/>
                <w:sz w:val="22"/>
                <w:szCs w:val="22"/>
              </w:rPr>
            </w:pPr>
            <w:r w:rsidRPr="00062225">
              <w:rPr>
                <w:rFonts w:ascii="Tw Cen MT" w:hAnsi="Tw Cen MT"/>
                <w:b w:val="0"/>
                <w:color w:val="FFFFFF" w:themeColor="background1"/>
                <w:spacing w:val="-4"/>
                <w:sz w:val="22"/>
                <w:szCs w:val="22"/>
              </w:rPr>
              <w:t>Total Respondents</w:t>
            </w:r>
            <w:r w:rsidR="00925A22">
              <w:rPr>
                <w:rFonts w:ascii="Tw Cen MT" w:hAnsi="Tw Cen MT"/>
                <w:b w:val="0"/>
                <w:color w:val="FFFFFF" w:themeColor="background1"/>
                <w:spacing w:val="-4"/>
                <w:sz w:val="22"/>
                <w:szCs w:val="22"/>
              </w:rPr>
              <w:t xml:space="preserve"> per Year</w:t>
            </w:r>
          </w:p>
        </w:tc>
      </w:tr>
      <w:tr w14:paraId="67452154" w14:textId="77777777" w:rsidTr="00B53357">
        <w:tblPrEx>
          <w:tblW w:w="9450" w:type="dxa"/>
          <w:tblInd w:w="-5" w:type="dxa"/>
          <w:tblLayout w:type="fixed"/>
          <w:tblLook w:val="04A0"/>
        </w:tblPrEx>
        <w:trPr>
          <w:trHeight w:val="287"/>
        </w:trPr>
        <w:tc>
          <w:tcPr>
            <w:tcW w:w="9450" w:type="dxa"/>
            <w:gridSpan w:val="4"/>
            <w:shd w:val="clear" w:color="auto" w:fill="D9D9D9" w:themeFill="background1" w:themeFillShade="D9"/>
            <w:vAlign w:val="center"/>
          </w:tcPr>
          <w:p w:rsidR="00B53357" w:rsidRPr="00062225" w:rsidP="005F2590" w14:paraId="646C3562" w14:textId="325C943A">
            <w:pPr>
              <w:pStyle w:val="SuicideTableHeading1"/>
              <w:rPr>
                <w:rFonts w:ascii="Tw Cen MT" w:hAnsi="Tw Cen MT"/>
                <w:caps/>
                <w:color w:val="auto"/>
                <w:spacing w:val="-4"/>
                <w:sz w:val="22"/>
                <w:szCs w:val="22"/>
              </w:rPr>
            </w:pPr>
          </w:p>
        </w:tc>
      </w:tr>
      <w:tr w14:paraId="5B701274" w14:textId="77777777" w:rsidTr="001C10E6">
        <w:tblPrEx>
          <w:tblW w:w="9450" w:type="dxa"/>
          <w:tblInd w:w="-5" w:type="dxa"/>
          <w:tblLayout w:type="fixed"/>
          <w:tblLook w:val="04A0"/>
        </w:tblPrEx>
        <w:trPr>
          <w:trHeight w:val="314"/>
        </w:trPr>
        <w:tc>
          <w:tcPr>
            <w:tcW w:w="1440" w:type="dxa"/>
            <w:tcMar>
              <w:left w:w="72" w:type="dxa"/>
              <w:right w:w="72" w:type="dxa"/>
            </w:tcMar>
          </w:tcPr>
          <w:p w:rsidR="00A061F2" w:rsidRPr="00062225" w:rsidP="00A061F2" w14:paraId="7800A933" w14:textId="256B9A8E">
            <w:pPr>
              <w:jc w:val="left"/>
              <w:rPr>
                <w:rFonts w:ascii="Tw Cen MT" w:hAnsi="Tw Cen MT"/>
                <w:color w:val="000000"/>
                <w:sz w:val="22"/>
                <w:szCs w:val="22"/>
              </w:rPr>
            </w:pPr>
            <w:r w:rsidRPr="00062225">
              <w:rPr>
                <w:rFonts w:ascii="Tw Cen MT" w:hAnsi="Tw Cen MT"/>
                <w:sz w:val="22"/>
                <w:szCs w:val="22"/>
              </w:rPr>
              <w:t>IS</w:t>
            </w:r>
          </w:p>
        </w:tc>
        <w:tc>
          <w:tcPr>
            <w:tcW w:w="2880" w:type="dxa"/>
            <w:tcMar>
              <w:left w:w="72" w:type="dxa"/>
              <w:right w:w="72" w:type="dxa"/>
            </w:tcMar>
          </w:tcPr>
          <w:p w:rsidR="00A061F2" w:rsidRPr="00062225" w:rsidP="00A061F2" w14:paraId="4C68127F" w14:textId="72046C0D">
            <w:pPr>
              <w:jc w:val="center"/>
              <w:rPr>
                <w:rFonts w:ascii="Tw Cen MT" w:hAnsi="Tw Cen MT"/>
                <w:color w:val="000000"/>
                <w:sz w:val="22"/>
                <w:szCs w:val="22"/>
              </w:rPr>
            </w:pPr>
            <w:r w:rsidRPr="00062225">
              <w:rPr>
                <w:rFonts w:ascii="Tw Cen MT" w:hAnsi="Tw Cen MT"/>
                <w:color w:val="000000"/>
                <w:sz w:val="22"/>
                <w:szCs w:val="22"/>
              </w:rPr>
              <w:t>47</w:t>
            </w:r>
          </w:p>
        </w:tc>
        <w:tc>
          <w:tcPr>
            <w:tcW w:w="2700" w:type="dxa"/>
            <w:tcMar>
              <w:left w:w="72" w:type="dxa"/>
              <w:right w:w="72" w:type="dxa"/>
            </w:tcMar>
          </w:tcPr>
          <w:p w:rsidR="00A061F2" w:rsidP="00A061F2" w14:paraId="2D02E2AD" w14:textId="3FDA465A">
            <w:pPr>
              <w:jc w:val="center"/>
              <w:rPr>
                <w:rFonts w:ascii="Tw Cen MT" w:hAnsi="Tw Cen MT"/>
                <w:sz w:val="22"/>
                <w:szCs w:val="22"/>
              </w:rPr>
            </w:pPr>
            <w:r w:rsidRPr="00DF654B">
              <w:rPr>
                <w:rFonts w:ascii="Tw Cen MT" w:hAnsi="Tw Cen MT"/>
                <w:sz w:val="22"/>
                <w:szCs w:val="22"/>
              </w:rPr>
              <w:t xml:space="preserve">Approximately </w:t>
            </w:r>
            <w:r w:rsidR="0057703D">
              <w:rPr>
                <w:rFonts w:ascii="Tw Cen MT" w:hAnsi="Tw Cen MT"/>
                <w:sz w:val="22"/>
                <w:szCs w:val="22"/>
              </w:rPr>
              <w:t xml:space="preserve">4 </w:t>
            </w:r>
            <w:r w:rsidR="00043695">
              <w:rPr>
                <w:rFonts w:ascii="Tw Cen MT" w:hAnsi="Tw Cen MT"/>
                <w:sz w:val="22"/>
                <w:szCs w:val="22"/>
              </w:rPr>
              <w:t>AWARE</w:t>
            </w:r>
          </w:p>
          <w:p w:rsidR="00043695" w:rsidRPr="00062225" w:rsidP="00A061F2" w14:paraId="4F9A6D79" w14:textId="35B52A17">
            <w:pPr>
              <w:jc w:val="center"/>
              <w:rPr>
                <w:rFonts w:ascii="Tw Cen MT" w:hAnsi="Tw Cen MT"/>
                <w:sz w:val="22"/>
                <w:szCs w:val="22"/>
              </w:rPr>
            </w:pPr>
            <w:r w:rsidRPr="00DF654B">
              <w:rPr>
                <w:rFonts w:ascii="Tw Cen MT" w:hAnsi="Tw Cen MT"/>
                <w:sz w:val="22"/>
                <w:szCs w:val="22"/>
              </w:rPr>
              <w:t xml:space="preserve">Approximately </w:t>
            </w:r>
            <w:r w:rsidR="0057703D">
              <w:rPr>
                <w:rFonts w:ascii="Tw Cen MT" w:hAnsi="Tw Cen MT"/>
                <w:sz w:val="22"/>
                <w:szCs w:val="22"/>
              </w:rPr>
              <w:t xml:space="preserve">2 </w:t>
            </w:r>
            <w:r>
              <w:rPr>
                <w:rFonts w:ascii="Tw Cen MT" w:hAnsi="Tw Cen MT"/>
                <w:sz w:val="22"/>
                <w:szCs w:val="22"/>
              </w:rPr>
              <w:t>TISS</w:t>
            </w:r>
          </w:p>
        </w:tc>
        <w:tc>
          <w:tcPr>
            <w:tcW w:w="2430" w:type="dxa"/>
            <w:tcMar>
              <w:left w:w="72" w:type="dxa"/>
              <w:right w:w="72" w:type="dxa"/>
            </w:tcMar>
          </w:tcPr>
          <w:p w:rsidR="00A061F2" w:rsidRPr="00062225" w:rsidP="00A061F2" w14:paraId="7266A4E7" w14:textId="0C80253A">
            <w:pPr>
              <w:jc w:val="center"/>
              <w:rPr>
                <w:rFonts w:ascii="Tw Cen MT" w:hAnsi="Tw Cen MT"/>
                <w:color w:val="000000"/>
                <w:sz w:val="22"/>
                <w:szCs w:val="22"/>
              </w:rPr>
            </w:pPr>
            <w:r>
              <w:rPr>
                <w:rFonts w:ascii="Tw Cen MT" w:hAnsi="Tw Cen MT"/>
                <w:color w:val="000000"/>
                <w:sz w:val="22"/>
                <w:szCs w:val="22"/>
              </w:rPr>
              <w:t>282</w:t>
            </w:r>
          </w:p>
        </w:tc>
      </w:tr>
      <w:tr w14:paraId="46D0DE7B" w14:textId="77777777" w:rsidTr="001C10E6">
        <w:tblPrEx>
          <w:tblW w:w="9450" w:type="dxa"/>
          <w:tblInd w:w="-5" w:type="dxa"/>
          <w:tblLayout w:type="fixed"/>
          <w:tblLook w:val="04A0"/>
        </w:tblPrEx>
        <w:trPr>
          <w:trHeight w:val="314"/>
        </w:trPr>
        <w:tc>
          <w:tcPr>
            <w:tcW w:w="1440" w:type="dxa"/>
            <w:tcMar>
              <w:left w:w="72" w:type="dxa"/>
              <w:right w:w="72" w:type="dxa"/>
            </w:tcMar>
          </w:tcPr>
          <w:p w:rsidR="00DE237C" w:rsidRPr="00062225" w:rsidP="00DE237C" w14:paraId="680FC1AA" w14:textId="2C15129A">
            <w:pPr>
              <w:jc w:val="left"/>
              <w:rPr>
                <w:rFonts w:ascii="Tw Cen MT" w:hAnsi="Tw Cen MT"/>
                <w:color w:val="000000"/>
                <w:sz w:val="22"/>
                <w:szCs w:val="22"/>
              </w:rPr>
            </w:pPr>
            <w:r w:rsidRPr="00062225">
              <w:rPr>
                <w:rFonts w:ascii="Tw Cen MT" w:hAnsi="Tw Cen MT"/>
                <w:sz w:val="22"/>
                <w:szCs w:val="22"/>
              </w:rPr>
              <w:t>IKII</w:t>
            </w:r>
          </w:p>
        </w:tc>
        <w:tc>
          <w:tcPr>
            <w:tcW w:w="2880" w:type="dxa"/>
            <w:tcMar>
              <w:left w:w="72" w:type="dxa"/>
              <w:right w:w="72" w:type="dxa"/>
            </w:tcMar>
          </w:tcPr>
          <w:p w:rsidR="00DE237C" w:rsidRPr="00062225" w:rsidP="00DE237C" w14:paraId="3F85837B" w14:textId="789BCD8A">
            <w:pPr>
              <w:jc w:val="center"/>
              <w:rPr>
                <w:rFonts w:ascii="Tw Cen MT" w:hAnsi="Tw Cen MT"/>
                <w:color w:val="000000"/>
                <w:sz w:val="22"/>
                <w:szCs w:val="22"/>
              </w:rPr>
            </w:pPr>
            <w:r w:rsidRPr="00062225">
              <w:rPr>
                <w:rFonts w:ascii="Tw Cen MT" w:hAnsi="Tw Cen MT"/>
                <w:color w:val="000000"/>
                <w:sz w:val="22"/>
                <w:szCs w:val="22"/>
              </w:rPr>
              <w:t>47</w:t>
            </w:r>
          </w:p>
        </w:tc>
        <w:tc>
          <w:tcPr>
            <w:tcW w:w="2700" w:type="dxa"/>
            <w:tcMar>
              <w:left w:w="72" w:type="dxa"/>
              <w:right w:w="72" w:type="dxa"/>
            </w:tcMar>
          </w:tcPr>
          <w:p w:rsidR="00DE237C" w:rsidRPr="00062225" w:rsidP="00BF27C2" w14:paraId="0011CEAB" w14:textId="19AE7040">
            <w:pPr>
              <w:jc w:val="center"/>
              <w:rPr>
                <w:rFonts w:ascii="Tw Cen MT" w:hAnsi="Tw Cen MT"/>
                <w:sz w:val="22"/>
                <w:szCs w:val="22"/>
              </w:rPr>
            </w:pPr>
            <w:r w:rsidRPr="00DF654B">
              <w:rPr>
                <w:rFonts w:ascii="Tw Cen MT" w:hAnsi="Tw Cen MT"/>
                <w:sz w:val="22"/>
                <w:szCs w:val="22"/>
              </w:rPr>
              <w:t xml:space="preserve">Approximately </w:t>
            </w:r>
            <w:r w:rsidR="00280CBE">
              <w:rPr>
                <w:rFonts w:ascii="Tw Cen MT" w:hAnsi="Tw Cen MT"/>
                <w:sz w:val="22"/>
                <w:szCs w:val="22"/>
              </w:rPr>
              <w:t>6</w:t>
            </w:r>
          </w:p>
        </w:tc>
        <w:tc>
          <w:tcPr>
            <w:tcW w:w="2430" w:type="dxa"/>
            <w:tcMar>
              <w:left w:w="72" w:type="dxa"/>
              <w:right w:w="72" w:type="dxa"/>
            </w:tcMar>
          </w:tcPr>
          <w:p w:rsidR="00DE237C" w:rsidRPr="00062225" w:rsidP="00DE237C" w14:paraId="46322673" w14:textId="330F83AB">
            <w:pPr>
              <w:jc w:val="center"/>
              <w:rPr>
                <w:rFonts w:ascii="Tw Cen MT" w:hAnsi="Tw Cen MT"/>
                <w:color w:val="000000"/>
                <w:sz w:val="22"/>
                <w:szCs w:val="22"/>
              </w:rPr>
            </w:pPr>
            <w:r>
              <w:rPr>
                <w:rFonts w:ascii="Tw Cen MT" w:hAnsi="Tw Cen MT"/>
                <w:color w:val="000000"/>
                <w:sz w:val="22"/>
                <w:szCs w:val="22"/>
              </w:rPr>
              <w:t>282</w:t>
            </w:r>
          </w:p>
        </w:tc>
      </w:tr>
      <w:tr w14:paraId="7F477BBE" w14:textId="77777777" w:rsidTr="001C10E6">
        <w:tblPrEx>
          <w:tblW w:w="9450" w:type="dxa"/>
          <w:tblInd w:w="-5" w:type="dxa"/>
          <w:tblLayout w:type="fixed"/>
          <w:tblLook w:val="04A0"/>
        </w:tblPrEx>
        <w:trPr>
          <w:trHeight w:val="317"/>
        </w:trPr>
        <w:tc>
          <w:tcPr>
            <w:tcW w:w="1440" w:type="dxa"/>
            <w:tcMar>
              <w:left w:w="72" w:type="dxa"/>
              <w:right w:w="72" w:type="dxa"/>
            </w:tcMar>
          </w:tcPr>
          <w:p w:rsidR="00DE237C" w:rsidRPr="00062225" w:rsidP="00DE237C" w14:paraId="0C850029" w14:textId="557336D0">
            <w:pPr>
              <w:jc w:val="left"/>
              <w:rPr>
                <w:rFonts w:ascii="Tw Cen MT" w:hAnsi="Tw Cen MT"/>
                <w:color w:val="000000"/>
                <w:sz w:val="22"/>
                <w:szCs w:val="22"/>
              </w:rPr>
            </w:pPr>
            <w:r w:rsidRPr="00062225">
              <w:rPr>
                <w:rFonts w:ascii="Tw Cen MT" w:hAnsi="Tw Cen MT"/>
                <w:sz w:val="22"/>
                <w:szCs w:val="22"/>
              </w:rPr>
              <w:t>YFFG-Y</w:t>
            </w:r>
            <w:r w:rsidR="007D4631">
              <w:rPr>
                <w:rFonts w:ascii="Tw Cen MT" w:hAnsi="Tw Cen MT"/>
                <w:sz w:val="22"/>
                <w:szCs w:val="22"/>
              </w:rPr>
              <w:t>**</w:t>
            </w:r>
          </w:p>
        </w:tc>
        <w:tc>
          <w:tcPr>
            <w:tcW w:w="2880" w:type="dxa"/>
            <w:tcMar>
              <w:left w:w="72" w:type="dxa"/>
              <w:right w:w="72" w:type="dxa"/>
            </w:tcMar>
          </w:tcPr>
          <w:p w:rsidR="00DE237C" w:rsidRPr="00062225" w:rsidP="00DE237C" w14:paraId="6563EE3F" w14:textId="4B70D81D">
            <w:pPr>
              <w:jc w:val="center"/>
              <w:rPr>
                <w:rFonts w:ascii="Tw Cen MT" w:hAnsi="Tw Cen MT"/>
                <w:color w:val="000000"/>
                <w:sz w:val="22"/>
                <w:szCs w:val="22"/>
              </w:rPr>
            </w:pPr>
            <w:r>
              <w:rPr>
                <w:rFonts w:ascii="Tw Cen MT" w:hAnsi="Tw Cen MT"/>
                <w:color w:val="000000"/>
                <w:sz w:val="22"/>
                <w:szCs w:val="22"/>
              </w:rPr>
              <w:t>8</w:t>
            </w:r>
          </w:p>
        </w:tc>
        <w:tc>
          <w:tcPr>
            <w:tcW w:w="2700" w:type="dxa"/>
            <w:tcMar>
              <w:left w:w="72" w:type="dxa"/>
              <w:right w:w="72" w:type="dxa"/>
            </w:tcMar>
          </w:tcPr>
          <w:p w:rsidR="006D7054" w:rsidRPr="00062225" w:rsidP="00DE237C" w14:paraId="45B7E06C" w14:textId="7DE556A4">
            <w:pPr>
              <w:jc w:val="center"/>
              <w:rPr>
                <w:rFonts w:ascii="Tw Cen MT" w:hAnsi="Tw Cen MT"/>
                <w:sz w:val="22"/>
                <w:szCs w:val="22"/>
              </w:rPr>
            </w:pPr>
            <w:r>
              <w:rPr>
                <w:rFonts w:ascii="Tw Cen MT" w:hAnsi="Tw Cen MT"/>
                <w:sz w:val="22"/>
                <w:szCs w:val="22"/>
              </w:rPr>
              <w:t xml:space="preserve">Approximately </w:t>
            </w:r>
            <w:r w:rsidR="00930981">
              <w:rPr>
                <w:rFonts w:ascii="Tw Cen MT" w:hAnsi="Tw Cen MT"/>
                <w:sz w:val="22"/>
                <w:szCs w:val="22"/>
              </w:rPr>
              <w:t>10</w:t>
            </w:r>
          </w:p>
        </w:tc>
        <w:tc>
          <w:tcPr>
            <w:tcW w:w="2430" w:type="dxa"/>
            <w:tcMar>
              <w:left w:w="72" w:type="dxa"/>
              <w:right w:w="72" w:type="dxa"/>
            </w:tcMar>
          </w:tcPr>
          <w:p w:rsidR="00DE237C" w:rsidRPr="00062225" w:rsidP="00DE237C" w14:paraId="3A295A8A" w14:textId="0A38DB9E">
            <w:pPr>
              <w:jc w:val="center"/>
              <w:rPr>
                <w:rFonts w:ascii="Tw Cen MT" w:hAnsi="Tw Cen MT"/>
                <w:color w:val="000000"/>
                <w:sz w:val="22"/>
                <w:szCs w:val="22"/>
              </w:rPr>
            </w:pPr>
            <w:r>
              <w:rPr>
                <w:rFonts w:ascii="Tw Cen MT" w:hAnsi="Tw Cen MT"/>
                <w:color w:val="000000"/>
                <w:sz w:val="22"/>
                <w:szCs w:val="22"/>
              </w:rPr>
              <w:t>80</w:t>
            </w:r>
          </w:p>
        </w:tc>
      </w:tr>
      <w:tr w14:paraId="61649CB9" w14:textId="77777777" w:rsidTr="001C10E6">
        <w:tblPrEx>
          <w:tblW w:w="9450" w:type="dxa"/>
          <w:tblInd w:w="-5" w:type="dxa"/>
          <w:tblLayout w:type="fixed"/>
          <w:tblLook w:val="04A0"/>
        </w:tblPrEx>
        <w:trPr>
          <w:trHeight w:val="317"/>
        </w:trPr>
        <w:tc>
          <w:tcPr>
            <w:tcW w:w="1440" w:type="dxa"/>
            <w:tcMar>
              <w:left w:w="72" w:type="dxa"/>
              <w:right w:w="72" w:type="dxa"/>
            </w:tcMar>
          </w:tcPr>
          <w:p w:rsidR="00DE237C" w:rsidRPr="00062225" w:rsidP="00DE237C" w14:paraId="19619DF6" w14:textId="73E36FCF">
            <w:pPr>
              <w:jc w:val="left"/>
              <w:rPr>
                <w:rFonts w:ascii="Tw Cen MT" w:hAnsi="Tw Cen MT"/>
                <w:color w:val="000000"/>
                <w:sz w:val="22"/>
                <w:szCs w:val="22"/>
              </w:rPr>
            </w:pPr>
            <w:r w:rsidRPr="00062225">
              <w:rPr>
                <w:rFonts w:ascii="Tw Cen MT" w:hAnsi="Tw Cen MT"/>
                <w:sz w:val="22"/>
                <w:szCs w:val="22"/>
              </w:rPr>
              <w:t>YFFG-F</w:t>
            </w:r>
            <w:r w:rsidR="007D4631">
              <w:rPr>
                <w:rFonts w:ascii="Tw Cen MT" w:hAnsi="Tw Cen MT"/>
                <w:sz w:val="22"/>
                <w:szCs w:val="22"/>
              </w:rPr>
              <w:t>**</w:t>
            </w:r>
          </w:p>
        </w:tc>
        <w:tc>
          <w:tcPr>
            <w:tcW w:w="2880" w:type="dxa"/>
            <w:tcMar>
              <w:left w:w="72" w:type="dxa"/>
              <w:right w:w="72" w:type="dxa"/>
            </w:tcMar>
          </w:tcPr>
          <w:p w:rsidR="00DE237C" w:rsidRPr="00062225" w:rsidP="00DE237C" w14:paraId="50F59C8A" w14:textId="3228476B">
            <w:pPr>
              <w:jc w:val="center"/>
              <w:rPr>
                <w:rFonts w:ascii="Tw Cen MT" w:hAnsi="Tw Cen MT"/>
                <w:color w:val="000000"/>
                <w:sz w:val="22"/>
                <w:szCs w:val="22"/>
              </w:rPr>
            </w:pPr>
            <w:r>
              <w:rPr>
                <w:rFonts w:ascii="Tw Cen MT" w:hAnsi="Tw Cen MT"/>
                <w:color w:val="000000"/>
                <w:sz w:val="22"/>
                <w:szCs w:val="22"/>
              </w:rPr>
              <w:t>8</w:t>
            </w:r>
          </w:p>
        </w:tc>
        <w:tc>
          <w:tcPr>
            <w:tcW w:w="2700" w:type="dxa"/>
            <w:tcMar>
              <w:left w:w="72" w:type="dxa"/>
              <w:right w:w="72" w:type="dxa"/>
            </w:tcMar>
          </w:tcPr>
          <w:p w:rsidR="0037163F" w:rsidRPr="00062225" w:rsidP="00DE237C" w14:paraId="7983407B" w14:textId="13C1A669">
            <w:pPr>
              <w:jc w:val="center"/>
              <w:rPr>
                <w:rFonts w:ascii="Tw Cen MT" w:hAnsi="Tw Cen MT"/>
                <w:sz w:val="22"/>
                <w:szCs w:val="22"/>
              </w:rPr>
            </w:pPr>
            <w:r>
              <w:rPr>
                <w:rFonts w:ascii="Tw Cen MT" w:hAnsi="Tw Cen MT"/>
                <w:sz w:val="22"/>
                <w:szCs w:val="22"/>
              </w:rPr>
              <w:t xml:space="preserve">Approximately </w:t>
            </w:r>
            <w:r w:rsidR="001E4B57">
              <w:rPr>
                <w:rFonts w:ascii="Tw Cen MT" w:hAnsi="Tw Cen MT"/>
                <w:sz w:val="22"/>
                <w:szCs w:val="22"/>
              </w:rPr>
              <w:t>10</w:t>
            </w:r>
          </w:p>
        </w:tc>
        <w:tc>
          <w:tcPr>
            <w:tcW w:w="2430" w:type="dxa"/>
            <w:tcMar>
              <w:left w:w="72" w:type="dxa"/>
              <w:right w:w="72" w:type="dxa"/>
            </w:tcMar>
          </w:tcPr>
          <w:p w:rsidR="00DE237C" w:rsidRPr="00062225" w:rsidP="00DE237C" w14:paraId="3B4DB388" w14:textId="43B5ED83">
            <w:pPr>
              <w:jc w:val="center"/>
              <w:rPr>
                <w:rFonts w:ascii="Tw Cen MT" w:hAnsi="Tw Cen MT"/>
                <w:color w:val="000000"/>
                <w:sz w:val="22"/>
                <w:szCs w:val="22"/>
              </w:rPr>
            </w:pPr>
            <w:r>
              <w:rPr>
                <w:rFonts w:ascii="Tw Cen MT" w:hAnsi="Tw Cen MT"/>
                <w:color w:val="000000"/>
                <w:sz w:val="22"/>
                <w:szCs w:val="22"/>
              </w:rPr>
              <w:t>80</w:t>
            </w:r>
          </w:p>
        </w:tc>
      </w:tr>
      <w:tr w14:paraId="4BAF8AE6" w14:textId="77777777" w:rsidTr="001C10E6">
        <w:tblPrEx>
          <w:tblW w:w="9450" w:type="dxa"/>
          <w:tblInd w:w="-5" w:type="dxa"/>
          <w:tblLayout w:type="fixed"/>
          <w:tblLook w:val="04A0"/>
        </w:tblPrEx>
        <w:trPr>
          <w:trHeight w:val="317"/>
        </w:trPr>
        <w:tc>
          <w:tcPr>
            <w:tcW w:w="1440" w:type="dxa"/>
            <w:tcMar>
              <w:left w:w="72" w:type="dxa"/>
              <w:right w:w="72" w:type="dxa"/>
            </w:tcMar>
          </w:tcPr>
          <w:p w:rsidR="00DE237C" w:rsidRPr="00062225" w:rsidP="00DE237C" w14:paraId="25A842CD" w14:textId="24535280">
            <w:pPr>
              <w:jc w:val="left"/>
              <w:rPr>
                <w:rFonts w:ascii="Tw Cen MT" w:hAnsi="Tw Cen MT"/>
                <w:color w:val="000000"/>
                <w:sz w:val="22"/>
                <w:szCs w:val="22"/>
              </w:rPr>
            </w:pPr>
            <w:r w:rsidRPr="00062225">
              <w:rPr>
                <w:rFonts w:ascii="Tw Cen MT" w:hAnsi="Tw Cen MT"/>
                <w:sz w:val="22"/>
                <w:szCs w:val="22"/>
              </w:rPr>
              <w:t>CPS</w:t>
            </w:r>
          </w:p>
        </w:tc>
        <w:tc>
          <w:tcPr>
            <w:tcW w:w="2880" w:type="dxa"/>
            <w:tcMar>
              <w:left w:w="72" w:type="dxa"/>
              <w:right w:w="72" w:type="dxa"/>
            </w:tcMar>
          </w:tcPr>
          <w:p w:rsidR="00DE237C" w:rsidRPr="00062225" w:rsidP="00DE237C" w14:paraId="431784D2" w14:textId="4DFD5FF9">
            <w:pPr>
              <w:jc w:val="center"/>
              <w:rPr>
                <w:rFonts w:ascii="Tw Cen MT" w:hAnsi="Tw Cen MT"/>
                <w:color w:val="000000"/>
                <w:sz w:val="22"/>
                <w:szCs w:val="22"/>
              </w:rPr>
            </w:pPr>
            <w:r w:rsidRPr="00062225">
              <w:rPr>
                <w:rFonts w:ascii="Tw Cen MT" w:hAnsi="Tw Cen MT"/>
                <w:color w:val="000000"/>
                <w:sz w:val="22"/>
                <w:szCs w:val="22"/>
              </w:rPr>
              <w:t>47</w:t>
            </w:r>
          </w:p>
        </w:tc>
        <w:tc>
          <w:tcPr>
            <w:tcW w:w="2700" w:type="dxa"/>
            <w:tcMar>
              <w:left w:w="72" w:type="dxa"/>
              <w:right w:w="72" w:type="dxa"/>
            </w:tcMar>
          </w:tcPr>
          <w:p w:rsidR="00DE237C" w:rsidP="00DE237C" w14:paraId="2943E8B4" w14:textId="24836F56">
            <w:pPr>
              <w:jc w:val="center"/>
              <w:rPr>
                <w:rFonts w:ascii="Tw Cen MT" w:hAnsi="Tw Cen MT"/>
                <w:sz w:val="22"/>
                <w:szCs w:val="22"/>
              </w:rPr>
            </w:pPr>
            <w:r w:rsidRPr="00DF654B">
              <w:rPr>
                <w:rFonts w:ascii="Tw Cen MT" w:hAnsi="Tw Cen MT"/>
                <w:sz w:val="22"/>
                <w:szCs w:val="22"/>
              </w:rPr>
              <w:t xml:space="preserve">Approximately </w:t>
            </w:r>
            <w:r w:rsidR="0037163F">
              <w:rPr>
                <w:rFonts w:ascii="Tw Cen MT" w:hAnsi="Tw Cen MT"/>
                <w:sz w:val="22"/>
                <w:szCs w:val="22"/>
              </w:rPr>
              <w:t>6 AWARE</w:t>
            </w:r>
          </w:p>
          <w:p w:rsidR="0037163F" w:rsidRPr="00062225" w:rsidP="00DE237C" w14:paraId="784F37AA" w14:textId="61E9AD5C">
            <w:pPr>
              <w:jc w:val="center"/>
              <w:rPr>
                <w:rFonts w:ascii="Tw Cen MT" w:hAnsi="Tw Cen MT"/>
                <w:sz w:val="22"/>
                <w:szCs w:val="22"/>
              </w:rPr>
            </w:pPr>
            <w:r w:rsidRPr="00DF654B">
              <w:rPr>
                <w:rFonts w:ascii="Tw Cen MT" w:hAnsi="Tw Cen MT"/>
                <w:sz w:val="22"/>
                <w:szCs w:val="22"/>
              </w:rPr>
              <w:t xml:space="preserve">Approximately </w:t>
            </w:r>
            <w:r>
              <w:rPr>
                <w:rFonts w:ascii="Tw Cen MT" w:hAnsi="Tw Cen MT"/>
                <w:sz w:val="22"/>
                <w:szCs w:val="22"/>
              </w:rPr>
              <w:t>3 TISS</w:t>
            </w:r>
          </w:p>
        </w:tc>
        <w:tc>
          <w:tcPr>
            <w:tcW w:w="2430" w:type="dxa"/>
            <w:tcMar>
              <w:left w:w="72" w:type="dxa"/>
              <w:right w:w="72" w:type="dxa"/>
            </w:tcMar>
          </w:tcPr>
          <w:p w:rsidR="00DE237C" w:rsidP="00DE237C" w14:paraId="1545A31A" w14:textId="2B8EE74D">
            <w:pPr>
              <w:jc w:val="center"/>
              <w:rPr>
                <w:rFonts w:ascii="Tw Cen MT" w:hAnsi="Tw Cen MT"/>
                <w:color w:val="000000"/>
                <w:sz w:val="22"/>
                <w:szCs w:val="22"/>
              </w:rPr>
            </w:pPr>
            <w:r>
              <w:rPr>
                <w:rFonts w:ascii="Tw Cen MT" w:hAnsi="Tw Cen MT"/>
                <w:color w:val="000000"/>
                <w:sz w:val="22"/>
                <w:szCs w:val="22"/>
              </w:rPr>
              <w:t>423</w:t>
            </w:r>
          </w:p>
          <w:p w:rsidR="00A84692" w:rsidRPr="00062225" w:rsidP="00DE237C" w14:paraId="12176AA0" w14:textId="4B551BA1">
            <w:pPr>
              <w:jc w:val="center"/>
              <w:rPr>
                <w:rFonts w:ascii="Tw Cen MT" w:hAnsi="Tw Cen MT"/>
                <w:color w:val="000000"/>
                <w:sz w:val="22"/>
                <w:szCs w:val="22"/>
              </w:rPr>
            </w:pPr>
          </w:p>
        </w:tc>
      </w:tr>
      <w:tr w14:paraId="1A047544" w14:textId="77777777" w:rsidTr="001C10E6">
        <w:tblPrEx>
          <w:tblW w:w="9450" w:type="dxa"/>
          <w:tblInd w:w="-5" w:type="dxa"/>
          <w:tblLayout w:type="fixed"/>
          <w:tblLook w:val="04A0"/>
        </w:tblPrEx>
        <w:trPr>
          <w:trHeight w:val="317"/>
        </w:trPr>
        <w:tc>
          <w:tcPr>
            <w:tcW w:w="1440" w:type="dxa"/>
            <w:tcMar>
              <w:left w:w="72" w:type="dxa"/>
              <w:right w:w="72" w:type="dxa"/>
            </w:tcMar>
          </w:tcPr>
          <w:p w:rsidR="00DE237C" w:rsidRPr="00062225" w:rsidP="00DE237C" w14:paraId="751FD204" w14:textId="2B90C4A1">
            <w:pPr>
              <w:jc w:val="left"/>
              <w:rPr>
                <w:rFonts w:ascii="Tw Cen MT" w:hAnsi="Tw Cen MT"/>
                <w:color w:val="000000"/>
                <w:sz w:val="22"/>
                <w:szCs w:val="22"/>
              </w:rPr>
            </w:pPr>
            <w:r w:rsidRPr="00062225">
              <w:rPr>
                <w:rFonts w:ascii="Tw Cen MT" w:hAnsi="Tw Cen MT"/>
                <w:sz w:val="22"/>
                <w:szCs w:val="22"/>
              </w:rPr>
              <w:t>TSF</w:t>
            </w:r>
          </w:p>
        </w:tc>
        <w:tc>
          <w:tcPr>
            <w:tcW w:w="2880" w:type="dxa"/>
            <w:tcMar>
              <w:left w:w="72" w:type="dxa"/>
              <w:right w:w="72" w:type="dxa"/>
            </w:tcMar>
          </w:tcPr>
          <w:p w:rsidR="00DE237C" w:rsidRPr="00062225" w:rsidP="00DE237C" w14:paraId="60C8E1A1" w14:textId="0C57B265">
            <w:pPr>
              <w:jc w:val="center"/>
              <w:rPr>
                <w:rFonts w:ascii="Tw Cen MT" w:hAnsi="Tw Cen MT"/>
                <w:color w:val="000000"/>
                <w:sz w:val="22"/>
                <w:szCs w:val="22"/>
              </w:rPr>
            </w:pPr>
            <w:r w:rsidRPr="00062225">
              <w:rPr>
                <w:rFonts w:ascii="Tw Cen MT" w:hAnsi="Tw Cen MT"/>
                <w:color w:val="000000"/>
                <w:sz w:val="22"/>
                <w:szCs w:val="22"/>
              </w:rPr>
              <w:t>47</w:t>
            </w:r>
          </w:p>
        </w:tc>
        <w:tc>
          <w:tcPr>
            <w:tcW w:w="2700" w:type="dxa"/>
            <w:tcMar>
              <w:left w:w="72" w:type="dxa"/>
              <w:right w:w="72" w:type="dxa"/>
            </w:tcMar>
          </w:tcPr>
          <w:p w:rsidR="00C95B29" w:rsidRPr="00062225" w:rsidP="00DE237C" w14:paraId="1584D933" w14:textId="438DA15C">
            <w:pPr>
              <w:jc w:val="center"/>
              <w:rPr>
                <w:rFonts w:ascii="Tw Cen MT" w:hAnsi="Tw Cen MT"/>
                <w:sz w:val="22"/>
                <w:szCs w:val="22"/>
              </w:rPr>
            </w:pPr>
            <w:r w:rsidRPr="00DF654B">
              <w:rPr>
                <w:rFonts w:ascii="Tw Cen MT" w:hAnsi="Tw Cen MT"/>
                <w:sz w:val="22"/>
                <w:szCs w:val="22"/>
              </w:rPr>
              <w:t xml:space="preserve">Approximately </w:t>
            </w:r>
            <w:r w:rsidR="008308E5">
              <w:rPr>
                <w:rFonts w:ascii="Tw Cen MT" w:hAnsi="Tw Cen MT"/>
                <w:sz w:val="22"/>
                <w:szCs w:val="22"/>
              </w:rPr>
              <w:t>10</w:t>
            </w:r>
          </w:p>
        </w:tc>
        <w:tc>
          <w:tcPr>
            <w:tcW w:w="2430" w:type="dxa"/>
            <w:tcMar>
              <w:left w:w="72" w:type="dxa"/>
              <w:right w:w="72" w:type="dxa"/>
            </w:tcMar>
          </w:tcPr>
          <w:p w:rsidR="00DE237C" w:rsidRPr="00062225" w:rsidP="00DE237C" w14:paraId="248D28BC" w14:textId="6B064329">
            <w:pPr>
              <w:jc w:val="center"/>
              <w:rPr>
                <w:rFonts w:ascii="Tw Cen MT" w:hAnsi="Tw Cen MT"/>
                <w:color w:val="000000"/>
                <w:sz w:val="22"/>
                <w:szCs w:val="22"/>
              </w:rPr>
            </w:pPr>
            <w:r>
              <w:rPr>
                <w:rFonts w:ascii="Tw Cen MT" w:hAnsi="Tw Cen MT"/>
                <w:color w:val="000000"/>
                <w:sz w:val="22"/>
                <w:szCs w:val="22"/>
              </w:rPr>
              <w:t>470</w:t>
            </w:r>
          </w:p>
        </w:tc>
      </w:tr>
      <w:tr w14:paraId="4CD159C2" w14:textId="77777777" w:rsidTr="001C10E6">
        <w:tblPrEx>
          <w:tblW w:w="9450" w:type="dxa"/>
          <w:tblInd w:w="-5" w:type="dxa"/>
          <w:tblLayout w:type="fixed"/>
          <w:tblLook w:val="04A0"/>
        </w:tblPrEx>
        <w:trPr>
          <w:trHeight w:val="317"/>
        </w:trPr>
        <w:tc>
          <w:tcPr>
            <w:tcW w:w="1440" w:type="dxa"/>
            <w:tcMar>
              <w:left w:w="72" w:type="dxa"/>
              <w:right w:w="72" w:type="dxa"/>
            </w:tcMar>
          </w:tcPr>
          <w:p w:rsidR="00DE237C" w:rsidRPr="00062225" w:rsidP="00DE237C" w14:paraId="19717A46" w14:textId="6BD41CF1">
            <w:pPr>
              <w:jc w:val="left"/>
              <w:rPr>
                <w:rFonts w:ascii="Tw Cen MT" w:hAnsi="Tw Cen MT"/>
                <w:color w:val="000000"/>
                <w:sz w:val="22"/>
                <w:szCs w:val="22"/>
              </w:rPr>
            </w:pPr>
            <w:r w:rsidRPr="00062225">
              <w:rPr>
                <w:rFonts w:ascii="Tw Cen MT" w:hAnsi="Tw Cen MT"/>
                <w:sz w:val="22"/>
                <w:szCs w:val="22"/>
              </w:rPr>
              <w:t>PFF</w:t>
            </w:r>
          </w:p>
        </w:tc>
        <w:tc>
          <w:tcPr>
            <w:tcW w:w="2880" w:type="dxa"/>
            <w:tcMar>
              <w:left w:w="72" w:type="dxa"/>
              <w:right w:w="72" w:type="dxa"/>
            </w:tcMar>
          </w:tcPr>
          <w:p w:rsidR="00DE237C" w:rsidRPr="00062225" w:rsidP="00DE237C" w14:paraId="316C8079" w14:textId="1B63857D">
            <w:pPr>
              <w:jc w:val="center"/>
              <w:rPr>
                <w:rFonts w:ascii="Tw Cen MT" w:hAnsi="Tw Cen MT"/>
                <w:color w:val="000000"/>
                <w:sz w:val="22"/>
                <w:szCs w:val="22"/>
              </w:rPr>
            </w:pPr>
            <w:r w:rsidRPr="00062225">
              <w:rPr>
                <w:rFonts w:ascii="Tw Cen MT" w:hAnsi="Tw Cen MT"/>
                <w:color w:val="000000"/>
                <w:sz w:val="22"/>
                <w:szCs w:val="22"/>
              </w:rPr>
              <w:t>47</w:t>
            </w:r>
          </w:p>
        </w:tc>
        <w:tc>
          <w:tcPr>
            <w:tcW w:w="2700" w:type="dxa"/>
            <w:tcMar>
              <w:left w:w="72" w:type="dxa"/>
              <w:right w:w="72" w:type="dxa"/>
            </w:tcMar>
          </w:tcPr>
          <w:p w:rsidR="00C95B29" w:rsidP="00DE237C" w14:paraId="0CBAD8B2" w14:textId="490A82AF">
            <w:pPr>
              <w:jc w:val="center"/>
              <w:rPr>
                <w:rFonts w:ascii="Tw Cen MT" w:hAnsi="Tw Cen MT"/>
                <w:sz w:val="22"/>
                <w:szCs w:val="22"/>
              </w:rPr>
            </w:pPr>
            <w:r w:rsidRPr="00DF654B">
              <w:rPr>
                <w:rFonts w:ascii="Tw Cen MT" w:hAnsi="Tw Cen MT"/>
                <w:sz w:val="22"/>
                <w:szCs w:val="22"/>
              </w:rPr>
              <w:t xml:space="preserve">Approximately </w:t>
            </w:r>
            <w:r w:rsidR="00E11AF0">
              <w:rPr>
                <w:rFonts w:ascii="Tw Cen MT" w:hAnsi="Tw Cen MT"/>
                <w:sz w:val="22"/>
                <w:szCs w:val="22"/>
              </w:rPr>
              <w:t>75 AWARE</w:t>
            </w:r>
          </w:p>
          <w:p w:rsidR="00E11AF0" w:rsidRPr="00062225" w:rsidP="00DE237C" w14:paraId="2A896FA9" w14:textId="19A34527">
            <w:pPr>
              <w:jc w:val="center"/>
              <w:rPr>
                <w:rFonts w:ascii="Tw Cen MT" w:hAnsi="Tw Cen MT"/>
                <w:sz w:val="22"/>
                <w:szCs w:val="22"/>
              </w:rPr>
            </w:pPr>
            <w:r w:rsidRPr="00DF654B">
              <w:rPr>
                <w:rFonts w:ascii="Tw Cen MT" w:hAnsi="Tw Cen MT"/>
                <w:sz w:val="22"/>
                <w:szCs w:val="22"/>
              </w:rPr>
              <w:t xml:space="preserve">Approximately </w:t>
            </w:r>
            <w:r w:rsidR="008308E5">
              <w:rPr>
                <w:rFonts w:ascii="Tw Cen MT" w:hAnsi="Tw Cen MT"/>
                <w:sz w:val="22"/>
                <w:szCs w:val="22"/>
              </w:rPr>
              <w:t>25 TISS</w:t>
            </w:r>
          </w:p>
        </w:tc>
        <w:tc>
          <w:tcPr>
            <w:tcW w:w="2430" w:type="dxa"/>
            <w:tcMar>
              <w:left w:w="72" w:type="dxa"/>
              <w:right w:w="72" w:type="dxa"/>
            </w:tcMar>
          </w:tcPr>
          <w:p w:rsidR="00F559A3" w:rsidRPr="00062225" w:rsidP="00DE237C" w14:paraId="758D67BB" w14:textId="461E45C8">
            <w:pPr>
              <w:jc w:val="center"/>
              <w:rPr>
                <w:rFonts w:ascii="Tw Cen MT" w:hAnsi="Tw Cen MT"/>
                <w:color w:val="000000"/>
                <w:sz w:val="22"/>
                <w:szCs w:val="22"/>
              </w:rPr>
            </w:pPr>
            <w:r>
              <w:rPr>
                <w:rFonts w:ascii="Tw Cen MT" w:hAnsi="Tw Cen MT"/>
                <w:color w:val="000000"/>
                <w:sz w:val="22"/>
                <w:szCs w:val="22"/>
              </w:rPr>
              <w:t>2,775</w:t>
            </w:r>
          </w:p>
        </w:tc>
      </w:tr>
      <w:tr w14:paraId="3219A092" w14:textId="77777777" w:rsidTr="001C10E6">
        <w:tblPrEx>
          <w:tblW w:w="9450" w:type="dxa"/>
          <w:tblInd w:w="-5" w:type="dxa"/>
          <w:tblLayout w:type="fixed"/>
          <w:tblLook w:val="04A0"/>
        </w:tblPrEx>
        <w:trPr>
          <w:trHeight w:val="317"/>
        </w:trPr>
        <w:tc>
          <w:tcPr>
            <w:tcW w:w="1440" w:type="dxa"/>
            <w:tcMar>
              <w:left w:w="72" w:type="dxa"/>
              <w:right w:w="72" w:type="dxa"/>
            </w:tcMar>
          </w:tcPr>
          <w:p w:rsidR="00DE237C" w:rsidRPr="00062225" w:rsidP="00DE237C" w14:paraId="20580071" w14:textId="43673C31">
            <w:pPr>
              <w:jc w:val="left"/>
              <w:rPr>
                <w:rFonts w:ascii="Tw Cen MT" w:hAnsi="Tw Cen MT"/>
                <w:color w:val="000000"/>
                <w:sz w:val="22"/>
                <w:szCs w:val="22"/>
              </w:rPr>
            </w:pPr>
            <w:r w:rsidRPr="00062225">
              <w:rPr>
                <w:rFonts w:ascii="Tw Cen MT" w:hAnsi="Tw Cen MT"/>
                <w:sz w:val="22"/>
                <w:szCs w:val="22"/>
              </w:rPr>
              <w:t>APPTS</w:t>
            </w:r>
          </w:p>
        </w:tc>
        <w:tc>
          <w:tcPr>
            <w:tcW w:w="2880" w:type="dxa"/>
            <w:tcMar>
              <w:left w:w="72" w:type="dxa"/>
              <w:right w:w="72" w:type="dxa"/>
            </w:tcMar>
          </w:tcPr>
          <w:p w:rsidR="00DE237C" w:rsidRPr="00062225" w:rsidP="00DE237C" w14:paraId="6B15B46F" w14:textId="29350FBC">
            <w:pPr>
              <w:jc w:val="center"/>
              <w:rPr>
                <w:rFonts w:ascii="Tw Cen MT" w:hAnsi="Tw Cen MT"/>
                <w:color w:val="000000"/>
                <w:sz w:val="22"/>
                <w:szCs w:val="22"/>
              </w:rPr>
            </w:pPr>
            <w:r>
              <w:rPr>
                <w:rFonts w:ascii="Tw Cen MT" w:hAnsi="Tw Cen MT"/>
                <w:color w:val="000000"/>
                <w:sz w:val="22"/>
                <w:szCs w:val="22"/>
              </w:rPr>
              <w:t>32</w:t>
            </w:r>
          </w:p>
        </w:tc>
        <w:tc>
          <w:tcPr>
            <w:tcW w:w="2700" w:type="dxa"/>
            <w:tcMar>
              <w:left w:w="72" w:type="dxa"/>
              <w:right w:w="72" w:type="dxa"/>
            </w:tcMar>
          </w:tcPr>
          <w:p w:rsidR="00A25CBC" w:rsidRPr="00062225" w:rsidP="00157DA2" w14:paraId="3AB7E7CE" w14:textId="329B3CE4">
            <w:pPr>
              <w:jc w:val="center"/>
              <w:rPr>
                <w:rFonts w:ascii="Tw Cen MT" w:hAnsi="Tw Cen MT"/>
                <w:sz w:val="22"/>
                <w:szCs w:val="22"/>
              </w:rPr>
            </w:pPr>
            <w:r w:rsidRPr="00DF654B">
              <w:rPr>
                <w:rFonts w:ascii="Tw Cen MT" w:hAnsi="Tw Cen MT"/>
                <w:sz w:val="22"/>
                <w:szCs w:val="22"/>
              </w:rPr>
              <w:t xml:space="preserve">Approximately </w:t>
            </w:r>
            <w:r w:rsidR="00A80BCA">
              <w:rPr>
                <w:rFonts w:ascii="Tw Cen MT" w:hAnsi="Tw Cen MT"/>
                <w:sz w:val="22"/>
                <w:szCs w:val="22"/>
              </w:rPr>
              <w:t>125</w:t>
            </w:r>
            <w:r>
              <w:rPr>
                <w:rFonts w:ascii="Tw Cen MT" w:hAnsi="Tw Cen MT"/>
                <w:sz w:val="22"/>
                <w:szCs w:val="22"/>
              </w:rPr>
              <w:t xml:space="preserve"> AWARE</w:t>
            </w:r>
          </w:p>
        </w:tc>
        <w:tc>
          <w:tcPr>
            <w:tcW w:w="2430" w:type="dxa"/>
            <w:tcMar>
              <w:left w:w="72" w:type="dxa"/>
              <w:right w:w="72" w:type="dxa"/>
            </w:tcMar>
          </w:tcPr>
          <w:p w:rsidR="00DE237C" w:rsidRPr="00062225" w:rsidP="00DE237C" w14:paraId="3C44AFD0" w14:textId="2DE94C5D">
            <w:pPr>
              <w:jc w:val="center"/>
              <w:rPr>
                <w:rFonts w:ascii="Tw Cen MT" w:hAnsi="Tw Cen MT"/>
                <w:color w:val="000000"/>
                <w:sz w:val="22"/>
                <w:szCs w:val="22"/>
              </w:rPr>
            </w:pPr>
            <w:r>
              <w:rPr>
                <w:rFonts w:ascii="Tw Cen MT" w:hAnsi="Tw Cen MT"/>
                <w:color w:val="000000"/>
                <w:sz w:val="22"/>
                <w:szCs w:val="22"/>
              </w:rPr>
              <w:t>4,000</w:t>
            </w:r>
          </w:p>
        </w:tc>
      </w:tr>
      <w:tr w14:paraId="0D89B44A" w14:textId="77777777" w:rsidTr="001C10E6">
        <w:tblPrEx>
          <w:tblW w:w="9450" w:type="dxa"/>
          <w:tblInd w:w="-5" w:type="dxa"/>
          <w:tblLayout w:type="fixed"/>
          <w:tblLook w:val="04A0"/>
        </w:tblPrEx>
        <w:trPr>
          <w:trHeight w:val="317"/>
        </w:trPr>
        <w:tc>
          <w:tcPr>
            <w:tcW w:w="1440" w:type="dxa"/>
            <w:tcMar>
              <w:left w:w="72" w:type="dxa"/>
              <w:right w:w="72" w:type="dxa"/>
            </w:tcMar>
          </w:tcPr>
          <w:p w:rsidR="00DE237C" w:rsidRPr="00062225" w:rsidP="00DE237C" w14:paraId="3218AF0C" w14:textId="6A7CFA57">
            <w:pPr>
              <w:jc w:val="left"/>
              <w:rPr>
                <w:rFonts w:ascii="Tw Cen MT" w:hAnsi="Tw Cen MT"/>
                <w:color w:val="000000"/>
                <w:sz w:val="22"/>
                <w:szCs w:val="22"/>
              </w:rPr>
            </w:pPr>
            <w:r w:rsidRPr="00062225">
              <w:rPr>
                <w:rFonts w:ascii="Tw Cen MT" w:hAnsi="Tw Cen MT"/>
                <w:sz w:val="22"/>
                <w:szCs w:val="22"/>
              </w:rPr>
              <w:t>TPPTS</w:t>
            </w:r>
          </w:p>
        </w:tc>
        <w:tc>
          <w:tcPr>
            <w:tcW w:w="2880" w:type="dxa"/>
            <w:tcMar>
              <w:left w:w="72" w:type="dxa"/>
              <w:right w:w="72" w:type="dxa"/>
            </w:tcMar>
          </w:tcPr>
          <w:p w:rsidR="00DE237C" w:rsidRPr="00062225" w:rsidP="00DE237C" w14:paraId="78003453" w14:textId="7F259C06">
            <w:pPr>
              <w:jc w:val="center"/>
              <w:rPr>
                <w:rFonts w:ascii="Tw Cen MT" w:hAnsi="Tw Cen MT"/>
                <w:color w:val="000000"/>
                <w:sz w:val="22"/>
                <w:szCs w:val="22"/>
              </w:rPr>
            </w:pPr>
            <w:r>
              <w:rPr>
                <w:rFonts w:ascii="Tw Cen MT" w:hAnsi="Tw Cen MT"/>
                <w:color w:val="000000"/>
                <w:sz w:val="22"/>
                <w:szCs w:val="22"/>
              </w:rPr>
              <w:t>15</w:t>
            </w:r>
          </w:p>
        </w:tc>
        <w:tc>
          <w:tcPr>
            <w:tcW w:w="2700" w:type="dxa"/>
            <w:tcMar>
              <w:left w:w="72" w:type="dxa"/>
              <w:right w:w="72" w:type="dxa"/>
            </w:tcMar>
          </w:tcPr>
          <w:p w:rsidR="004A58CF" w:rsidRPr="00062225" w:rsidP="00DE237C" w14:paraId="3AE4539B" w14:textId="3E8D0FC1">
            <w:pPr>
              <w:jc w:val="center"/>
              <w:rPr>
                <w:rFonts w:ascii="Tw Cen MT" w:hAnsi="Tw Cen MT"/>
                <w:sz w:val="22"/>
                <w:szCs w:val="22"/>
              </w:rPr>
            </w:pPr>
            <w:r w:rsidRPr="00DF654B">
              <w:rPr>
                <w:rFonts w:ascii="Tw Cen MT" w:hAnsi="Tw Cen MT"/>
                <w:sz w:val="22"/>
                <w:szCs w:val="22"/>
              </w:rPr>
              <w:t xml:space="preserve">Approximately </w:t>
            </w:r>
            <w:r w:rsidR="00A25CBC">
              <w:rPr>
                <w:rFonts w:ascii="Tw Cen MT" w:hAnsi="Tw Cen MT"/>
                <w:sz w:val="22"/>
                <w:szCs w:val="22"/>
              </w:rPr>
              <w:t>50 TISS</w:t>
            </w:r>
          </w:p>
        </w:tc>
        <w:tc>
          <w:tcPr>
            <w:tcW w:w="2430" w:type="dxa"/>
            <w:tcMar>
              <w:left w:w="72" w:type="dxa"/>
              <w:right w:w="72" w:type="dxa"/>
            </w:tcMar>
          </w:tcPr>
          <w:p w:rsidR="00DE237C" w:rsidRPr="00062225" w:rsidP="00DE237C" w14:paraId="64683A19" w14:textId="0D75BA3E">
            <w:pPr>
              <w:jc w:val="center"/>
              <w:rPr>
                <w:rFonts w:ascii="Tw Cen MT" w:hAnsi="Tw Cen MT"/>
                <w:color w:val="000000"/>
                <w:sz w:val="22"/>
                <w:szCs w:val="22"/>
              </w:rPr>
            </w:pPr>
            <w:r>
              <w:rPr>
                <w:rFonts w:ascii="Tw Cen MT" w:hAnsi="Tw Cen MT"/>
                <w:color w:val="000000"/>
                <w:sz w:val="22"/>
                <w:szCs w:val="22"/>
              </w:rPr>
              <w:t>750</w:t>
            </w:r>
          </w:p>
        </w:tc>
      </w:tr>
      <w:tr w14:paraId="20B39D62" w14:textId="77777777" w:rsidTr="001C10E6">
        <w:tblPrEx>
          <w:tblW w:w="9450" w:type="dxa"/>
          <w:tblInd w:w="-5" w:type="dxa"/>
          <w:tblLayout w:type="fixed"/>
          <w:tblLook w:val="04A0"/>
        </w:tblPrEx>
        <w:trPr>
          <w:trHeight w:val="317"/>
        </w:trPr>
        <w:tc>
          <w:tcPr>
            <w:tcW w:w="1440" w:type="dxa"/>
            <w:tcMar>
              <w:left w:w="72" w:type="dxa"/>
              <w:right w:w="72" w:type="dxa"/>
            </w:tcMar>
          </w:tcPr>
          <w:p w:rsidR="00DE237C" w:rsidRPr="00062225" w:rsidP="00DE237C" w14:paraId="5D6AACDF" w14:textId="579CD3F0">
            <w:pPr>
              <w:jc w:val="left"/>
              <w:rPr>
                <w:rFonts w:ascii="Tw Cen MT" w:hAnsi="Tw Cen MT"/>
                <w:color w:val="000000"/>
                <w:sz w:val="22"/>
                <w:szCs w:val="22"/>
              </w:rPr>
            </w:pPr>
            <w:r w:rsidRPr="00062225">
              <w:rPr>
                <w:rFonts w:ascii="Tw Cen MT" w:hAnsi="Tw Cen MT"/>
                <w:sz w:val="22"/>
                <w:szCs w:val="22"/>
              </w:rPr>
              <w:t>WFS</w:t>
            </w:r>
          </w:p>
        </w:tc>
        <w:tc>
          <w:tcPr>
            <w:tcW w:w="2880" w:type="dxa"/>
            <w:tcMar>
              <w:left w:w="72" w:type="dxa"/>
              <w:right w:w="72" w:type="dxa"/>
            </w:tcMar>
          </w:tcPr>
          <w:p w:rsidR="00DE237C" w:rsidRPr="00062225" w:rsidP="00DE237C" w14:paraId="6076BF93" w14:textId="2CDB92D7">
            <w:pPr>
              <w:jc w:val="center"/>
              <w:rPr>
                <w:rFonts w:ascii="Tw Cen MT" w:hAnsi="Tw Cen MT"/>
                <w:color w:val="000000"/>
                <w:sz w:val="22"/>
                <w:szCs w:val="22"/>
              </w:rPr>
            </w:pPr>
            <w:r w:rsidRPr="00062225">
              <w:rPr>
                <w:rFonts w:ascii="Tw Cen MT" w:hAnsi="Tw Cen MT"/>
                <w:color w:val="000000"/>
                <w:sz w:val="22"/>
                <w:szCs w:val="22"/>
              </w:rPr>
              <w:t>47</w:t>
            </w:r>
          </w:p>
        </w:tc>
        <w:tc>
          <w:tcPr>
            <w:tcW w:w="2700" w:type="dxa"/>
            <w:tcMar>
              <w:left w:w="72" w:type="dxa"/>
              <w:right w:w="72" w:type="dxa"/>
            </w:tcMar>
          </w:tcPr>
          <w:p w:rsidR="00DE237C" w:rsidP="00DE237C" w14:paraId="44D0A2E4" w14:textId="6D9FC44A">
            <w:pPr>
              <w:jc w:val="center"/>
              <w:rPr>
                <w:rFonts w:ascii="Tw Cen MT" w:hAnsi="Tw Cen MT"/>
                <w:sz w:val="22"/>
                <w:szCs w:val="22"/>
              </w:rPr>
            </w:pPr>
            <w:r w:rsidRPr="00DF654B">
              <w:rPr>
                <w:rFonts w:ascii="Tw Cen MT" w:hAnsi="Tw Cen MT"/>
                <w:sz w:val="22"/>
                <w:szCs w:val="22"/>
              </w:rPr>
              <w:t xml:space="preserve">Approximately </w:t>
            </w:r>
            <w:r w:rsidR="00E11AF0">
              <w:rPr>
                <w:rFonts w:ascii="Tw Cen MT" w:hAnsi="Tw Cen MT"/>
                <w:sz w:val="22"/>
                <w:szCs w:val="22"/>
              </w:rPr>
              <w:t>63 AWARE</w:t>
            </w:r>
          </w:p>
          <w:p w:rsidR="00E11AF0" w:rsidRPr="00062225" w:rsidP="00DE237C" w14:paraId="46A05F11" w14:textId="3EA2A461">
            <w:pPr>
              <w:jc w:val="center"/>
              <w:rPr>
                <w:rFonts w:ascii="Tw Cen MT" w:hAnsi="Tw Cen MT"/>
                <w:sz w:val="22"/>
                <w:szCs w:val="22"/>
              </w:rPr>
            </w:pPr>
            <w:r w:rsidRPr="00DF654B">
              <w:rPr>
                <w:rFonts w:ascii="Tw Cen MT" w:hAnsi="Tw Cen MT"/>
                <w:sz w:val="22"/>
                <w:szCs w:val="22"/>
              </w:rPr>
              <w:t xml:space="preserve">Approximately </w:t>
            </w:r>
            <w:r>
              <w:rPr>
                <w:rFonts w:ascii="Tw Cen MT" w:hAnsi="Tw Cen MT"/>
                <w:sz w:val="22"/>
                <w:szCs w:val="22"/>
              </w:rPr>
              <w:t>25 TISS</w:t>
            </w:r>
          </w:p>
        </w:tc>
        <w:tc>
          <w:tcPr>
            <w:tcW w:w="2430" w:type="dxa"/>
            <w:tcMar>
              <w:left w:w="72" w:type="dxa"/>
              <w:right w:w="72" w:type="dxa"/>
            </w:tcMar>
          </w:tcPr>
          <w:p w:rsidR="0007449D" w:rsidRPr="00062225" w:rsidP="00DE237C" w14:paraId="116BE1E6" w14:textId="240F8FFE">
            <w:pPr>
              <w:jc w:val="center"/>
              <w:rPr>
                <w:rFonts w:ascii="Tw Cen MT" w:hAnsi="Tw Cen MT"/>
                <w:color w:val="000000"/>
                <w:sz w:val="22"/>
                <w:szCs w:val="22"/>
                <w:highlight w:val="yellow"/>
              </w:rPr>
            </w:pPr>
            <w:r w:rsidRPr="001F595F">
              <w:rPr>
                <w:rFonts w:ascii="Tw Cen MT" w:hAnsi="Tw Cen MT"/>
                <w:color w:val="000000"/>
                <w:sz w:val="22"/>
                <w:szCs w:val="22"/>
              </w:rPr>
              <w:t>2,391</w:t>
            </w:r>
          </w:p>
        </w:tc>
      </w:tr>
      <w:tr w14:paraId="72572224" w14:textId="77777777" w:rsidTr="001C10E6">
        <w:tblPrEx>
          <w:tblW w:w="9450" w:type="dxa"/>
          <w:tblInd w:w="-5" w:type="dxa"/>
          <w:tblLayout w:type="fixed"/>
          <w:tblLook w:val="04A0"/>
        </w:tblPrEx>
        <w:trPr>
          <w:trHeight w:val="287"/>
        </w:trPr>
        <w:tc>
          <w:tcPr>
            <w:tcW w:w="1440" w:type="dxa"/>
            <w:tcMar>
              <w:left w:w="72" w:type="dxa"/>
              <w:right w:w="72" w:type="dxa"/>
            </w:tcMar>
          </w:tcPr>
          <w:p w:rsidR="00DE237C" w:rsidRPr="00062225" w:rsidP="00DE237C" w14:paraId="7EBA5FB1" w14:textId="367B9374">
            <w:pPr>
              <w:jc w:val="left"/>
              <w:rPr>
                <w:rFonts w:ascii="Tw Cen MT" w:hAnsi="Tw Cen MT"/>
                <w:color w:val="000000"/>
                <w:sz w:val="22"/>
                <w:szCs w:val="22"/>
              </w:rPr>
            </w:pPr>
            <w:r w:rsidRPr="00062225">
              <w:rPr>
                <w:rFonts w:ascii="Tw Cen MT" w:hAnsi="Tw Cen MT"/>
                <w:sz w:val="22"/>
                <w:szCs w:val="22"/>
              </w:rPr>
              <w:t>PCSS</w:t>
            </w:r>
          </w:p>
        </w:tc>
        <w:tc>
          <w:tcPr>
            <w:tcW w:w="2880" w:type="dxa"/>
            <w:tcMar>
              <w:left w:w="72" w:type="dxa"/>
              <w:right w:w="72" w:type="dxa"/>
            </w:tcMar>
          </w:tcPr>
          <w:p w:rsidR="00DE237C" w:rsidRPr="00062225" w:rsidP="00DE237C" w14:paraId="4EF614F7" w14:textId="7E9CFA00">
            <w:pPr>
              <w:jc w:val="center"/>
              <w:rPr>
                <w:rFonts w:ascii="Tw Cen MT" w:hAnsi="Tw Cen MT"/>
                <w:color w:val="000000"/>
                <w:sz w:val="22"/>
                <w:szCs w:val="22"/>
              </w:rPr>
            </w:pPr>
            <w:r w:rsidRPr="00062225">
              <w:rPr>
                <w:rFonts w:ascii="Tw Cen MT" w:hAnsi="Tw Cen MT"/>
                <w:color w:val="000000"/>
                <w:sz w:val="22"/>
                <w:szCs w:val="22"/>
              </w:rPr>
              <w:t>47</w:t>
            </w:r>
          </w:p>
        </w:tc>
        <w:tc>
          <w:tcPr>
            <w:tcW w:w="2700" w:type="dxa"/>
            <w:tcMar>
              <w:left w:w="72" w:type="dxa"/>
              <w:right w:w="72" w:type="dxa"/>
            </w:tcMar>
          </w:tcPr>
          <w:p w:rsidR="00DE237C" w:rsidRPr="00062225" w:rsidP="00DE237C" w14:paraId="518F37BF" w14:textId="682FF480">
            <w:pPr>
              <w:jc w:val="center"/>
              <w:rPr>
                <w:rFonts w:ascii="Tw Cen MT" w:hAnsi="Tw Cen MT"/>
                <w:sz w:val="22"/>
                <w:szCs w:val="22"/>
              </w:rPr>
            </w:pPr>
            <w:r>
              <w:rPr>
                <w:rFonts w:ascii="Tw Cen MT" w:hAnsi="Tw Cen MT"/>
                <w:sz w:val="22"/>
                <w:szCs w:val="22"/>
              </w:rPr>
              <w:t xml:space="preserve">Approximately </w:t>
            </w:r>
            <w:r w:rsidR="008308E5">
              <w:rPr>
                <w:rFonts w:ascii="Tw Cen MT" w:hAnsi="Tw Cen MT"/>
                <w:sz w:val="22"/>
                <w:szCs w:val="22"/>
              </w:rPr>
              <w:t>6</w:t>
            </w:r>
          </w:p>
        </w:tc>
        <w:tc>
          <w:tcPr>
            <w:tcW w:w="2430" w:type="dxa"/>
            <w:tcMar>
              <w:left w:w="72" w:type="dxa"/>
              <w:right w:w="72" w:type="dxa"/>
            </w:tcMar>
          </w:tcPr>
          <w:p w:rsidR="00DE237C" w:rsidRPr="00062225" w:rsidP="00DE237C" w14:paraId="7E5A896D" w14:textId="54DE516D">
            <w:pPr>
              <w:jc w:val="center"/>
              <w:rPr>
                <w:rFonts w:ascii="Tw Cen MT" w:hAnsi="Tw Cen MT"/>
                <w:color w:val="000000"/>
                <w:sz w:val="22"/>
                <w:szCs w:val="22"/>
              </w:rPr>
            </w:pPr>
            <w:r>
              <w:rPr>
                <w:rFonts w:ascii="Tw Cen MT" w:hAnsi="Tw Cen MT"/>
                <w:color w:val="000000"/>
                <w:sz w:val="22"/>
                <w:szCs w:val="22"/>
              </w:rPr>
              <w:t>282</w:t>
            </w:r>
          </w:p>
        </w:tc>
      </w:tr>
      <w:tr w14:paraId="3B8925D5" w14:textId="77777777" w:rsidTr="001C10E6">
        <w:tblPrEx>
          <w:tblW w:w="9450" w:type="dxa"/>
          <w:tblInd w:w="-5" w:type="dxa"/>
          <w:tblLayout w:type="fixed"/>
          <w:tblLook w:val="04A0"/>
        </w:tblPrEx>
        <w:trPr>
          <w:trHeight w:val="317"/>
        </w:trPr>
        <w:tc>
          <w:tcPr>
            <w:tcW w:w="1440" w:type="dxa"/>
            <w:tcMar>
              <w:left w:w="72" w:type="dxa"/>
              <w:right w:w="72" w:type="dxa"/>
            </w:tcMar>
          </w:tcPr>
          <w:p w:rsidR="00DE237C" w:rsidRPr="00062225" w:rsidP="00DE237C" w14:paraId="10999418" w14:textId="3DD486E2">
            <w:pPr>
              <w:jc w:val="left"/>
              <w:rPr>
                <w:rFonts w:ascii="Tw Cen MT" w:hAnsi="Tw Cen MT"/>
                <w:color w:val="000000"/>
                <w:sz w:val="22"/>
                <w:szCs w:val="22"/>
              </w:rPr>
            </w:pPr>
            <w:r w:rsidRPr="00062225">
              <w:rPr>
                <w:rFonts w:ascii="Tw Cen MT" w:hAnsi="Tw Cen MT"/>
                <w:sz w:val="22"/>
                <w:szCs w:val="22"/>
              </w:rPr>
              <w:t>STCSS</w:t>
            </w:r>
          </w:p>
        </w:tc>
        <w:tc>
          <w:tcPr>
            <w:tcW w:w="2880" w:type="dxa"/>
            <w:tcMar>
              <w:left w:w="72" w:type="dxa"/>
              <w:right w:w="72" w:type="dxa"/>
            </w:tcMar>
          </w:tcPr>
          <w:p w:rsidR="00DE237C" w:rsidRPr="00062225" w:rsidP="00DE237C" w14:paraId="6ED32566" w14:textId="672FBF2B">
            <w:pPr>
              <w:jc w:val="center"/>
              <w:rPr>
                <w:rFonts w:ascii="Tw Cen MT" w:hAnsi="Tw Cen MT"/>
                <w:color w:val="000000"/>
                <w:sz w:val="22"/>
                <w:szCs w:val="22"/>
              </w:rPr>
            </w:pPr>
            <w:r w:rsidRPr="00062225">
              <w:rPr>
                <w:rFonts w:ascii="Tw Cen MT" w:hAnsi="Tw Cen MT"/>
                <w:color w:val="000000"/>
                <w:sz w:val="22"/>
                <w:szCs w:val="22"/>
              </w:rPr>
              <w:t>47</w:t>
            </w:r>
          </w:p>
        </w:tc>
        <w:tc>
          <w:tcPr>
            <w:tcW w:w="2700" w:type="dxa"/>
            <w:tcMar>
              <w:left w:w="72" w:type="dxa"/>
              <w:right w:w="72" w:type="dxa"/>
            </w:tcMar>
          </w:tcPr>
          <w:p w:rsidR="00DE237C" w:rsidRPr="00062225" w:rsidP="00DE237C" w14:paraId="354E9B3D" w14:textId="1861663D">
            <w:pPr>
              <w:jc w:val="center"/>
              <w:rPr>
                <w:rFonts w:ascii="Tw Cen MT" w:hAnsi="Tw Cen MT"/>
                <w:sz w:val="22"/>
                <w:szCs w:val="22"/>
              </w:rPr>
            </w:pPr>
            <w:r>
              <w:rPr>
                <w:rFonts w:ascii="Tw Cen MT" w:hAnsi="Tw Cen MT"/>
                <w:sz w:val="22"/>
                <w:szCs w:val="22"/>
              </w:rPr>
              <w:t xml:space="preserve">Approximately </w:t>
            </w:r>
            <w:r w:rsidR="00F85540">
              <w:rPr>
                <w:rFonts w:ascii="Tw Cen MT" w:hAnsi="Tw Cen MT"/>
                <w:sz w:val="22"/>
                <w:szCs w:val="22"/>
              </w:rPr>
              <w:t>6</w:t>
            </w:r>
          </w:p>
        </w:tc>
        <w:tc>
          <w:tcPr>
            <w:tcW w:w="2430" w:type="dxa"/>
            <w:tcMar>
              <w:left w:w="72" w:type="dxa"/>
              <w:right w:w="72" w:type="dxa"/>
            </w:tcMar>
          </w:tcPr>
          <w:p w:rsidR="00DE237C" w:rsidRPr="00062225" w:rsidP="00DE237C" w14:paraId="23A63D44" w14:textId="351D8C1A">
            <w:pPr>
              <w:jc w:val="center"/>
              <w:rPr>
                <w:rFonts w:ascii="Tw Cen MT" w:hAnsi="Tw Cen MT"/>
                <w:color w:val="000000"/>
                <w:sz w:val="22"/>
                <w:szCs w:val="22"/>
              </w:rPr>
            </w:pPr>
            <w:r>
              <w:rPr>
                <w:rFonts w:ascii="Tw Cen MT" w:hAnsi="Tw Cen MT"/>
                <w:color w:val="000000"/>
                <w:sz w:val="22"/>
                <w:szCs w:val="22"/>
              </w:rPr>
              <w:t>282</w:t>
            </w:r>
          </w:p>
        </w:tc>
      </w:tr>
      <w:tr w14:paraId="021DA275" w14:textId="77777777" w:rsidTr="001C10E6">
        <w:tblPrEx>
          <w:tblW w:w="9450" w:type="dxa"/>
          <w:tblInd w:w="-5" w:type="dxa"/>
          <w:tblLayout w:type="fixed"/>
          <w:tblLook w:val="04A0"/>
        </w:tblPrEx>
        <w:trPr>
          <w:trHeight w:val="317"/>
        </w:trPr>
        <w:tc>
          <w:tcPr>
            <w:tcW w:w="1440" w:type="dxa"/>
            <w:tcMar>
              <w:left w:w="72" w:type="dxa"/>
              <w:right w:w="72" w:type="dxa"/>
            </w:tcMar>
          </w:tcPr>
          <w:p w:rsidR="00DE237C" w:rsidRPr="00062225" w:rsidP="00DE237C" w14:paraId="0A006766" w14:textId="1D47595B">
            <w:pPr>
              <w:jc w:val="left"/>
              <w:rPr>
                <w:rFonts w:ascii="Tw Cen MT" w:hAnsi="Tw Cen MT"/>
                <w:color w:val="000000"/>
                <w:sz w:val="22"/>
                <w:szCs w:val="22"/>
              </w:rPr>
            </w:pPr>
            <w:r w:rsidRPr="00062225">
              <w:rPr>
                <w:rFonts w:ascii="Tw Cen MT" w:hAnsi="Tw Cen MT"/>
                <w:sz w:val="22"/>
                <w:szCs w:val="22"/>
              </w:rPr>
              <w:t>SSCSS</w:t>
            </w:r>
          </w:p>
        </w:tc>
        <w:tc>
          <w:tcPr>
            <w:tcW w:w="2880" w:type="dxa"/>
            <w:tcMar>
              <w:left w:w="72" w:type="dxa"/>
              <w:right w:w="72" w:type="dxa"/>
            </w:tcMar>
          </w:tcPr>
          <w:p w:rsidR="00DE237C" w:rsidRPr="00062225" w:rsidP="00DE237C" w14:paraId="4C8B620F" w14:textId="2DC5C77D">
            <w:pPr>
              <w:jc w:val="center"/>
              <w:rPr>
                <w:rFonts w:ascii="Tw Cen MT" w:hAnsi="Tw Cen MT"/>
                <w:color w:val="000000"/>
                <w:sz w:val="22"/>
                <w:szCs w:val="22"/>
              </w:rPr>
            </w:pPr>
            <w:r w:rsidRPr="00062225">
              <w:rPr>
                <w:rFonts w:ascii="Tw Cen MT" w:hAnsi="Tw Cen MT"/>
                <w:color w:val="000000"/>
                <w:sz w:val="22"/>
                <w:szCs w:val="22"/>
              </w:rPr>
              <w:t>47</w:t>
            </w:r>
          </w:p>
        </w:tc>
        <w:tc>
          <w:tcPr>
            <w:tcW w:w="2700" w:type="dxa"/>
            <w:tcMar>
              <w:left w:w="72" w:type="dxa"/>
              <w:right w:w="72" w:type="dxa"/>
            </w:tcMar>
          </w:tcPr>
          <w:p w:rsidR="00DE237C" w:rsidRPr="00062225" w:rsidP="00DE237C" w14:paraId="1A3DC786" w14:textId="71D802C3">
            <w:pPr>
              <w:jc w:val="center"/>
              <w:rPr>
                <w:rFonts w:ascii="Tw Cen MT" w:hAnsi="Tw Cen MT"/>
                <w:sz w:val="22"/>
                <w:szCs w:val="22"/>
              </w:rPr>
            </w:pPr>
            <w:r>
              <w:rPr>
                <w:rFonts w:ascii="Tw Cen MT" w:hAnsi="Tw Cen MT"/>
                <w:sz w:val="22"/>
                <w:szCs w:val="22"/>
              </w:rPr>
              <w:t xml:space="preserve">Approximately </w:t>
            </w:r>
            <w:r w:rsidR="00F85540">
              <w:rPr>
                <w:rFonts w:ascii="Tw Cen MT" w:hAnsi="Tw Cen MT"/>
                <w:sz w:val="22"/>
                <w:szCs w:val="22"/>
              </w:rPr>
              <w:t>10</w:t>
            </w:r>
          </w:p>
        </w:tc>
        <w:tc>
          <w:tcPr>
            <w:tcW w:w="2430" w:type="dxa"/>
            <w:tcMar>
              <w:left w:w="72" w:type="dxa"/>
              <w:right w:w="72" w:type="dxa"/>
            </w:tcMar>
          </w:tcPr>
          <w:p w:rsidR="00DE237C" w:rsidRPr="00062225" w:rsidP="00DE237C" w14:paraId="4F1C0CA3" w14:textId="6D6A8370">
            <w:pPr>
              <w:jc w:val="center"/>
              <w:rPr>
                <w:rFonts w:ascii="Tw Cen MT" w:hAnsi="Tw Cen MT"/>
                <w:color w:val="000000"/>
                <w:sz w:val="22"/>
                <w:szCs w:val="22"/>
              </w:rPr>
            </w:pPr>
            <w:r>
              <w:rPr>
                <w:rFonts w:ascii="Tw Cen MT" w:hAnsi="Tw Cen MT"/>
                <w:color w:val="000000"/>
                <w:sz w:val="22"/>
                <w:szCs w:val="22"/>
              </w:rPr>
              <w:t>470</w:t>
            </w:r>
          </w:p>
        </w:tc>
      </w:tr>
      <w:tr w14:paraId="3E86D172" w14:textId="77777777" w:rsidTr="001C10E6">
        <w:tblPrEx>
          <w:tblW w:w="9450" w:type="dxa"/>
          <w:tblInd w:w="-5" w:type="dxa"/>
          <w:tblLayout w:type="fixed"/>
          <w:tblLook w:val="04A0"/>
        </w:tblPrEx>
        <w:trPr>
          <w:trHeight w:val="317"/>
        </w:trPr>
        <w:tc>
          <w:tcPr>
            <w:tcW w:w="1440" w:type="dxa"/>
            <w:tcMar>
              <w:left w:w="72" w:type="dxa"/>
              <w:right w:w="72" w:type="dxa"/>
            </w:tcMar>
          </w:tcPr>
          <w:p w:rsidR="00DE237C" w:rsidRPr="00062225" w:rsidP="00DE237C" w14:paraId="4EABC146" w14:textId="1AE103EA">
            <w:pPr>
              <w:jc w:val="left"/>
              <w:rPr>
                <w:rFonts w:ascii="Tw Cen MT" w:hAnsi="Tw Cen MT"/>
                <w:sz w:val="22"/>
                <w:szCs w:val="22"/>
              </w:rPr>
            </w:pPr>
            <w:r w:rsidRPr="00062225">
              <w:rPr>
                <w:rFonts w:ascii="Tw Cen MT" w:hAnsi="Tw Cen MT"/>
                <w:sz w:val="22"/>
                <w:szCs w:val="22"/>
              </w:rPr>
              <w:t>SIRF</w:t>
            </w:r>
          </w:p>
        </w:tc>
        <w:tc>
          <w:tcPr>
            <w:tcW w:w="2880" w:type="dxa"/>
            <w:tcMar>
              <w:left w:w="72" w:type="dxa"/>
              <w:right w:w="72" w:type="dxa"/>
            </w:tcMar>
          </w:tcPr>
          <w:p w:rsidR="00DE237C" w:rsidRPr="00062225" w:rsidP="00DE237C" w14:paraId="2E22717F" w14:textId="1782CB59">
            <w:pPr>
              <w:jc w:val="center"/>
              <w:rPr>
                <w:rFonts w:ascii="Tw Cen MT" w:hAnsi="Tw Cen MT"/>
                <w:color w:val="000000"/>
                <w:sz w:val="22"/>
                <w:szCs w:val="22"/>
              </w:rPr>
            </w:pPr>
            <w:r w:rsidRPr="00062225">
              <w:rPr>
                <w:rFonts w:ascii="Tw Cen MT" w:hAnsi="Tw Cen MT"/>
                <w:color w:val="000000"/>
                <w:sz w:val="22"/>
                <w:szCs w:val="22"/>
              </w:rPr>
              <w:t>47</w:t>
            </w:r>
          </w:p>
        </w:tc>
        <w:tc>
          <w:tcPr>
            <w:tcW w:w="2700" w:type="dxa"/>
            <w:tcMar>
              <w:left w:w="72" w:type="dxa"/>
              <w:right w:w="72" w:type="dxa"/>
            </w:tcMar>
          </w:tcPr>
          <w:p w:rsidR="00DE237C" w:rsidRPr="00062225" w:rsidP="00DE237C" w14:paraId="7A68F185" w14:textId="5F51C390">
            <w:pPr>
              <w:jc w:val="center"/>
              <w:rPr>
                <w:rFonts w:ascii="Tw Cen MT" w:hAnsi="Tw Cen MT"/>
                <w:sz w:val="22"/>
                <w:szCs w:val="22"/>
              </w:rPr>
            </w:pPr>
            <w:r>
              <w:rPr>
                <w:rFonts w:ascii="Tw Cen MT" w:hAnsi="Tw Cen MT"/>
                <w:sz w:val="22"/>
                <w:szCs w:val="22"/>
              </w:rPr>
              <w:t xml:space="preserve">Approximately </w:t>
            </w:r>
            <w:r w:rsidR="008308E5">
              <w:rPr>
                <w:rFonts w:ascii="Tw Cen MT" w:hAnsi="Tw Cen MT"/>
                <w:sz w:val="22"/>
                <w:szCs w:val="22"/>
              </w:rPr>
              <w:t>100</w:t>
            </w:r>
          </w:p>
        </w:tc>
        <w:tc>
          <w:tcPr>
            <w:tcW w:w="2430" w:type="dxa"/>
            <w:tcMar>
              <w:left w:w="72" w:type="dxa"/>
              <w:right w:w="72" w:type="dxa"/>
            </w:tcMar>
          </w:tcPr>
          <w:p w:rsidR="00DE237C" w:rsidRPr="00062225" w:rsidP="00DE237C" w14:paraId="27067A19" w14:textId="7B01FA69">
            <w:pPr>
              <w:jc w:val="center"/>
              <w:rPr>
                <w:rFonts w:ascii="Tw Cen MT" w:hAnsi="Tw Cen MT"/>
                <w:color w:val="000000"/>
                <w:sz w:val="22"/>
                <w:szCs w:val="22"/>
              </w:rPr>
            </w:pPr>
            <w:r>
              <w:rPr>
                <w:rFonts w:ascii="Tw Cen MT" w:hAnsi="Tw Cen MT"/>
                <w:color w:val="000000"/>
                <w:sz w:val="22"/>
                <w:szCs w:val="22"/>
              </w:rPr>
              <w:t>4,700</w:t>
            </w:r>
          </w:p>
        </w:tc>
      </w:tr>
    </w:tbl>
    <w:p w:rsidR="00013B9D" w:rsidP="001F271B" w14:paraId="06442464" w14:textId="4E5A0CC1">
      <w:pPr>
        <w:pStyle w:val="BodyText"/>
        <w:tabs>
          <w:tab w:val="left" w:pos="1563"/>
        </w:tabs>
        <w:rPr>
          <w:rFonts w:ascii="Tw Cen MT" w:hAnsi="Tw Cen MT" w:cs="Arial"/>
          <w:color w:val="181818"/>
          <w:sz w:val="20"/>
          <w:szCs w:val="20"/>
        </w:rPr>
      </w:pPr>
      <w:r w:rsidRPr="00062225">
        <w:rPr>
          <w:rFonts w:ascii="Tw Cen MT" w:hAnsi="Tw Cen MT" w:cs="Arial"/>
          <w:color w:val="181818"/>
          <w:sz w:val="20"/>
          <w:szCs w:val="20"/>
        </w:rPr>
        <w:t>*</w:t>
      </w:r>
      <w:r w:rsidRPr="00062225" w:rsidR="00D31E7B">
        <w:rPr>
          <w:rFonts w:ascii="Tw Cen MT" w:hAnsi="Tw Cen MT" w:cs="Arial"/>
          <w:color w:val="181818"/>
          <w:sz w:val="20"/>
          <w:szCs w:val="20"/>
        </w:rPr>
        <w:t>There are 32 AWARE grantees and 15 TISS grantees, totaling 47</w:t>
      </w:r>
      <w:r w:rsidRPr="00062225" w:rsidR="00062225">
        <w:rPr>
          <w:rFonts w:ascii="Tw Cen MT" w:hAnsi="Tw Cen MT" w:cs="Arial"/>
          <w:color w:val="181818"/>
          <w:sz w:val="20"/>
          <w:szCs w:val="20"/>
        </w:rPr>
        <w:t xml:space="preserve"> participating grantees.</w:t>
      </w:r>
    </w:p>
    <w:p w:rsidR="007D4631" w:rsidP="001F271B" w14:paraId="3B03F1AA" w14:textId="3ADBD9E8">
      <w:pPr>
        <w:pStyle w:val="BodyText"/>
        <w:tabs>
          <w:tab w:val="left" w:pos="1563"/>
        </w:tabs>
        <w:rPr>
          <w:rFonts w:ascii="Tw Cen MT" w:hAnsi="Tw Cen MT" w:cs="Arial"/>
          <w:color w:val="181818"/>
          <w:sz w:val="20"/>
          <w:szCs w:val="20"/>
        </w:rPr>
      </w:pPr>
      <w:r w:rsidRPr="00CC390C">
        <w:rPr>
          <w:rFonts w:ascii="Tw Cen MT" w:hAnsi="Tw Cen MT" w:cs="Arial"/>
          <w:color w:val="181818"/>
          <w:sz w:val="20"/>
          <w:szCs w:val="20"/>
        </w:rPr>
        <w:t>**For the Youth and Family Focus Groups</w:t>
      </w:r>
      <w:r w:rsidRPr="00CC390C" w:rsidR="001F271B">
        <w:rPr>
          <w:rFonts w:ascii="Tw Cen MT" w:hAnsi="Tw Cen MT" w:cs="Arial"/>
          <w:color w:val="181818"/>
          <w:sz w:val="20"/>
          <w:szCs w:val="20"/>
        </w:rPr>
        <w:t xml:space="preserve"> (YFFG-Y</w:t>
      </w:r>
      <w:r w:rsidRPr="00CC390C" w:rsidR="007D3A9C">
        <w:rPr>
          <w:rFonts w:ascii="Tw Cen MT" w:hAnsi="Tw Cen MT" w:cs="Arial"/>
          <w:color w:val="181818"/>
          <w:sz w:val="20"/>
          <w:szCs w:val="20"/>
        </w:rPr>
        <w:t xml:space="preserve"> or </w:t>
      </w:r>
      <w:r w:rsidRPr="00CC390C" w:rsidR="001F271B">
        <w:rPr>
          <w:rFonts w:ascii="Tw Cen MT" w:hAnsi="Tw Cen MT" w:cs="Arial"/>
          <w:color w:val="181818"/>
          <w:sz w:val="20"/>
          <w:szCs w:val="20"/>
        </w:rPr>
        <w:t>YFFG-F)</w:t>
      </w:r>
      <w:r w:rsidRPr="00CC390C">
        <w:rPr>
          <w:rFonts w:ascii="Tw Cen MT" w:hAnsi="Tw Cen MT" w:cs="Arial"/>
          <w:color w:val="181818"/>
          <w:sz w:val="20"/>
          <w:szCs w:val="20"/>
        </w:rPr>
        <w:t xml:space="preserve">, </w:t>
      </w:r>
      <w:r w:rsidRPr="00CC390C" w:rsidR="00F53756">
        <w:rPr>
          <w:rFonts w:ascii="Tw Cen MT" w:hAnsi="Tw Cen MT" w:cs="Arial"/>
          <w:color w:val="181818"/>
          <w:sz w:val="20"/>
          <w:szCs w:val="20"/>
        </w:rPr>
        <w:t xml:space="preserve">approximately </w:t>
      </w:r>
      <w:r w:rsidRPr="00CC390C" w:rsidR="00AB69A9">
        <w:rPr>
          <w:rFonts w:ascii="Tw Cen MT" w:hAnsi="Tw Cen MT" w:cs="Arial"/>
          <w:color w:val="181818"/>
          <w:sz w:val="20"/>
          <w:szCs w:val="20"/>
        </w:rPr>
        <w:t xml:space="preserve">16-18 focus groups will be conducted annually such that all grantees </w:t>
      </w:r>
      <w:r w:rsidRPr="00CC390C" w:rsidR="008C132F">
        <w:rPr>
          <w:rFonts w:ascii="Tw Cen MT" w:hAnsi="Tw Cen MT" w:cs="Arial"/>
          <w:color w:val="181818"/>
          <w:sz w:val="20"/>
          <w:szCs w:val="20"/>
        </w:rPr>
        <w:t xml:space="preserve">will participate in </w:t>
      </w:r>
      <w:r w:rsidRPr="00CC390C" w:rsidR="005D7942">
        <w:rPr>
          <w:rFonts w:ascii="Tw Cen MT" w:hAnsi="Tw Cen MT" w:cs="Arial"/>
          <w:color w:val="181818"/>
          <w:sz w:val="20"/>
          <w:szCs w:val="20"/>
        </w:rPr>
        <w:t xml:space="preserve">a </w:t>
      </w:r>
      <w:r w:rsidRPr="00CC390C" w:rsidR="008C132F">
        <w:rPr>
          <w:rFonts w:ascii="Tw Cen MT" w:hAnsi="Tw Cen MT" w:cs="Arial"/>
          <w:color w:val="181818"/>
          <w:sz w:val="20"/>
          <w:szCs w:val="20"/>
        </w:rPr>
        <w:t>focus group</w:t>
      </w:r>
      <w:r w:rsidRPr="00CC390C" w:rsidR="00AB69A9">
        <w:rPr>
          <w:rFonts w:ascii="Tw Cen MT" w:hAnsi="Tw Cen MT" w:cs="Arial"/>
          <w:color w:val="181818"/>
          <w:sz w:val="20"/>
          <w:szCs w:val="20"/>
        </w:rPr>
        <w:t xml:space="preserve"> at least once during the 3-year OMB period</w:t>
      </w:r>
      <w:r w:rsidRPr="00CC390C" w:rsidR="00CC390C">
        <w:rPr>
          <w:rFonts w:ascii="Tw Cen MT" w:hAnsi="Tw Cen MT" w:cs="Arial"/>
          <w:color w:val="181818"/>
          <w:sz w:val="20"/>
          <w:szCs w:val="20"/>
        </w:rPr>
        <w:t>.</w:t>
      </w:r>
      <w:r w:rsidR="005D7942">
        <w:rPr>
          <w:rFonts w:ascii="Tw Cen MT" w:hAnsi="Tw Cen MT" w:cs="Arial"/>
          <w:color w:val="181818"/>
          <w:sz w:val="20"/>
          <w:szCs w:val="20"/>
        </w:rPr>
        <w:t xml:space="preserve"> </w:t>
      </w:r>
    </w:p>
    <w:p w:rsidR="001F271B" w:rsidRPr="00062225" w:rsidP="001F271B" w14:paraId="2F4D5EC7" w14:textId="77777777">
      <w:pPr>
        <w:pStyle w:val="BodyText"/>
        <w:tabs>
          <w:tab w:val="left" w:pos="1563"/>
        </w:tabs>
        <w:rPr>
          <w:rFonts w:ascii="Tw Cen MT" w:hAnsi="Tw Cen MT" w:cs="Arial"/>
          <w:color w:val="181818"/>
          <w:sz w:val="20"/>
          <w:szCs w:val="20"/>
        </w:rPr>
      </w:pPr>
    </w:p>
    <w:p w:rsidR="00DC4549" w:rsidP="71DF05F5" w14:paraId="77A8A3AC" w14:textId="0C4962B2">
      <w:pPr>
        <w:pStyle w:val="BodyText"/>
        <w:tabs>
          <w:tab w:val="left" w:pos="1563"/>
        </w:tabs>
        <w:spacing w:before="240" w:after="200"/>
        <w:rPr>
          <w:rFonts w:ascii="Times New Roman" w:hAnsi="Times New Roman" w:cs="Times New Roman"/>
          <w:color w:val="181818"/>
          <w:sz w:val="24"/>
          <w:szCs w:val="24"/>
        </w:rPr>
      </w:pPr>
      <w:r>
        <w:rPr>
          <w:rFonts w:ascii="Times New Roman" w:hAnsi="Times New Roman" w:cs="Times New Roman"/>
          <w:color w:val="181818"/>
          <w:sz w:val="24"/>
          <w:szCs w:val="24"/>
        </w:rPr>
        <w:t>Nonprobability (purposive) sampling will be used for the following activities: Implementation Survey (IS), I</w:t>
      </w:r>
      <w:r w:rsidR="00EE6619">
        <w:rPr>
          <w:rFonts w:ascii="Times New Roman" w:hAnsi="Times New Roman" w:cs="Times New Roman"/>
          <w:color w:val="181818"/>
          <w:sz w:val="24"/>
          <w:szCs w:val="24"/>
        </w:rPr>
        <w:t>mplementation K</w:t>
      </w:r>
      <w:r>
        <w:rPr>
          <w:rFonts w:ascii="Times New Roman" w:hAnsi="Times New Roman" w:cs="Times New Roman"/>
          <w:color w:val="181818"/>
          <w:sz w:val="24"/>
          <w:szCs w:val="24"/>
        </w:rPr>
        <w:t xml:space="preserve">ey Informant Interviews (IKII), Youth and Family Focus Groups (YFFG-Y, YFFG-F), Collaboration and Partnership Survey (CPS), Participant Feedback Form (PFF), </w:t>
      </w:r>
      <w:r w:rsidRPr="00134F43" w:rsidR="00341BE2">
        <w:rPr>
          <w:rFonts w:ascii="Times New Roman" w:hAnsi="Times New Roman" w:cs="Times New Roman"/>
          <w:color w:val="181818"/>
          <w:sz w:val="24"/>
          <w:szCs w:val="24"/>
        </w:rPr>
        <w:t>AWARE and TISS Pre-Post Training Surveys (APPTS and TPPTS),</w:t>
      </w:r>
      <w:r>
        <w:rPr>
          <w:rFonts w:ascii="Times New Roman" w:hAnsi="Times New Roman" w:cs="Times New Roman"/>
          <w:color w:val="181818"/>
          <w:sz w:val="24"/>
          <w:szCs w:val="24"/>
        </w:rPr>
        <w:t>Workforce Follow-up Survey (WFS), and Climate and Safety Surveys for parents (PCSS), students (STCSS) and school staff (SSCSS).</w:t>
      </w:r>
      <w:r w:rsidR="00867DC2">
        <w:rPr>
          <w:rFonts w:ascii="Times New Roman" w:hAnsi="Times New Roman" w:cs="Times New Roman"/>
          <w:color w:val="181818"/>
          <w:sz w:val="24"/>
          <w:szCs w:val="24"/>
        </w:rPr>
        <w:t xml:space="preserve">The following data collection activities are reports on grant activities or existing data abstractions required from every grantee, so no sampling is required: </w:t>
      </w:r>
      <w:r w:rsidR="00F63B38">
        <w:rPr>
          <w:rFonts w:ascii="Times New Roman" w:hAnsi="Times New Roman" w:cs="Times New Roman"/>
          <w:color w:val="181818"/>
          <w:sz w:val="24"/>
          <w:szCs w:val="24"/>
        </w:rPr>
        <w:t>Training Summary Form (</w:t>
      </w:r>
      <w:r w:rsidR="00316C6B">
        <w:rPr>
          <w:rFonts w:ascii="Times New Roman" w:hAnsi="Times New Roman" w:cs="Times New Roman"/>
          <w:color w:val="181818"/>
          <w:sz w:val="24"/>
          <w:szCs w:val="24"/>
        </w:rPr>
        <w:t>TSF</w:t>
      </w:r>
      <w:r w:rsidR="00F63B38">
        <w:rPr>
          <w:rFonts w:ascii="Times New Roman" w:hAnsi="Times New Roman" w:cs="Times New Roman"/>
          <w:color w:val="181818"/>
          <w:sz w:val="24"/>
          <w:szCs w:val="24"/>
        </w:rPr>
        <w:t>)</w:t>
      </w:r>
      <w:r w:rsidR="00316C6B">
        <w:rPr>
          <w:rFonts w:ascii="Times New Roman" w:hAnsi="Times New Roman" w:cs="Times New Roman"/>
          <w:color w:val="181818"/>
          <w:sz w:val="24"/>
          <w:szCs w:val="24"/>
        </w:rPr>
        <w:t xml:space="preserve"> and </w:t>
      </w:r>
      <w:r w:rsidR="00F63B38">
        <w:rPr>
          <w:rFonts w:ascii="Times New Roman" w:hAnsi="Times New Roman" w:cs="Times New Roman"/>
          <w:color w:val="181818"/>
          <w:sz w:val="24"/>
          <w:szCs w:val="24"/>
        </w:rPr>
        <w:t>Student Identification and Referral Form (</w:t>
      </w:r>
      <w:r w:rsidR="00316C6B">
        <w:rPr>
          <w:rFonts w:ascii="Times New Roman" w:hAnsi="Times New Roman" w:cs="Times New Roman"/>
          <w:color w:val="181818"/>
          <w:sz w:val="24"/>
          <w:szCs w:val="24"/>
        </w:rPr>
        <w:t>SIRF</w:t>
      </w:r>
      <w:r w:rsidR="00F63B38">
        <w:rPr>
          <w:rFonts w:ascii="Times New Roman" w:hAnsi="Times New Roman" w:cs="Times New Roman"/>
          <w:color w:val="181818"/>
          <w:sz w:val="24"/>
          <w:szCs w:val="24"/>
        </w:rPr>
        <w:t>)</w:t>
      </w:r>
      <w:r w:rsidR="00222E3A">
        <w:rPr>
          <w:rFonts w:ascii="Times New Roman" w:hAnsi="Times New Roman" w:cs="Times New Roman"/>
          <w:color w:val="181818"/>
          <w:sz w:val="24"/>
          <w:szCs w:val="24"/>
        </w:rPr>
        <w:t xml:space="preserve">. Respondents to these activities will be </w:t>
      </w:r>
      <w:r w:rsidR="00316C6B">
        <w:rPr>
          <w:rFonts w:ascii="Times New Roman" w:hAnsi="Times New Roman" w:cs="Times New Roman"/>
          <w:color w:val="181818"/>
          <w:sz w:val="24"/>
          <w:szCs w:val="24"/>
        </w:rPr>
        <w:t xml:space="preserve">grantee </w:t>
      </w:r>
      <w:r w:rsidR="00222E3A">
        <w:rPr>
          <w:rFonts w:ascii="Times New Roman" w:hAnsi="Times New Roman" w:cs="Times New Roman"/>
          <w:color w:val="181818"/>
          <w:sz w:val="24"/>
          <w:szCs w:val="24"/>
        </w:rPr>
        <w:t>program staff</w:t>
      </w:r>
      <w:r w:rsidR="002D26AA">
        <w:rPr>
          <w:rFonts w:ascii="Times New Roman" w:hAnsi="Times New Roman" w:cs="Times New Roman"/>
          <w:color w:val="181818"/>
          <w:sz w:val="24"/>
          <w:szCs w:val="24"/>
        </w:rPr>
        <w:t>.</w:t>
      </w:r>
      <w:r w:rsidR="00956953">
        <w:rPr>
          <w:rFonts w:ascii="Times New Roman" w:hAnsi="Times New Roman" w:cs="Times New Roman"/>
          <w:color w:val="181818"/>
          <w:sz w:val="24"/>
          <w:szCs w:val="24"/>
        </w:rPr>
        <w:t xml:space="preserve"> </w:t>
      </w:r>
    </w:p>
    <w:p w:rsidR="001F3F6C" w:rsidRPr="00134F43" w:rsidP="00134F43" w14:paraId="5C6EE5B7" w14:textId="0EA5E9A6">
      <w:pPr>
        <w:pStyle w:val="GLSTableBullet1"/>
        <w:numPr>
          <w:ilvl w:val="0"/>
          <w:numId w:val="0"/>
        </w:numPr>
        <w:spacing w:after="200"/>
        <w:contextualSpacing w:val="0"/>
        <w:rPr>
          <w:rFonts w:ascii="Times New Roman" w:hAnsi="Times New Roman" w:cs="Times New Roman"/>
        </w:rPr>
      </w:pPr>
      <w:r>
        <w:rPr>
          <w:rFonts w:ascii="Times New Roman" w:hAnsi="Times New Roman" w:cs="Times New Roman"/>
          <w:color w:val="181818"/>
          <w:szCs w:val="24"/>
        </w:rPr>
        <w:t xml:space="preserve">For the </w:t>
      </w:r>
      <w:r w:rsidR="00245EA5">
        <w:rPr>
          <w:rFonts w:ascii="Times New Roman" w:hAnsi="Times New Roman" w:cs="Times New Roman"/>
          <w:color w:val="181818"/>
          <w:szCs w:val="24"/>
        </w:rPr>
        <w:t xml:space="preserve">APPTS and TPPTS, </w:t>
      </w:r>
      <w:r w:rsidR="00C267C7">
        <w:rPr>
          <w:rFonts w:ascii="Times New Roman" w:hAnsi="Times New Roman" w:cs="Times New Roman"/>
          <w:color w:val="181818"/>
          <w:szCs w:val="24"/>
        </w:rPr>
        <w:t xml:space="preserve">a power analysis was conducted </w:t>
      </w:r>
      <w:r w:rsidR="00A9484B">
        <w:rPr>
          <w:rFonts w:ascii="Times New Roman" w:hAnsi="Times New Roman" w:cs="Times New Roman"/>
          <w:color w:val="181818"/>
          <w:szCs w:val="24"/>
        </w:rPr>
        <w:t>to</w:t>
      </w:r>
      <w:r w:rsidR="00493803">
        <w:rPr>
          <w:rFonts w:ascii="Times New Roman" w:hAnsi="Times New Roman" w:cs="Times New Roman"/>
          <w:color w:val="181818"/>
          <w:szCs w:val="24"/>
        </w:rPr>
        <w:t xml:space="preserve"> determine the minimal detectable effect size for change in training participants’ outcomes pre- to post</w:t>
      </w:r>
      <w:r w:rsidR="00A9484B">
        <w:rPr>
          <w:rFonts w:ascii="Times New Roman" w:hAnsi="Times New Roman" w:cs="Times New Roman"/>
          <w:color w:val="181818"/>
          <w:szCs w:val="24"/>
        </w:rPr>
        <w:t xml:space="preserve">-, per grantee site, per year. </w:t>
      </w:r>
      <w:r w:rsidRPr="001C0DBB" w:rsidR="00014104">
        <w:rPr>
          <w:rFonts w:ascii="Times New Roman" w:hAnsi="Times New Roman" w:cs="Times New Roman"/>
        </w:rPr>
        <w:t xml:space="preserve">Recruitment of the sample will continue until a total of </w:t>
      </w:r>
      <w:r w:rsidR="00122008">
        <w:rPr>
          <w:rFonts w:ascii="Times New Roman" w:hAnsi="Times New Roman" w:cs="Times New Roman"/>
        </w:rPr>
        <w:t xml:space="preserve">125 </w:t>
      </w:r>
      <w:r w:rsidRPr="001C0DBB" w:rsidR="00014104">
        <w:rPr>
          <w:rFonts w:ascii="Times New Roman" w:hAnsi="Times New Roman" w:cs="Times New Roman"/>
        </w:rPr>
        <w:t>trainees per</w:t>
      </w:r>
      <w:r w:rsidR="00122008">
        <w:rPr>
          <w:rFonts w:ascii="Times New Roman" w:hAnsi="Times New Roman" w:cs="Times New Roman"/>
        </w:rPr>
        <w:t xml:space="preserve"> AWARE grantee and 50 </w:t>
      </w:r>
      <w:r w:rsidR="00C03B01">
        <w:rPr>
          <w:rFonts w:ascii="Times New Roman" w:hAnsi="Times New Roman" w:cs="Times New Roman"/>
        </w:rPr>
        <w:t>trainees per TISS grantee</w:t>
      </w:r>
      <w:r w:rsidR="00122008">
        <w:rPr>
          <w:rFonts w:ascii="Times New Roman" w:hAnsi="Times New Roman" w:cs="Times New Roman"/>
        </w:rPr>
        <w:t xml:space="preserve"> </w:t>
      </w:r>
      <w:r w:rsidR="00617548">
        <w:rPr>
          <w:rFonts w:ascii="Times New Roman" w:hAnsi="Times New Roman" w:cs="Times New Roman"/>
        </w:rPr>
        <w:t xml:space="preserve">per year </w:t>
      </w:r>
      <w:r w:rsidR="00C03B01">
        <w:rPr>
          <w:rFonts w:ascii="Times New Roman" w:hAnsi="Times New Roman" w:cs="Times New Roman"/>
        </w:rPr>
        <w:t>participate in the pre-post surveys</w:t>
      </w:r>
      <w:r w:rsidR="00617548">
        <w:rPr>
          <w:rFonts w:ascii="Times New Roman" w:hAnsi="Times New Roman" w:cs="Times New Roman"/>
        </w:rPr>
        <w:t>. These sample sizes will be sufficient to detect the</w:t>
      </w:r>
      <w:r w:rsidRPr="001C0DBB" w:rsidR="00014104">
        <w:rPr>
          <w:rFonts w:ascii="Times New Roman" w:hAnsi="Times New Roman" w:cs="Times New Roman"/>
        </w:rPr>
        <w:t xml:space="preserve"> effect size of f = 0</w:t>
      </w:r>
      <w:r w:rsidR="003B7D00">
        <w:rPr>
          <w:rFonts w:ascii="Times New Roman" w:hAnsi="Times New Roman" w:cs="Times New Roman"/>
        </w:rPr>
        <w:t>.25 (per AWARE grantee) and f = 0.40 (per TISS grantee)</w:t>
      </w:r>
      <w:r w:rsidRPr="001C0DBB" w:rsidR="00014104">
        <w:rPr>
          <w:rFonts w:ascii="Times New Roman" w:hAnsi="Times New Roman" w:cs="Times New Roman"/>
        </w:rPr>
        <w:t xml:space="preserve">. </w:t>
      </w:r>
    </w:p>
    <w:p w:rsidR="00BE633F" w:rsidRPr="001B3C78" w:rsidP="005B6294" w14:paraId="17042F08" w14:textId="1FDB2B11">
      <w:pPr>
        <w:pStyle w:val="GLSTableBullet1"/>
        <w:numPr>
          <w:ilvl w:val="0"/>
          <w:numId w:val="1"/>
        </w:numPr>
        <w:spacing w:after="200"/>
        <w:contextualSpacing w:val="0"/>
        <w:rPr>
          <w:b/>
          <w:sz w:val="28"/>
          <w:szCs w:val="28"/>
        </w:rPr>
      </w:pPr>
      <w:r w:rsidRPr="00423366">
        <w:rPr>
          <w:b/>
          <w:color w:val="181818"/>
          <w:sz w:val="28"/>
          <w:szCs w:val="28"/>
        </w:rPr>
        <w:t>I</w:t>
      </w:r>
      <w:r>
        <w:rPr>
          <w:b/>
          <w:color w:val="181818"/>
          <w:sz w:val="28"/>
          <w:szCs w:val="28"/>
        </w:rPr>
        <w:t xml:space="preserve">nformation Collection Procedures </w:t>
      </w:r>
    </w:p>
    <w:p w:rsidR="00D45265" w:rsidRPr="00D45265" w:rsidP="000F5A36" w14:paraId="471FD8DD" w14:textId="4C85B6AD">
      <w:pPr>
        <w:pStyle w:val="GLSBody"/>
        <w:spacing w:after="200"/>
      </w:pPr>
      <w:r>
        <w:t xml:space="preserve">Information collection procedures for the </w:t>
      </w:r>
      <w:r w:rsidR="00000D1C">
        <w:t>Project AWARE-TISS Cross-Site</w:t>
      </w:r>
      <w:r w:rsidR="009A00AC">
        <w:t xml:space="preserve"> Evaluation</w:t>
      </w:r>
      <w:r>
        <w:t xml:space="preserve"> instruments are described in Exhibit </w:t>
      </w:r>
      <w:r w:rsidR="001F3F6C">
        <w:t>2</w:t>
      </w:r>
      <w:r>
        <w:t>.</w:t>
      </w:r>
    </w:p>
    <w:p w:rsidR="00D45265" w:rsidP="00D45265" w14:paraId="5004170C" w14:textId="43CB6287">
      <w:pPr>
        <w:spacing w:after="120"/>
        <w:jc w:val="center"/>
        <w:rPr>
          <w:rFonts w:ascii="Tw Cen MT" w:hAnsi="Tw Cen MT"/>
          <w:b/>
        </w:rPr>
      </w:pPr>
      <w:r w:rsidRPr="00D45265">
        <w:rPr>
          <w:rFonts w:ascii="Tw Cen MT" w:hAnsi="Tw Cen MT"/>
          <w:b/>
        </w:rPr>
        <w:t xml:space="preserve">Exhibit </w:t>
      </w:r>
      <w:r w:rsidR="001F3F6C">
        <w:rPr>
          <w:rFonts w:ascii="Tw Cen MT" w:hAnsi="Tw Cen MT"/>
          <w:b/>
        </w:rPr>
        <w:t>2</w:t>
      </w:r>
      <w:r w:rsidRPr="00D45265">
        <w:rPr>
          <w:rFonts w:ascii="Tw Cen MT" w:hAnsi="Tw Cen MT"/>
          <w:b/>
        </w:rPr>
        <w:t>. Information Collection Procedures</w:t>
      </w:r>
    </w:p>
    <w:tbl>
      <w:tblPr>
        <w:tblStyle w:val="TableGrid"/>
        <w:tblW w:w="0" w:type="auto"/>
        <w:tblLook w:val="04A0"/>
      </w:tblPr>
      <w:tblGrid>
        <w:gridCol w:w="1150"/>
        <w:gridCol w:w="8200"/>
      </w:tblGrid>
      <w:tr w14:paraId="56507EB8" w14:textId="77777777" w:rsidTr="003E2D6E">
        <w:tblPrEx>
          <w:tblW w:w="0" w:type="auto"/>
          <w:tblLook w:val="04A0"/>
        </w:tblPrEx>
        <w:trPr>
          <w:tblHeader/>
        </w:trPr>
        <w:tc>
          <w:tcPr>
            <w:tcW w:w="1150" w:type="dxa"/>
            <w:shd w:val="clear" w:color="auto" w:fill="404040" w:themeFill="text1" w:themeFillTint="BF"/>
            <w:tcMar>
              <w:top w:w="14" w:type="dxa"/>
              <w:left w:w="58" w:type="dxa"/>
              <w:bottom w:w="14" w:type="dxa"/>
              <w:right w:w="58" w:type="dxa"/>
            </w:tcMar>
          </w:tcPr>
          <w:p w:rsidR="00F556A2" w:rsidRPr="00371ED7" w:rsidP="00330632" w14:paraId="32DBD37F" w14:textId="77777777">
            <w:pPr>
              <w:pStyle w:val="BodyText"/>
              <w:tabs>
                <w:tab w:val="left" w:pos="1563"/>
              </w:tabs>
              <w:jc w:val="center"/>
              <w:rPr>
                <w:rFonts w:cs="Arial"/>
                <w:b/>
                <w:color w:val="FFFFFF" w:themeColor="background1"/>
                <w:sz w:val="20"/>
                <w:szCs w:val="20"/>
              </w:rPr>
            </w:pPr>
            <w:r w:rsidRPr="00371ED7">
              <w:rPr>
                <w:rFonts w:cs="Arial"/>
                <w:b/>
                <w:color w:val="FFFFFF" w:themeColor="background1"/>
                <w:sz w:val="20"/>
                <w:szCs w:val="20"/>
              </w:rPr>
              <w:t>Instrument</w:t>
            </w:r>
          </w:p>
        </w:tc>
        <w:tc>
          <w:tcPr>
            <w:tcW w:w="8200" w:type="dxa"/>
            <w:shd w:val="clear" w:color="auto" w:fill="404040" w:themeFill="text1" w:themeFillTint="BF"/>
            <w:tcMar>
              <w:top w:w="14" w:type="dxa"/>
              <w:left w:w="58" w:type="dxa"/>
              <w:bottom w:w="14" w:type="dxa"/>
              <w:right w:w="58" w:type="dxa"/>
            </w:tcMar>
          </w:tcPr>
          <w:p w:rsidR="00F556A2" w:rsidRPr="00371ED7" w:rsidP="00330632" w14:paraId="364D80BC" w14:textId="77777777">
            <w:pPr>
              <w:pStyle w:val="BodyText"/>
              <w:tabs>
                <w:tab w:val="left" w:pos="1563"/>
              </w:tabs>
              <w:jc w:val="center"/>
              <w:rPr>
                <w:rFonts w:cs="Arial"/>
                <w:b/>
                <w:color w:val="FFFFFF" w:themeColor="background1"/>
                <w:sz w:val="20"/>
                <w:szCs w:val="20"/>
              </w:rPr>
            </w:pPr>
            <w:r w:rsidRPr="00371ED7">
              <w:rPr>
                <w:rFonts w:cs="Arial"/>
                <w:b/>
                <w:color w:val="FFFFFF" w:themeColor="background1"/>
                <w:sz w:val="20"/>
                <w:szCs w:val="20"/>
              </w:rPr>
              <w:t>Procedures</w:t>
            </w:r>
          </w:p>
        </w:tc>
      </w:tr>
      <w:tr w14:paraId="6D601C0A" w14:textId="77777777" w:rsidTr="003E2D6E">
        <w:tblPrEx>
          <w:tblW w:w="0" w:type="auto"/>
          <w:tblLook w:val="04A0"/>
        </w:tblPrEx>
        <w:tc>
          <w:tcPr>
            <w:tcW w:w="1150" w:type="dxa"/>
            <w:tcMar>
              <w:top w:w="14" w:type="dxa"/>
              <w:left w:w="58" w:type="dxa"/>
              <w:bottom w:w="14" w:type="dxa"/>
              <w:right w:w="58" w:type="dxa"/>
            </w:tcMar>
          </w:tcPr>
          <w:p w:rsidR="00AB4EEA" w:rsidRPr="00327D1F" w:rsidP="00AB4EEA" w14:paraId="691A2B30" w14:textId="4FE7FDE8">
            <w:pPr>
              <w:pStyle w:val="BodyText"/>
              <w:tabs>
                <w:tab w:val="left" w:pos="1563"/>
              </w:tabs>
              <w:rPr>
                <w:rFonts w:cs="Arial"/>
                <w:color w:val="181818"/>
                <w:sz w:val="20"/>
                <w:szCs w:val="20"/>
              </w:rPr>
            </w:pPr>
            <w:r>
              <w:rPr>
                <w:sz w:val="22"/>
                <w:szCs w:val="18"/>
              </w:rPr>
              <w:t>IS</w:t>
            </w:r>
          </w:p>
        </w:tc>
        <w:tc>
          <w:tcPr>
            <w:tcW w:w="8200" w:type="dxa"/>
            <w:tcMar>
              <w:top w:w="14" w:type="dxa"/>
              <w:left w:w="58" w:type="dxa"/>
              <w:bottom w:w="14" w:type="dxa"/>
              <w:right w:w="58" w:type="dxa"/>
            </w:tcMar>
          </w:tcPr>
          <w:p w:rsidR="00AB4EEA" w:rsidRPr="00D45265" w:rsidP="00AB4EEA" w14:paraId="01D54260" w14:textId="2622480A">
            <w:pPr>
              <w:pStyle w:val="BodyText"/>
              <w:tabs>
                <w:tab w:val="left" w:pos="1563"/>
              </w:tabs>
              <w:jc w:val="left"/>
              <w:rPr>
                <w:rFonts w:cs="Arial"/>
                <w:sz w:val="20"/>
                <w:szCs w:val="20"/>
              </w:rPr>
            </w:pPr>
            <w:r>
              <w:rPr>
                <w:rFonts w:cs="Arial"/>
                <w:sz w:val="20"/>
                <w:szCs w:val="20"/>
              </w:rPr>
              <w:t>On</w:t>
            </w:r>
            <w:r w:rsidR="00522821">
              <w:rPr>
                <w:rFonts w:cs="Arial"/>
                <w:sz w:val="20"/>
                <w:szCs w:val="20"/>
              </w:rPr>
              <w:t>ce</w:t>
            </w:r>
            <w:r>
              <w:rPr>
                <w:rFonts w:cs="Arial"/>
                <w:sz w:val="20"/>
                <w:szCs w:val="20"/>
              </w:rPr>
              <w:t xml:space="preserve"> per year, grantee staff will be asked to </w:t>
            </w:r>
            <w:r w:rsidR="00694019">
              <w:rPr>
                <w:rFonts w:cs="Arial"/>
                <w:sz w:val="20"/>
                <w:szCs w:val="20"/>
              </w:rPr>
              <w:t>confirm</w:t>
            </w:r>
            <w:r>
              <w:rPr>
                <w:rFonts w:cs="Arial"/>
                <w:sz w:val="20"/>
                <w:szCs w:val="20"/>
              </w:rPr>
              <w:t xml:space="preserve"> a list of names and email addresses for </w:t>
            </w:r>
            <w:r w:rsidR="00522821">
              <w:rPr>
                <w:rFonts w:cs="Arial"/>
                <w:sz w:val="20"/>
                <w:szCs w:val="20"/>
              </w:rPr>
              <w:t xml:space="preserve">project coordinators </w:t>
            </w:r>
            <w:r w:rsidR="00533211">
              <w:rPr>
                <w:rFonts w:cs="Arial"/>
                <w:sz w:val="20"/>
                <w:szCs w:val="20"/>
              </w:rPr>
              <w:t xml:space="preserve">for the AWARE and/or TISS program as well as </w:t>
            </w:r>
            <w:r>
              <w:rPr>
                <w:rFonts w:cs="Arial"/>
                <w:sz w:val="20"/>
                <w:szCs w:val="20"/>
              </w:rPr>
              <w:t xml:space="preserve">representatives of agencies or organizations with which they partner for </w:t>
            </w:r>
            <w:r w:rsidR="00872AA8">
              <w:rPr>
                <w:rFonts w:cs="Arial"/>
                <w:sz w:val="20"/>
                <w:szCs w:val="20"/>
              </w:rPr>
              <w:t>the</w:t>
            </w:r>
            <w:r>
              <w:rPr>
                <w:rFonts w:cs="Arial"/>
                <w:sz w:val="20"/>
                <w:szCs w:val="20"/>
              </w:rPr>
              <w:t xml:space="preserve"> TISS</w:t>
            </w:r>
            <w:r w:rsidR="00872AA8">
              <w:rPr>
                <w:rFonts w:cs="Arial"/>
                <w:sz w:val="20"/>
                <w:szCs w:val="20"/>
              </w:rPr>
              <w:t xml:space="preserve"> program</w:t>
            </w:r>
            <w:r>
              <w:rPr>
                <w:rFonts w:cs="Arial"/>
                <w:sz w:val="20"/>
                <w:szCs w:val="20"/>
              </w:rPr>
              <w:t xml:space="preserve">. </w:t>
            </w:r>
            <w:r w:rsidR="00D970E3">
              <w:rPr>
                <w:rFonts w:cs="Arial"/>
                <w:sz w:val="20"/>
                <w:szCs w:val="20"/>
              </w:rPr>
              <w:t xml:space="preserve">A purposive sample of </w:t>
            </w:r>
            <w:r w:rsidR="00E25FE8">
              <w:rPr>
                <w:rFonts w:cs="Arial"/>
                <w:sz w:val="20"/>
                <w:szCs w:val="20"/>
              </w:rPr>
              <w:t>four</w:t>
            </w:r>
            <w:r w:rsidR="00934694">
              <w:rPr>
                <w:rFonts w:cs="Arial"/>
                <w:sz w:val="20"/>
                <w:szCs w:val="20"/>
              </w:rPr>
              <w:t xml:space="preserve"> </w:t>
            </w:r>
            <w:r w:rsidR="00E25FE8">
              <w:rPr>
                <w:rFonts w:cs="Arial"/>
                <w:sz w:val="20"/>
                <w:szCs w:val="20"/>
              </w:rPr>
              <w:t>AWARE project coordinators</w:t>
            </w:r>
            <w:r>
              <w:rPr>
                <w:rFonts w:cs="Arial"/>
                <w:sz w:val="20"/>
                <w:szCs w:val="20"/>
              </w:rPr>
              <w:t xml:space="preserve"> </w:t>
            </w:r>
            <w:r w:rsidR="000A4896">
              <w:rPr>
                <w:rFonts w:cs="Arial"/>
                <w:sz w:val="20"/>
                <w:szCs w:val="20"/>
              </w:rPr>
              <w:t xml:space="preserve">per AWARE grantee </w:t>
            </w:r>
            <w:r>
              <w:rPr>
                <w:rFonts w:cs="Arial"/>
                <w:sz w:val="20"/>
                <w:szCs w:val="20"/>
              </w:rPr>
              <w:t xml:space="preserve">and </w:t>
            </w:r>
            <w:r w:rsidR="00E25FE8">
              <w:rPr>
                <w:rFonts w:cs="Arial"/>
                <w:sz w:val="20"/>
                <w:szCs w:val="20"/>
              </w:rPr>
              <w:t xml:space="preserve">two </w:t>
            </w:r>
            <w:r>
              <w:rPr>
                <w:rFonts w:cs="Arial"/>
                <w:sz w:val="20"/>
                <w:szCs w:val="20"/>
              </w:rPr>
              <w:t xml:space="preserve">identified </w:t>
            </w:r>
            <w:r w:rsidR="00E25FE8">
              <w:rPr>
                <w:rFonts w:cs="Arial"/>
                <w:sz w:val="20"/>
                <w:szCs w:val="20"/>
              </w:rPr>
              <w:t xml:space="preserve">TISS </w:t>
            </w:r>
            <w:r w:rsidR="0064607D">
              <w:rPr>
                <w:rFonts w:cs="Arial"/>
                <w:sz w:val="20"/>
                <w:szCs w:val="20"/>
              </w:rPr>
              <w:t xml:space="preserve">partner/agency </w:t>
            </w:r>
            <w:r>
              <w:rPr>
                <w:rFonts w:cs="Arial"/>
                <w:sz w:val="20"/>
                <w:szCs w:val="20"/>
              </w:rPr>
              <w:t xml:space="preserve">representatives </w:t>
            </w:r>
            <w:r w:rsidR="000A4896">
              <w:rPr>
                <w:rFonts w:cs="Arial"/>
                <w:sz w:val="20"/>
                <w:szCs w:val="20"/>
              </w:rPr>
              <w:t xml:space="preserve">per TISS grantee </w:t>
            </w:r>
            <w:r w:rsidR="00ED56BD">
              <w:rPr>
                <w:rFonts w:cs="Arial"/>
                <w:sz w:val="20"/>
                <w:szCs w:val="20"/>
              </w:rPr>
              <w:t xml:space="preserve">that have already agreed to participate </w:t>
            </w:r>
            <w:r>
              <w:rPr>
                <w:rFonts w:cs="Arial"/>
                <w:sz w:val="20"/>
                <w:szCs w:val="20"/>
              </w:rPr>
              <w:t>will be contacted</w:t>
            </w:r>
            <w:r w:rsidR="00983C0A">
              <w:rPr>
                <w:rFonts w:cs="Arial"/>
                <w:sz w:val="20"/>
                <w:szCs w:val="20"/>
              </w:rPr>
              <w:t xml:space="preserve"> annually</w:t>
            </w:r>
            <w:r>
              <w:rPr>
                <w:rFonts w:cs="Arial"/>
                <w:sz w:val="20"/>
                <w:szCs w:val="20"/>
              </w:rPr>
              <w:t xml:space="preserve"> by email and provided a </w:t>
            </w:r>
            <w:r w:rsidR="00BE668D">
              <w:rPr>
                <w:rFonts w:cs="Arial"/>
                <w:sz w:val="20"/>
                <w:szCs w:val="20"/>
              </w:rPr>
              <w:t xml:space="preserve">web </w:t>
            </w:r>
            <w:r>
              <w:rPr>
                <w:rFonts w:cs="Arial"/>
                <w:sz w:val="20"/>
                <w:szCs w:val="20"/>
              </w:rPr>
              <w:t>link to the electronic consent form</w:t>
            </w:r>
            <w:r w:rsidR="00B05004">
              <w:rPr>
                <w:rFonts w:cs="Arial"/>
                <w:sz w:val="20"/>
                <w:szCs w:val="20"/>
              </w:rPr>
              <w:t>;</w:t>
            </w:r>
            <w:r>
              <w:rPr>
                <w:rFonts w:cs="Arial"/>
                <w:sz w:val="20"/>
                <w:szCs w:val="20"/>
              </w:rPr>
              <w:t xml:space="preserve"> if </w:t>
            </w:r>
            <w:r w:rsidR="00FC4BF3">
              <w:rPr>
                <w:rFonts w:cs="Arial"/>
                <w:sz w:val="20"/>
                <w:szCs w:val="20"/>
              </w:rPr>
              <w:t>participants</w:t>
            </w:r>
            <w:r>
              <w:rPr>
                <w:rFonts w:cs="Arial"/>
                <w:sz w:val="20"/>
                <w:szCs w:val="20"/>
              </w:rPr>
              <w:t xml:space="preserve"> consent, </w:t>
            </w:r>
            <w:r w:rsidR="00A86D6B">
              <w:rPr>
                <w:rFonts w:cs="Arial"/>
                <w:sz w:val="20"/>
                <w:szCs w:val="20"/>
              </w:rPr>
              <w:t xml:space="preserve">they will be directed </w:t>
            </w:r>
            <w:r w:rsidR="00922D02">
              <w:rPr>
                <w:rFonts w:cs="Arial"/>
                <w:sz w:val="20"/>
                <w:szCs w:val="20"/>
              </w:rPr>
              <w:t xml:space="preserve">to </w:t>
            </w:r>
            <w:r w:rsidR="00B21AC9">
              <w:rPr>
                <w:rFonts w:cs="Arial"/>
                <w:sz w:val="20"/>
                <w:szCs w:val="20"/>
              </w:rPr>
              <w:t xml:space="preserve">complete </w:t>
            </w:r>
            <w:r w:rsidR="00922D02">
              <w:rPr>
                <w:rFonts w:cs="Arial"/>
                <w:sz w:val="20"/>
                <w:szCs w:val="20"/>
              </w:rPr>
              <w:t>the web-based</w:t>
            </w:r>
            <w:r>
              <w:rPr>
                <w:rFonts w:cs="Arial"/>
                <w:sz w:val="20"/>
                <w:szCs w:val="20"/>
              </w:rPr>
              <w:t xml:space="preserve"> survey </w:t>
            </w:r>
            <w:r w:rsidR="002C4C86">
              <w:rPr>
                <w:rFonts w:cs="Arial"/>
                <w:sz w:val="20"/>
                <w:szCs w:val="20"/>
              </w:rPr>
              <w:t>hosted on the A</w:t>
            </w:r>
            <w:r w:rsidR="00226964">
              <w:rPr>
                <w:rFonts w:cs="Arial"/>
                <w:sz w:val="20"/>
                <w:szCs w:val="20"/>
              </w:rPr>
              <w:t>WARE-TISS Online Data System (ATODS)</w:t>
            </w:r>
            <w:r>
              <w:rPr>
                <w:rFonts w:cs="Arial"/>
                <w:sz w:val="20"/>
                <w:szCs w:val="20"/>
              </w:rPr>
              <w:t xml:space="preserve">.   </w:t>
            </w:r>
          </w:p>
        </w:tc>
      </w:tr>
      <w:tr w14:paraId="3DF81528" w14:textId="77777777" w:rsidTr="003E2D6E">
        <w:tblPrEx>
          <w:tblW w:w="0" w:type="auto"/>
          <w:tblLook w:val="04A0"/>
        </w:tblPrEx>
        <w:trPr>
          <w:trHeight w:val="2973"/>
        </w:trPr>
        <w:tc>
          <w:tcPr>
            <w:tcW w:w="1150" w:type="dxa"/>
            <w:tcMar>
              <w:top w:w="14" w:type="dxa"/>
              <w:left w:w="58" w:type="dxa"/>
              <w:bottom w:w="14" w:type="dxa"/>
              <w:right w:w="58" w:type="dxa"/>
            </w:tcMar>
          </w:tcPr>
          <w:p w:rsidR="00AB4EEA" w:rsidRPr="00327D1F" w:rsidP="00AB4EEA" w14:paraId="1B208A32" w14:textId="120494AF">
            <w:pPr>
              <w:pStyle w:val="BodyText"/>
              <w:tabs>
                <w:tab w:val="left" w:pos="1563"/>
              </w:tabs>
              <w:rPr>
                <w:rFonts w:cs="Arial"/>
                <w:color w:val="181818"/>
                <w:sz w:val="20"/>
                <w:szCs w:val="20"/>
              </w:rPr>
            </w:pPr>
            <w:r>
              <w:rPr>
                <w:sz w:val="22"/>
                <w:szCs w:val="18"/>
              </w:rPr>
              <w:t>IKII</w:t>
            </w:r>
          </w:p>
        </w:tc>
        <w:tc>
          <w:tcPr>
            <w:tcW w:w="8200" w:type="dxa"/>
            <w:tcMar>
              <w:top w:w="14" w:type="dxa"/>
              <w:left w:w="58" w:type="dxa"/>
              <w:bottom w:w="14" w:type="dxa"/>
              <w:right w:w="58" w:type="dxa"/>
            </w:tcMar>
          </w:tcPr>
          <w:p w:rsidR="00AB4EEA" w:rsidRPr="00733E94" w:rsidP="00AB4EEA" w14:paraId="4A62738F" w14:textId="1C169D3C">
            <w:pPr>
              <w:pStyle w:val="BodyText"/>
              <w:tabs>
                <w:tab w:val="left" w:pos="1563"/>
              </w:tabs>
              <w:jc w:val="left"/>
              <w:rPr>
                <w:rFonts w:cs="Arial"/>
                <w:sz w:val="20"/>
                <w:szCs w:val="20"/>
              </w:rPr>
            </w:pPr>
            <w:r>
              <w:rPr>
                <w:rFonts w:cs="Arial"/>
                <w:sz w:val="20"/>
                <w:szCs w:val="20"/>
              </w:rPr>
              <w:t>Once per year, grantee staff will be asked to confirm a list of names and email addresses for project coordinators for the AWARE and/or TISS program</w:t>
            </w:r>
            <w:r w:rsidR="009F5908">
              <w:rPr>
                <w:rFonts w:cs="Arial"/>
                <w:sz w:val="20"/>
                <w:szCs w:val="20"/>
              </w:rPr>
              <w:t>s</w:t>
            </w:r>
            <w:r>
              <w:rPr>
                <w:rFonts w:cs="Arial"/>
                <w:sz w:val="20"/>
                <w:szCs w:val="20"/>
              </w:rPr>
              <w:t xml:space="preserve"> as well as representatives of agencies or organizations with which they partner. </w:t>
            </w:r>
            <w:r w:rsidR="00BE668D">
              <w:rPr>
                <w:rFonts w:cs="Arial"/>
                <w:sz w:val="20"/>
                <w:szCs w:val="20"/>
              </w:rPr>
              <w:t xml:space="preserve">A purposive sample of </w:t>
            </w:r>
            <w:r w:rsidR="001D1804">
              <w:rPr>
                <w:rFonts w:cs="Arial"/>
                <w:sz w:val="20"/>
                <w:szCs w:val="20"/>
              </w:rPr>
              <w:t>six individuals per grantee</w:t>
            </w:r>
            <w:r w:rsidR="00C97351">
              <w:rPr>
                <w:rFonts w:cs="Arial"/>
                <w:sz w:val="20"/>
                <w:szCs w:val="20"/>
              </w:rPr>
              <w:t xml:space="preserve"> inclusive of </w:t>
            </w:r>
            <w:r w:rsidR="00BE668D">
              <w:rPr>
                <w:rFonts w:cs="Arial"/>
                <w:sz w:val="20"/>
                <w:szCs w:val="20"/>
              </w:rPr>
              <w:t>p</w:t>
            </w:r>
            <w:r w:rsidR="007D65F3">
              <w:rPr>
                <w:rFonts w:cs="Arial"/>
                <w:sz w:val="20"/>
                <w:szCs w:val="20"/>
              </w:rPr>
              <w:t>roject coordinators</w:t>
            </w:r>
            <w:r>
              <w:rPr>
                <w:rFonts w:cs="Arial"/>
                <w:sz w:val="20"/>
                <w:szCs w:val="20"/>
              </w:rPr>
              <w:t xml:space="preserve"> and identified partner/agency representatives will be contacted by email and invited to participate in the I</w:t>
            </w:r>
            <w:r w:rsidR="00F3298B">
              <w:rPr>
                <w:rFonts w:cs="Arial"/>
                <w:sz w:val="20"/>
                <w:szCs w:val="20"/>
              </w:rPr>
              <w:t>KII</w:t>
            </w:r>
            <w:r>
              <w:rPr>
                <w:rFonts w:cs="Arial"/>
                <w:sz w:val="20"/>
                <w:szCs w:val="20"/>
              </w:rPr>
              <w:t xml:space="preserve">. </w:t>
            </w:r>
            <w:r w:rsidR="00FF63E1">
              <w:rPr>
                <w:rFonts w:cs="Arial"/>
                <w:sz w:val="20"/>
                <w:szCs w:val="20"/>
              </w:rPr>
              <w:t xml:space="preserve">Technical </w:t>
            </w:r>
            <w:r w:rsidR="00BF7189">
              <w:rPr>
                <w:rFonts w:cs="Arial"/>
                <w:sz w:val="20"/>
                <w:szCs w:val="20"/>
              </w:rPr>
              <w:t>a</w:t>
            </w:r>
            <w:r w:rsidR="00FF63E1">
              <w:rPr>
                <w:rFonts w:cs="Arial"/>
                <w:sz w:val="20"/>
                <w:szCs w:val="20"/>
              </w:rPr>
              <w:t xml:space="preserve">ssistance </w:t>
            </w:r>
            <w:r w:rsidR="00BF7189">
              <w:rPr>
                <w:rFonts w:cs="Arial"/>
                <w:sz w:val="20"/>
                <w:szCs w:val="20"/>
              </w:rPr>
              <w:t>l</w:t>
            </w:r>
            <w:r w:rsidR="00FF63E1">
              <w:rPr>
                <w:rFonts w:cs="Arial"/>
                <w:sz w:val="20"/>
                <w:szCs w:val="20"/>
              </w:rPr>
              <w:t>iaisons</w:t>
            </w:r>
            <w:r w:rsidRPr="00880F1C" w:rsidR="00880F1C">
              <w:rPr>
                <w:rFonts w:cs="Arial"/>
                <w:sz w:val="20"/>
                <w:szCs w:val="20"/>
              </w:rPr>
              <w:t xml:space="preserve"> will then reach out to potential respondents</w:t>
            </w:r>
            <w:r w:rsidR="00C97351">
              <w:rPr>
                <w:rFonts w:cs="Arial"/>
                <w:sz w:val="20"/>
                <w:szCs w:val="20"/>
              </w:rPr>
              <w:t xml:space="preserve"> who have agreed to participate</w:t>
            </w:r>
            <w:r w:rsidRPr="00880F1C" w:rsidR="00880F1C">
              <w:rPr>
                <w:rFonts w:cs="Arial"/>
                <w:sz w:val="20"/>
                <w:szCs w:val="20"/>
              </w:rPr>
              <w:t xml:space="preserve"> via email and phone to schedule the interviews, to be conducted in person during site visits or remotely if needed. </w:t>
            </w:r>
            <w:r w:rsidR="007C62AF">
              <w:rPr>
                <w:rFonts w:cs="Arial"/>
                <w:sz w:val="20"/>
                <w:szCs w:val="20"/>
              </w:rPr>
              <w:t>The evaluation team</w:t>
            </w:r>
            <w:r w:rsidRPr="00880F1C" w:rsidR="00880F1C">
              <w:rPr>
                <w:rFonts w:cs="Arial"/>
                <w:sz w:val="20"/>
                <w:szCs w:val="20"/>
              </w:rPr>
              <w:t xml:space="preserve"> will provide an informed consent form via email in advance of the interview and obtain verbal consent immediately prior to each interview.</w:t>
            </w:r>
            <w:r w:rsidR="00733E94">
              <w:rPr>
                <w:rFonts w:cs="Arial"/>
                <w:sz w:val="20"/>
                <w:szCs w:val="20"/>
              </w:rPr>
              <w:t xml:space="preserve"> </w:t>
            </w:r>
            <w:r w:rsidRPr="00880F1C" w:rsidR="00880F1C">
              <w:rPr>
                <w:rFonts w:cs="Arial"/>
                <w:sz w:val="20"/>
                <w:szCs w:val="20"/>
              </w:rPr>
              <w:t xml:space="preserve">Each interview will last approximately 45-60 minutes. Interviewers will review the consent form and answer any questions before beginning the interview. With the participant’s permission, interviews will be recorded and transcribed to support fact checking and to maintain the reliability and validity of the data. </w:t>
            </w:r>
          </w:p>
        </w:tc>
      </w:tr>
      <w:tr w14:paraId="052F2081" w14:textId="77777777" w:rsidTr="003E2D6E">
        <w:tblPrEx>
          <w:tblW w:w="0" w:type="auto"/>
          <w:tblLook w:val="04A0"/>
        </w:tblPrEx>
        <w:trPr>
          <w:trHeight w:val="3000"/>
        </w:trPr>
        <w:tc>
          <w:tcPr>
            <w:tcW w:w="1150" w:type="dxa"/>
            <w:tcMar>
              <w:top w:w="14" w:type="dxa"/>
              <w:left w:w="58" w:type="dxa"/>
              <w:bottom w:w="14" w:type="dxa"/>
              <w:right w:w="58" w:type="dxa"/>
            </w:tcMar>
          </w:tcPr>
          <w:p w:rsidR="003E2D6E" w:rsidRPr="00682D75" w:rsidP="003E2D6E" w14:paraId="24F2716F" w14:textId="77777777">
            <w:pPr>
              <w:pStyle w:val="BodyText"/>
              <w:tabs>
                <w:tab w:val="left" w:pos="1563"/>
              </w:tabs>
              <w:jc w:val="left"/>
              <w:rPr>
                <w:sz w:val="22"/>
                <w:szCs w:val="18"/>
              </w:rPr>
            </w:pPr>
            <w:r w:rsidRPr="00682D75">
              <w:rPr>
                <w:sz w:val="22"/>
                <w:szCs w:val="18"/>
              </w:rPr>
              <w:t>YFFG-Y</w:t>
            </w:r>
          </w:p>
          <w:p w:rsidR="003E2D6E" w:rsidP="003E2D6E" w14:paraId="28438943" w14:textId="03F6668D">
            <w:pPr>
              <w:pStyle w:val="BodyText"/>
              <w:tabs>
                <w:tab w:val="left" w:pos="1563"/>
              </w:tabs>
              <w:rPr>
                <w:sz w:val="22"/>
                <w:szCs w:val="18"/>
              </w:rPr>
            </w:pPr>
            <w:r w:rsidRPr="00682D75">
              <w:rPr>
                <w:color w:val="181818"/>
                <w:sz w:val="22"/>
                <w:szCs w:val="18"/>
              </w:rPr>
              <w:t>YFFG-F</w:t>
            </w:r>
          </w:p>
        </w:tc>
        <w:tc>
          <w:tcPr>
            <w:tcW w:w="8200" w:type="dxa"/>
            <w:tcMar>
              <w:top w:w="14" w:type="dxa"/>
              <w:left w:w="58" w:type="dxa"/>
              <w:bottom w:w="14" w:type="dxa"/>
              <w:right w:w="58" w:type="dxa"/>
            </w:tcMar>
          </w:tcPr>
          <w:p w:rsidR="003E2D6E" w:rsidP="00AB4EEA" w14:paraId="41F593AD" w14:textId="0D95AA4A">
            <w:pPr>
              <w:pStyle w:val="BodyText"/>
              <w:tabs>
                <w:tab w:val="left" w:pos="1563"/>
              </w:tabs>
              <w:jc w:val="left"/>
              <w:rPr>
                <w:rFonts w:cs="Arial"/>
                <w:sz w:val="20"/>
                <w:szCs w:val="20"/>
              </w:rPr>
            </w:pPr>
            <w:r>
              <w:rPr>
                <w:rFonts w:cs="Arial"/>
                <w:sz w:val="20"/>
                <w:szCs w:val="20"/>
              </w:rPr>
              <w:t xml:space="preserve">Once per year, grantee staff will coordinate with partner agencies and organizations to  recruit youth and/or family members of youth who have received services to participate in a </w:t>
            </w:r>
            <w:r w:rsidRPr="00F7498D">
              <w:rPr>
                <w:rFonts w:cs="Arial"/>
                <w:sz w:val="20"/>
                <w:szCs w:val="20"/>
              </w:rPr>
              <w:t xml:space="preserve">focus group </w:t>
            </w:r>
            <w:r>
              <w:rPr>
                <w:rFonts w:cs="Arial"/>
                <w:sz w:val="20"/>
                <w:szCs w:val="20"/>
              </w:rPr>
              <w:t xml:space="preserve">designed </w:t>
            </w:r>
            <w:r w:rsidRPr="00F7498D">
              <w:rPr>
                <w:rFonts w:cs="Arial"/>
                <w:sz w:val="20"/>
                <w:szCs w:val="20"/>
              </w:rPr>
              <w:t xml:space="preserve">to </w:t>
            </w:r>
            <w:r>
              <w:rPr>
                <w:rFonts w:cs="Arial"/>
                <w:sz w:val="20"/>
                <w:szCs w:val="20"/>
              </w:rPr>
              <w:t xml:space="preserve">improve </w:t>
            </w:r>
            <w:r w:rsidRPr="00F7498D">
              <w:rPr>
                <w:rFonts w:cs="Arial"/>
                <w:sz w:val="20"/>
                <w:szCs w:val="20"/>
              </w:rPr>
              <w:t>understand</w:t>
            </w:r>
            <w:r>
              <w:rPr>
                <w:rFonts w:cs="Arial"/>
                <w:sz w:val="20"/>
                <w:szCs w:val="20"/>
              </w:rPr>
              <w:t>ing of</w:t>
            </w:r>
            <w:r w:rsidRPr="00F7498D">
              <w:rPr>
                <w:rFonts w:cs="Arial"/>
                <w:sz w:val="20"/>
                <w:szCs w:val="20"/>
              </w:rPr>
              <w:t xml:space="preserve"> </w:t>
            </w:r>
            <w:r>
              <w:rPr>
                <w:rFonts w:cs="Arial"/>
                <w:sz w:val="20"/>
                <w:szCs w:val="20"/>
              </w:rPr>
              <w:t xml:space="preserve">youth </w:t>
            </w:r>
            <w:r w:rsidRPr="00F7498D">
              <w:rPr>
                <w:rFonts w:cs="Arial"/>
                <w:sz w:val="20"/>
                <w:szCs w:val="20"/>
              </w:rPr>
              <w:t xml:space="preserve">AWARE </w:t>
            </w:r>
            <w:r>
              <w:rPr>
                <w:rFonts w:cs="Arial"/>
                <w:sz w:val="20"/>
                <w:szCs w:val="20"/>
              </w:rPr>
              <w:t xml:space="preserve">or </w:t>
            </w:r>
            <w:r w:rsidRPr="00F7498D">
              <w:rPr>
                <w:rFonts w:cs="Arial"/>
                <w:sz w:val="20"/>
                <w:szCs w:val="20"/>
              </w:rPr>
              <w:t xml:space="preserve">TISS program </w:t>
            </w:r>
            <w:r>
              <w:rPr>
                <w:rFonts w:cs="Arial"/>
                <w:sz w:val="20"/>
                <w:szCs w:val="20"/>
              </w:rPr>
              <w:t xml:space="preserve">experiences. A combination of YFFG-Y and YFFG-F will be conducted onsite for up to </w:t>
            </w:r>
            <w:r w:rsidRPr="002542EA">
              <w:rPr>
                <w:rFonts w:cs="Arial"/>
                <w:sz w:val="20"/>
                <w:szCs w:val="20"/>
              </w:rPr>
              <w:t xml:space="preserve">12 AWARE grantees per year and </w:t>
            </w:r>
            <w:r w:rsidR="00FF63E1">
              <w:rPr>
                <w:rFonts w:cs="Arial"/>
                <w:sz w:val="20"/>
                <w:szCs w:val="20"/>
              </w:rPr>
              <w:t>six</w:t>
            </w:r>
            <w:r w:rsidRPr="002542EA">
              <w:rPr>
                <w:rFonts w:cs="Arial"/>
                <w:sz w:val="20"/>
                <w:szCs w:val="20"/>
              </w:rPr>
              <w:t xml:space="preserve"> TISS grantees per year such that all grantees have focus groups at least once during the </w:t>
            </w:r>
            <w:r w:rsidR="00FF63E1">
              <w:rPr>
                <w:rFonts w:cs="Arial"/>
                <w:sz w:val="20"/>
                <w:szCs w:val="20"/>
              </w:rPr>
              <w:t>three</w:t>
            </w:r>
            <w:r w:rsidRPr="002542EA">
              <w:rPr>
                <w:rFonts w:cs="Arial"/>
                <w:sz w:val="20"/>
                <w:szCs w:val="20"/>
              </w:rPr>
              <w:t>-year data collection period</w:t>
            </w:r>
            <w:r>
              <w:rPr>
                <w:rFonts w:cs="Arial"/>
                <w:sz w:val="20"/>
                <w:szCs w:val="20"/>
              </w:rPr>
              <w:t>. Focus groups</w:t>
            </w:r>
            <w:r w:rsidRPr="00020E1C">
              <w:rPr>
                <w:rFonts w:cs="Arial"/>
                <w:sz w:val="20"/>
                <w:szCs w:val="20"/>
              </w:rPr>
              <w:t xml:space="preserve"> will include a purposive sample of up to 10 youth aged 14-18 (or older if appropriate)</w:t>
            </w:r>
            <w:r>
              <w:rPr>
                <w:rFonts w:cs="Arial"/>
                <w:sz w:val="20"/>
                <w:szCs w:val="20"/>
              </w:rPr>
              <w:t xml:space="preserve"> or 10 parents/family members of youth. The focus group is estimated to last 60-90 minutes. Focus </w:t>
            </w:r>
            <w:r w:rsidRPr="001C0273">
              <w:rPr>
                <w:rFonts w:cs="Arial"/>
                <w:sz w:val="20"/>
                <w:szCs w:val="20"/>
              </w:rPr>
              <w:t>groups</w:t>
            </w:r>
            <w:r>
              <w:rPr>
                <w:rFonts w:cs="Arial"/>
                <w:sz w:val="20"/>
                <w:szCs w:val="20"/>
              </w:rPr>
              <w:t xml:space="preserve"> will only be conducted with parental consent and youth assent after review of study information</w:t>
            </w:r>
            <w:r w:rsidRPr="00821B2B">
              <w:rPr>
                <w:rFonts w:cs="Arial"/>
                <w:sz w:val="20"/>
                <w:szCs w:val="20"/>
              </w:rPr>
              <w:t>. Focus group moderators will review the consent form and answer any questions before beginning the focus group.</w:t>
            </w:r>
            <w:r>
              <w:rPr>
                <w:rFonts w:cs="Arial"/>
                <w:sz w:val="20"/>
                <w:szCs w:val="20"/>
              </w:rPr>
              <w:t xml:space="preserve"> With participants’ permission, focus groups will be recorded and transcribed to support fact checking and to maintain the reliability and validity of the data.</w:t>
            </w:r>
          </w:p>
        </w:tc>
      </w:tr>
      <w:tr w14:paraId="4B57E207" w14:textId="77777777" w:rsidTr="003E2D6E">
        <w:tblPrEx>
          <w:tblW w:w="0" w:type="auto"/>
          <w:tblLook w:val="04A0"/>
        </w:tblPrEx>
        <w:tc>
          <w:tcPr>
            <w:tcW w:w="1150" w:type="dxa"/>
            <w:tcMar>
              <w:top w:w="14" w:type="dxa"/>
              <w:left w:w="58" w:type="dxa"/>
              <w:bottom w:w="14" w:type="dxa"/>
              <w:right w:w="58" w:type="dxa"/>
            </w:tcMar>
          </w:tcPr>
          <w:p w:rsidR="00AB4EEA" w:rsidRPr="00327D1F" w:rsidP="00AB4EEA" w14:paraId="344FD32E" w14:textId="6155CBE8">
            <w:pPr>
              <w:pStyle w:val="BodyText"/>
              <w:tabs>
                <w:tab w:val="left" w:pos="1563"/>
              </w:tabs>
              <w:rPr>
                <w:rFonts w:cs="Arial"/>
                <w:color w:val="181818"/>
                <w:sz w:val="20"/>
                <w:szCs w:val="20"/>
              </w:rPr>
            </w:pPr>
            <w:r>
              <w:rPr>
                <w:sz w:val="22"/>
                <w:szCs w:val="18"/>
              </w:rPr>
              <w:t>CPS</w:t>
            </w:r>
          </w:p>
        </w:tc>
        <w:tc>
          <w:tcPr>
            <w:tcW w:w="8200" w:type="dxa"/>
            <w:tcMar>
              <w:top w:w="14" w:type="dxa"/>
              <w:left w:w="58" w:type="dxa"/>
              <w:bottom w:w="14" w:type="dxa"/>
              <w:right w:w="58" w:type="dxa"/>
            </w:tcMar>
          </w:tcPr>
          <w:p w:rsidR="00AB4EEA" w:rsidRPr="00D45265" w:rsidP="00AB4EEA" w14:paraId="75655417" w14:textId="0EA5FDB0">
            <w:pPr>
              <w:pStyle w:val="GLSBody"/>
              <w:spacing w:after="0"/>
              <w:jc w:val="left"/>
              <w:rPr>
                <w:rFonts w:ascii="Arial" w:hAnsi="Arial" w:cs="Arial"/>
                <w:sz w:val="20"/>
                <w:szCs w:val="20"/>
              </w:rPr>
            </w:pPr>
            <w:r>
              <w:rPr>
                <w:rFonts w:ascii="Arial" w:hAnsi="Arial" w:cs="Arial"/>
                <w:sz w:val="20"/>
                <w:szCs w:val="20"/>
              </w:rPr>
              <w:t>One per year, g</w:t>
            </w:r>
            <w:r w:rsidR="004A427B">
              <w:rPr>
                <w:rFonts w:ascii="Arial" w:hAnsi="Arial" w:cs="Arial"/>
                <w:sz w:val="20"/>
                <w:szCs w:val="20"/>
              </w:rPr>
              <w:t xml:space="preserve">rantee staff will provide a list of </w:t>
            </w:r>
            <w:r w:rsidR="00522C27">
              <w:rPr>
                <w:rFonts w:ascii="Arial" w:hAnsi="Arial" w:cs="Arial"/>
                <w:sz w:val="20"/>
                <w:szCs w:val="20"/>
              </w:rPr>
              <w:t>names and email addresses for representatives of agencies or</w:t>
            </w:r>
            <w:r w:rsidR="00AF51D1">
              <w:rPr>
                <w:rFonts w:ascii="Arial" w:hAnsi="Arial" w:cs="Arial"/>
                <w:sz w:val="20"/>
                <w:szCs w:val="20"/>
              </w:rPr>
              <w:t xml:space="preserve"> </w:t>
            </w:r>
            <w:r w:rsidR="004042C6">
              <w:rPr>
                <w:rFonts w:ascii="Arial" w:hAnsi="Arial" w:cs="Arial"/>
                <w:sz w:val="20"/>
                <w:szCs w:val="20"/>
              </w:rPr>
              <w:t>organizations with which they partner for AWARE and/or TISS</w:t>
            </w:r>
            <w:r w:rsidR="00D30377">
              <w:rPr>
                <w:rFonts w:ascii="Arial" w:hAnsi="Arial" w:cs="Arial"/>
                <w:sz w:val="20"/>
                <w:szCs w:val="20"/>
              </w:rPr>
              <w:t xml:space="preserve">. </w:t>
            </w:r>
            <w:r w:rsidR="0065704D">
              <w:rPr>
                <w:rFonts w:ascii="Arial" w:hAnsi="Arial" w:cs="Arial"/>
                <w:sz w:val="20"/>
                <w:szCs w:val="20"/>
              </w:rPr>
              <w:t>The</w:t>
            </w:r>
            <w:r w:rsidR="002659F5">
              <w:rPr>
                <w:rFonts w:ascii="Arial" w:hAnsi="Arial" w:cs="Arial"/>
                <w:sz w:val="20"/>
                <w:szCs w:val="20"/>
              </w:rPr>
              <w:t xml:space="preserve">n </w:t>
            </w:r>
            <w:r w:rsidR="005756A9">
              <w:rPr>
                <w:rFonts w:ascii="Arial" w:hAnsi="Arial" w:cs="Arial"/>
                <w:sz w:val="20"/>
                <w:szCs w:val="20"/>
              </w:rPr>
              <w:t xml:space="preserve">a purposive sample of </w:t>
            </w:r>
            <w:r w:rsidR="00C749F7">
              <w:rPr>
                <w:rFonts w:ascii="Arial" w:hAnsi="Arial" w:cs="Arial"/>
                <w:sz w:val="20"/>
                <w:szCs w:val="20"/>
              </w:rPr>
              <w:t xml:space="preserve">six </w:t>
            </w:r>
            <w:r w:rsidR="003D65DB">
              <w:rPr>
                <w:rFonts w:ascii="Arial" w:hAnsi="Arial" w:cs="Arial"/>
                <w:sz w:val="20"/>
                <w:szCs w:val="20"/>
              </w:rPr>
              <w:t>individuals per AWARE grantee</w:t>
            </w:r>
            <w:r w:rsidR="00135AA7">
              <w:rPr>
                <w:rFonts w:ascii="Arial" w:hAnsi="Arial" w:cs="Arial"/>
                <w:sz w:val="20"/>
                <w:szCs w:val="20"/>
              </w:rPr>
              <w:t xml:space="preserve"> and three individuals per TISS grantee</w:t>
            </w:r>
            <w:r w:rsidR="003D65DB">
              <w:rPr>
                <w:rFonts w:ascii="Arial" w:hAnsi="Arial" w:cs="Arial"/>
                <w:sz w:val="20"/>
                <w:szCs w:val="20"/>
              </w:rPr>
              <w:t xml:space="preserve"> (e.g., </w:t>
            </w:r>
            <w:r w:rsidR="002659F5">
              <w:rPr>
                <w:rFonts w:ascii="Arial" w:hAnsi="Arial" w:cs="Arial"/>
                <w:sz w:val="20"/>
                <w:szCs w:val="20"/>
              </w:rPr>
              <w:t xml:space="preserve">grantee staff and </w:t>
            </w:r>
            <w:r w:rsidR="0065704D">
              <w:rPr>
                <w:rFonts w:ascii="Arial" w:hAnsi="Arial" w:cs="Arial"/>
                <w:sz w:val="20"/>
                <w:szCs w:val="20"/>
              </w:rPr>
              <w:t xml:space="preserve">identified </w:t>
            </w:r>
            <w:r w:rsidR="00C749F7">
              <w:rPr>
                <w:rFonts w:ascii="Arial" w:hAnsi="Arial" w:cs="Arial"/>
                <w:sz w:val="20"/>
                <w:szCs w:val="20"/>
              </w:rPr>
              <w:t xml:space="preserve">partner </w:t>
            </w:r>
            <w:r w:rsidR="0065704D">
              <w:rPr>
                <w:rFonts w:ascii="Arial" w:hAnsi="Arial" w:cs="Arial"/>
                <w:sz w:val="20"/>
                <w:szCs w:val="20"/>
              </w:rPr>
              <w:t>representatives</w:t>
            </w:r>
            <w:r w:rsidR="00753B3E">
              <w:rPr>
                <w:rFonts w:ascii="Arial" w:hAnsi="Arial" w:cs="Arial"/>
                <w:sz w:val="20"/>
                <w:szCs w:val="20"/>
              </w:rPr>
              <w:t xml:space="preserve"> who have </w:t>
            </w:r>
            <w:r w:rsidRPr="00592D5A" w:rsidR="00753B3E">
              <w:rPr>
                <w:rFonts w:ascii="Arial" w:hAnsi="Arial" w:cs="Arial"/>
                <w:sz w:val="20"/>
                <w:szCs w:val="20"/>
              </w:rPr>
              <w:t>agreed to participate</w:t>
            </w:r>
            <w:r w:rsidRPr="00592D5A" w:rsidR="003D65DB">
              <w:rPr>
                <w:rFonts w:ascii="Arial" w:hAnsi="Arial" w:cs="Arial"/>
                <w:sz w:val="20"/>
                <w:szCs w:val="20"/>
              </w:rPr>
              <w:t xml:space="preserve">) </w:t>
            </w:r>
            <w:r w:rsidRPr="00592D5A" w:rsidR="0065704D">
              <w:rPr>
                <w:rFonts w:ascii="Arial" w:hAnsi="Arial" w:cs="Arial"/>
                <w:sz w:val="20"/>
                <w:szCs w:val="20"/>
              </w:rPr>
              <w:t xml:space="preserve">will be </w:t>
            </w:r>
            <w:r w:rsidRPr="00592D5A" w:rsidR="00C62636">
              <w:rPr>
                <w:rFonts w:ascii="Arial" w:hAnsi="Arial" w:cs="Arial"/>
                <w:sz w:val="20"/>
                <w:szCs w:val="20"/>
              </w:rPr>
              <w:t xml:space="preserve">contacted by email </w:t>
            </w:r>
            <w:r w:rsidRPr="00592D5A" w:rsidR="00AA5B96">
              <w:rPr>
                <w:rFonts w:ascii="Arial" w:hAnsi="Arial" w:cs="Arial"/>
                <w:sz w:val="20"/>
                <w:szCs w:val="20"/>
              </w:rPr>
              <w:t>and provided a</w:t>
            </w:r>
            <w:r w:rsidRPr="00592D5A" w:rsidR="0065704D">
              <w:rPr>
                <w:rFonts w:ascii="Arial" w:hAnsi="Arial" w:cs="Arial"/>
                <w:sz w:val="20"/>
                <w:szCs w:val="20"/>
              </w:rPr>
              <w:t xml:space="preserve"> </w:t>
            </w:r>
            <w:r w:rsidRPr="00592D5A" w:rsidR="00904170">
              <w:rPr>
                <w:rFonts w:ascii="Arial" w:hAnsi="Arial" w:cs="Arial"/>
                <w:sz w:val="20"/>
                <w:szCs w:val="20"/>
              </w:rPr>
              <w:t xml:space="preserve">web </w:t>
            </w:r>
            <w:r w:rsidRPr="00592D5A" w:rsidR="00B46611">
              <w:rPr>
                <w:rFonts w:ascii="Arial" w:hAnsi="Arial" w:cs="Arial"/>
                <w:sz w:val="20"/>
                <w:szCs w:val="20"/>
              </w:rPr>
              <w:t>link</w:t>
            </w:r>
            <w:r w:rsidRPr="00592D5A" w:rsidR="0065704D">
              <w:rPr>
                <w:rFonts w:ascii="Arial" w:hAnsi="Arial" w:cs="Arial"/>
                <w:sz w:val="20"/>
                <w:szCs w:val="20"/>
              </w:rPr>
              <w:t xml:space="preserve"> to</w:t>
            </w:r>
            <w:r w:rsidRPr="00592D5A" w:rsidR="00B46611">
              <w:rPr>
                <w:rFonts w:ascii="Arial" w:hAnsi="Arial" w:cs="Arial"/>
                <w:sz w:val="20"/>
                <w:szCs w:val="20"/>
              </w:rPr>
              <w:t xml:space="preserve"> the electronic consent form and if they consent, </w:t>
            </w:r>
            <w:r w:rsidRPr="00592D5A" w:rsidR="00904170">
              <w:rPr>
                <w:rFonts w:ascii="Arial" w:hAnsi="Arial" w:cs="Arial"/>
                <w:sz w:val="20"/>
                <w:szCs w:val="20"/>
              </w:rPr>
              <w:t>will be directed to complete the web-based survey in ATODS.</w:t>
            </w:r>
            <w:r w:rsidR="00904170">
              <w:rPr>
                <w:rFonts w:cs="Arial"/>
                <w:sz w:val="20"/>
                <w:szCs w:val="20"/>
              </w:rPr>
              <w:t xml:space="preserve">   </w:t>
            </w:r>
          </w:p>
        </w:tc>
      </w:tr>
      <w:tr w14:paraId="59FA56B9" w14:textId="77777777" w:rsidTr="003E2D6E">
        <w:tblPrEx>
          <w:tblW w:w="0" w:type="auto"/>
          <w:tblLook w:val="04A0"/>
        </w:tblPrEx>
        <w:tc>
          <w:tcPr>
            <w:tcW w:w="1150" w:type="dxa"/>
            <w:tcMar>
              <w:top w:w="14" w:type="dxa"/>
              <w:left w:w="58" w:type="dxa"/>
              <w:bottom w:w="14" w:type="dxa"/>
              <w:right w:w="58" w:type="dxa"/>
            </w:tcMar>
          </w:tcPr>
          <w:p w:rsidR="00AB4EEA" w:rsidP="00AB4EEA" w14:paraId="05870123" w14:textId="337C5DCC">
            <w:pPr>
              <w:pStyle w:val="BodyText"/>
              <w:tabs>
                <w:tab w:val="left" w:pos="1563"/>
              </w:tabs>
              <w:rPr>
                <w:rFonts w:cs="Arial"/>
                <w:color w:val="181818"/>
                <w:sz w:val="20"/>
                <w:szCs w:val="20"/>
              </w:rPr>
            </w:pPr>
            <w:r>
              <w:rPr>
                <w:sz w:val="22"/>
                <w:szCs w:val="18"/>
              </w:rPr>
              <w:t>TSF</w:t>
            </w:r>
          </w:p>
        </w:tc>
        <w:tc>
          <w:tcPr>
            <w:tcW w:w="8200" w:type="dxa"/>
            <w:tcMar>
              <w:top w:w="14" w:type="dxa"/>
              <w:left w:w="58" w:type="dxa"/>
              <w:bottom w:w="14" w:type="dxa"/>
              <w:right w:w="58" w:type="dxa"/>
            </w:tcMar>
          </w:tcPr>
          <w:p w:rsidR="00AB4EEA" w:rsidP="00AB4EEA" w14:paraId="27433FFB" w14:textId="357E8622">
            <w:pPr>
              <w:pStyle w:val="GLSBody"/>
              <w:spacing w:after="0"/>
              <w:jc w:val="left"/>
              <w:rPr>
                <w:rFonts w:ascii="Arial" w:hAnsi="Arial" w:cs="Arial"/>
                <w:sz w:val="20"/>
                <w:szCs w:val="20"/>
              </w:rPr>
            </w:pPr>
            <w:r>
              <w:rPr>
                <w:rFonts w:ascii="Arial" w:hAnsi="Arial" w:cs="Arial"/>
                <w:sz w:val="20"/>
                <w:szCs w:val="20"/>
              </w:rPr>
              <w:t xml:space="preserve">Grantee staff responsible for training events will be asked to complete </w:t>
            </w:r>
            <w:r w:rsidR="008021B4">
              <w:rPr>
                <w:rFonts w:ascii="Arial" w:hAnsi="Arial" w:cs="Arial"/>
                <w:sz w:val="20"/>
                <w:szCs w:val="20"/>
              </w:rPr>
              <w:t>a brief</w:t>
            </w:r>
            <w:r>
              <w:rPr>
                <w:rFonts w:ascii="Arial" w:hAnsi="Arial" w:cs="Arial"/>
                <w:sz w:val="20"/>
                <w:szCs w:val="20"/>
              </w:rPr>
              <w:t xml:space="preserve"> TSF </w:t>
            </w:r>
            <w:r w:rsidR="004F668D">
              <w:rPr>
                <w:rFonts w:ascii="Arial" w:hAnsi="Arial" w:cs="Arial"/>
                <w:sz w:val="20"/>
                <w:szCs w:val="20"/>
              </w:rPr>
              <w:t xml:space="preserve">form </w:t>
            </w:r>
            <w:r w:rsidR="00D638D2">
              <w:rPr>
                <w:rFonts w:ascii="Arial" w:hAnsi="Arial" w:cs="Arial"/>
                <w:sz w:val="20"/>
                <w:szCs w:val="20"/>
              </w:rPr>
              <w:t>in ATODS</w:t>
            </w:r>
            <w:r w:rsidR="000514FA">
              <w:rPr>
                <w:rFonts w:ascii="Arial" w:hAnsi="Arial" w:cs="Arial"/>
                <w:sz w:val="20"/>
                <w:szCs w:val="20"/>
              </w:rPr>
              <w:t xml:space="preserve"> </w:t>
            </w:r>
            <w:r w:rsidR="004F668D">
              <w:rPr>
                <w:rFonts w:ascii="Arial" w:hAnsi="Arial" w:cs="Arial"/>
                <w:sz w:val="20"/>
                <w:szCs w:val="20"/>
              </w:rPr>
              <w:t xml:space="preserve">at least one month in advance of training events, to allow </w:t>
            </w:r>
            <w:r w:rsidR="000F4DB0">
              <w:rPr>
                <w:rFonts w:ascii="Arial" w:hAnsi="Arial" w:cs="Arial"/>
                <w:sz w:val="20"/>
                <w:szCs w:val="20"/>
              </w:rPr>
              <w:t xml:space="preserve">questions on the PFF to be tailored based on the training objectives. </w:t>
            </w:r>
            <w:r w:rsidR="00283A1E">
              <w:rPr>
                <w:rFonts w:ascii="Arial" w:hAnsi="Arial" w:cs="Arial"/>
                <w:sz w:val="20"/>
                <w:szCs w:val="20"/>
              </w:rPr>
              <w:t>After the training is completed</w:t>
            </w:r>
            <w:r w:rsidR="009F467F">
              <w:rPr>
                <w:rFonts w:ascii="Arial" w:hAnsi="Arial" w:cs="Arial"/>
                <w:sz w:val="20"/>
                <w:szCs w:val="20"/>
              </w:rPr>
              <w:t xml:space="preserve">, grantee staff will be asked to update the training form if the length of training or number of participants </w:t>
            </w:r>
            <w:r w:rsidR="003F442F">
              <w:rPr>
                <w:rFonts w:ascii="Arial" w:hAnsi="Arial" w:cs="Arial"/>
                <w:sz w:val="20"/>
                <w:szCs w:val="20"/>
              </w:rPr>
              <w:t>was different than planned and reported in the TSF when submitted prior to the training.</w:t>
            </w:r>
            <w:r w:rsidR="00692BC6">
              <w:rPr>
                <w:rFonts w:ascii="Arial" w:hAnsi="Arial" w:cs="Arial"/>
                <w:sz w:val="20"/>
                <w:szCs w:val="20"/>
              </w:rPr>
              <w:t xml:space="preserve"> </w:t>
            </w:r>
          </w:p>
        </w:tc>
      </w:tr>
      <w:tr w14:paraId="1839E4E0" w14:textId="77777777" w:rsidTr="003E2D6E">
        <w:tblPrEx>
          <w:tblW w:w="0" w:type="auto"/>
          <w:tblLook w:val="04A0"/>
        </w:tblPrEx>
        <w:trPr>
          <w:trHeight w:val="327"/>
        </w:trPr>
        <w:tc>
          <w:tcPr>
            <w:tcW w:w="1150" w:type="dxa"/>
            <w:tcMar>
              <w:top w:w="14" w:type="dxa"/>
              <w:left w:w="58" w:type="dxa"/>
              <w:bottom w:w="14" w:type="dxa"/>
              <w:right w:w="58" w:type="dxa"/>
            </w:tcMar>
          </w:tcPr>
          <w:p w:rsidR="00090D04" w:rsidP="00AB4EEA" w14:paraId="23470576" w14:textId="42F9304A">
            <w:pPr>
              <w:pStyle w:val="BodyText"/>
              <w:tabs>
                <w:tab w:val="left" w:pos="1563"/>
              </w:tabs>
              <w:rPr>
                <w:sz w:val="22"/>
                <w:szCs w:val="18"/>
              </w:rPr>
            </w:pPr>
            <w:r>
              <w:rPr>
                <w:sz w:val="22"/>
                <w:szCs w:val="18"/>
              </w:rPr>
              <w:t>APPTS</w:t>
            </w:r>
          </w:p>
          <w:p w:rsidR="00090D04" w:rsidP="00AB4EEA" w14:paraId="71BCAFA4" w14:textId="6CBE6A9C">
            <w:pPr>
              <w:pStyle w:val="BodyText"/>
              <w:tabs>
                <w:tab w:val="left" w:pos="1563"/>
              </w:tabs>
              <w:rPr>
                <w:sz w:val="22"/>
                <w:szCs w:val="18"/>
              </w:rPr>
            </w:pPr>
            <w:r>
              <w:rPr>
                <w:sz w:val="22"/>
                <w:szCs w:val="18"/>
              </w:rPr>
              <w:t>TPPTS</w:t>
            </w:r>
          </w:p>
          <w:p w:rsidR="00120CDA" w:rsidP="00120CDA" w14:paraId="6501D325" w14:textId="77777777">
            <w:pPr>
              <w:pStyle w:val="BodyText"/>
              <w:tabs>
                <w:tab w:val="left" w:pos="1563"/>
              </w:tabs>
              <w:rPr>
                <w:sz w:val="22"/>
                <w:szCs w:val="18"/>
              </w:rPr>
            </w:pPr>
            <w:r>
              <w:rPr>
                <w:sz w:val="22"/>
                <w:szCs w:val="18"/>
              </w:rPr>
              <w:t>PFF</w:t>
            </w:r>
          </w:p>
          <w:p w:rsidR="00AB4EEA" w:rsidP="00AB4EEA" w14:paraId="73DDEF8A" w14:textId="4EA68335">
            <w:pPr>
              <w:pStyle w:val="BodyText"/>
              <w:tabs>
                <w:tab w:val="left" w:pos="1563"/>
              </w:tabs>
              <w:rPr>
                <w:rFonts w:cs="Arial"/>
                <w:color w:val="181818"/>
                <w:sz w:val="20"/>
                <w:szCs w:val="20"/>
              </w:rPr>
            </w:pPr>
            <w:r>
              <w:rPr>
                <w:rFonts w:cs="Arial"/>
                <w:color w:val="181818"/>
                <w:sz w:val="20"/>
                <w:szCs w:val="20"/>
              </w:rPr>
              <w:t>WFS</w:t>
            </w:r>
          </w:p>
        </w:tc>
        <w:tc>
          <w:tcPr>
            <w:tcW w:w="8200" w:type="dxa"/>
            <w:tcMar>
              <w:top w:w="14" w:type="dxa"/>
              <w:left w:w="58" w:type="dxa"/>
              <w:bottom w:w="14" w:type="dxa"/>
              <w:right w:w="58" w:type="dxa"/>
            </w:tcMar>
          </w:tcPr>
          <w:p w:rsidR="00AB4EEA" w:rsidP="00AB4EEA" w14:paraId="243B7666" w14:textId="4D7353ED">
            <w:pPr>
              <w:pStyle w:val="GLSBody"/>
              <w:spacing w:after="0"/>
              <w:jc w:val="left"/>
              <w:rPr>
                <w:rFonts w:ascii="Arial" w:hAnsi="Arial" w:cs="Arial"/>
                <w:sz w:val="20"/>
                <w:szCs w:val="20"/>
              </w:rPr>
            </w:pPr>
            <w:r w:rsidRPr="00FD2F14">
              <w:rPr>
                <w:rFonts w:ascii="Arial" w:eastAsia="Arial" w:hAnsi="Arial" w:cstheme="minorBidi"/>
                <w:sz w:val="20"/>
                <w:szCs w:val="20"/>
              </w:rPr>
              <w:t xml:space="preserve">During training events, all participants will be asked to complete </w:t>
            </w:r>
            <w:r w:rsidRPr="00FD2F14" w:rsidR="00FC4E29">
              <w:rPr>
                <w:rFonts w:ascii="Arial" w:eastAsia="Arial" w:hAnsi="Arial" w:cstheme="minorBidi"/>
                <w:sz w:val="20"/>
                <w:szCs w:val="20"/>
              </w:rPr>
              <w:t>either the APPTS or TPPTS</w:t>
            </w:r>
            <w:r w:rsidRPr="00FD2F14">
              <w:rPr>
                <w:rFonts w:ascii="Arial" w:eastAsia="Arial" w:hAnsi="Arial" w:cstheme="minorBidi"/>
                <w:sz w:val="20"/>
                <w:szCs w:val="20"/>
              </w:rPr>
              <w:t>. The survey</w:t>
            </w:r>
            <w:r w:rsidRPr="00FD2F14" w:rsidR="00AB7DD5">
              <w:rPr>
                <w:rFonts w:ascii="Arial" w:eastAsia="Arial" w:hAnsi="Arial" w:cstheme="minorBidi"/>
                <w:sz w:val="20"/>
                <w:szCs w:val="20"/>
              </w:rPr>
              <w:t>s</w:t>
            </w:r>
            <w:r w:rsidRPr="00FD2F14">
              <w:rPr>
                <w:rFonts w:ascii="Arial" w:eastAsia="Arial" w:hAnsi="Arial" w:cstheme="minorBidi"/>
                <w:sz w:val="20"/>
                <w:szCs w:val="20"/>
              </w:rPr>
              <w:t xml:space="preserve"> will be administered electronically (via URL or QR code at the time of the training). If a trainer is unable to administer the survey form electronically, or a trainee does not have access to a mobile device or computer, they may also complete the survey</w:t>
            </w:r>
            <w:r w:rsidRPr="00FD2F14" w:rsidR="005E6A85">
              <w:rPr>
                <w:rFonts w:ascii="Arial" w:eastAsia="Arial" w:hAnsi="Arial" w:cstheme="minorBidi"/>
                <w:sz w:val="20"/>
                <w:szCs w:val="20"/>
              </w:rPr>
              <w:t>s</w:t>
            </w:r>
            <w:r w:rsidRPr="00FD2F14">
              <w:rPr>
                <w:rFonts w:ascii="Arial" w:eastAsia="Arial" w:hAnsi="Arial" w:cstheme="minorBidi"/>
                <w:sz w:val="20"/>
                <w:szCs w:val="20"/>
              </w:rPr>
              <w:t xml:space="preserve"> on paper. The grantee will submit this information to ICF, through direct data entry into </w:t>
            </w:r>
            <w:r w:rsidRPr="000468DC">
              <w:rPr>
                <w:rFonts w:ascii="Arial" w:eastAsia="Arial" w:hAnsi="Arial" w:cstheme="minorBidi"/>
                <w:sz w:val="20"/>
                <w:szCs w:val="20"/>
              </w:rPr>
              <w:t>the</w:t>
            </w:r>
            <w:r w:rsidRPr="000468DC" w:rsidR="00A44E5D">
              <w:rPr>
                <w:rFonts w:ascii="Arial" w:eastAsia="Arial" w:hAnsi="Arial" w:cstheme="minorBidi"/>
                <w:sz w:val="20"/>
                <w:szCs w:val="20"/>
              </w:rPr>
              <w:t xml:space="preserve"> ATODS</w:t>
            </w:r>
            <w:r w:rsidRPr="000468DC">
              <w:rPr>
                <w:rFonts w:ascii="Arial" w:eastAsia="Arial" w:hAnsi="Arial" w:cstheme="minorBidi"/>
                <w:sz w:val="20"/>
                <w:szCs w:val="20"/>
              </w:rPr>
              <w:t>,</w:t>
            </w:r>
            <w:r w:rsidRPr="00FD2F14">
              <w:rPr>
                <w:rFonts w:ascii="Arial" w:eastAsia="Arial" w:hAnsi="Arial" w:cstheme="minorBidi"/>
                <w:sz w:val="20"/>
                <w:szCs w:val="20"/>
              </w:rPr>
              <w:t xml:space="preserve"> within </w:t>
            </w:r>
            <w:r w:rsidR="00251572">
              <w:rPr>
                <w:rFonts w:ascii="Arial" w:eastAsia="Arial" w:hAnsi="Arial" w:cstheme="minorBidi"/>
                <w:sz w:val="20"/>
                <w:szCs w:val="20"/>
              </w:rPr>
              <w:t>two</w:t>
            </w:r>
            <w:r w:rsidRPr="00FD2F14">
              <w:rPr>
                <w:rFonts w:ascii="Arial" w:eastAsia="Arial" w:hAnsi="Arial" w:cstheme="minorBidi"/>
                <w:sz w:val="20"/>
                <w:szCs w:val="20"/>
              </w:rPr>
              <w:t xml:space="preserve"> weeks of the training event. The </w:t>
            </w:r>
            <w:r w:rsidRPr="00FD2F14" w:rsidR="00A44E5D">
              <w:rPr>
                <w:rFonts w:ascii="Arial" w:eastAsia="Arial" w:hAnsi="Arial" w:cstheme="minorBidi"/>
                <w:sz w:val="20"/>
                <w:szCs w:val="20"/>
              </w:rPr>
              <w:t xml:space="preserve">APPTS and TPPTS </w:t>
            </w:r>
            <w:r w:rsidRPr="00FD2F14">
              <w:rPr>
                <w:rFonts w:ascii="Arial" w:eastAsia="Arial" w:hAnsi="Arial" w:cstheme="minorBidi"/>
                <w:sz w:val="20"/>
                <w:szCs w:val="20"/>
              </w:rPr>
              <w:t xml:space="preserve">include a consent to contact </w:t>
            </w:r>
            <w:r w:rsidR="005739F8">
              <w:rPr>
                <w:rFonts w:ascii="Arial" w:eastAsia="Arial" w:hAnsi="Arial" w:cstheme="minorBidi"/>
                <w:sz w:val="20"/>
                <w:szCs w:val="20"/>
              </w:rPr>
              <w:t>question</w:t>
            </w:r>
            <w:r w:rsidRPr="00FD2F14">
              <w:rPr>
                <w:rFonts w:ascii="Arial" w:eastAsia="Arial" w:hAnsi="Arial" w:cstheme="minorBidi"/>
                <w:sz w:val="20"/>
                <w:szCs w:val="20"/>
              </w:rPr>
              <w:t xml:space="preserve"> indicating their willingness to be contacted to participate in </w:t>
            </w:r>
            <w:r w:rsidR="006E21F9">
              <w:rPr>
                <w:rFonts w:ascii="Arial" w:eastAsia="Arial" w:hAnsi="Arial" w:cstheme="minorBidi"/>
                <w:sz w:val="20"/>
                <w:szCs w:val="20"/>
              </w:rPr>
              <w:t>subsequent surveys (</w:t>
            </w:r>
            <w:r w:rsidRPr="00FD2F14">
              <w:rPr>
                <w:rFonts w:ascii="Arial" w:eastAsia="Arial" w:hAnsi="Arial" w:cstheme="minorBidi"/>
                <w:sz w:val="20"/>
                <w:szCs w:val="20"/>
              </w:rPr>
              <w:t xml:space="preserve">the </w:t>
            </w:r>
            <w:r w:rsidR="00075483">
              <w:rPr>
                <w:rFonts w:ascii="Arial" w:eastAsia="Arial" w:hAnsi="Arial" w:cstheme="minorBidi"/>
                <w:sz w:val="20"/>
                <w:szCs w:val="20"/>
              </w:rPr>
              <w:t xml:space="preserve">PFF and </w:t>
            </w:r>
            <w:r w:rsidRPr="00FD2F14" w:rsidR="005B0954">
              <w:rPr>
                <w:rFonts w:ascii="Arial" w:eastAsia="Arial" w:hAnsi="Arial" w:cstheme="minorBidi"/>
                <w:sz w:val="20"/>
                <w:szCs w:val="20"/>
              </w:rPr>
              <w:t>WFS</w:t>
            </w:r>
            <w:r w:rsidR="00075483">
              <w:rPr>
                <w:rFonts w:ascii="Arial" w:eastAsia="Arial" w:hAnsi="Arial" w:cstheme="minorBidi"/>
                <w:sz w:val="20"/>
                <w:szCs w:val="20"/>
              </w:rPr>
              <w:t>)</w:t>
            </w:r>
            <w:r w:rsidRPr="00FD2F14">
              <w:rPr>
                <w:rFonts w:ascii="Arial" w:eastAsia="Arial" w:hAnsi="Arial" w:cstheme="minorBidi"/>
                <w:sz w:val="20"/>
                <w:szCs w:val="20"/>
              </w:rPr>
              <w:t>. Once consent</w:t>
            </w:r>
            <w:r w:rsidR="00D12F66">
              <w:rPr>
                <w:rFonts w:ascii="Arial" w:eastAsia="Arial" w:hAnsi="Arial" w:cstheme="minorBidi"/>
                <w:sz w:val="20"/>
                <w:szCs w:val="20"/>
              </w:rPr>
              <w:t>-</w:t>
            </w:r>
            <w:r w:rsidRPr="00FD2F14">
              <w:rPr>
                <w:rFonts w:ascii="Arial" w:eastAsia="Arial" w:hAnsi="Arial" w:cstheme="minorBidi"/>
                <w:sz w:val="20"/>
                <w:szCs w:val="20"/>
              </w:rPr>
              <w:t>to</w:t>
            </w:r>
            <w:r w:rsidR="00D12F66">
              <w:rPr>
                <w:rFonts w:ascii="Arial" w:eastAsia="Arial" w:hAnsi="Arial" w:cstheme="minorBidi"/>
                <w:sz w:val="20"/>
                <w:szCs w:val="20"/>
              </w:rPr>
              <w:t>-</w:t>
            </w:r>
            <w:r w:rsidRPr="00FD2F14">
              <w:rPr>
                <w:rFonts w:ascii="Arial" w:eastAsia="Arial" w:hAnsi="Arial" w:cstheme="minorBidi"/>
                <w:sz w:val="20"/>
                <w:szCs w:val="20"/>
              </w:rPr>
              <w:t>contact has been received,</w:t>
            </w:r>
            <w:r w:rsidR="00075483">
              <w:rPr>
                <w:rFonts w:ascii="Arial" w:eastAsia="Arial" w:hAnsi="Arial" w:cstheme="minorBidi"/>
                <w:sz w:val="20"/>
                <w:szCs w:val="20"/>
              </w:rPr>
              <w:t xml:space="preserve"> participants who consent to participate in </w:t>
            </w:r>
            <w:r w:rsidR="00A51962">
              <w:rPr>
                <w:rFonts w:ascii="Arial" w:eastAsia="Arial" w:hAnsi="Arial" w:cstheme="minorBidi"/>
                <w:sz w:val="20"/>
                <w:szCs w:val="20"/>
              </w:rPr>
              <w:t xml:space="preserve">subsequent surveys will receive a link to the PFF on the device </w:t>
            </w:r>
            <w:r w:rsidR="00A32E89">
              <w:rPr>
                <w:rFonts w:ascii="Arial" w:eastAsia="Arial" w:hAnsi="Arial" w:cstheme="minorBidi"/>
                <w:sz w:val="20"/>
                <w:szCs w:val="20"/>
              </w:rPr>
              <w:t>where they completed the post-survey and sent to the email address they provided.</w:t>
            </w:r>
            <w:r w:rsidR="00075483">
              <w:rPr>
                <w:rFonts w:ascii="Arial" w:eastAsia="Arial" w:hAnsi="Arial" w:cstheme="minorBidi"/>
                <w:sz w:val="20"/>
                <w:szCs w:val="20"/>
              </w:rPr>
              <w:t xml:space="preserve"> Following the training,</w:t>
            </w:r>
            <w:r w:rsidRPr="00FD2F14">
              <w:rPr>
                <w:rFonts w:ascii="Arial" w:eastAsia="Arial" w:hAnsi="Arial" w:cstheme="minorBidi"/>
                <w:sz w:val="20"/>
                <w:szCs w:val="20"/>
              </w:rPr>
              <w:t xml:space="preserve"> ICF will contact a random sample of respondents for the </w:t>
            </w:r>
            <w:r w:rsidRPr="00FD2F14" w:rsidR="00DB2A79">
              <w:rPr>
                <w:rFonts w:ascii="Arial" w:eastAsia="Arial" w:hAnsi="Arial" w:cstheme="minorBidi"/>
                <w:sz w:val="20"/>
                <w:szCs w:val="20"/>
              </w:rPr>
              <w:t>WFS</w:t>
            </w:r>
            <w:r w:rsidRPr="00FD2F14" w:rsidR="00883780">
              <w:rPr>
                <w:rFonts w:ascii="Arial" w:eastAsia="Arial" w:hAnsi="Arial" w:cstheme="minorBidi"/>
                <w:sz w:val="20"/>
                <w:szCs w:val="20"/>
              </w:rPr>
              <w:t xml:space="preserve"> a</w:t>
            </w:r>
            <w:r w:rsidRPr="00FD2F14" w:rsidR="008A4CD3">
              <w:rPr>
                <w:rFonts w:ascii="Arial" w:eastAsia="Arial" w:hAnsi="Arial" w:cstheme="minorBidi"/>
                <w:sz w:val="20"/>
                <w:szCs w:val="20"/>
              </w:rPr>
              <w:t xml:space="preserve">t </w:t>
            </w:r>
            <w:r w:rsidR="00251572">
              <w:rPr>
                <w:rFonts w:ascii="Arial" w:eastAsia="Arial" w:hAnsi="Arial" w:cstheme="minorBidi"/>
                <w:sz w:val="20"/>
                <w:szCs w:val="20"/>
              </w:rPr>
              <w:t>three</w:t>
            </w:r>
            <w:r w:rsidR="00596F30">
              <w:rPr>
                <w:rFonts w:ascii="Arial" w:eastAsia="Arial" w:hAnsi="Arial" w:cstheme="minorBidi"/>
                <w:sz w:val="20"/>
                <w:szCs w:val="20"/>
              </w:rPr>
              <w:t>-</w:t>
            </w:r>
            <w:r w:rsidRPr="00FD2F14" w:rsidR="008A4CD3">
              <w:rPr>
                <w:rFonts w:ascii="Arial" w:eastAsia="Arial" w:hAnsi="Arial" w:cstheme="minorBidi"/>
                <w:sz w:val="20"/>
                <w:szCs w:val="20"/>
              </w:rPr>
              <w:t>months and 12</w:t>
            </w:r>
            <w:r w:rsidR="00596F30">
              <w:rPr>
                <w:rFonts w:ascii="Arial" w:eastAsia="Arial" w:hAnsi="Arial" w:cstheme="minorBidi"/>
                <w:sz w:val="20"/>
                <w:szCs w:val="20"/>
              </w:rPr>
              <w:t>-</w:t>
            </w:r>
            <w:r w:rsidRPr="00FD2F14" w:rsidR="008A4CD3">
              <w:rPr>
                <w:rFonts w:ascii="Arial" w:eastAsia="Arial" w:hAnsi="Arial" w:cstheme="minorBidi"/>
                <w:sz w:val="20"/>
                <w:szCs w:val="20"/>
              </w:rPr>
              <w:t>months following the training</w:t>
            </w:r>
            <w:r w:rsidR="00D050A6">
              <w:rPr>
                <w:rFonts w:ascii="Arial" w:eastAsia="Arial" w:hAnsi="Arial" w:cstheme="minorBidi"/>
                <w:sz w:val="20"/>
                <w:szCs w:val="20"/>
              </w:rPr>
              <w:t xml:space="preserve"> (approximately 50% of those who have completed the APPTS or TPPTS)</w:t>
            </w:r>
            <w:r w:rsidRPr="00FD2F14">
              <w:rPr>
                <w:rFonts w:ascii="Arial" w:eastAsia="Arial" w:hAnsi="Arial" w:cstheme="minorBidi"/>
                <w:sz w:val="20"/>
                <w:szCs w:val="20"/>
              </w:rPr>
              <w:t>.</w:t>
            </w:r>
          </w:p>
        </w:tc>
      </w:tr>
      <w:tr w14:paraId="57DCC83F" w14:textId="77777777" w:rsidTr="00B4758D">
        <w:tblPrEx>
          <w:tblW w:w="0" w:type="auto"/>
          <w:tblLook w:val="04A0"/>
        </w:tblPrEx>
        <w:trPr>
          <w:trHeight w:val="4422"/>
        </w:trPr>
        <w:tc>
          <w:tcPr>
            <w:tcW w:w="1150" w:type="dxa"/>
            <w:tcMar>
              <w:top w:w="14" w:type="dxa"/>
              <w:left w:w="58" w:type="dxa"/>
              <w:bottom w:w="14" w:type="dxa"/>
              <w:right w:w="58" w:type="dxa"/>
            </w:tcMar>
          </w:tcPr>
          <w:p w:rsidR="00571644" w:rsidRPr="00C468D7" w:rsidP="00AB4EEA" w14:paraId="03D82675" w14:textId="77777777">
            <w:pPr>
              <w:pStyle w:val="BodyText"/>
              <w:tabs>
                <w:tab w:val="left" w:pos="1563"/>
              </w:tabs>
              <w:rPr>
                <w:rFonts w:cs="Arial"/>
                <w:color w:val="181818"/>
                <w:sz w:val="20"/>
                <w:szCs w:val="20"/>
              </w:rPr>
            </w:pPr>
            <w:r w:rsidRPr="00C468D7">
              <w:rPr>
                <w:sz w:val="22"/>
                <w:szCs w:val="18"/>
              </w:rPr>
              <w:t>PCSS</w:t>
            </w:r>
          </w:p>
          <w:p w:rsidR="00571644" w:rsidRPr="00C468D7" w:rsidP="00AB4EEA" w14:paraId="164814FF" w14:textId="77777777">
            <w:pPr>
              <w:pStyle w:val="BodyText"/>
              <w:tabs>
                <w:tab w:val="left" w:pos="1563"/>
              </w:tabs>
              <w:rPr>
                <w:rFonts w:cs="Arial"/>
                <w:color w:val="181818"/>
                <w:sz w:val="20"/>
                <w:szCs w:val="20"/>
              </w:rPr>
            </w:pPr>
            <w:r w:rsidRPr="00C468D7">
              <w:rPr>
                <w:sz w:val="22"/>
                <w:szCs w:val="18"/>
              </w:rPr>
              <w:t>STCSS</w:t>
            </w:r>
          </w:p>
          <w:p w:rsidR="00571644" w:rsidRPr="00226964" w:rsidP="00AB4EEA" w14:paraId="3FA80443" w14:textId="665A40D8">
            <w:pPr>
              <w:pStyle w:val="BodyText"/>
              <w:tabs>
                <w:tab w:val="left" w:pos="1563"/>
              </w:tabs>
              <w:rPr>
                <w:rFonts w:cs="Arial"/>
                <w:color w:val="181818"/>
                <w:sz w:val="20"/>
                <w:szCs w:val="20"/>
                <w:highlight w:val="green"/>
              </w:rPr>
            </w:pPr>
            <w:r w:rsidRPr="00C468D7">
              <w:rPr>
                <w:sz w:val="22"/>
                <w:szCs w:val="18"/>
              </w:rPr>
              <w:t>SSCSS</w:t>
            </w:r>
          </w:p>
        </w:tc>
        <w:tc>
          <w:tcPr>
            <w:tcW w:w="8200" w:type="dxa"/>
            <w:tcMar>
              <w:top w:w="14" w:type="dxa"/>
              <w:left w:w="58" w:type="dxa"/>
              <w:bottom w:w="14" w:type="dxa"/>
              <w:right w:w="58" w:type="dxa"/>
            </w:tcMar>
          </w:tcPr>
          <w:p w:rsidR="00571644" w:rsidRPr="00414959" w:rsidP="00AB4EEA" w14:paraId="3C71848D" w14:textId="094CE968">
            <w:pPr>
              <w:pStyle w:val="GLSBody"/>
              <w:spacing w:after="0"/>
              <w:jc w:val="left"/>
              <w:rPr>
                <w:rFonts w:ascii="Arial" w:hAnsi="Arial" w:cs="Arial"/>
                <w:sz w:val="20"/>
                <w:szCs w:val="20"/>
              </w:rPr>
            </w:pPr>
            <w:r>
              <w:rPr>
                <w:rFonts w:ascii="Arial" w:hAnsi="Arial" w:cs="Arial"/>
                <w:sz w:val="20"/>
                <w:szCs w:val="20"/>
              </w:rPr>
              <w:t xml:space="preserve">In Year </w:t>
            </w:r>
            <w:r w:rsidR="00596F30">
              <w:rPr>
                <w:rFonts w:ascii="Arial" w:hAnsi="Arial" w:cs="Arial"/>
                <w:sz w:val="20"/>
                <w:szCs w:val="20"/>
              </w:rPr>
              <w:t>One</w:t>
            </w:r>
            <w:r>
              <w:rPr>
                <w:rFonts w:ascii="Arial" w:hAnsi="Arial" w:cs="Arial"/>
                <w:sz w:val="20"/>
                <w:szCs w:val="20"/>
              </w:rPr>
              <w:t xml:space="preserve"> and Year </w:t>
            </w:r>
            <w:r w:rsidR="00596F30">
              <w:rPr>
                <w:rFonts w:ascii="Arial" w:hAnsi="Arial" w:cs="Arial"/>
                <w:sz w:val="20"/>
                <w:szCs w:val="20"/>
              </w:rPr>
              <w:t>Three</w:t>
            </w:r>
            <w:r>
              <w:rPr>
                <w:rFonts w:ascii="Arial" w:hAnsi="Arial" w:cs="Arial"/>
                <w:sz w:val="20"/>
                <w:szCs w:val="20"/>
              </w:rPr>
              <w:t xml:space="preserve"> of the evaluation data collection period, grantee staff will coordinate with partner </w:t>
            </w:r>
            <w:r w:rsidR="00BB5E12">
              <w:rPr>
                <w:rFonts w:ascii="Arial" w:hAnsi="Arial" w:cs="Arial"/>
                <w:sz w:val="20"/>
                <w:szCs w:val="20"/>
              </w:rPr>
              <w:t>l</w:t>
            </w:r>
            <w:r w:rsidR="00B60B6C">
              <w:rPr>
                <w:rFonts w:ascii="Arial" w:hAnsi="Arial" w:cs="Arial"/>
                <w:sz w:val="20"/>
                <w:szCs w:val="20"/>
              </w:rPr>
              <w:t xml:space="preserve">ocal </w:t>
            </w:r>
            <w:r w:rsidR="00BB5E12">
              <w:rPr>
                <w:rFonts w:ascii="Arial" w:hAnsi="Arial" w:cs="Arial"/>
                <w:sz w:val="20"/>
                <w:szCs w:val="20"/>
              </w:rPr>
              <w:t>e</w:t>
            </w:r>
            <w:r w:rsidR="00B60B6C">
              <w:rPr>
                <w:rFonts w:ascii="Arial" w:hAnsi="Arial" w:cs="Arial"/>
                <w:sz w:val="20"/>
                <w:szCs w:val="20"/>
              </w:rPr>
              <w:t xml:space="preserve">ducation </w:t>
            </w:r>
            <w:r w:rsidR="00BB5E12">
              <w:rPr>
                <w:rFonts w:ascii="Arial" w:hAnsi="Arial" w:cs="Arial"/>
                <w:sz w:val="20"/>
                <w:szCs w:val="20"/>
              </w:rPr>
              <w:t>a</w:t>
            </w:r>
            <w:r w:rsidR="00E0528F">
              <w:rPr>
                <w:rFonts w:ascii="Arial" w:hAnsi="Arial" w:cs="Arial"/>
                <w:sz w:val="20"/>
                <w:szCs w:val="20"/>
              </w:rPr>
              <w:t>gencies (</w:t>
            </w:r>
            <w:r>
              <w:rPr>
                <w:rFonts w:ascii="Arial" w:hAnsi="Arial" w:cs="Arial"/>
                <w:sz w:val="20"/>
                <w:szCs w:val="20"/>
              </w:rPr>
              <w:t>LEAs</w:t>
            </w:r>
            <w:r w:rsidR="00E0528F">
              <w:rPr>
                <w:rFonts w:ascii="Arial" w:hAnsi="Arial" w:cs="Arial"/>
                <w:sz w:val="20"/>
                <w:szCs w:val="20"/>
              </w:rPr>
              <w:t>)</w:t>
            </w:r>
            <w:r>
              <w:rPr>
                <w:rFonts w:ascii="Arial" w:hAnsi="Arial" w:cs="Arial"/>
                <w:sz w:val="20"/>
                <w:szCs w:val="20"/>
              </w:rPr>
              <w:t xml:space="preserve"> to provide a list of names and email addresses of six high school students and six parents (per grantee) from an identified priority school</w:t>
            </w:r>
            <w:r w:rsidR="009D575E">
              <w:rPr>
                <w:rFonts w:ascii="Arial" w:hAnsi="Arial" w:cs="Arial"/>
                <w:sz w:val="20"/>
                <w:szCs w:val="20"/>
              </w:rPr>
              <w:t xml:space="preserve"> who</w:t>
            </w:r>
            <w:r w:rsidR="00DC400F">
              <w:rPr>
                <w:rFonts w:ascii="Arial" w:hAnsi="Arial" w:cs="Arial"/>
                <w:sz w:val="20"/>
                <w:szCs w:val="20"/>
              </w:rPr>
              <w:t xml:space="preserve"> are interested in participating</w:t>
            </w:r>
            <w:r>
              <w:rPr>
                <w:rFonts w:ascii="Arial" w:hAnsi="Arial" w:cs="Arial"/>
                <w:sz w:val="20"/>
                <w:szCs w:val="20"/>
              </w:rPr>
              <w:t xml:space="preserve">. </w:t>
            </w:r>
            <w:r w:rsidRPr="00414959">
              <w:rPr>
                <w:rFonts w:ascii="Arial" w:hAnsi="Arial" w:cs="Arial"/>
                <w:sz w:val="20"/>
                <w:szCs w:val="20"/>
              </w:rPr>
              <w:t xml:space="preserve">Grantee staff will also be </w:t>
            </w:r>
            <w:r w:rsidRPr="00414959" w:rsidR="00BB199D">
              <w:rPr>
                <w:rFonts w:ascii="Arial" w:hAnsi="Arial" w:cs="Arial"/>
                <w:sz w:val="20"/>
                <w:szCs w:val="20"/>
              </w:rPr>
              <w:t>provided with</w:t>
            </w:r>
            <w:r w:rsidRPr="00414959">
              <w:rPr>
                <w:rFonts w:ascii="Arial" w:hAnsi="Arial" w:cs="Arial"/>
                <w:sz w:val="20"/>
                <w:szCs w:val="20"/>
              </w:rPr>
              <w:t xml:space="preserve"> </w:t>
            </w:r>
            <w:r w:rsidRPr="00414959" w:rsidR="00CB5D2B">
              <w:rPr>
                <w:rFonts w:ascii="Arial" w:hAnsi="Arial" w:cs="Arial"/>
                <w:sz w:val="20"/>
                <w:szCs w:val="20"/>
              </w:rPr>
              <w:t xml:space="preserve">support in developing </w:t>
            </w:r>
            <w:r w:rsidRPr="00414959">
              <w:rPr>
                <w:rFonts w:ascii="Arial" w:hAnsi="Arial" w:cs="Arial"/>
                <w:sz w:val="20"/>
                <w:szCs w:val="20"/>
              </w:rPr>
              <w:t>a flyer with information about the PCSS and S</w:t>
            </w:r>
            <w:r w:rsidR="004B3C13">
              <w:rPr>
                <w:rFonts w:ascii="Arial" w:hAnsi="Arial" w:cs="Arial"/>
                <w:sz w:val="20"/>
                <w:szCs w:val="20"/>
              </w:rPr>
              <w:t>TC</w:t>
            </w:r>
            <w:r w:rsidRPr="00414959">
              <w:rPr>
                <w:rFonts w:ascii="Arial" w:hAnsi="Arial" w:cs="Arial"/>
                <w:sz w:val="20"/>
                <w:szCs w:val="20"/>
              </w:rPr>
              <w:t xml:space="preserve">SS </w:t>
            </w:r>
            <w:r w:rsidRPr="00414959" w:rsidR="00CB5D2B">
              <w:rPr>
                <w:rFonts w:ascii="Arial" w:hAnsi="Arial" w:cs="Arial"/>
                <w:sz w:val="20"/>
                <w:szCs w:val="20"/>
              </w:rPr>
              <w:t>to</w:t>
            </w:r>
            <w:r w:rsidRPr="00414959">
              <w:rPr>
                <w:rFonts w:ascii="Arial" w:hAnsi="Arial" w:cs="Arial"/>
                <w:sz w:val="20"/>
                <w:szCs w:val="20"/>
              </w:rPr>
              <w:t xml:space="preserve"> share with the identified parents to inform them about the surveys before they receive the email. Parents that </w:t>
            </w:r>
            <w:r w:rsidRPr="00414959" w:rsidR="005E2EBC">
              <w:rPr>
                <w:rFonts w:ascii="Arial" w:hAnsi="Arial" w:cs="Arial"/>
                <w:sz w:val="20"/>
                <w:szCs w:val="20"/>
              </w:rPr>
              <w:t>opt</w:t>
            </w:r>
            <w:r w:rsidRPr="00414959">
              <w:rPr>
                <w:rFonts w:ascii="Arial" w:hAnsi="Arial" w:cs="Arial"/>
                <w:sz w:val="20"/>
                <w:szCs w:val="20"/>
              </w:rPr>
              <w:t xml:space="preserve"> to participate in the PCSS and </w:t>
            </w:r>
            <w:r w:rsidRPr="00414959" w:rsidR="005E2EBC">
              <w:rPr>
                <w:rFonts w:ascii="Arial" w:hAnsi="Arial" w:cs="Arial"/>
                <w:sz w:val="20"/>
                <w:szCs w:val="20"/>
              </w:rPr>
              <w:t xml:space="preserve">are willing to </w:t>
            </w:r>
            <w:r w:rsidRPr="00414959">
              <w:rPr>
                <w:rFonts w:ascii="Arial" w:hAnsi="Arial" w:cs="Arial"/>
                <w:sz w:val="20"/>
                <w:szCs w:val="20"/>
              </w:rPr>
              <w:t>consent for their children to participate will receive an electronic web link to access the electronic consent form and survey through ATODS. Students aged 14-17 whose parents provide consent will be sent an email with a link to an online assent form; those who assent will proceed to the survey. Students 18 and older will be sent an email with a link to an online consent form; those who consent will proceed to the survey.</w:t>
            </w:r>
          </w:p>
          <w:p w:rsidR="00B370DC" w:rsidRPr="00414959" w:rsidP="00AB4EEA" w14:paraId="01A8474A" w14:textId="77777777">
            <w:pPr>
              <w:pStyle w:val="GLSBody"/>
              <w:spacing w:after="0"/>
              <w:jc w:val="left"/>
              <w:rPr>
                <w:rFonts w:ascii="Arial" w:hAnsi="Arial" w:cs="Arial"/>
                <w:sz w:val="20"/>
                <w:szCs w:val="20"/>
              </w:rPr>
            </w:pPr>
          </w:p>
          <w:p w:rsidR="00571644" w:rsidP="001779D0" w14:paraId="2BB84932" w14:textId="15F3F09F">
            <w:pPr>
              <w:pStyle w:val="GLSBody"/>
              <w:spacing w:after="0"/>
              <w:jc w:val="left"/>
              <w:rPr>
                <w:rFonts w:ascii="Arial" w:hAnsi="Arial" w:cs="Arial"/>
                <w:sz w:val="20"/>
                <w:szCs w:val="20"/>
              </w:rPr>
            </w:pPr>
            <w:r w:rsidRPr="00414959">
              <w:rPr>
                <w:rFonts w:ascii="Arial" w:hAnsi="Arial" w:cs="Arial"/>
                <w:sz w:val="20"/>
                <w:szCs w:val="20"/>
              </w:rPr>
              <w:t>Also,</w:t>
            </w:r>
            <w:r w:rsidRPr="00414959" w:rsidR="00B370DC">
              <w:rPr>
                <w:rFonts w:ascii="Arial" w:hAnsi="Arial" w:cs="Arial"/>
                <w:sz w:val="20"/>
                <w:szCs w:val="20"/>
              </w:rPr>
              <w:t xml:space="preserve"> in Year </w:t>
            </w:r>
            <w:r w:rsidR="00596F30">
              <w:rPr>
                <w:rFonts w:ascii="Arial" w:hAnsi="Arial" w:cs="Arial"/>
                <w:sz w:val="20"/>
                <w:szCs w:val="20"/>
              </w:rPr>
              <w:t>One</w:t>
            </w:r>
            <w:r w:rsidRPr="00414959" w:rsidR="00B370DC">
              <w:rPr>
                <w:rFonts w:ascii="Arial" w:hAnsi="Arial" w:cs="Arial"/>
                <w:sz w:val="20"/>
                <w:szCs w:val="20"/>
              </w:rPr>
              <w:t xml:space="preserve"> and Year </w:t>
            </w:r>
            <w:r w:rsidR="00596F30">
              <w:rPr>
                <w:rFonts w:ascii="Arial" w:hAnsi="Arial" w:cs="Arial"/>
                <w:sz w:val="20"/>
                <w:szCs w:val="20"/>
              </w:rPr>
              <w:t>Three</w:t>
            </w:r>
            <w:r w:rsidRPr="00414959">
              <w:rPr>
                <w:rFonts w:ascii="Arial" w:hAnsi="Arial" w:cs="Arial"/>
                <w:sz w:val="20"/>
                <w:szCs w:val="20"/>
              </w:rPr>
              <w:t xml:space="preserve">, </w:t>
            </w:r>
            <w:r w:rsidRPr="00414959" w:rsidR="00506D8E">
              <w:rPr>
                <w:rFonts w:ascii="Arial" w:hAnsi="Arial" w:cs="Arial"/>
                <w:sz w:val="20"/>
                <w:szCs w:val="20"/>
              </w:rPr>
              <w:t>grantee staff will coordinate with partner LEAs to provide a list of names and email addresses of</w:t>
            </w:r>
            <w:r w:rsidRPr="00414959">
              <w:rPr>
                <w:rFonts w:ascii="Arial" w:hAnsi="Arial" w:cs="Arial"/>
                <w:sz w:val="20"/>
                <w:szCs w:val="20"/>
              </w:rPr>
              <w:t xml:space="preserve"> </w:t>
            </w:r>
            <w:r w:rsidRPr="00414959" w:rsidR="00506D8E">
              <w:rPr>
                <w:rFonts w:ascii="Arial" w:hAnsi="Arial" w:cs="Arial"/>
                <w:sz w:val="20"/>
                <w:szCs w:val="20"/>
              </w:rPr>
              <w:t xml:space="preserve">10 </w:t>
            </w:r>
            <w:r w:rsidRPr="00414959" w:rsidR="00E249C4">
              <w:rPr>
                <w:rFonts w:ascii="Arial" w:hAnsi="Arial" w:cs="Arial"/>
                <w:sz w:val="20"/>
                <w:szCs w:val="20"/>
              </w:rPr>
              <w:t xml:space="preserve">school staff (e.g., </w:t>
            </w:r>
            <w:r w:rsidRPr="00414959">
              <w:rPr>
                <w:rFonts w:ascii="Arial" w:hAnsi="Arial" w:cs="Arial"/>
                <w:sz w:val="20"/>
                <w:szCs w:val="20"/>
              </w:rPr>
              <w:t xml:space="preserve">teachers and </w:t>
            </w:r>
            <w:r w:rsidRPr="00414959" w:rsidR="00E249C4">
              <w:rPr>
                <w:rFonts w:ascii="Arial" w:hAnsi="Arial" w:cs="Arial"/>
                <w:sz w:val="20"/>
                <w:szCs w:val="20"/>
              </w:rPr>
              <w:t>administrators)</w:t>
            </w:r>
            <w:r w:rsidRPr="00414959">
              <w:rPr>
                <w:rFonts w:ascii="Arial" w:hAnsi="Arial" w:cs="Arial"/>
                <w:sz w:val="20"/>
                <w:szCs w:val="20"/>
              </w:rPr>
              <w:t xml:space="preserve"> in the priority school identified</w:t>
            </w:r>
            <w:r w:rsidRPr="00414959" w:rsidR="001A4F22">
              <w:rPr>
                <w:rFonts w:ascii="Arial" w:hAnsi="Arial" w:cs="Arial"/>
                <w:sz w:val="20"/>
                <w:szCs w:val="20"/>
              </w:rPr>
              <w:t xml:space="preserve"> who have agreed to</w:t>
            </w:r>
            <w:r w:rsidRPr="00414959" w:rsidR="00472D4F">
              <w:rPr>
                <w:rFonts w:ascii="Arial" w:hAnsi="Arial" w:cs="Arial"/>
                <w:sz w:val="20"/>
                <w:szCs w:val="20"/>
              </w:rPr>
              <w:t xml:space="preserve"> complete a survey</w:t>
            </w:r>
            <w:r w:rsidRPr="00414959">
              <w:rPr>
                <w:rFonts w:ascii="Arial" w:hAnsi="Arial" w:cs="Arial"/>
                <w:sz w:val="20"/>
                <w:szCs w:val="20"/>
              </w:rPr>
              <w:t xml:space="preserve">. </w:t>
            </w:r>
            <w:r w:rsidRPr="00414959" w:rsidR="00414959">
              <w:rPr>
                <w:rFonts w:ascii="Arial" w:hAnsi="Arial" w:cs="Arial"/>
                <w:sz w:val="20"/>
                <w:szCs w:val="20"/>
              </w:rPr>
              <w:t xml:space="preserve">Grantee staff will also be provided with support in developing a flyer with information about the SSCSS to share with the identified teachers and school staff to inform them about the surveys before they receive the survey web link via email. </w:t>
            </w:r>
            <w:r w:rsidRPr="00414959">
              <w:rPr>
                <w:rFonts w:ascii="Arial" w:hAnsi="Arial" w:cs="Arial"/>
                <w:sz w:val="20"/>
                <w:szCs w:val="20"/>
              </w:rPr>
              <w:t xml:space="preserve">An email </w:t>
            </w:r>
            <w:r w:rsidRPr="00414959" w:rsidR="00B73968">
              <w:rPr>
                <w:rFonts w:ascii="Arial" w:hAnsi="Arial" w:cs="Arial"/>
                <w:sz w:val="20"/>
                <w:szCs w:val="20"/>
              </w:rPr>
              <w:t xml:space="preserve">with a web link </w:t>
            </w:r>
            <w:r w:rsidRPr="00414959" w:rsidR="001779D0">
              <w:rPr>
                <w:rFonts w:ascii="Arial" w:hAnsi="Arial" w:cs="Arial"/>
                <w:sz w:val="20"/>
                <w:szCs w:val="20"/>
              </w:rPr>
              <w:t>to access the consent and survey through ATODS.</w:t>
            </w:r>
            <w:r w:rsidR="001779D0">
              <w:rPr>
                <w:rFonts w:ascii="Arial" w:hAnsi="Arial" w:cs="Arial"/>
                <w:sz w:val="20"/>
                <w:szCs w:val="20"/>
              </w:rPr>
              <w:t xml:space="preserve"> </w:t>
            </w:r>
          </w:p>
        </w:tc>
      </w:tr>
      <w:tr w14:paraId="08588B5D" w14:textId="77777777" w:rsidTr="003E2D6E">
        <w:tblPrEx>
          <w:tblW w:w="0" w:type="auto"/>
          <w:tblLook w:val="04A0"/>
        </w:tblPrEx>
        <w:trPr>
          <w:trHeight w:val="327"/>
        </w:trPr>
        <w:tc>
          <w:tcPr>
            <w:tcW w:w="1150" w:type="dxa"/>
            <w:tcMar>
              <w:top w:w="14" w:type="dxa"/>
              <w:left w:w="58" w:type="dxa"/>
              <w:bottom w:w="14" w:type="dxa"/>
              <w:right w:w="58" w:type="dxa"/>
            </w:tcMar>
          </w:tcPr>
          <w:p w:rsidR="00AB4EEA" w:rsidP="00AB4EEA" w14:paraId="053F361C" w14:textId="42009742">
            <w:pPr>
              <w:pStyle w:val="BodyText"/>
              <w:tabs>
                <w:tab w:val="left" w:pos="1563"/>
              </w:tabs>
              <w:rPr>
                <w:sz w:val="22"/>
                <w:szCs w:val="18"/>
              </w:rPr>
            </w:pPr>
            <w:r>
              <w:rPr>
                <w:sz w:val="22"/>
                <w:szCs w:val="18"/>
              </w:rPr>
              <w:t>SIRF</w:t>
            </w:r>
          </w:p>
        </w:tc>
        <w:tc>
          <w:tcPr>
            <w:tcW w:w="8200" w:type="dxa"/>
            <w:tcMar>
              <w:top w:w="14" w:type="dxa"/>
              <w:left w:w="58" w:type="dxa"/>
              <w:bottom w:w="14" w:type="dxa"/>
              <w:right w:w="58" w:type="dxa"/>
            </w:tcMar>
          </w:tcPr>
          <w:p w:rsidR="00AB4EEA" w:rsidP="00AB4EEA" w14:paraId="650B94CE" w14:textId="4A62CBD8">
            <w:pPr>
              <w:pStyle w:val="GLSBody"/>
              <w:spacing w:after="0"/>
              <w:jc w:val="left"/>
              <w:rPr>
                <w:rFonts w:ascii="Arial" w:hAnsi="Arial" w:cs="Arial"/>
                <w:sz w:val="20"/>
                <w:szCs w:val="20"/>
              </w:rPr>
            </w:pPr>
            <w:r>
              <w:rPr>
                <w:rFonts w:ascii="Arial" w:hAnsi="Arial" w:cs="Arial"/>
                <w:sz w:val="20"/>
                <w:szCs w:val="20"/>
              </w:rPr>
              <w:t xml:space="preserve">Grantee </w:t>
            </w:r>
            <w:r w:rsidR="00ED4B9C">
              <w:rPr>
                <w:rFonts w:ascii="Arial" w:hAnsi="Arial" w:cs="Arial"/>
                <w:sz w:val="20"/>
                <w:szCs w:val="20"/>
              </w:rPr>
              <w:t xml:space="preserve">staff enter SIRF data via an online survey function </w:t>
            </w:r>
            <w:r w:rsidR="00BB31FA">
              <w:rPr>
                <w:rFonts w:ascii="Arial" w:hAnsi="Arial" w:cs="Arial"/>
                <w:sz w:val="20"/>
                <w:szCs w:val="20"/>
              </w:rPr>
              <w:t xml:space="preserve">within ATODS. </w:t>
            </w:r>
            <w:r w:rsidR="00B73029">
              <w:rPr>
                <w:rFonts w:ascii="Arial" w:hAnsi="Arial" w:cs="Arial"/>
                <w:sz w:val="20"/>
                <w:szCs w:val="20"/>
              </w:rPr>
              <w:t xml:space="preserve">Identification, referral, and follow-up information is entered during the same month as </w:t>
            </w:r>
            <w:r w:rsidR="007268F3">
              <w:rPr>
                <w:rFonts w:ascii="Arial" w:hAnsi="Arial" w:cs="Arial"/>
                <w:sz w:val="20"/>
                <w:szCs w:val="20"/>
              </w:rPr>
              <w:t>the student is identified as in need of additional behavioral health or trauma-related support services.</w:t>
            </w:r>
            <w:r w:rsidR="00EA1705">
              <w:rPr>
                <w:rFonts w:ascii="Arial" w:hAnsi="Arial" w:cs="Arial"/>
                <w:sz w:val="20"/>
                <w:szCs w:val="20"/>
              </w:rPr>
              <w:t xml:space="preserve"> Data are extracted from case records or other existing data sources, including any </w:t>
            </w:r>
            <w:r w:rsidR="007454AB">
              <w:rPr>
                <w:rFonts w:ascii="Arial" w:hAnsi="Arial" w:cs="Arial"/>
                <w:sz w:val="20"/>
                <w:szCs w:val="20"/>
              </w:rPr>
              <w:t>school staff</w:t>
            </w:r>
            <w:r w:rsidR="00EA1705">
              <w:rPr>
                <w:rFonts w:ascii="Arial" w:hAnsi="Arial" w:cs="Arial"/>
                <w:sz w:val="20"/>
                <w:szCs w:val="20"/>
              </w:rPr>
              <w:t xml:space="preserve">, </w:t>
            </w:r>
            <w:r w:rsidR="007454AB">
              <w:rPr>
                <w:rFonts w:ascii="Arial" w:hAnsi="Arial" w:cs="Arial"/>
                <w:sz w:val="20"/>
                <w:szCs w:val="20"/>
              </w:rPr>
              <w:t xml:space="preserve">school-based </w:t>
            </w:r>
            <w:r w:rsidR="007420A5">
              <w:rPr>
                <w:rFonts w:ascii="Arial" w:hAnsi="Arial" w:cs="Arial"/>
                <w:sz w:val="20"/>
                <w:szCs w:val="20"/>
              </w:rPr>
              <w:t>mental health providers</w:t>
            </w:r>
            <w:r w:rsidR="007454AB">
              <w:rPr>
                <w:rFonts w:ascii="Arial" w:hAnsi="Arial" w:cs="Arial"/>
                <w:sz w:val="20"/>
                <w:szCs w:val="20"/>
              </w:rPr>
              <w:t>,</w:t>
            </w:r>
            <w:r w:rsidR="007420A5">
              <w:rPr>
                <w:rFonts w:ascii="Arial" w:hAnsi="Arial" w:cs="Arial"/>
                <w:sz w:val="20"/>
                <w:szCs w:val="20"/>
              </w:rPr>
              <w:t xml:space="preserve"> or </w:t>
            </w:r>
            <w:r w:rsidR="003C53E1">
              <w:rPr>
                <w:rFonts w:ascii="Arial" w:hAnsi="Arial" w:cs="Arial"/>
                <w:sz w:val="20"/>
                <w:szCs w:val="20"/>
              </w:rPr>
              <w:t xml:space="preserve">community/family members who make </w:t>
            </w:r>
            <w:r w:rsidR="00DF1D16">
              <w:rPr>
                <w:rFonts w:ascii="Arial" w:hAnsi="Arial" w:cs="Arial"/>
                <w:sz w:val="20"/>
                <w:szCs w:val="20"/>
              </w:rPr>
              <w:t>an</w:t>
            </w:r>
            <w:r w:rsidR="003C53E1">
              <w:rPr>
                <w:rFonts w:ascii="Arial" w:hAnsi="Arial" w:cs="Arial"/>
                <w:sz w:val="20"/>
                <w:szCs w:val="20"/>
              </w:rPr>
              <w:t xml:space="preserve"> </w:t>
            </w:r>
            <w:r w:rsidR="00B1650C">
              <w:rPr>
                <w:rFonts w:ascii="Arial" w:hAnsi="Arial" w:cs="Arial"/>
                <w:sz w:val="20"/>
                <w:szCs w:val="20"/>
              </w:rPr>
              <w:t>identification</w:t>
            </w:r>
            <w:r w:rsidR="002B31F5">
              <w:rPr>
                <w:rFonts w:ascii="Arial" w:hAnsi="Arial" w:cs="Arial"/>
                <w:sz w:val="20"/>
                <w:szCs w:val="20"/>
              </w:rPr>
              <w:t xml:space="preserve">. </w:t>
            </w:r>
            <w:r w:rsidR="00CA7832">
              <w:rPr>
                <w:rFonts w:ascii="Arial" w:hAnsi="Arial" w:cs="Arial"/>
                <w:sz w:val="20"/>
                <w:szCs w:val="20"/>
              </w:rPr>
              <w:t xml:space="preserve">Grantees who do not have access to an existing tracking system </w:t>
            </w:r>
            <w:r w:rsidR="001D0B3B">
              <w:rPr>
                <w:rFonts w:ascii="Arial" w:hAnsi="Arial" w:cs="Arial"/>
                <w:sz w:val="20"/>
                <w:szCs w:val="20"/>
              </w:rPr>
              <w:t>should work with their technical assistance liaison</w:t>
            </w:r>
            <w:r w:rsidR="00EB2723">
              <w:rPr>
                <w:rFonts w:ascii="Arial" w:hAnsi="Arial" w:cs="Arial"/>
                <w:sz w:val="20"/>
                <w:szCs w:val="20"/>
              </w:rPr>
              <w:t xml:space="preserve"> and SAMHSA GPO to discuss approaches for adequately tracking and monitoring students identified and referred for services. Grantee staff </w:t>
            </w:r>
            <w:r w:rsidR="005F48F6">
              <w:rPr>
                <w:rFonts w:ascii="Arial" w:hAnsi="Arial" w:cs="Arial"/>
                <w:sz w:val="20"/>
                <w:szCs w:val="20"/>
              </w:rPr>
              <w:t xml:space="preserve">will </w:t>
            </w:r>
            <w:r w:rsidR="00EB2723">
              <w:rPr>
                <w:rFonts w:ascii="Arial" w:hAnsi="Arial" w:cs="Arial"/>
                <w:sz w:val="20"/>
                <w:szCs w:val="20"/>
              </w:rPr>
              <w:t xml:space="preserve">enter SIRF data into ATODS </w:t>
            </w:r>
            <w:r w:rsidR="00EC2403">
              <w:rPr>
                <w:rFonts w:ascii="Arial" w:hAnsi="Arial" w:cs="Arial"/>
                <w:sz w:val="20"/>
                <w:szCs w:val="20"/>
              </w:rPr>
              <w:t xml:space="preserve">for up to </w:t>
            </w:r>
            <w:r w:rsidR="00DA3482">
              <w:rPr>
                <w:rFonts w:ascii="Arial" w:hAnsi="Arial" w:cs="Arial"/>
                <w:sz w:val="20"/>
                <w:szCs w:val="20"/>
              </w:rPr>
              <w:t>1</w:t>
            </w:r>
            <w:r w:rsidR="00EC2403">
              <w:rPr>
                <w:rFonts w:ascii="Arial" w:hAnsi="Arial" w:cs="Arial"/>
                <w:sz w:val="20"/>
                <w:szCs w:val="20"/>
              </w:rPr>
              <w:t xml:space="preserve">00 students annually </w:t>
            </w:r>
            <w:r w:rsidR="00EB2723">
              <w:rPr>
                <w:rFonts w:ascii="Arial" w:hAnsi="Arial" w:cs="Arial"/>
                <w:sz w:val="20"/>
                <w:szCs w:val="20"/>
              </w:rPr>
              <w:t xml:space="preserve">throughout </w:t>
            </w:r>
            <w:r w:rsidR="00EC2403">
              <w:rPr>
                <w:rFonts w:ascii="Arial" w:hAnsi="Arial" w:cs="Arial"/>
                <w:sz w:val="20"/>
                <w:szCs w:val="20"/>
              </w:rPr>
              <w:t>the 3-year data collection period</w:t>
            </w:r>
            <w:r w:rsidR="00EB2723">
              <w:rPr>
                <w:rFonts w:ascii="Arial" w:hAnsi="Arial" w:cs="Arial"/>
                <w:sz w:val="20"/>
                <w:szCs w:val="20"/>
              </w:rPr>
              <w:t>.</w:t>
            </w:r>
            <w:r w:rsidR="001D0B3B">
              <w:rPr>
                <w:rFonts w:ascii="Arial" w:hAnsi="Arial" w:cs="Arial"/>
                <w:sz w:val="20"/>
                <w:szCs w:val="20"/>
              </w:rPr>
              <w:t xml:space="preserve"> </w:t>
            </w:r>
            <w:r w:rsidR="007454AB">
              <w:rPr>
                <w:rFonts w:ascii="Arial" w:hAnsi="Arial" w:cs="Arial"/>
                <w:sz w:val="20"/>
                <w:szCs w:val="20"/>
              </w:rPr>
              <w:t xml:space="preserve"> </w:t>
            </w:r>
            <w:r w:rsidR="007268F3">
              <w:rPr>
                <w:rFonts w:ascii="Arial" w:hAnsi="Arial" w:cs="Arial"/>
                <w:sz w:val="20"/>
                <w:szCs w:val="20"/>
              </w:rPr>
              <w:t xml:space="preserve"> </w:t>
            </w:r>
          </w:p>
        </w:tc>
      </w:tr>
    </w:tbl>
    <w:p w:rsidR="0087685A" w:rsidP="00226964" w14:paraId="69FDAD04" w14:textId="64FF7A22">
      <w:pPr>
        <w:spacing w:after="120"/>
        <w:rPr>
          <w:rFonts w:ascii="Tw Cen MT" w:hAnsi="Tw Cen MT"/>
          <w:b/>
        </w:rPr>
      </w:pPr>
    </w:p>
    <w:p w:rsidR="006F0712" w:rsidRPr="00226964" w:rsidP="00226964" w14:paraId="63617CD8" w14:textId="77777777">
      <w:pPr>
        <w:spacing w:after="120"/>
        <w:rPr>
          <w:rFonts w:ascii="Tw Cen MT" w:hAnsi="Tw Cen MT"/>
          <w:b/>
        </w:rPr>
      </w:pPr>
    </w:p>
    <w:p w:rsidR="001B3C78" w:rsidRPr="001B3C78" w:rsidP="004E195B" w14:paraId="1BFF0756" w14:textId="77777777">
      <w:pPr>
        <w:pStyle w:val="BodyText"/>
        <w:numPr>
          <w:ilvl w:val="0"/>
          <w:numId w:val="1"/>
        </w:numPr>
        <w:tabs>
          <w:tab w:val="left" w:pos="1563"/>
        </w:tabs>
        <w:spacing w:before="240" w:after="120"/>
        <w:rPr>
          <w:rFonts w:ascii="Tw Cen MT" w:hAnsi="Tw Cen MT" w:cs="Arial"/>
          <w:b/>
          <w:sz w:val="28"/>
          <w:szCs w:val="28"/>
        </w:rPr>
      </w:pPr>
      <w:r w:rsidRPr="00423366">
        <w:rPr>
          <w:rFonts w:ascii="Tw Cen MT" w:hAnsi="Tw Cen MT" w:cs="Arial"/>
          <w:b/>
          <w:color w:val="181818"/>
          <w:sz w:val="28"/>
          <w:szCs w:val="28"/>
        </w:rPr>
        <w:t>Methods to Maximize Response Rates</w:t>
      </w:r>
    </w:p>
    <w:p w:rsidR="00882136" w:rsidP="000F5A36" w14:paraId="09F6BE59" w14:textId="77CA2E56">
      <w:pPr>
        <w:pStyle w:val="SuicideBodyText"/>
        <w:spacing w:after="200"/>
      </w:pPr>
      <w:r w:rsidRPr="00F1465D">
        <w:t xml:space="preserve">Participation in the </w:t>
      </w:r>
      <w:r w:rsidR="00000D1C">
        <w:t>Project AWARE-TISS Cross-Site</w:t>
      </w:r>
      <w:r w:rsidR="001E22B9">
        <w:t xml:space="preserve"> Evaluation</w:t>
      </w:r>
      <w:r w:rsidRPr="00F1465D">
        <w:t xml:space="preserve"> is a requirement of the </w:t>
      </w:r>
      <w:r w:rsidR="00000D1C">
        <w:t>AWARE and TISS</w:t>
      </w:r>
      <w:r w:rsidRPr="00F1465D">
        <w:t xml:space="preserve"> Program</w:t>
      </w:r>
      <w:r w:rsidR="00825524">
        <w:t>s</w:t>
      </w:r>
      <w:r w:rsidRPr="00F1465D">
        <w:t xml:space="preserve">. Therefore, completion of the </w:t>
      </w:r>
      <w:r w:rsidR="00825524">
        <w:t>TSF and SIRF</w:t>
      </w:r>
      <w:r w:rsidR="6860D6B5">
        <w:t xml:space="preserve"> </w:t>
      </w:r>
      <w:r>
        <w:t>by</w:t>
      </w:r>
      <w:r w:rsidRPr="00F1465D">
        <w:t xml:space="preserve"> program staff will be a requirement. However, the </w:t>
      </w:r>
      <w:r w:rsidR="00482B21">
        <w:t>evaluation</w:t>
      </w:r>
      <w:r w:rsidRPr="00F1465D">
        <w:t xml:space="preserve"> team has taken </w:t>
      </w:r>
      <w:r w:rsidRPr="00F1465D" w:rsidR="00206EC8">
        <w:t>several</w:t>
      </w:r>
      <w:r w:rsidRPr="00F1465D">
        <w:t xml:space="preserve"> steps to minimize the burden on local programs to ensure that completion is timely. These steps include developing a </w:t>
      </w:r>
      <w:r w:rsidR="00206EC8">
        <w:t>w</w:t>
      </w:r>
      <w:r w:rsidRPr="00F1465D">
        <w:t>eb-based data collection system</w:t>
      </w:r>
      <w:r w:rsidR="006B42D0">
        <w:t>, using updated technology,</w:t>
      </w:r>
      <w:r w:rsidRPr="00F1465D">
        <w:t xml:space="preserve"> and providing training and </w:t>
      </w:r>
      <w:r w:rsidR="006B42D0">
        <w:t xml:space="preserve">technical assistance </w:t>
      </w:r>
      <w:r w:rsidRPr="00F1465D">
        <w:t>to grantee</w:t>
      </w:r>
      <w:r w:rsidR="00B21BC0">
        <w:t>s</w:t>
      </w:r>
      <w:r w:rsidRPr="00F1465D">
        <w:t>.</w:t>
      </w:r>
      <w:r w:rsidR="006B42D0">
        <w:t xml:space="preserve"> </w:t>
      </w:r>
      <w:r w:rsidRPr="00F1465D">
        <w:t xml:space="preserve">The </w:t>
      </w:r>
      <w:r w:rsidR="00482B21">
        <w:t>evaluation</w:t>
      </w:r>
      <w:r w:rsidR="006B42D0">
        <w:t xml:space="preserve"> team</w:t>
      </w:r>
      <w:r w:rsidRPr="00F1465D">
        <w:t xml:space="preserve"> also will provide </w:t>
      </w:r>
      <w:r w:rsidR="00535CCD">
        <w:t>training and technical</w:t>
      </w:r>
      <w:r w:rsidR="009B2797">
        <w:t xml:space="preserve"> assistance</w:t>
      </w:r>
      <w:r w:rsidRPr="00F1465D">
        <w:t xml:space="preserve"> to maximize response rates for the other data collection activities</w:t>
      </w:r>
      <w:r w:rsidR="00F71B2C">
        <w:t xml:space="preserve"> by </w:t>
      </w:r>
      <w:r w:rsidR="00B21BC0">
        <w:t>hosting</w:t>
      </w:r>
      <w:r w:rsidRPr="00F1465D" w:rsidR="00B21BC0">
        <w:t xml:space="preserve"> </w:t>
      </w:r>
      <w:r w:rsidR="00206EC8">
        <w:t>w</w:t>
      </w:r>
      <w:r w:rsidRPr="00F1465D">
        <w:t xml:space="preserve">eb trainings, </w:t>
      </w:r>
      <w:r w:rsidR="00392E4D">
        <w:t xml:space="preserve">and </w:t>
      </w:r>
      <w:r w:rsidRPr="00F1465D">
        <w:t>distributing procedur</w:t>
      </w:r>
      <w:r w:rsidR="000C778C">
        <w:t>al</w:t>
      </w:r>
      <w:r w:rsidRPr="00F1465D">
        <w:t xml:space="preserve"> manuals, </w:t>
      </w:r>
      <w:r w:rsidR="00C53ADC">
        <w:t xml:space="preserve">Specific methods to increase the </w:t>
      </w:r>
      <w:r w:rsidR="00392E4D">
        <w:t xml:space="preserve">response rates </w:t>
      </w:r>
      <w:r w:rsidR="00C53ADC">
        <w:t xml:space="preserve">are provided in Exhibit </w:t>
      </w:r>
      <w:r w:rsidR="00F36965">
        <w:t>3</w:t>
      </w:r>
      <w:r w:rsidR="00C53ADC">
        <w:t xml:space="preserve"> below.</w:t>
      </w:r>
      <w:r w:rsidRPr="00F1465D">
        <w:t xml:space="preserve"> </w:t>
      </w:r>
    </w:p>
    <w:p w:rsidR="00D45265" w:rsidP="00D45265" w14:paraId="711F2F00" w14:textId="1678FB3C">
      <w:pPr>
        <w:pStyle w:val="SuicideBodyText"/>
        <w:spacing w:after="120"/>
        <w:jc w:val="center"/>
        <w:rPr>
          <w:rFonts w:ascii="Tw Cen MT" w:hAnsi="Tw Cen MT"/>
          <w:b/>
        </w:rPr>
      </w:pPr>
      <w:r w:rsidRPr="00D45265">
        <w:rPr>
          <w:rFonts w:ascii="Tw Cen MT" w:hAnsi="Tw Cen MT"/>
          <w:b/>
        </w:rPr>
        <w:t xml:space="preserve">Exhibit </w:t>
      </w:r>
      <w:r w:rsidR="00F36965">
        <w:rPr>
          <w:rFonts w:ascii="Tw Cen MT" w:hAnsi="Tw Cen MT"/>
          <w:b/>
        </w:rPr>
        <w:t>3</w:t>
      </w:r>
      <w:r w:rsidRPr="00D45265">
        <w:rPr>
          <w:rFonts w:ascii="Tw Cen MT" w:hAnsi="Tw Cen MT"/>
          <w:b/>
        </w:rPr>
        <w:t>. Methods to Maximize Response Rates</w:t>
      </w:r>
    </w:p>
    <w:tbl>
      <w:tblPr>
        <w:tblStyle w:val="TableGrid"/>
        <w:tblW w:w="0" w:type="auto"/>
        <w:tblLook w:val="04A0"/>
      </w:tblPr>
      <w:tblGrid>
        <w:gridCol w:w="1345"/>
        <w:gridCol w:w="8005"/>
      </w:tblGrid>
      <w:tr w14:paraId="6771D708" w14:textId="77777777" w:rsidTr="00330632">
        <w:tblPrEx>
          <w:tblW w:w="0" w:type="auto"/>
          <w:tblLook w:val="04A0"/>
        </w:tblPrEx>
        <w:trPr>
          <w:tblHeader/>
        </w:trPr>
        <w:tc>
          <w:tcPr>
            <w:tcW w:w="1345" w:type="dxa"/>
            <w:shd w:val="clear" w:color="auto" w:fill="404040" w:themeFill="text1" w:themeFillTint="BF"/>
            <w:tcMar>
              <w:top w:w="14" w:type="dxa"/>
              <w:left w:w="58" w:type="dxa"/>
              <w:bottom w:w="14" w:type="dxa"/>
              <w:right w:w="58" w:type="dxa"/>
            </w:tcMar>
          </w:tcPr>
          <w:p w:rsidR="00D97904" w:rsidRPr="0042196D" w:rsidP="00330632" w14:paraId="728A367C" w14:textId="77777777">
            <w:pPr>
              <w:pStyle w:val="BodyText"/>
              <w:tabs>
                <w:tab w:val="left" w:pos="1563"/>
              </w:tabs>
              <w:jc w:val="center"/>
              <w:rPr>
                <w:rFonts w:cs="Arial"/>
                <w:b/>
                <w:color w:val="FFFFFF" w:themeColor="background1"/>
                <w:sz w:val="20"/>
                <w:szCs w:val="20"/>
              </w:rPr>
            </w:pPr>
            <w:r w:rsidRPr="0042196D">
              <w:rPr>
                <w:rFonts w:cs="Arial"/>
                <w:b/>
                <w:color w:val="FFFFFF" w:themeColor="background1"/>
                <w:sz w:val="20"/>
                <w:szCs w:val="20"/>
              </w:rPr>
              <w:t>Instrument</w:t>
            </w:r>
          </w:p>
        </w:tc>
        <w:tc>
          <w:tcPr>
            <w:tcW w:w="8005" w:type="dxa"/>
            <w:shd w:val="clear" w:color="auto" w:fill="404040" w:themeFill="text1" w:themeFillTint="BF"/>
            <w:tcMar>
              <w:top w:w="14" w:type="dxa"/>
              <w:left w:w="58" w:type="dxa"/>
              <w:bottom w:w="14" w:type="dxa"/>
              <w:right w:w="58" w:type="dxa"/>
            </w:tcMar>
          </w:tcPr>
          <w:p w:rsidR="00D97904" w:rsidRPr="0042196D" w:rsidP="00330632" w14:paraId="3B592F21" w14:textId="4C991BBC">
            <w:pPr>
              <w:pStyle w:val="BodyText"/>
              <w:tabs>
                <w:tab w:val="left" w:pos="1563"/>
              </w:tabs>
              <w:jc w:val="center"/>
              <w:rPr>
                <w:rFonts w:cs="Arial"/>
                <w:b/>
                <w:color w:val="FFFFFF" w:themeColor="background1"/>
                <w:sz w:val="20"/>
                <w:szCs w:val="20"/>
              </w:rPr>
            </w:pPr>
            <w:r w:rsidRPr="0042196D">
              <w:rPr>
                <w:rFonts w:cs="Arial"/>
                <w:b/>
                <w:color w:val="FFFFFF" w:themeColor="background1"/>
                <w:sz w:val="20"/>
                <w:szCs w:val="20"/>
              </w:rPr>
              <w:t>Methods to Maximize Response Rates</w:t>
            </w:r>
          </w:p>
        </w:tc>
      </w:tr>
      <w:tr w14:paraId="1337A0A8" w14:textId="77777777" w:rsidTr="00FC57C0">
        <w:tblPrEx>
          <w:tblW w:w="0" w:type="auto"/>
          <w:tblLook w:val="04A0"/>
        </w:tblPrEx>
        <w:trPr>
          <w:trHeight w:val="1191"/>
        </w:trPr>
        <w:tc>
          <w:tcPr>
            <w:tcW w:w="1345" w:type="dxa"/>
            <w:tcMar>
              <w:top w:w="14" w:type="dxa"/>
              <w:left w:w="58" w:type="dxa"/>
              <w:bottom w:w="14" w:type="dxa"/>
              <w:right w:w="58" w:type="dxa"/>
            </w:tcMar>
          </w:tcPr>
          <w:p w:rsidR="00D97904" w:rsidRPr="0042196D" w:rsidP="00330632" w14:paraId="15534A24" w14:textId="77777777">
            <w:pPr>
              <w:pStyle w:val="BodyText"/>
              <w:tabs>
                <w:tab w:val="left" w:pos="1563"/>
              </w:tabs>
              <w:rPr>
                <w:rFonts w:cs="Arial"/>
                <w:color w:val="181818"/>
                <w:sz w:val="20"/>
                <w:szCs w:val="20"/>
              </w:rPr>
            </w:pPr>
            <w:r w:rsidRPr="0042196D">
              <w:rPr>
                <w:sz w:val="20"/>
                <w:szCs w:val="20"/>
              </w:rPr>
              <w:t>IS</w:t>
            </w:r>
          </w:p>
        </w:tc>
        <w:tc>
          <w:tcPr>
            <w:tcW w:w="8005" w:type="dxa"/>
            <w:tcMar>
              <w:top w:w="14" w:type="dxa"/>
              <w:left w:w="58" w:type="dxa"/>
              <w:bottom w:w="14" w:type="dxa"/>
              <w:right w:w="58" w:type="dxa"/>
            </w:tcMar>
          </w:tcPr>
          <w:p w:rsidR="0042196D" w:rsidRPr="0042196D" w:rsidP="00FC57C0" w14:paraId="2C272DB1" w14:textId="4B32ED44">
            <w:pPr>
              <w:pStyle w:val="ICFTextwithspace"/>
              <w:spacing w:after="0" w:line="240" w:lineRule="auto"/>
              <w:rPr>
                <w:rFonts w:ascii="Arial" w:eastAsia="Arial" w:hAnsi="Arial" w:cs="Arial"/>
              </w:rPr>
            </w:pPr>
            <w:r w:rsidRPr="0042196D">
              <w:rPr>
                <w:rFonts w:cs="Arial"/>
              </w:rPr>
              <w:t xml:space="preserve">The IS link will be generated within the ATODS or emailed to </w:t>
            </w:r>
            <w:r w:rsidRPr="0042196D" w:rsidR="00C642FC">
              <w:rPr>
                <w:rFonts w:cs="Arial"/>
              </w:rPr>
              <w:t>the responden</w:t>
            </w:r>
            <w:r w:rsidR="00C95CDE">
              <w:rPr>
                <w:rFonts w:cs="Arial"/>
              </w:rPr>
              <w:t>t</w:t>
            </w:r>
            <w:r w:rsidR="00EF7020">
              <w:rPr>
                <w:rFonts w:cs="Arial"/>
              </w:rPr>
              <w:t xml:space="preserve"> directly</w:t>
            </w:r>
            <w:r w:rsidR="00C95CDE">
              <w:rPr>
                <w:rFonts w:cs="Arial"/>
              </w:rPr>
              <w:t>.</w:t>
            </w:r>
            <w:r w:rsidRPr="0042196D" w:rsidR="0023661E">
              <w:rPr>
                <w:rFonts w:ascii="Arial" w:eastAsia="Arial" w:hAnsi="Arial" w:cs="Arial"/>
              </w:rPr>
              <w:t xml:space="preserve"> </w:t>
            </w:r>
            <w:r w:rsidRPr="0042196D" w:rsidR="00FA1EE8">
              <w:rPr>
                <w:rFonts w:ascii="Arial" w:eastAsia="Arial" w:hAnsi="Arial" w:cs="Arial"/>
              </w:rPr>
              <w:t>Respondents</w:t>
            </w:r>
            <w:r w:rsidRPr="0042196D" w:rsidR="0023661E">
              <w:rPr>
                <w:rFonts w:ascii="Arial" w:eastAsia="Arial" w:hAnsi="Arial" w:cs="Arial"/>
              </w:rPr>
              <w:t xml:space="preserve"> will be encouraged to complete the survey. If a </w:t>
            </w:r>
            <w:r w:rsidRPr="0042196D" w:rsidR="00FA1EE8">
              <w:rPr>
                <w:rFonts w:ascii="Arial" w:eastAsia="Arial" w:hAnsi="Arial" w:cs="Arial"/>
              </w:rPr>
              <w:t>respondent</w:t>
            </w:r>
            <w:r w:rsidRPr="0042196D" w:rsidR="0023661E">
              <w:rPr>
                <w:rFonts w:ascii="Arial" w:eastAsia="Arial" w:hAnsi="Arial" w:cs="Arial"/>
              </w:rPr>
              <w:t xml:space="preserve"> starts the survey but does not complete it, they will receive up to </w:t>
            </w:r>
            <w:r w:rsidR="009B3904">
              <w:rPr>
                <w:rFonts w:ascii="Arial" w:eastAsia="Arial" w:hAnsi="Arial" w:cs="Arial"/>
              </w:rPr>
              <w:t>two</w:t>
            </w:r>
            <w:r w:rsidRPr="0042196D" w:rsidR="0023661E">
              <w:rPr>
                <w:rFonts w:ascii="Arial" w:eastAsia="Arial" w:hAnsi="Arial" w:cs="Arial"/>
              </w:rPr>
              <w:t xml:space="preserve"> reminders via email or text message to encourage participation.</w:t>
            </w:r>
          </w:p>
          <w:p w:rsidR="00D97904" w:rsidRPr="0042196D" w:rsidP="00FC57C0" w14:paraId="375000B3" w14:textId="74D861A7">
            <w:pPr>
              <w:pStyle w:val="ICFTextwithspace"/>
              <w:spacing w:after="0" w:line="240" w:lineRule="auto"/>
              <w:rPr>
                <w:rFonts w:ascii="Times New Roman" w:eastAsia="Times New Roman" w:hAnsi="Times New Roman" w:cs="Times New Roman"/>
              </w:rPr>
            </w:pPr>
            <w:r w:rsidRPr="0042196D">
              <w:rPr>
                <w:rFonts w:cs="Arial"/>
              </w:rPr>
              <w:t>A $20 gift card is provided to all respondents who complete the survey.</w:t>
            </w:r>
          </w:p>
        </w:tc>
      </w:tr>
      <w:tr w14:paraId="7EB3FAE2" w14:textId="77777777" w:rsidTr="00330632">
        <w:tblPrEx>
          <w:tblW w:w="0" w:type="auto"/>
          <w:tblLook w:val="04A0"/>
        </w:tblPrEx>
        <w:tc>
          <w:tcPr>
            <w:tcW w:w="1345" w:type="dxa"/>
            <w:tcMar>
              <w:top w:w="14" w:type="dxa"/>
              <w:left w:w="58" w:type="dxa"/>
              <w:bottom w:w="14" w:type="dxa"/>
              <w:right w:w="58" w:type="dxa"/>
            </w:tcMar>
          </w:tcPr>
          <w:p w:rsidR="00D97904" w:rsidRPr="0042196D" w:rsidP="00330632" w14:paraId="581B0766" w14:textId="77777777">
            <w:pPr>
              <w:pStyle w:val="BodyText"/>
              <w:tabs>
                <w:tab w:val="left" w:pos="1563"/>
              </w:tabs>
              <w:rPr>
                <w:rFonts w:cs="Arial"/>
                <w:color w:val="181818"/>
                <w:sz w:val="20"/>
                <w:szCs w:val="20"/>
              </w:rPr>
            </w:pPr>
            <w:r w:rsidRPr="0042196D">
              <w:rPr>
                <w:sz w:val="20"/>
                <w:szCs w:val="20"/>
              </w:rPr>
              <w:t>IKII</w:t>
            </w:r>
          </w:p>
        </w:tc>
        <w:tc>
          <w:tcPr>
            <w:tcW w:w="8005" w:type="dxa"/>
            <w:tcMar>
              <w:top w:w="14" w:type="dxa"/>
              <w:left w:w="58" w:type="dxa"/>
              <w:bottom w:w="14" w:type="dxa"/>
              <w:right w:w="58" w:type="dxa"/>
            </w:tcMar>
          </w:tcPr>
          <w:p w:rsidR="001D6271" w:rsidP="00330632" w14:paraId="10F5CCB0" w14:textId="02BDDFA1">
            <w:pPr>
              <w:pStyle w:val="BodyText"/>
              <w:tabs>
                <w:tab w:val="left" w:pos="1563"/>
              </w:tabs>
              <w:jc w:val="left"/>
              <w:rPr>
                <w:rFonts w:cs="Arial"/>
                <w:sz w:val="20"/>
                <w:szCs w:val="20"/>
              </w:rPr>
            </w:pPr>
            <w:r>
              <w:rPr>
                <w:rFonts w:cs="Arial"/>
                <w:sz w:val="20"/>
                <w:szCs w:val="20"/>
              </w:rPr>
              <w:t>Evaluation team members will</w:t>
            </w:r>
            <w:r w:rsidR="009963DC">
              <w:rPr>
                <w:rFonts w:cs="Arial"/>
                <w:sz w:val="20"/>
                <w:szCs w:val="20"/>
              </w:rPr>
              <w:t xml:space="preserve"> provide grantees with</w:t>
            </w:r>
            <w:r w:rsidR="00250B30">
              <w:rPr>
                <w:rFonts w:cs="Arial"/>
                <w:sz w:val="20"/>
                <w:szCs w:val="20"/>
              </w:rPr>
              <w:t xml:space="preserve"> </w:t>
            </w:r>
            <w:r w:rsidR="009963DC">
              <w:rPr>
                <w:rFonts w:cs="Arial"/>
                <w:sz w:val="20"/>
                <w:szCs w:val="20"/>
              </w:rPr>
              <w:t>evaluation training and technical assistance</w:t>
            </w:r>
            <w:r w:rsidR="00E7146A">
              <w:rPr>
                <w:rFonts w:cs="Arial"/>
                <w:sz w:val="20"/>
                <w:szCs w:val="20"/>
              </w:rPr>
              <w:t xml:space="preserve"> (TTA), equipping them with the tools needed </w:t>
            </w:r>
            <w:r w:rsidR="00250B30">
              <w:rPr>
                <w:rFonts w:cs="Arial"/>
                <w:sz w:val="20"/>
                <w:szCs w:val="20"/>
              </w:rPr>
              <w:t>to identify potential interview respondents</w:t>
            </w:r>
            <w:r w:rsidR="00264F00">
              <w:rPr>
                <w:rFonts w:cs="Arial"/>
                <w:sz w:val="20"/>
                <w:szCs w:val="20"/>
              </w:rPr>
              <w:t xml:space="preserve">. </w:t>
            </w:r>
            <w:r w:rsidR="00325123">
              <w:rPr>
                <w:rFonts w:cs="Arial"/>
                <w:sz w:val="20"/>
                <w:szCs w:val="20"/>
              </w:rPr>
              <w:t xml:space="preserve">Interview respondents will </w:t>
            </w:r>
            <w:r w:rsidR="001F5037">
              <w:rPr>
                <w:rFonts w:cs="Arial"/>
                <w:sz w:val="20"/>
                <w:szCs w:val="20"/>
              </w:rPr>
              <w:t xml:space="preserve">already </w:t>
            </w:r>
            <w:r w:rsidR="00325123">
              <w:rPr>
                <w:rFonts w:cs="Arial"/>
                <w:sz w:val="20"/>
                <w:szCs w:val="20"/>
              </w:rPr>
              <w:t>be familiar with the grantee programs</w:t>
            </w:r>
            <w:r w:rsidR="001F5037">
              <w:rPr>
                <w:rFonts w:cs="Arial"/>
                <w:sz w:val="20"/>
                <w:szCs w:val="20"/>
              </w:rPr>
              <w:t>.</w:t>
            </w:r>
          </w:p>
          <w:p w:rsidR="00D97904" w:rsidRPr="0042196D" w:rsidP="00330632" w14:paraId="1FF7C101" w14:textId="555AA196">
            <w:pPr>
              <w:pStyle w:val="BodyText"/>
              <w:tabs>
                <w:tab w:val="left" w:pos="1563"/>
              </w:tabs>
              <w:jc w:val="left"/>
              <w:rPr>
                <w:rFonts w:cs="Arial"/>
                <w:color w:val="181818"/>
                <w:sz w:val="20"/>
                <w:szCs w:val="20"/>
              </w:rPr>
            </w:pPr>
            <w:r w:rsidRPr="0042196D">
              <w:rPr>
                <w:rFonts w:cs="Arial"/>
                <w:sz w:val="20"/>
                <w:szCs w:val="20"/>
              </w:rPr>
              <w:t>A $</w:t>
            </w:r>
            <w:r w:rsidR="00CC358F">
              <w:rPr>
                <w:rFonts w:cs="Arial"/>
                <w:sz w:val="20"/>
                <w:szCs w:val="20"/>
              </w:rPr>
              <w:t>25</w:t>
            </w:r>
            <w:r w:rsidRPr="0042196D">
              <w:rPr>
                <w:rFonts w:cs="Arial"/>
                <w:sz w:val="20"/>
                <w:szCs w:val="20"/>
              </w:rPr>
              <w:t xml:space="preserve"> gift card is provided to all respondents who </w:t>
            </w:r>
            <w:r w:rsidR="00CC358F">
              <w:rPr>
                <w:rFonts w:cs="Arial"/>
                <w:sz w:val="20"/>
                <w:szCs w:val="20"/>
              </w:rPr>
              <w:t>participate in an individual interview</w:t>
            </w:r>
            <w:r w:rsidRPr="0042196D">
              <w:rPr>
                <w:rFonts w:cs="Arial"/>
                <w:sz w:val="20"/>
                <w:szCs w:val="20"/>
              </w:rPr>
              <w:t>.</w:t>
            </w:r>
          </w:p>
        </w:tc>
      </w:tr>
      <w:tr w14:paraId="21D6F0C0" w14:textId="77777777" w:rsidTr="00330632">
        <w:tblPrEx>
          <w:tblW w:w="0" w:type="auto"/>
          <w:tblLook w:val="04A0"/>
        </w:tblPrEx>
        <w:tc>
          <w:tcPr>
            <w:tcW w:w="1345" w:type="dxa"/>
            <w:tcMar>
              <w:top w:w="14" w:type="dxa"/>
              <w:left w:w="58" w:type="dxa"/>
              <w:bottom w:w="14" w:type="dxa"/>
              <w:right w:w="58" w:type="dxa"/>
            </w:tcMar>
          </w:tcPr>
          <w:p w:rsidR="00D97904" w:rsidP="00330632" w14:paraId="7000878E" w14:textId="77777777">
            <w:pPr>
              <w:pStyle w:val="BodyText"/>
              <w:tabs>
                <w:tab w:val="left" w:pos="1563"/>
              </w:tabs>
              <w:jc w:val="left"/>
              <w:rPr>
                <w:sz w:val="20"/>
                <w:szCs w:val="20"/>
              </w:rPr>
            </w:pPr>
            <w:r w:rsidRPr="0042196D">
              <w:rPr>
                <w:sz w:val="20"/>
                <w:szCs w:val="20"/>
              </w:rPr>
              <w:t>YFFG-Y</w:t>
            </w:r>
          </w:p>
          <w:p w:rsidR="001E7161" w:rsidRPr="0042196D" w:rsidP="00330632" w14:paraId="59ACA0CB" w14:textId="03B55DD9">
            <w:pPr>
              <w:pStyle w:val="BodyText"/>
              <w:tabs>
                <w:tab w:val="left" w:pos="1563"/>
              </w:tabs>
              <w:jc w:val="left"/>
              <w:rPr>
                <w:rFonts w:cs="Arial"/>
                <w:color w:val="181818"/>
                <w:sz w:val="20"/>
                <w:szCs w:val="20"/>
              </w:rPr>
            </w:pPr>
            <w:r>
              <w:rPr>
                <w:color w:val="181818"/>
                <w:sz w:val="20"/>
                <w:szCs w:val="20"/>
              </w:rPr>
              <w:t>YFFG-F</w:t>
            </w:r>
          </w:p>
        </w:tc>
        <w:tc>
          <w:tcPr>
            <w:tcW w:w="8005" w:type="dxa"/>
            <w:tcMar>
              <w:top w:w="14" w:type="dxa"/>
              <w:left w:w="58" w:type="dxa"/>
              <w:bottom w:w="14" w:type="dxa"/>
              <w:right w:w="58" w:type="dxa"/>
            </w:tcMar>
          </w:tcPr>
          <w:p w:rsidR="001D6271" w:rsidP="001F5037" w14:paraId="44BF0464" w14:textId="7BC534B3">
            <w:pPr>
              <w:pStyle w:val="BodyText"/>
              <w:tabs>
                <w:tab w:val="left" w:pos="1563"/>
              </w:tabs>
              <w:jc w:val="left"/>
              <w:rPr>
                <w:rFonts w:cs="Arial"/>
                <w:sz w:val="20"/>
                <w:szCs w:val="20"/>
              </w:rPr>
            </w:pPr>
            <w:r>
              <w:rPr>
                <w:rFonts w:cs="Arial"/>
                <w:sz w:val="20"/>
                <w:szCs w:val="20"/>
              </w:rPr>
              <w:t xml:space="preserve">Evaluation team members will provide grantees with evaluation </w:t>
            </w:r>
            <w:r w:rsidR="00711538">
              <w:rPr>
                <w:rFonts w:cs="Arial"/>
                <w:sz w:val="20"/>
                <w:szCs w:val="20"/>
              </w:rPr>
              <w:t>TTA</w:t>
            </w:r>
            <w:r>
              <w:rPr>
                <w:rFonts w:cs="Arial"/>
                <w:sz w:val="20"/>
                <w:szCs w:val="20"/>
              </w:rPr>
              <w:t xml:space="preserve">, equipping them with the tools needed to identify potential </w:t>
            </w:r>
            <w:r w:rsidR="00423F12">
              <w:rPr>
                <w:rFonts w:cs="Arial"/>
                <w:sz w:val="20"/>
                <w:szCs w:val="20"/>
              </w:rPr>
              <w:t xml:space="preserve">focus group </w:t>
            </w:r>
            <w:r>
              <w:rPr>
                <w:rFonts w:cs="Arial"/>
                <w:sz w:val="20"/>
                <w:szCs w:val="20"/>
              </w:rPr>
              <w:t>respondents</w:t>
            </w:r>
            <w:r w:rsidR="001A0439">
              <w:rPr>
                <w:rFonts w:cs="Arial"/>
                <w:sz w:val="20"/>
                <w:szCs w:val="20"/>
              </w:rPr>
              <w:t>,</w:t>
            </w:r>
            <w:r w:rsidR="00936E2F">
              <w:rPr>
                <w:rFonts w:cs="Arial"/>
                <w:sz w:val="20"/>
                <w:szCs w:val="20"/>
              </w:rPr>
              <w:t xml:space="preserve"> </w:t>
            </w:r>
            <w:r w:rsidR="00406A52">
              <w:rPr>
                <w:rFonts w:cs="Arial"/>
                <w:sz w:val="20"/>
                <w:szCs w:val="20"/>
              </w:rPr>
              <w:t xml:space="preserve">including </w:t>
            </w:r>
            <w:r w:rsidR="001A0439">
              <w:rPr>
                <w:rFonts w:cs="Arial"/>
                <w:sz w:val="20"/>
                <w:szCs w:val="20"/>
              </w:rPr>
              <w:t xml:space="preserve">youth and </w:t>
            </w:r>
            <w:r w:rsidR="00936E2F">
              <w:rPr>
                <w:rFonts w:cs="Arial"/>
                <w:sz w:val="20"/>
                <w:szCs w:val="20"/>
              </w:rPr>
              <w:t>parents/families</w:t>
            </w:r>
            <w:r>
              <w:rPr>
                <w:rFonts w:cs="Arial"/>
                <w:sz w:val="20"/>
                <w:szCs w:val="20"/>
              </w:rPr>
              <w:t xml:space="preserve">. </w:t>
            </w:r>
            <w:r w:rsidR="00423F12">
              <w:rPr>
                <w:rFonts w:cs="Arial"/>
                <w:sz w:val="20"/>
                <w:szCs w:val="20"/>
              </w:rPr>
              <w:t>Focus group</w:t>
            </w:r>
            <w:r>
              <w:rPr>
                <w:rFonts w:cs="Arial"/>
                <w:sz w:val="20"/>
                <w:szCs w:val="20"/>
              </w:rPr>
              <w:t xml:space="preserve"> respondents will already be familiar with</w:t>
            </w:r>
            <w:r w:rsidR="00936E2F">
              <w:rPr>
                <w:rFonts w:cs="Arial"/>
                <w:sz w:val="20"/>
                <w:szCs w:val="20"/>
              </w:rPr>
              <w:t xml:space="preserve"> </w:t>
            </w:r>
            <w:r>
              <w:rPr>
                <w:rFonts w:cs="Arial"/>
                <w:sz w:val="20"/>
                <w:szCs w:val="20"/>
              </w:rPr>
              <w:t>the grantee programs</w:t>
            </w:r>
            <w:r w:rsidR="0043007C">
              <w:rPr>
                <w:rFonts w:cs="Arial"/>
                <w:sz w:val="20"/>
                <w:szCs w:val="20"/>
              </w:rPr>
              <w:t xml:space="preserve"> and receive services under the AWARE/TISS grants</w:t>
            </w:r>
            <w:r>
              <w:rPr>
                <w:rFonts w:cs="Arial"/>
                <w:sz w:val="20"/>
                <w:szCs w:val="20"/>
              </w:rPr>
              <w:t>.</w:t>
            </w:r>
            <w:r w:rsidR="00936E2F">
              <w:rPr>
                <w:rFonts w:cs="Arial"/>
                <w:sz w:val="20"/>
                <w:szCs w:val="20"/>
              </w:rPr>
              <w:t xml:space="preserve"> </w:t>
            </w:r>
          </w:p>
          <w:p w:rsidR="00D97904" w:rsidRPr="0042196D" w:rsidP="00330632" w14:paraId="4EA16CC7" w14:textId="40BA4392">
            <w:pPr>
              <w:pStyle w:val="GLSBody"/>
              <w:spacing w:after="0"/>
              <w:jc w:val="left"/>
              <w:rPr>
                <w:rFonts w:ascii="Arial" w:hAnsi="Arial" w:cs="Arial"/>
                <w:sz w:val="20"/>
                <w:szCs w:val="20"/>
              </w:rPr>
            </w:pPr>
            <w:r w:rsidRPr="0042196D">
              <w:rPr>
                <w:rFonts w:ascii="Arial" w:hAnsi="Arial" w:cs="Arial"/>
                <w:sz w:val="20"/>
                <w:szCs w:val="20"/>
              </w:rPr>
              <w:t>A $</w:t>
            </w:r>
            <w:r w:rsidR="00CC358F">
              <w:rPr>
                <w:rFonts w:ascii="Arial" w:hAnsi="Arial" w:cs="Arial"/>
                <w:sz w:val="20"/>
                <w:szCs w:val="20"/>
              </w:rPr>
              <w:t>25</w:t>
            </w:r>
            <w:r w:rsidRPr="0042196D">
              <w:rPr>
                <w:rFonts w:ascii="Arial" w:hAnsi="Arial" w:cs="Arial"/>
                <w:sz w:val="20"/>
                <w:szCs w:val="20"/>
              </w:rPr>
              <w:t xml:space="preserve"> gift card is provided to all respondents who </w:t>
            </w:r>
            <w:r w:rsidR="00471227">
              <w:rPr>
                <w:rFonts w:ascii="Arial" w:hAnsi="Arial" w:cs="Arial"/>
                <w:sz w:val="20"/>
                <w:szCs w:val="20"/>
              </w:rPr>
              <w:t>participate in a focus group</w:t>
            </w:r>
            <w:r w:rsidRPr="0042196D">
              <w:rPr>
                <w:rFonts w:ascii="Arial" w:hAnsi="Arial" w:cs="Arial"/>
                <w:sz w:val="20"/>
                <w:szCs w:val="20"/>
              </w:rPr>
              <w:t>.</w:t>
            </w:r>
          </w:p>
        </w:tc>
      </w:tr>
      <w:tr w14:paraId="00AE0F60" w14:textId="77777777" w:rsidTr="00330632">
        <w:tblPrEx>
          <w:tblW w:w="0" w:type="auto"/>
          <w:tblLook w:val="04A0"/>
        </w:tblPrEx>
        <w:tc>
          <w:tcPr>
            <w:tcW w:w="1345" w:type="dxa"/>
            <w:tcMar>
              <w:top w:w="14" w:type="dxa"/>
              <w:left w:w="58" w:type="dxa"/>
              <w:bottom w:w="14" w:type="dxa"/>
              <w:right w:w="58" w:type="dxa"/>
            </w:tcMar>
          </w:tcPr>
          <w:p w:rsidR="00D97904" w:rsidRPr="0042196D" w:rsidP="00330632" w14:paraId="77AE3FF6" w14:textId="77777777">
            <w:pPr>
              <w:pStyle w:val="BodyText"/>
              <w:tabs>
                <w:tab w:val="left" w:pos="1563"/>
              </w:tabs>
              <w:rPr>
                <w:rFonts w:cs="Arial"/>
                <w:color w:val="181818"/>
                <w:sz w:val="20"/>
                <w:szCs w:val="20"/>
              </w:rPr>
            </w:pPr>
            <w:r w:rsidRPr="0042196D">
              <w:rPr>
                <w:sz w:val="20"/>
                <w:szCs w:val="20"/>
              </w:rPr>
              <w:t>CPS</w:t>
            </w:r>
          </w:p>
        </w:tc>
        <w:tc>
          <w:tcPr>
            <w:tcW w:w="8005" w:type="dxa"/>
            <w:tcMar>
              <w:top w:w="14" w:type="dxa"/>
              <w:left w:w="58" w:type="dxa"/>
              <w:bottom w:w="14" w:type="dxa"/>
              <w:right w:w="58" w:type="dxa"/>
            </w:tcMar>
          </w:tcPr>
          <w:p w:rsidR="00913D87" w:rsidRPr="00913D87" w:rsidP="00913D87" w14:paraId="20C9CA35" w14:textId="57839F8D">
            <w:pPr>
              <w:pStyle w:val="GLSBody"/>
              <w:spacing w:after="0"/>
              <w:rPr>
                <w:rFonts w:ascii="Arial" w:hAnsi="Arial" w:cs="Arial"/>
                <w:sz w:val="20"/>
                <w:szCs w:val="20"/>
              </w:rPr>
            </w:pPr>
            <w:r w:rsidRPr="00913D87">
              <w:rPr>
                <w:rFonts w:ascii="Arial" w:hAnsi="Arial" w:cs="Arial"/>
                <w:sz w:val="20"/>
                <w:szCs w:val="20"/>
              </w:rPr>
              <w:t xml:space="preserve">The </w:t>
            </w:r>
            <w:r w:rsidRPr="0042196D" w:rsidR="00EA5451">
              <w:rPr>
                <w:rFonts w:ascii="Arial" w:hAnsi="Arial" w:cs="Arial"/>
                <w:sz w:val="20"/>
                <w:szCs w:val="20"/>
              </w:rPr>
              <w:t>CPS</w:t>
            </w:r>
            <w:r w:rsidRPr="00913D87">
              <w:rPr>
                <w:rFonts w:ascii="Arial" w:hAnsi="Arial" w:cs="Arial"/>
                <w:sz w:val="20"/>
                <w:szCs w:val="20"/>
              </w:rPr>
              <w:t xml:space="preserve"> link will be generated within the ATODS </w:t>
            </w:r>
            <w:r w:rsidR="00036BF0">
              <w:rPr>
                <w:rFonts w:ascii="Arial" w:hAnsi="Arial" w:cs="Arial"/>
                <w:sz w:val="20"/>
                <w:szCs w:val="20"/>
              </w:rPr>
              <w:t>or</w:t>
            </w:r>
            <w:r w:rsidRPr="00913D87">
              <w:rPr>
                <w:rFonts w:ascii="Arial" w:hAnsi="Arial" w:cs="Arial"/>
                <w:sz w:val="20"/>
                <w:szCs w:val="20"/>
              </w:rPr>
              <w:t xml:space="preserve"> emailed to the respondent</w:t>
            </w:r>
            <w:r w:rsidR="00FB4657">
              <w:rPr>
                <w:rFonts w:ascii="Arial" w:hAnsi="Arial" w:cs="Arial"/>
                <w:sz w:val="20"/>
                <w:szCs w:val="20"/>
              </w:rPr>
              <w:t xml:space="preserve"> directly</w:t>
            </w:r>
            <w:r w:rsidRPr="00913D87">
              <w:rPr>
                <w:rFonts w:ascii="Arial" w:hAnsi="Arial" w:cs="Arial"/>
                <w:sz w:val="20"/>
                <w:szCs w:val="20"/>
              </w:rPr>
              <w:t xml:space="preserve">. Respondents will be encouraged to complete the survey. If a respondent starts the survey but does not complete it, they will receive up to </w:t>
            </w:r>
            <w:r w:rsidR="009B3904">
              <w:rPr>
                <w:rFonts w:ascii="Arial" w:hAnsi="Arial" w:cs="Arial"/>
                <w:sz w:val="20"/>
                <w:szCs w:val="20"/>
              </w:rPr>
              <w:t>two</w:t>
            </w:r>
            <w:r w:rsidRPr="00913D87">
              <w:rPr>
                <w:rFonts w:ascii="Arial" w:hAnsi="Arial" w:cs="Arial"/>
                <w:sz w:val="20"/>
                <w:szCs w:val="20"/>
              </w:rPr>
              <w:t xml:space="preserve"> reminders via email or text message to encourage participation.</w:t>
            </w:r>
          </w:p>
          <w:p w:rsidR="00D97904" w:rsidRPr="0042196D" w:rsidP="00913D87" w14:paraId="72D8C297" w14:textId="785F0B39">
            <w:pPr>
              <w:pStyle w:val="GLSBody"/>
              <w:spacing w:after="0"/>
              <w:jc w:val="left"/>
              <w:rPr>
                <w:rFonts w:ascii="Arial" w:hAnsi="Arial" w:cs="Arial"/>
                <w:sz w:val="20"/>
                <w:szCs w:val="20"/>
              </w:rPr>
            </w:pPr>
            <w:r w:rsidRPr="0042196D">
              <w:rPr>
                <w:rFonts w:ascii="Arial" w:hAnsi="Arial" w:cs="Arial"/>
                <w:sz w:val="20"/>
                <w:szCs w:val="20"/>
              </w:rPr>
              <w:t>A $20 gift card is provided to all respondents who complete the survey.</w:t>
            </w:r>
          </w:p>
        </w:tc>
      </w:tr>
      <w:tr w14:paraId="379CAEB6" w14:textId="77777777" w:rsidTr="00330632">
        <w:tblPrEx>
          <w:tblW w:w="0" w:type="auto"/>
          <w:tblLook w:val="04A0"/>
        </w:tblPrEx>
        <w:trPr>
          <w:trHeight w:val="327"/>
        </w:trPr>
        <w:tc>
          <w:tcPr>
            <w:tcW w:w="1345" w:type="dxa"/>
            <w:tcMar>
              <w:top w:w="14" w:type="dxa"/>
              <w:left w:w="58" w:type="dxa"/>
              <w:bottom w:w="14" w:type="dxa"/>
              <w:right w:w="58" w:type="dxa"/>
            </w:tcMar>
          </w:tcPr>
          <w:p w:rsidR="00A50107" w:rsidP="00A50107" w14:paraId="0B5C249D" w14:textId="77777777">
            <w:pPr>
              <w:pStyle w:val="BodyText"/>
              <w:tabs>
                <w:tab w:val="left" w:pos="1563"/>
              </w:tabs>
              <w:rPr>
                <w:sz w:val="20"/>
                <w:szCs w:val="20"/>
              </w:rPr>
            </w:pPr>
            <w:r w:rsidRPr="0042196D">
              <w:rPr>
                <w:sz w:val="20"/>
                <w:szCs w:val="20"/>
              </w:rPr>
              <w:t>APPTS</w:t>
            </w:r>
          </w:p>
          <w:p w:rsidR="00A50107" w:rsidP="00A50107" w14:paraId="251964E3" w14:textId="68F555C7">
            <w:pPr>
              <w:pStyle w:val="BodyText"/>
              <w:tabs>
                <w:tab w:val="left" w:pos="1563"/>
              </w:tabs>
              <w:rPr>
                <w:sz w:val="20"/>
                <w:szCs w:val="20"/>
              </w:rPr>
            </w:pPr>
            <w:r>
              <w:rPr>
                <w:color w:val="181818"/>
                <w:sz w:val="20"/>
                <w:szCs w:val="20"/>
              </w:rPr>
              <w:t>TPPTS</w:t>
            </w:r>
          </w:p>
          <w:p w:rsidR="00D97904" w:rsidRPr="0042196D" w:rsidP="00330632" w14:paraId="07BDBDBC" w14:textId="23D7B614">
            <w:pPr>
              <w:pStyle w:val="BodyText"/>
              <w:tabs>
                <w:tab w:val="left" w:pos="1563"/>
              </w:tabs>
              <w:rPr>
                <w:rFonts w:cs="Arial"/>
                <w:color w:val="181818"/>
                <w:sz w:val="20"/>
                <w:szCs w:val="20"/>
              </w:rPr>
            </w:pPr>
          </w:p>
        </w:tc>
        <w:tc>
          <w:tcPr>
            <w:tcW w:w="8005" w:type="dxa"/>
            <w:tcMar>
              <w:top w:w="14" w:type="dxa"/>
              <w:left w:w="58" w:type="dxa"/>
              <w:bottom w:w="14" w:type="dxa"/>
              <w:right w:w="58" w:type="dxa"/>
            </w:tcMar>
          </w:tcPr>
          <w:p w:rsidR="00D97904" w:rsidRPr="0042196D" w:rsidP="00FF5F7D" w14:paraId="1524960A" w14:textId="364DF28F">
            <w:pPr>
              <w:pStyle w:val="GLSBody"/>
              <w:spacing w:after="0"/>
              <w:rPr>
                <w:rFonts w:ascii="Arial" w:hAnsi="Arial" w:cs="Arial"/>
                <w:sz w:val="20"/>
                <w:szCs w:val="20"/>
              </w:rPr>
            </w:pPr>
            <w:r w:rsidRPr="00B439EB">
              <w:rPr>
                <w:rFonts w:ascii="Arial" w:hAnsi="Arial" w:cs="Arial"/>
                <w:sz w:val="20"/>
                <w:szCs w:val="20"/>
              </w:rPr>
              <w:t xml:space="preserve">The </w:t>
            </w:r>
            <w:r w:rsidRPr="0042196D">
              <w:rPr>
                <w:rFonts w:ascii="Arial" w:hAnsi="Arial" w:cs="Arial"/>
                <w:sz w:val="20"/>
                <w:szCs w:val="20"/>
              </w:rPr>
              <w:t>APPTS</w:t>
            </w:r>
            <w:r>
              <w:rPr>
                <w:rFonts w:ascii="Arial" w:hAnsi="Arial" w:cs="Arial"/>
                <w:sz w:val="20"/>
                <w:szCs w:val="20"/>
              </w:rPr>
              <w:t xml:space="preserve"> and TPPTS</w:t>
            </w:r>
            <w:r w:rsidRPr="00B439EB">
              <w:rPr>
                <w:rFonts w:ascii="Arial" w:hAnsi="Arial" w:cs="Arial"/>
                <w:sz w:val="20"/>
                <w:szCs w:val="20"/>
              </w:rPr>
              <w:t xml:space="preserve"> link</w:t>
            </w:r>
            <w:r w:rsidRPr="0042196D">
              <w:rPr>
                <w:rFonts w:ascii="Arial" w:hAnsi="Arial" w:cs="Arial"/>
                <w:sz w:val="20"/>
                <w:szCs w:val="20"/>
              </w:rPr>
              <w:t>s (one for pre- and one for post-)</w:t>
            </w:r>
            <w:r w:rsidRPr="00B439EB">
              <w:rPr>
                <w:rFonts w:ascii="Arial" w:hAnsi="Arial" w:cs="Arial"/>
                <w:sz w:val="20"/>
                <w:szCs w:val="20"/>
              </w:rPr>
              <w:t xml:space="preserve"> will be generated within the </w:t>
            </w:r>
            <w:r w:rsidRPr="0042196D">
              <w:rPr>
                <w:rFonts w:ascii="Arial" w:hAnsi="Arial" w:cs="Arial"/>
                <w:sz w:val="20"/>
                <w:szCs w:val="20"/>
              </w:rPr>
              <w:t xml:space="preserve">ATODS </w:t>
            </w:r>
            <w:r w:rsidRPr="00B439EB">
              <w:rPr>
                <w:rFonts w:ascii="Arial" w:hAnsi="Arial" w:cs="Arial"/>
                <w:sz w:val="20"/>
                <w:szCs w:val="20"/>
              </w:rPr>
              <w:t>or emailed to an alternative contact</w:t>
            </w:r>
            <w:r>
              <w:rPr>
                <w:rFonts w:ascii="Arial" w:hAnsi="Arial" w:cs="Arial"/>
                <w:sz w:val="20"/>
                <w:szCs w:val="20"/>
                <w:vertAlign w:val="superscript"/>
              </w:rPr>
              <w:footnoteReference w:id="3"/>
            </w:r>
            <w:r w:rsidRPr="00B439EB">
              <w:rPr>
                <w:rFonts w:ascii="Arial" w:hAnsi="Arial" w:cs="Arial"/>
                <w:sz w:val="20"/>
                <w:szCs w:val="20"/>
              </w:rPr>
              <w:t xml:space="preserve">. </w:t>
            </w:r>
            <w:r w:rsidRPr="0042196D">
              <w:rPr>
                <w:rFonts w:ascii="Arial" w:hAnsi="Arial" w:cs="Arial"/>
                <w:sz w:val="20"/>
                <w:szCs w:val="20"/>
              </w:rPr>
              <w:t>Before and after</w:t>
            </w:r>
            <w:r w:rsidRPr="00B439EB">
              <w:rPr>
                <w:rFonts w:ascii="Arial" w:hAnsi="Arial" w:cs="Arial"/>
                <w:sz w:val="20"/>
                <w:szCs w:val="20"/>
              </w:rPr>
              <w:t xml:space="preserve"> the training, the trainer will distribute this link to all participants who </w:t>
            </w:r>
            <w:r w:rsidRPr="0042196D">
              <w:rPr>
                <w:rFonts w:ascii="Arial" w:hAnsi="Arial" w:cs="Arial"/>
                <w:sz w:val="20"/>
                <w:szCs w:val="20"/>
              </w:rPr>
              <w:t xml:space="preserve">attend the </w:t>
            </w:r>
            <w:r w:rsidRPr="00B439EB">
              <w:rPr>
                <w:rFonts w:ascii="Arial" w:hAnsi="Arial" w:cs="Arial"/>
                <w:sz w:val="20"/>
                <w:szCs w:val="20"/>
              </w:rPr>
              <w:t xml:space="preserve">training. This link may be shared via email, a QR code, or text message. Participants will be encouraged to complete </w:t>
            </w:r>
            <w:r w:rsidRPr="0042196D">
              <w:rPr>
                <w:rFonts w:ascii="Arial" w:hAnsi="Arial" w:cs="Arial"/>
                <w:sz w:val="20"/>
                <w:szCs w:val="20"/>
              </w:rPr>
              <w:t>both surveys</w:t>
            </w:r>
            <w:r w:rsidRPr="00B439EB">
              <w:rPr>
                <w:rFonts w:ascii="Arial" w:hAnsi="Arial" w:cs="Arial"/>
                <w:sz w:val="20"/>
                <w:szCs w:val="20"/>
              </w:rPr>
              <w:t xml:space="preserve">. </w:t>
            </w:r>
            <w:r w:rsidRPr="0042196D">
              <w:rPr>
                <w:rFonts w:ascii="Arial" w:hAnsi="Arial" w:cs="Arial"/>
                <w:sz w:val="20"/>
                <w:szCs w:val="20"/>
              </w:rPr>
              <w:t>A $20 gift card is provided to all respondents who complete the both the pre- and post- survey.</w:t>
            </w:r>
          </w:p>
        </w:tc>
      </w:tr>
      <w:tr w14:paraId="37248AA9" w14:textId="77777777" w:rsidTr="00330632">
        <w:tblPrEx>
          <w:tblW w:w="0" w:type="auto"/>
          <w:tblLook w:val="04A0"/>
        </w:tblPrEx>
        <w:trPr>
          <w:trHeight w:val="408"/>
        </w:trPr>
        <w:tc>
          <w:tcPr>
            <w:tcW w:w="1345" w:type="dxa"/>
            <w:tcMar>
              <w:top w:w="14" w:type="dxa"/>
              <w:left w:w="58" w:type="dxa"/>
              <w:bottom w:w="14" w:type="dxa"/>
              <w:right w:w="58" w:type="dxa"/>
            </w:tcMar>
          </w:tcPr>
          <w:p w:rsidR="00A50107" w:rsidP="00330632" w14:paraId="65194A4F" w14:textId="33D39795">
            <w:pPr>
              <w:pStyle w:val="BodyText"/>
              <w:tabs>
                <w:tab w:val="left" w:pos="1563"/>
              </w:tabs>
              <w:rPr>
                <w:sz w:val="20"/>
                <w:szCs w:val="20"/>
              </w:rPr>
            </w:pPr>
            <w:r w:rsidRPr="0042196D">
              <w:rPr>
                <w:sz w:val="20"/>
                <w:szCs w:val="20"/>
              </w:rPr>
              <w:t>PFF</w:t>
            </w:r>
          </w:p>
          <w:p w:rsidR="001A0439" w:rsidRPr="0042196D" w:rsidP="00330632" w14:paraId="10E754FC" w14:textId="4F1329BE">
            <w:pPr>
              <w:pStyle w:val="BodyText"/>
              <w:tabs>
                <w:tab w:val="left" w:pos="1563"/>
              </w:tabs>
              <w:rPr>
                <w:rFonts w:cs="Arial"/>
                <w:color w:val="181818"/>
                <w:sz w:val="20"/>
                <w:szCs w:val="20"/>
              </w:rPr>
            </w:pPr>
          </w:p>
        </w:tc>
        <w:tc>
          <w:tcPr>
            <w:tcW w:w="8005" w:type="dxa"/>
            <w:tcMar>
              <w:top w:w="14" w:type="dxa"/>
              <w:left w:w="58" w:type="dxa"/>
              <w:bottom w:w="14" w:type="dxa"/>
              <w:right w:w="58" w:type="dxa"/>
            </w:tcMar>
          </w:tcPr>
          <w:p w:rsidR="00FF5F7D" w:rsidRPr="00F04FC3" w:rsidP="00FF5F7D" w14:paraId="65882D04" w14:textId="712C7C91">
            <w:pPr>
              <w:pStyle w:val="GLSBody"/>
              <w:spacing w:after="0"/>
              <w:rPr>
                <w:rFonts w:ascii="Arial" w:hAnsi="Arial" w:cs="Arial"/>
                <w:sz w:val="20"/>
                <w:szCs w:val="20"/>
              </w:rPr>
            </w:pPr>
            <w:r w:rsidRPr="00F04FC3">
              <w:rPr>
                <w:rFonts w:ascii="Arial" w:hAnsi="Arial" w:cs="Arial"/>
                <w:sz w:val="20"/>
                <w:szCs w:val="20"/>
              </w:rPr>
              <w:t xml:space="preserve">The </w:t>
            </w:r>
            <w:r w:rsidRPr="0042196D">
              <w:rPr>
                <w:rFonts w:ascii="Arial" w:hAnsi="Arial" w:cs="Arial"/>
                <w:sz w:val="20"/>
                <w:szCs w:val="20"/>
              </w:rPr>
              <w:t>PFF</w:t>
            </w:r>
            <w:r w:rsidRPr="00F04FC3">
              <w:rPr>
                <w:rFonts w:ascii="Arial" w:hAnsi="Arial" w:cs="Arial"/>
                <w:sz w:val="20"/>
                <w:szCs w:val="20"/>
              </w:rPr>
              <w:t xml:space="preserve"> link will be generated within the </w:t>
            </w:r>
            <w:r w:rsidRPr="0042196D">
              <w:rPr>
                <w:rFonts w:ascii="Arial" w:hAnsi="Arial" w:cs="Arial"/>
                <w:sz w:val="20"/>
                <w:szCs w:val="20"/>
              </w:rPr>
              <w:t>ATODS</w:t>
            </w:r>
            <w:r w:rsidRPr="00F04FC3">
              <w:rPr>
                <w:rFonts w:ascii="Arial" w:hAnsi="Arial" w:cs="Arial"/>
                <w:sz w:val="20"/>
                <w:szCs w:val="20"/>
              </w:rPr>
              <w:t xml:space="preserve"> or emailed to </w:t>
            </w:r>
            <w:r>
              <w:rPr>
                <w:rFonts w:ascii="Arial" w:hAnsi="Arial" w:cs="Arial"/>
                <w:sz w:val="20"/>
                <w:szCs w:val="20"/>
              </w:rPr>
              <w:t xml:space="preserve">the respondent or </w:t>
            </w:r>
            <w:r w:rsidRPr="00F04FC3">
              <w:rPr>
                <w:rFonts w:ascii="Arial" w:hAnsi="Arial" w:cs="Arial"/>
                <w:sz w:val="20"/>
                <w:szCs w:val="20"/>
              </w:rPr>
              <w:t>an alternative contact</w:t>
            </w:r>
            <w:r>
              <w:rPr>
                <w:rFonts w:ascii="Arial" w:hAnsi="Arial" w:cs="Arial"/>
                <w:sz w:val="20"/>
                <w:szCs w:val="20"/>
                <w:vertAlign w:val="superscript"/>
              </w:rPr>
              <w:footnoteReference w:id="4"/>
            </w:r>
            <w:r w:rsidRPr="00F04FC3">
              <w:rPr>
                <w:rFonts w:ascii="Arial" w:hAnsi="Arial" w:cs="Arial"/>
                <w:sz w:val="20"/>
                <w:szCs w:val="20"/>
              </w:rPr>
              <w:t xml:space="preserve">. Following </w:t>
            </w:r>
            <w:r>
              <w:rPr>
                <w:rFonts w:ascii="Arial" w:hAnsi="Arial" w:cs="Arial"/>
                <w:sz w:val="20"/>
                <w:szCs w:val="20"/>
              </w:rPr>
              <w:t>completion of the APPTS or TPPTS</w:t>
            </w:r>
            <w:r w:rsidRPr="00F04FC3">
              <w:rPr>
                <w:rFonts w:ascii="Arial" w:hAnsi="Arial" w:cs="Arial"/>
                <w:sz w:val="20"/>
                <w:szCs w:val="20"/>
              </w:rPr>
              <w:t xml:space="preserve">, </w:t>
            </w:r>
            <w:r>
              <w:rPr>
                <w:rFonts w:ascii="Arial" w:hAnsi="Arial" w:cs="Arial"/>
                <w:sz w:val="20"/>
                <w:szCs w:val="20"/>
              </w:rPr>
              <w:t xml:space="preserve">respondents who indicate their consent to </w:t>
            </w:r>
            <w:r w:rsidR="007F1C7A">
              <w:rPr>
                <w:rFonts w:ascii="Arial" w:hAnsi="Arial" w:cs="Arial"/>
                <w:sz w:val="20"/>
                <w:szCs w:val="20"/>
              </w:rPr>
              <w:t>be contacted for</w:t>
            </w:r>
            <w:r>
              <w:rPr>
                <w:rFonts w:ascii="Arial" w:hAnsi="Arial" w:cs="Arial"/>
                <w:sz w:val="20"/>
                <w:szCs w:val="20"/>
              </w:rPr>
              <w:t xml:space="preserve"> an additional survey will be directed to a link to the PFF on their device and the same link will be sent to them by email and/or text message. </w:t>
            </w:r>
            <w:r w:rsidRPr="00F04FC3">
              <w:rPr>
                <w:rFonts w:ascii="Arial" w:hAnsi="Arial" w:cs="Arial"/>
                <w:sz w:val="20"/>
                <w:szCs w:val="20"/>
              </w:rPr>
              <w:t xml:space="preserve">Participants will be encouraged to complete the survey </w:t>
            </w:r>
            <w:r w:rsidRPr="0042196D">
              <w:rPr>
                <w:rFonts w:ascii="Arial" w:hAnsi="Arial" w:cs="Arial"/>
                <w:sz w:val="20"/>
                <w:szCs w:val="20"/>
              </w:rPr>
              <w:t>following</w:t>
            </w:r>
            <w:r w:rsidRPr="00F04FC3">
              <w:rPr>
                <w:rFonts w:ascii="Arial" w:hAnsi="Arial" w:cs="Arial"/>
                <w:sz w:val="20"/>
                <w:szCs w:val="20"/>
              </w:rPr>
              <w:t xml:space="preserve"> training. If a participant starts </w:t>
            </w:r>
            <w:r>
              <w:rPr>
                <w:rFonts w:ascii="Arial" w:hAnsi="Arial" w:cs="Arial"/>
                <w:sz w:val="20"/>
                <w:szCs w:val="20"/>
              </w:rPr>
              <w:t>t</w:t>
            </w:r>
            <w:r w:rsidRPr="00F04FC3">
              <w:rPr>
                <w:rFonts w:ascii="Arial" w:hAnsi="Arial" w:cs="Arial"/>
                <w:sz w:val="20"/>
                <w:szCs w:val="20"/>
              </w:rPr>
              <w:t xml:space="preserve">he </w:t>
            </w:r>
            <w:r w:rsidRPr="0042196D">
              <w:rPr>
                <w:rFonts w:ascii="Arial" w:hAnsi="Arial" w:cs="Arial"/>
                <w:sz w:val="20"/>
                <w:szCs w:val="20"/>
              </w:rPr>
              <w:t>feedback form</w:t>
            </w:r>
            <w:r w:rsidRPr="00F04FC3">
              <w:rPr>
                <w:rFonts w:ascii="Arial" w:hAnsi="Arial" w:cs="Arial"/>
                <w:sz w:val="20"/>
                <w:szCs w:val="20"/>
              </w:rPr>
              <w:t xml:space="preserve"> but does not complete it, they will receive up to </w:t>
            </w:r>
            <w:r w:rsidR="009B3904">
              <w:rPr>
                <w:rFonts w:ascii="Arial" w:hAnsi="Arial" w:cs="Arial"/>
                <w:sz w:val="20"/>
                <w:szCs w:val="20"/>
              </w:rPr>
              <w:t>two</w:t>
            </w:r>
            <w:r w:rsidRPr="00F04FC3">
              <w:rPr>
                <w:rFonts w:ascii="Arial" w:hAnsi="Arial" w:cs="Arial"/>
                <w:sz w:val="20"/>
                <w:szCs w:val="20"/>
              </w:rPr>
              <w:t xml:space="preserve"> reminders via email or text message to encourage </w:t>
            </w:r>
            <w:r w:rsidRPr="0042196D">
              <w:rPr>
                <w:rFonts w:ascii="Arial" w:hAnsi="Arial" w:cs="Arial"/>
                <w:sz w:val="20"/>
                <w:szCs w:val="20"/>
              </w:rPr>
              <w:t>completion</w:t>
            </w:r>
            <w:r w:rsidRPr="00F04FC3">
              <w:rPr>
                <w:rFonts w:ascii="Arial" w:hAnsi="Arial" w:cs="Arial"/>
                <w:sz w:val="20"/>
                <w:szCs w:val="20"/>
              </w:rPr>
              <w:t>.</w:t>
            </w:r>
          </w:p>
          <w:p w:rsidR="00D97904" w:rsidRPr="0042196D" w:rsidP="00CB4A3E" w14:paraId="15B40B5C" w14:textId="6A7D592E">
            <w:pPr>
              <w:pStyle w:val="GLSBody"/>
              <w:spacing w:after="0"/>
              <w:rPr>
                <w:rFonts w:ascii="Arial" w:hAnsi="Arial" w:cs="Arial"/>
                <w:sz w:val="20"/>
                <w:szCs w:val="20"/>
              </w:rPr>
            </w:pPr>
            <w:r w:rsidRPr="0042196D">
              <w:rPr>
                <w:rFonts w:ascii="Arial" w:hAnsi="Arial" w:cs="Arial"/>
                <w:sz w:val="20"/>
                <w:szCs w:val="20"/>
              </w:rPr>
              <w:t>A $10 gift card is provided to all respondents who complete the feedback form.</w:t>
            </w:r>
          </w:p>
        </w:tc>
      </w:tr>
      <w:tr w14:paraId="1083E036" w14:textId="77777777" w:rsidTr="00330632">
        <w:tblPrEx>
          <w:tblW w:w="0" w:type="auto"/>
          <w:tblLook w:val="04A0"/>
        </w:tblPrEx>
        <w:trPr>
          <w:trHeight w:val="408"/>
        </w:trPr>
        <w:tc>
          <w:tcPr>
            <w:tcW w:w="1345" w:type="dxa"/>
            <w:tcMar>
              <w:top w:w="14" w:type="dxa"/>
              <w:left w:w="58" w:type="dxa"/>
              <w:bottom w:w="14" w:type="dxa"/>
              <w:right w:w="58" w:type="dxa"/>
            </w:tcMar>
          </w:tcPr>
          <w:p w:rsidR="00D97904" w:rsidRPr="0042196D" w:rsidP="00330632" w14:paraId="6C7CBB29" w14:textId="77777777">
            <w:pPr>
              <w:pStyle w:val="BodyText"/>
              <w:tabs>
                <w:tab w:val="left" w:pos="1563"/>
              </w:tabs>
              <w:rPr>
                <w:rFonts w:cs="Arial"/>
                <w:color w:val="181818"/>
                <w:sz w:val="20"/>
                <w:szCs w:val="20"/>
              </w:rPr>
            </w:pPr>
            <w:r w:rsidRPr="0042196D">
              <w:rPr>
                <w:sz w:val="20"/>
                <w:szCs w:val="20"/>
              </w:rPr>
              <w:t>WFS</w:t>
            </w:r>
          </w:p>
        </w:tc>
        <w:tc>
          <w:tcPr>
            <w:tcW w:w="8005" w:type="dxa"/>
            <w:tcMar>
              <w:top w:w="14" w:type="dxa"/>
              <w:left w:w="58" w:type="dxa"/>
              <w:bottom w:w="14" w:type="dxa"/>
              <w:right w:w="58" w:type="dxa"/>
            </w:tcMar>
          </w:tcPr>
          <w:p w:rsidR="00672848" w:rsidRPr="001543F2" w:rsidP="001543F2" w14:paraId="6384CA40" w14:textId="5243E121">
            <w:pPr>
              <w:pStyle w:val="ICFTextwithspace"/>
              <w:spacing w:after="0"/>
              <w:rPr>
                <w:rFonts w:ascii="Arial" w:eastAsia="Times New Roman" w:hAnsi="Arial" w:cs="Arial"/>
              </w:rPr>
            </w:pPr>
            <w:r w:rsidRPr="0042196D">
              <w:rPr>
                <w:rFonts w:ascii="Arial" w:eastAsia="Arial" w:hAnsi="Arial" w:cs="Arial"/>
              </w:rPr>
              <w:t>The WFS link will be generated within the ATODS</w:t>
            </w:r>
            <w:r w:rsidR="005613D4">
              <w:rPr>
                <w:rFonts w:ascii="Arial" w:eastAsia="Arial" w:hAnsi="Arial" w:cs="Arial"/>
              </w:rPr>
              <w:t xml:space="preserve">, </w:t>
            </w:r>
            <w:r w:rsidRPr="0042196D">
              <w:rPr>
                <w:rFonts w:ascii="Arial" w:eastAsia="Arial" w:hAnsi="Arial" w:cs="Arial"/>
              </w:rPr>
              <w:t>emailed</w:t>
            </w:r>
            <w:r w:rsidR="00E21AF1">
              <w:rPr>
                <w:rFonts w:ascii="Arial" w:eastAsia="Arial" w:hAnsi="Arial" w:cs="Arial"/>
              </w:rPr>
              <w:t xml:space="preserve"> to the respondent</w:t>
            </w:r>
            <w:r w:rsidR="005613D4">
              <w:rPr>
                <w:rFonts w:ascii="Arial" w:eastAsia="Arial" w:hAnsi="Arial" w:cs="Arial"/>
              </w:rPr>
              <w:t>,</w:t>
            </w:r>
            <w:r w:rsidR="00E21AF1">
              <w:rPr>
                <w:rFonts w:ascii="Arial" w:eastAsia="Arial" w:hAnsi="Arial" w:cs="Arial"/>
              </w:rPr>
              <w:t xml:space="preserve"> or</w:t>
            </w:r>
            <w:r w:rsidRPr="0042196D">
              <w:rPr>
                <w:rFonts w:ascii="Arial" w:eastAsia="Arial" w:hAnsi="Arial" w:cs="Arial"/>
              </w:rPr>
              <w:t xml:space="preserve"> to an alternative contact</w:t>
            </w:r>
            <w:r>
              <w:rPr>
                <w:rFonts w:ascii="Arial" w:eastAsia="Arial" w:hAnsi="Arial" w:cs="Arial"/>
                <w:vertAlign w:val="superscript"/>
              </w:rPr>
              <w:footnoteReference w:id="5"/>
            </w:r>
            <w:r w:rsidRPr="0042196D" w:rsidR="00010BD1">
              <w:rPr>
                <w:rFonts w:ascii="Arial" w:eastAsia="Arial" w:hAnsi="Arial" w:cs="Arial"/>
              </w:rPr>
              <w:t xml:space="preserve"> to share with trainees who consented to be contacted </w:t>
            </w:r>
            <w:r w:rsidR="007D03DB">
              <w:rPr>
                <w:rFonts w:ascii="Arial" w:eastAsia="Arial" w:hAnsi="Arial" w:cs="Arial"/>
              </w:rPr>
              <w:t>three</w:t>
            </w:r>
            <w:r w:rsidRPr="0042196D" w:rsidR="0071366A">
              <w:rPr>
                <w:rFonts w:ascii="Arial" w:eastAsia="Arial" w:hAnsi="Arial" w:cs="Arial"/>
              </w:rPr>
              <w:t>- and 12-months</w:t>
            </w:r>
            <w:r w:rsidRPr="0042196D" w:rsidR="00010BD1">
              <w:rPr>
                <w:rFonts w:ascii="Arial" w:eastAsia="Arial" w:hAnsi="Arial" w:cs="Arial"/>
              </w:rPr>
              <w:t xml:space="preserve"> post training</w:t>
            </w:r>
            <w:r w:rsidRPr="0042196D">
              <w:rPr>
                <w:rFonts w:ascii="Arial" w:eastAsia="Arial" w:hAnsi="Arial" w:cs="Arial"/>
              </w:rPr>
              <w:t xml:space="preserve">. This link </w:t>
            </w:r>
            <w:r w:rsidRPr="001543F2">
              <w:rPr>
                <w:rFonts w:ascii="Arial" w:eastAsia="Arial" w:hAnsi="Arial" w:cs="Arial"/>
              </w:rPr>
              <w:t>may be shared via email, a QR code, or text message. Participants will be encouraged to complete the survey</w:t>
            </w:r>
            <w:r w:rsidRPr="001543F2" w:rsidR="0071366A">
              <w:rPr>
                <w:rFonts w:ascii="Arial" w:eastAsia="Arial" w:hAnsi="Arial" w:cs="Arial"/>
              </w:rPr>
              <w:t>s</w:t>
            </w:r>
            <w:r w:rsidRPr="001543F2">
              <w:rPr>
                <w:rFonts w:ascii="Arial" w:eastAsia="Arial" w:hAnsi="Arial" w:cs="Arial"/>
              </w:rPr>
              <w:t xml:space="preserve">. If a participant starts </w:t>
            </w:r>
            <w:r w:rsidR="007756E4">
              <w:rPr>
                <w:rFonts w:ascii="Arial" w:eastAsia="Arial" w:hAnsi="Arial" w:cs="Arial"/>
              </w:rPr>
              <w:t>the survey</w:t>
            </w:r>
            <w:r w:rsidRPr="001543F2">
              <w:rPr>
                <w:rFonts w:ascii="Arial" w:eastAsia="Arial" w:hAnsi="Arial" w:cs="Arial"/>
              </w:rPr>
              <w:t xml:space="preserve"> but does not complete it, they will receive up to </w:t>
            </w:r>
            <w:r w:rsidR="009B3904">
              <w:rPr>
                <w:rFonts w:ascii="Arial" w:eastAsia="Arial" w:hAnsi="Arial" w:cs="Arial"/>
              </w:rPr>
              <w:t>two</w:t>
            </w:r>
            <w:r w:rsidRPr="001543F2">
              <w:rPr>
                <w:rFonts w:ascii="Arial" w:eastAsia="Arial" w:hAnsi="Arial" w:cs="Arial"/>
              </w:rPr>
              <w:t xml:space="preserve"> reminders via email or text message to encourage participation.</w:t>
            </w:r>
          </w:p>
          <w:p w:rsidR="00D97904" w:rsidRPr="0042196D" w:rsidP="001543F2" w14:paraId="08250D82" w14:textId="11207F9D">
            <w:pPr>
              <w:pStyle w:val="GLSBody"/>
              <w:spacing w:after="0"/>
              <w:jc w:val="left"/>
              <w:rPr>
                <w:rFonts w:ascii="Arial" w:hAnsi="Arial" w:cs="Arial"/>
                <w:sz w:val="20"/>
                <w:szCs w:val="20"/>
              </w:rPr>
            </w:pPr>
            <w:r w:rsidRPr="001543F2">
              <w:rPr>
                <w:rFonts w:ascii="Arial" w:hAnsi="Arial" w:cs="Arial"/>
                <w:sz w:val="20"/>
                <w:szCs w:val="20"/>
              </w:rPr>
              <w:t>A $20 gift card is provided to all respondents who complete the follow-up survey (for a total of $40</w:t>
            </w:r>
            <w:r w:rsidRPr="001543F2" w:rsidR="00710572">
              <w:rPr>
                <w:rFonts w:ascii="Arial" w:hAnsi="Arial" w:cs="Arial"/>
                <w:sz w:val="20"/>
                <w:szCs w:val="20"/>
              </w:rPr>
              <w:t xml:space="preserve"> if the respondent completes both the </w:t>
            </w:r>
            <w:r w:rsidR="009B3904">
              <w:rPr>
                <w:rFonts w:ascii="Arial" w:hAnsi="Arial" w:cs="Arial"/>
                <w:sz w:val="20"/>
                <w:szCs w:val="20"/>
              </w:rPr>
              <w:t>three</w:t>
            </w:r>
            <w:r w:rsidRPr="001543F2" w:rsidR="00710572">
              <w:rPr>
                <w:rFonts w:ascii="Arial" w:hAnsi="Arial" w:cs="Arial"/>
                <w:sz w:val="20"/>
                <w:szCs w:val="20"/>
              </w:rPr>
              <w:t>- and 12-month follow-up survey</w:t>
            </w:r>
            <w:r w:rsidRPr="001543F2">
              <w:rPr>
                <w:rFonts w:ascii="Arial" w:hAnsi="Arial" w:cs="Arial"/>
                <w:sz w:val="20"/>
                <w:szCs w:val="20"/>
              </w:rPr>
              <w:t>.</w:t>
            </w:r>
            <w:r w:rsidRPr="001543F2" w:rsidR="001543F2">
              <w:rPr>
                <w:rFonts w:ascii="Arial" w:hAnsi="Arial" w:cs="Arial"/>
                <w:sz w:val="20"/>
                <w:szCs w:val="20"/>
              </w:rPr>
              <w:t>)</w:t>
            </w:r>
          </w:p>
        </w:tc>
      </w:tr>
      <w:tr w14:paraId="55520DD7" w14:textId="77777777" w:rsidTr="00330632">
        <w:tblPrEx>
          <w:tblW w:w="0" w:type="auto"/>
          <w:tblLook w:val="04A0"/>
        </w:tblPrEx>
        <w:trPr>
          <w:trHeight w:val="327"/>
        </w:trPr>
        <w:tc>
          <w:tcPr>
            <w:tcW w:w="1345" w:type="dxa"/>
            <w:tcMar>
              <w:top w:w="14" w:type="dxa"/>
              <w:left w:w="58" w:type="dxa"/>
              <w:bottom w:w="14" w:type="dxa"/>
              <w:right w:w="58" w:type="dxa"/>
            </w:tcMar>
          </w:tcPr>
          <w:p w:rsidR="00D97904" w:rsidP="00330632" w14:paraId="0D4BFE1A" w14:textId="77777777">
            <w:pPr>
              <w:pStyle w:val="BodyText"/>
              <w:tabs>
                <w:tab w:val="left" w:pos="1563"/>
              </w:tabs>
              <w:rPr>
                <w:sz w:val="20"/>
                <w:szCs w:val="20"/>
              </w:rPr>
            </w:pPr>
            <w:r w:rsidRPr="0042196D">
              <w:rPr>
                <w:sz w:val="20"/>
                <w:szCs w:val="20"/>
              </w:rPr>
              <w:t>PCSS</w:t>
            </w:r>
          </w:p>
          <w:p w:rsidR="000B59C5" w:rsidP="00330632" w14:paraId="530ED1C1" w14:textId="77777777">
            <w:pPr>
              <w:pStyle w:val="BodyText"/>
              <w:tabs>
                <w:tab w:val="left" w:pos="1563"/>
              </w:tabs>
              <w:rPr>
                <w:color w:val="181818"/>
                <w:sz w:val="20"/>
                <w:szCs w:val="20"/>
              </w:rPr>
            </w:pPr>
            <w:r>
              <w:rPr>
                <w:color w:val="181818"/>
                <w:sz w:val="20"/>
                <w:szCs w:val="20"/>
              </w:rPr>
              <w:t>STCSS</w:t>
            </w:r>
          </w:p>
          <w:p w:rsidR="000B59C5" w:rsidRPr="0042196D" w:rsidP="00330632" w14:paraId="2E3D42FF" w14:textId="2EA09126">
            <w:pPr>
              <w:pStyle w:val="BodyText"/>
              <w:tabs>
                <w:tab w:val="left" w:pos="1563"/>
              </w:tabs>
              <w:rPr>
                <w:rFonts w:cs="Arial"/>
                <w:color w:val="181818"/>
                <w:sz w:val="20"/>
                <w:szCs w:val="20"/>
              </w:rPr>
            </w:pPr>
            <w:r>
              <w:rPr>
                <w:color w:val="181818"/>
                <w:sz w:val="20"/>
                <w:szCs w:val="20"/>
              </w:rPr>
              <w:t>SSCSS</w:t>
            </w:r>
          </w:p>
        </w:tc>
        <w:tc>
          <w:tcPr>
            <w:tcW w:w="8005" w:type="dxa"/>
            <w:tcMar>
              <w:top w:w="14" w:type="dxa"/>
              <w:left w:w="58" w:type="dxa"/>
              <w:bottom w:w="14" w:type="dxa"/>
              <w:right w:w="58" w:type="dxa"/>
            </w:tcMar>
          </w:tcPr>
          <w:p w:rsidR="00D97904" w:rsidRPr="0042196D" w:rsidP="003C557C" w14:paraId="7F400022" w14:textId="37C6FECD">
            <w:pPr>
              <w:pStyle w:val="GLSBody"/>
              <w:spacing w:after="0"/>
              <w:rPr>
                <w:rFonts w:ascii="Arial" w:hAnsi="Arial" w:cs="Arial"/>
                <w:sz w:val="20"/>
                <w:szCs w:val="20"/>
              </w:rPr>
            </w:pPr>
            <w:r w:rsidRPr="00D71564">
              <w:rPr>
                <w:rFonts w:ascii="Arial" w:hAnsi="Arial" w:cs="Arial"/>
                <w:sz w:val="20"/>
                <w:szCs w:val="20"/>
              </w:rPr>
              <w:t xml:space="preserve">Evaluation team members will provide grantees with evaluation </w:t>
            </w:r>
            <w:r w:rsidR="00AF2895">
              <w:rPr>
                <w:rFonts w:ascii="Arial" w:hAnsi="Arial" w:cs="Arial"/>
                <w:sz w:val="20"/>
                <w:szCs w:val="20"/>
              </w:rPr>
              <w:t>TTA</w:t>
            </w:r>
            <w:r w:rsidRPr="00D71564">
              <w:rPr>
                <w:rFonts w:ascii="Arial" w:hAnsi="Arial" w:cs="Arial"/>
                <w:sz w:val="20"/>
                <w:szCs w:val="20"/>
              </w:rPr>
              <w:t>, equipping them with the tools needed to identify</w:t>
            </w:r>
            <w:r w:rsidR="003C557C">
              <w:rPr>
                <w:rFonts w:ascii="Arial" w:hAnsi="Arial" w:cs="Arial"/>
                <w:sz w:val="20"/>
                <w:szCs w:val="20"/>
              </w:rPr>
              <w:t>/notify</w:t>
            </w:r>
            <w:r w:rsidRPr="00D71564">
              <w:rPr>
                <w:rFonts w:ascii="Arial" w:hAnsi="Arial" w:cs="Arial"/>
                <w:sz w:val="20"/>
                <w:szCs w:val="20"/>
              </w:rPr>
              <w:t xml:space="preserve"> potential respondents, including parents</w:t>
            </w:r>
            <w:r>
              <w:rPr>
                <w:rFonts w:ascii="Arial" w:hAnsi="Arial" w:cs="Arial"/>
                <w:sz w:val="20"/>
                <w:szCs w:val="20"/>
              </w:rPr>
              <w:t>, youth, and school staff</w:t>
            </w:r>
            <w:r w:rsidR="00276FAF">
              <w:rPr>
                <w:rFonts w:ascii="Arial" w:hAnsi="Arial" w:cs="Arial"/>
                <w:sz w:val="20"/>
                <w:szCs w:val="20"/>
              </w:rPr>
              <w:t xml:space="preserve"> from partner LEA schools</w:t>
            </w:r>
            <w:r w:rsidRPr="00D71564">
              <w:rPr>
                <w:rFonts w:ascii="Arial" w:hAnsi="Arial" w:cs="Arial"/>
                <w:sz w:val="20"/>
                <w:szCs w:val="20"/>
              </w:rPr>
              <w:t xml:space="preserve">. </w:t>
            </w:r>
            <w:r w:rsidRPr="00F6790B" w:rsidR="00F6790B">
              <w:rPr>
                <w:rFonts w:ascii="Arial" w:hAnsi="Arial" w:cs="Arial"/>
                <w:sz w:val="20"/>
                <w:szCs w:val="20"/>
              </w:rPr>
              <w:t xml:space="preserve">The </w:t>
            </w:r>
            <w:r w:rsidR="000B59C5">
              <w:rPr>
                <w:rFonts w:ascii="Arial" w:hAnsi="Arial" w:cs="Arial"/>
                <w:sz w:val="20"/>
                <w:szCs w:val="20"/>
              </w:rPr>
              <w:t>links for the PCSS, STCSS, and SSCSS</w:t>
            </w:r>
            <w:r w:rsidRPr="00F6790B" w:rsidR="00F6790B">
              <w:rPr>
                <w:rFonts w:ascii="Arial" w:hAnsi="Arial" w:cs="Arial"/>
                <w:sz w:val="20"/>
                <w:szCs w:val="20"/>
              </w:rPr>
              <w:t xml:space="preserve"> will be generated within the ATODS</w:t>
            </w:r>
            <w:r w:rsidR="008217D5">
              <w:rPr>
                <w:rFonts w:ascii="Arial" w:hAnsi="Arial" w:cs="Arial"/>
                <w:sz w:val="20"/>
                <w:szCs w:val="20"/>
              </w:rPr>
              <w:t xml:space="preserve">, emailed </w:t>
            </w:r>
            <w:r w:rsidR="00F52173">
              <w:rPr>
                <w:rFonts w:ascii="Arial" w:hAnsi="Arial" w:cs="Arial"/>
                <w:sz w:val="20"/>
                <w:szCs w:val="20"/>
              </w:rPr>
              <w:t>to respondents directly</w:t>
            </w:r>
            <w:r w:rsidR="008217D5">
              <w:rPr>
                <w:rFonts w:ascii="Arial" w:hAnsi="Arial" w:cs="Arial"/>
                <w:sz w:val="20"/>
                <w:szCs w:val="20"/>
              </w:rPr>
              <w:t>,</w:t>
            </w:r>
            <w:r w:rsidRPr="00F6790B" w:rsidR="00F6790B">
              <w:rPr>
                <w:rFonts w:ascii="Arial" w:hAnsi="Arial" w:cs="Arial"/>
                <w:sz w:val="20"/>
                <w:szCs w:val="20"/>
              </w:rPr>
              <w:t xml:space="preserve"> or emailed to an alternative contact</w:t>
            </w:r>
            <w:r>
              <w:rPr>
                <w:rFonts w:ascii="Arial" w:hAnsi="Arial" w:cs="Arial"/>
                <w:sz w:val="20"/>
                <w:szCs w:val="20"/>
                <w:vertAlign w:val="superscript"/>
              </w:rPr>
              <w:footnoteReference w:id="6"/>
            </w:r>
            <w:r w:rsidRPr="00F6790B" w:rsidR="00F6790B">
              <w:rPr>
                <w:rFonts w:ascii="Arial" w:hAnsi="Arial" w:cs="Arial"/>
                <w:sz w:val="20"/>
                <w:szCs w:val="20"/>
              </w:rPr>
              <w:t xml:space="preserve"> to share with </w:t>
            </w:r>
            <w:r w:rsidRPr="0042196D" w:rsidR="00BA3E09">
              <w:rPr>
                <w:rFonts w:ascii="Arial" w:hAnsi="Arial" w:cs="Arial"/>
                <w:sz w:val="20"/>
                <w:szCs w:val="20"/>
              </w:rPr>
              <w:t>respondents</w:t>
            </w:r>
            <w:r w:rsidR="00351CA1">
              <w:rPr>
                <w:rFonts w:ascii="Arial" w:hAnsi="Arial" w:cs="Arial"/>
                <w:sz w:val="20"/>
                <w:szCs w:val="20"/>
              </w:rPr>
              <w:t xml:space="preserve"> (and their parent or guardian</w:t>
            </w:r>
            <w:r w:rsidR="00397828">
              <w:rPr>
                <w:rFonts w:ascii="Arial" w:hAnsi="Arial" w:cs="Arial"/>
                <w:sz w:val="20"/>
                <w:szCs w:val="20"/>
              </w:rPr>
              <w:t>, if a youth</w:t>
            </w:r>
            <w:r w:rsidR="00351CA1">
              <w:rPr>
                <w:rFonts w:ascii="Arial" w:hAnsi="Arial" w:cs="Arial"/>
                <w:sz w:val="20"/>
                <w:szCs w:val="20"/>
              </w:rPr>
              <w:t>)</w:t>
            </w:r>
            <w:r w:rsidRPr="0042196D" w:rsidR="00BA3E09">
              <w:rPr>
                <w:rFonts w:ascii="Arial" w:hAnsi="Arial" w:cs="Arial"/>
                <w:sz w:val="20"/>
                <w:szCs w:val="20"/>
              </w:rPr>
              <w:t xml:space="preserve"> </w:t>
            </w:r>
            <w:r w:rsidRPr="00F6790B" w:rsidR="00F6790B">
              <w:rPr>
                <w:rFonts w:ascii="Arial" w:hAnsi="Arial" w:cs="Arial"/>
                <w:sz w:val="20"/>
                <w:szCs w:val="20"/>
              </w:rPr>
              <w:t xml:space="preserve">who </w:t>
            </w:r>
            <w:r w:rsidRPr="0042196D" w:rsidR="00BA3E09">
              <w:rPr>
                <w:rFonts w:ascii="Arial" w:hAnsi="Arial" w:cs="Arial"/>
                <w:sz w:val="20"/>
                <w:szCs w:val="20"/>
              </w:rPr>
              <w:t>agreed to participate</w:t>
            </w:r>
            <w:r w:rsidR="00397828">
              <w:rPr>
                <w:rFonts w:ascii="Arial" w:hAnsi="Arial" w:cs="Arial"/>
                <w:sz w:val="20"/>
                <w:szCs w:val="20"/>
              </w:rPr>
              <w:t xml:space="preserve"> </w:t>
            </w:r>
            <w:r w:rsidR="00B36010">
              <w:rPr>
                <w:rFonts w:ascii="Arial" w:hAnsi="Arial" w:cs="Arial"/>
                <w:sz w:val="20"/>
                <w:szCs w:val="20"/>
              </w:rPr>
              <w:t xml:space="preserve">and </w:t>
            </w:r>
            <w:r w:rsidR="00397828">
              <w:rPr>
                <w:rFonts w:ascii="Arial" w:hAnsi="Arial" w:cs="Arial"/>
                <w:sz w:val="20"/>
                <w:szCs w:val="20"/>
              </w:rPr>
              <w:t>obtained parental consent</w:t>
            </w:r>
            <w:r w:rsidR="00B36010">
              <w:rPr>
                <w:rFonts w:ascii="Arial" w:hAnsi="Arial" w:cs="Arial"/>
                <w:sz w:val="20"/>
                <w:szCs w:val="20"/>
              </w:rPr>
              <w:t xml:space="preserve"> (for youth</w:t>
            </w:r>
            <w:r w:rsidR="00397828">
              <w:rPr>
                <w:rFonts w:ascii="Arial" w:hAnsi="Arial" w:cs="Arial"/>
                <w:sz w:val="20"/>
                <w:szCs w:val="20"/>
              </w:rPr>
              <w:t>)</w:t>
            </w:r>
            <w:r w:rsidRPr="00F6790B" w:rsidR="00F6790B">
              <w:rPr>
                <w:rFonts w:ascii="Arial" w:hAnsi="Arial" w:cs="Arial"/>
                <w:sz w:val="20"/>
                <w:szCs w:val="20"/>
              </w:rPr>
              <w:t xml:space="preserve">. This link may be shared via email, a QR code, or text message. </w:t>
            </w:r>
            <w:r w:rsidRPr="0042196D" w:rsidR="00BA3E09">
              <w:rPr>
                <w:rFonts w:ascii="Arial" w:hAnsi="Arial" w:cs="Arial"/>
                <w:sz w:val="20"/>
                <w:szCs w:val="20"/>
              </w:rPr>
              <w:t>Respondents</w:t>
            </w:r>
            <w:r w:rsidRPr="00F6790B" w:rsidR="00F6790B">
              <w:rPr>
                <w:rFonts w:ascii="Arial" w:hAnsi="Arial" w:cs="Arial"/>
                <w:sz w:val="20"/>
                <w:szCs w:val="20"/>
              </w:rPr>
              <w:t xml:space="preserve"> will be encouraged to complete the survey. If a </w:t>
            </w:r>
            <w:r w:rsidRPr="0042196D" w:rsidR="00BA3E09">
              <w:rPr>
                <w:rFonts w:ascii="Arial" w:hAnsi="Arial" w:cs="Arial"/>
                <w:sz w:val="20"/>
                <w:szCs w:val="20"/>
              </w:rPr>
              <w:t>respondent</w:t>
            </w:r>
            <w:r w:rsidRPr="00F6790B" w:rsidR="00F6790B">
              <w:rPr>
                <w:rFonts w:ascii="Arial" w:hAnsi="Arial" w:cs="Arial"/>
                <w:sz w:val="20"/>
                <w:szCs w:val="20"/>
              </w:rPr>
              <w:t xml:space="preserve"> starts the survey but does not complete it, they will receive up to </w:t>
            </w:r>
            <w:r w:rsidR="007D03DB">
              <w:rPr>
                <w:rFonts w:ascii="Arial" w:hAnsi="Arial" w:cs="Arial"/>
                <w:sz w:val="20"/>
                <w:szCs w:val="20"/>
              </w:rPr>
              <w:t>two</w:t>
            </w:r>
            <w:r w:rsidRPr="00F6790B" w:rsidR="00F6790B">
              <w:rPr>
                <w:rFonts w:ascii="Arial" w:hAnsi="Arial" w:cs="Arial"/>
                <w:sz w:val="20"/>
                <w:szCs w:val="20"/>
              </w:rPr>
              <w:t xml:space="preserve"> reminders via email or text message to encourage participation</w:t>
            </w:r>
            <w:r w:rsidRPr="00DD4056" w:rsidR="00F6790B">
              <w:rPr>
                <w:rFonts w:ascii="Arial" w:hAnsi="Arial" w:cs="Arial"/>
                <w:sz w:val="20"/>
                <w:szCs w:val="20"/>
              </w:rPr>
              <w:t>.</w:t>
            </w:r>
            <w:r w:rsidRPr="00DD4056" w:rsidR="00BB199D">
              <w:rPr>
                <w:rFonts w:ascii="Arial" w:hAnsi="Arial" w:cs="Arial"/>
                <w:sz w:val="20"/>
                <w:szCs w:val="20"/>
              </w:rPr>
              <w:t xml:space="preserve"> </w:t>
            </w:r>
            <w:r w:rsidRPr="0042196D" w:rsidR="00F6790B">
              <w:rPr>
                <w:rFonts w:ascii="Arial" w:hAnsi="Arial" w:cs="Arial"/>
                <w:sz w:val="20"/>
                <w:szCs w:val="20"/>
              </w:rPr>
              <w:t xml:space="preserve">A $20 gift card is provided to all respondents who complete the </w:t>
            </w:r>
            <w:r w:rsidRPr="0042196D" w:rsidR="006C40AE">
              <w:rPr>
                <w:rFonts w:ascii="Arial" w:hAnsi="Arial" w:cs="Arial"/>
                <w:sz w:val="20"/>
                <w:szCs w:val="20"/>
              </w:rPr>
              <w:t>survey</w:t>
            </w:r>
            <w:r w:rsidRPr="0042196D" w:rsidR="00F6790B">
              <w:rPr>
                <w:rFonts w:ascii="Arial" w:hAnsi="Arial" w:cs="Arial"/>
                <w:sz w:val="20"/>
                <w:szCs w:val="20"/>
              </w:rPr>
              <w:t>.</w:t>
            </w:r>
          </w:p>
        </w:tc>
      </w:tr>
    </w:tbl>
    <w:p w:rsidR="009F594D" w:rsidRPr="00015012" w:rsidP="00015012" w14:paraId="4117D713" w14:textId="626B4341">
      <w:pPr>
        <w:pStyle w:val="SuicideBodyText"/>
        <w:spacing w:after="120"/>
        <w:rPr>
          <w:rFonts w:ascii="Tw Cen MT" w:hAnsi="Tw Cen MT"/>
          <w:b/>
        </w:rPr>
      </w:pPr>
    </w:p>
    <w:p w:rsidR="00153ECC" w:rsidP="002735B2" w14:paraId="26899D42" w14:textId="06D9DC40">
      <w:pPr>
        <w:pStyle w:val="SuicideBodyText"/>
        <w:numPr>
          <w:ilvl w:val="0"/>
          <w:numId w:val="1"/>
        </w:numPr>
        <w:spacing w:before="200" w:after="120"/>
        <w:rPr>
          <w:rFonts w:ascii="Tw Cen MT" w:hAnsi="Tw Cen MT"/>
          <w:b/>
          <w:sz w:val="28"/>
          <w:szCs w:val="28"/>
        </w:rPr>
      </w:pPr>
      <w:r w:rsidRPr="00153ECC">
        <w:rPr>
          <w:rFonts w:ascii="Tw Cen MT" w:hAnsi="Tw Cen MT"/>
          <w:b/>
          <w:sz w:val="28"/>
          <w:szCs w:val="28"/>
        </w:rPr>
        <w:t>Tests of Procedures</w:t>
      </w:r>
    </w:p>
    <w:p w:rsidR="00153ECC" w:rsidP="000F5A36" w14:paraId="09C830A5" w14:textId="316C7FFC">
      <w:pPr>
        <w:pStyle w:val="SuicideBodyText"/>
        <w:spacing w:after="200"/>
        <w:rPr>
          <w:rFonts w:cs="Arial"/>
        </w:rPr>
      </w:pPr>
      <w:r w:rsidRPr="00F1465D">
        <w:rPr>
          <w:lang w:val="en-CA"/>
        </w:rPr>
        <w:t xml:space="preserve">As new measures were developed, standard instrument development procedures, including review of the literature, item development, and content review by experts in the field were used. </w:t>
      </w:r>
      <w:r w:rsidRPr="009B2797" w:rsidR="009B2797">
        <w:t>All instruments underwent</w:t>
      </w:r>
      <w:r w:rsidRPr="00F1465D">
        <w:t xml:space="preserve"> procedures to enhance question accuracy and determine administration times. </w:t>
      </w:r>
      <w:r>
        <w:t xml:space="preserve">In addition, </w:t>
      </w:r>
      <w:r w:rsidR="009B2797">
        <w:t>w</w:t>
      </w:r>
      <w:r w:rsidRPr="00F1465D">
        <w:t xml:space="preserve">eb-enabled instruments will undergo usability testing prior to fielding. </w:t>
      </w:r>
      <w:r w:rsidRPr="00F1465D">
        <w:rPr>
          <w:rFonts w:cs="Arial"/>
        </w:rPr>
        <w:t>Usability testing refers to pilot testing of the interface for administering questionnaires to determine the most efficient and understandable presentation. Typically, this is completed with a prototype and modifications are made before final fielding</w:t>
      </w:r>
      <w:r>
        <w:rPr>
          <w:rFonts w:cs="Arial"/>
        </w:rPr>
        <w:t>.</w:t>
      </w:r>
    </w:p>
    <w:p w:rsidR="00153ECC" w:rsidP="000F5A36" w14:paraId="501AA099" w14:textId="4A61C830">
      <w:pPr>
        <w:pStyle w:val="SuicideBodyText"/>
        <w:spacing w:after="200"/>
      </w:pPr>
      <w:r>
        <w:t>D</w:t>
      </w:r>
      <w:r w:rsidRPr="00F1465D">
        <w:t xml:space="preserve">rafts of the instruments were developed and reviewed by </w:t>
      </w:r>
      <w:r w:rsidR="000F7113">
        <w:t>evaluation</w:t>
      </w:r>
      <w:r w:rsidRPr="00F1465D">
        <w:t xml:space="preserve"> team members, survey methodologists, representatives from SAMHSA, and content experts in the field of </w:t>
      </w:r>
      <w:r w:rsidR="000B418F">
        <w:t>behavioral health</w:t>
      </w:r>
      <w:r w:rsidRPr="00DE634D">
        <w:t xml:space="preserve">. </w:t>
      </w:r>
      <w:r w:rsidRPr="00DE634D" w:rsidR="00351DD9">
        <w:t>Item</w:t>
      </w:r>
      <w:r w:rsidRPr="00DE634D">
        <w:t xml:space="preserve"> analyses</w:t>
      </w:r>
      <w:r w:rsidRPr="00F1465D">
        <w:t xml:space="preserve"> were conducted across instruments to be sure that key critical items were assessed similarly across all questionnaires. </w:t>
      </w:r>
      <w:r w:rsidR="00351DD9">
        <w:t>To</w:t>
      </w:r>
      <w:r w:rsidRPr="00F1465D">
        <w:t xml:space="preserve"> enhance question accuracy and determine administration time, instruments underwent cognitive </w:t>
      </w:r>
      <w:r w:rsidR="00351DD9">
        <w:t>and/or pilot testing or expert review.</w:t>
      </w:r>
      <w:r w:rsidRPr="00F1465D">
        <w:t xml:space="preserve"> </w:t>
      </w:r>
      <w:r w:rsidR="00351DD9">
        <w:t xml:space="preserve"> </w:t>
      </w:r>
      <w:r>
        <w:t xml:space="preserve"> </w:t>
      </w:r>
    </w:p>
    <w:p w:rsidR="008207F0" w:rsidRPr="00007680" w:rsidP="00277E3F" w14:paraId="25B17282" w14:textId="57F241B7">
      <w:pPr>
        <w:pStyle w:val="BodyText"/>
        <w:keepNext/>
        <w:widowControl/>
        <w:numPr>
          <w:ilvl w:val="0"/>
          <w:numId w:val="1"/>
        </w:numPr>
        <w:tabs>
          <w:tab w:val="left" w:pos="1563"/>
        </w:tabs>
        <w:spacing w:before="240" w:after="120"/>
      </w:pPr>
      <w:r w:rsidRPr="00007680">
        <w:rPr>
          <w:rFonts w:ascii="Tw Cen MT" w:hAnsi="Tw Cen MT" w:cs="Arial"/>
          <w:b/>
          <w:sz w:val="28"/>
          <w:szCs w:val="28"/>
        </w:rPr>
        <w:t>Statistical Consultants</w:t>
      </w:r>
    </w:p>
    <w:p w:rsidR="009E755F" w:rsidRPr="008207F0" w:rsidP="00225E36" w14:paraId="7EFD6317" w14:textId="4BCAA6BF">
      <w:pPr>
        <w:pStyle w:val="BodyText"/>
        <w:tabs>
          <w:tab w:val="left" w:pos="1563"/>
        </w:tabs>
        <w:rPr>
          <w:rFonts w:ascii="Times New Roman" w:hAnsi="Times New Roman" w:cs="Times New Roman"/>
          <w:sz w:val="24"/>
          <w:szCs w:val="24"/>
        </w:rPr>
      </w:pPr>
      <w:r w:rsidRPr="008207F0">
        <w:rPr>
          <w:rFonts w:ascii="Times New Roman" w:hAnsi="Times New Roman" w:cs="Times New Roman"/>
          <w:sz w:val="24"/>
          <w:szCs w:val="24"/>
        </w:rPr>
        <w:t xml:space="preserve">ICF has full responsibility for the development of the overall statistical design and assumes oversight responsibility for data collection and analysis. </w:t>
      </w:r>
      <w:r w:rsidRPr="71DF05F5">
        <w:rPr>
          <w:rFonts w:ascii="Times New Roman" w:hAnsi="Times New Roman" w:cs="Times New Roman"/>
          <w:sz w:val="24"/>
          <w:szCs w:val="24"/>
        </w:rPr>
        <w:t xml:space="preserve">Training, </w:t>
      </w:r>
      <w:r w:rsidR="000F7113">
        <w:rPr>
          <w:rFonts w:ascii="Times New Roman" w:hAnsi="Times New Roman" w:cs="Times New Roman"/>
          <w:sz w:val="24"/>
          <w:szCs w:val="24"/>
        </w:rPr>
        <w:t>technical assistance</w:t>
      </w:r>
      <w:r w:rsidRPr="008207F0">
        <w:rPr>
          <w:rFonts w:ascii="Times New Roman" w:hAnsi="Times New Roman" w:cs="Times New Roman"/>
          <w:sz w:val="24"/>
          <w:szCs w:val="24"/>
        </w:rPr>
        <w:t xml:space="preserve">, and monitoring of data collection will be provided by the </w:t>
      </w:r>
      <w:r w:rsidR="00F17B62">
        <w:rPr>
          <w:rFonts w:ascii="Times New Roman" w:hAnsi="Times New Roman" w:cs="Times New Roman"/>
          <w:sz w:val="24"/>
          <w:szCs w:val="24"/>
        </w:rPr>
        <w:t>Project AWARE-TISS Cross-Site</w:t>
      </w:r>
      <w:r w:rsidR="00FC2B44">
        <w:rPr>
          <w:rFonts w:ascii="Times New Roman" w:hAnsi="Times New Roman" w:cs="Times New Roman"/>
          <w:sz w:val="24"/>
          <w:szCs w:val="24"/>
        </w:rPr>
        <w:t xml:space="preserve"> Evaluation </w:t>
      </w:r>
      <w:r w:rsidRPr="71DF05F5">
        <w:rPr>
          <w:rFonts w:ascii="Times New Roman" w:hAnsi="Times New Roman" w:cs="Times New Roman"/>
          <w:sz w:val="24"/>
          <w:szCs w:val="24"/>
        </w:rPr>
        <w:t>team.</w:t>
      </w:r>
      <w:r w:rsidRPr="008207F0">
        <w:rPr>
          <w:rFonts w:ascii="Times New Roman" w:hAnsi="Times New Roman" w:cs="Times New Roman"/>
          <w:sz w:val="24"/>
          <w:szCs w:val="24"/>
        </w:rPr>
        <w:t xml:space="preserve"> The individuals responsible for overseeing data collection and analysis are:</w:t>
      </w:r>
    </w:p>
    <w:p w:rsidR="00E208AD" w:rsidP="009E755F" w14:paraId="7A73A3A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755F" w:rsidRPr="00244BBB" w:rsidP="009E755F" w14:paraId="03DAF2AB" w14:textId="7CB547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Megan Brooks</w:t>
      </w:r>
      <w:r w:rsidRPr="00244BBB">
        <w:t xml:space="preserve">, </w:t>
      </w:r>
      <w:r w:rsidR="003E2FFB">
        <w:t>M</w:t>
      </w:r>
      <w:r w:rsidR="006C42D8">
        <w:t>A, PMP</w:t>
      </w:r>
    </w:p>
    <w:p w:rsidR="009E755F" w:rsidRPr="00244BBB" w:rsidP="009E755F" w14:paraId="019C34D6" w14:textId="01BE03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 xml:space="preserve">ICF </w:t>
      </w:r>
    </w:p>
    <w:p w:rsidR="005F627F" w:rsidRPr="001D796A" w:rsidP="00881268" w14:paraId="226D6BEB" w14:textId="610DF4F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_Hlk134912119"/>
      <w:r w:rsidRPr="001D796A">
        <w:t>Remote Office</w:t>
      </w:r>
    </w:p>
    <w:p w:rsidR="008C7F69" w:rsidRPr="001D796A" w:rsidP="00881268" w14:paraId="7FF9F348" w14:textId="44369B3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D796A">
        <w:t>Saint Paul, MN</w:t>
      </w:r>
      <w:r w:rsidRPr="001D796A" w:rsidR="00881268">
        <w:t xml:space="preserve"> </w:t>
      </w:r>
      <w:r w:rsidRPr="001D796A">
        <w:t>55101</w:t>
      </w:r>
    </w:p>
    <w:bookmarkEnd w:id="0"/>
    <w:p w:rsidR="009E755F" w:rsidRPr="00A96B8C" w:rsidP="00881268" w14:paraId="5D945B54" w14:textId="119D67E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6B8C">
        <w:t xml:space="preserve">Phone: </w:t>
      </w:r>
      <w:r w:rsidRPr="00A96B8C">
        <w:t>(</w:t>
      </w:r>
      <w:r w:rsidRPr="00A96B8C" w:rsidR="00282D38">
        <w:t>6</w:t>
      </w:r>
      <w:r w:rsidR="00023F8D">
        <w:t>12</w:t>
      </w:r>
      <w:r w:rsidRPr="00A96B8C" w:rsidR="00282D38">
        <w:t>)</w:t>
      </w:r>
      <w:r w:rsidR="00023F8D">
        <w:t>253-9975</w:t>
      </w:r>
    </w:p>
    <w:p w:rsidR="00881268" w:rsidP="00225E36" w14:paraId="46868A98" w14:textId="28EA744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D796A">
        <w:t xml:space="preserve">Email: </w:t>
      </w:r>
      <w:hyperlink r:id="rId9" w:history="1">
        <w:r w:rsidRPr="001D796A" w:rsidR="001D796A">
          <w:rPr>
            <w:rStyle w:val="Hyperlink"/>
          </w:rPr>
          <w:t>megan.brooks@icf.com</w:t>
        </w:r>
      </w:hyperlink>
      <w:r w:rsidR="001D796A">
        <w:t xml:space="preserve"> </w:t>
      </w:r>
    </w:p>
    <w:p w:rsidR="006D7919" w:rsidP="00E96E19" w14:paraId="5E9C924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67F38" w:rsidP="00E96E19" w14:paraId="293CA514" w14:textId="76E02D2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Colleen Murray, DrPH, MPH</w:t>
      </w:r>
    </w:p>
    <w:p w:rsidR="00167F38" w:rsidP="00E96E19" w14:paraId="1695C610" w14:textId="73275B2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1" w:name="_Hlk142237365"/>
      <w:r>
        <w:t>ICF</w:t>
      </w:r>
    </w:p>
    <w:p w:rsidR="00D247BA" w:rsidP="00D247BA" w14:paraId="5E8AEA06"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2635 Century Parkway Suite 1000</w:t>
      </w:r>
    </w:p>
    <w:p w:rsidR="00D247BA" w:rsidP="00D247BA" w14:paraId="1240CA7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Atlanta GA 30345</w:t>
      </w:r>
    </w:p>
    <w:p w:rsidR="00167F38" w:rsidP="00E96E19" w14:paraId="6CDC7E86" w14:textId="7142F7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Phone: (404)592-2286</w:t>
      </w:r>
    </w:p>
    <w:p w:rsidR="005B2AF6" w:rsidP="00E96E19" w14:paraId="0617DC2B" w14:textId="5EFD6FC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Email: </w:t>
      </w:r>
      <w:hyperlink r:id="rId10" w:history="1">
        <w:r w:rsidRPr="00B91BF4">
          <w:rPr>
            <w:rStyle w:val="Hyperlink"/>
          </w:rPr>
          <w:t>colleen.murray@icf.com</w:t>
        </w:r>
      </w:hyperlink>
      <w:r>
        <w:t xml:space="preserve"> </w:t>
      </w:r>
    </w:p>
    <w:bookmarkEnd w:id="1"/>
    <w:p w:rsidR="00167F38" w:rsidP="00E96E19" w14:paraId="6BE8CD1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82921" w:rsidP="00682921" w14:paraId="6F25FFCB" w14:textId="1E5E1709">
      <w:pPr>
        <w:pStyle w:val="SuicideBodyText"/>
      </w:pPr>
      <w:r>
        <w:t>Anna Sheremenko</w:t>
      </w:r>
      <w:r w:rsidR="005A78B0">
        <w:t>, PhD</w:t>
      </w:r>
      <w:r w:rsidR="00A575D7">
        <w:t>, MS</w:t>
      </w:r>
    </w:p>
    <w:p w:rsidR="00682921" w:rsidP="00682921" w14:paraId="35147093" w14:textId="55D889A9">
      <w:pPr>
        <w:pStyle w:val="SuicideBodyText"/>
      </w:pPr>
      <w:r>
        <w:t>ICF</w:t>
      </w:r>
    </w:p>
    <w:p w:rsidR="00682921" w:rsidP="00682921" w14:paraId="6C2F848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2635 Century Parkway Suite 1000</w:t>
      </w:r>
    </w:p>
    <w:p w:rsidR="00682921" w:rsidP="00682921" w14:paraId="75FB1F2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Atlanta GA 30345</w:t>
      </w:r>
    </w:p>
    <w:p w:rsidR="00682921" w:rsidP="00682921" w14:paraId="3DE80B24" w14:textId="3CCDC40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Phone: </w:t>
      </w:r>
      <w:r w:rsidR="00CF794A">
        <w:t>(706)201-7970</w:t>
      </w:r>
    </w:p>
    <w:p w:rsidR="00682921" w:rsidP="00682921" w14:paraId="04A124FB" w14:textId="74EA36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Email: </w:t>
      </w:r>
      <w:hyperlink r:id="rId10" w:history="1">
        <w:r w:rsidRPr="00B91BF4">
          <w:rPr>
            <w:rStyle w:val="Hyperlink"/>
          </w:rPr>
          <w:t>colleen.murray@icf.com</w:t>
        </w:r>
      </w:hyperlink>
      <w:r>
        <w:t xml:space="preserve"> </w:t>
      </w:r>
    </w:p>
    <w:p w:rsidR="00682921" w:rsidP="00682921" w14:paraId="4A36B16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25D4B" w:rsidP="00682921" w14:paraId="60B63604" w14:textId="2389E765">
      <w:pPr>
        <w:pStyle w:val="SuicideBodyText"/>
      </w:pPr>
      <w:r>
        <w:t>India Rose</w:t>
      </w:r>
      <w:r w:rsidR="005A78B0">
        <w:t>, PhD</w:t>
      </w:r>
      <w:r w:rsidR="00C23D7F">
        <w:t>, MPH, CHES</w:t>
      </w:r>
    </w:p>
    <w:p w:rsidR="00682921" w:rsidP="00682921" w14:paraId="61B02FF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ICF</w:t>
      </w:r>
    </w:p>
    <w:p w:rsidR="00682921" w:rsidP="00682921" w14:paraId="3F2C25F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2635 Century Parkway Suite 1000</w:t>
      </w:r>
    </w:p>
    <w:p w:rsidR="00682921" w:rsidP="00682921" w14:paraId="1BB9406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Atlanta GA 30345</w:t>
      </w:r>
    </w:p>
    <w:p w:rsidR="00682921" w:rsidP="00682921" w14:paraId="2CE8C128" w14:textId="5C858F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Phone: (404)592-</w:t>
      </w:r>
      <w:r w:rsidR="00903330">
        <w:t>2232</w:t>
      </w:r>
    </w:p>
    <w:p w:rsidR="00682921" w:rsidP="00682921" w14:paraId="3BA5C62B" w14:textId="0FB3D92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Email: </w:t>
      </w:r>
      <w:hyperlink r:id="rId11" w:history="1">
        <w:r w:rsidRPr="00B91BF4" w:rsidR="00903330">
          <w:rPr>
            <w:rStyle w:val="Hyperlink"/>
          </w:rPr>
          <w:t>india.rose@icf.com</w:t>
        </w:r>
      </w:hyperlink>
      <w:r>
        <w:t xml:space="preserve"> </w:t>
      </w:r>
    </w:p>
    <w:p w:rsidR="00682921" w:rsidP="00682921" w14:paraId="783151E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25D4B" w:rsidP="00682921" w14:paraId="6D308780" w14:textId="32A7C11B">
      <w:pPr>
        <w:pStyle w:val="SuicideBodyText"/>
      </w:pPr>
      <w:r>
        <w:t>Elizabeth Douglas</w:t>
      </w:r>
      <w:r w:rsidR="00994AE1">
        <w:t>, MS</w:t>
      </w:r>
    </w:p>
    <w:p w:rsidR="00682921" w:rsidP="00682921" w14:paraId="57EA555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ICF</w:t>
      </w:r>
    </w:p>
    <w:p w:rsidR="00682921" w:rsidP="00682921" w14:paraId="53DA0DA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2635 Century Parkway Suite 1000</w:t>
      </w:r>
    </w:p>
    <w:p w:rsidR="00682921" w:rsidP="00682921" w14:paraId="6F4BA2D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Atlanta GA 30345</w:t>
      </w:r>
    </w:p>
    <w:p w:rsidR="00682921" w:rsidP="00682921" w14:paraId="43B277F5" w14:textId="3B79F36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Phone: </w:t>
      </w:r>
      <w:r w:rsidR="00F270B8">
        <w:t>(404)592-2175</w:t>
      </w:r>
    </w:p>
    <w:p w:rsidR="00682921" w:rsidP="00682921" w14:paraId="4F3F38AD" w14:textId="5202734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Email: </w:t>
      </w:r>
      <w:hyperlink r:id="rId12" w:history="1">
        <w:r w:rsidRPr="00B91BF4" w:rsidR="00EB4A08">
          <w:rPr>
            <w:rStyle w:val="Hyperlink"/>
          </w:rPr>
          <w:t>elizabeth.douglas@icf.com</w:t>
        </w:r>
      </w:hyperlink>
      <w:r w:rsidR="00EB4A08">
        <w:t xml:space="preserve"> </w:t>
      </w:r>
      <w:r>
        <w:t xml:space="preserve"> </w:t>
      </w:r>
      <w:r w:rsidR="00EB4A08">
        <w:t xml:space="preserve"> </w:t>
      </w:r>
    </w:p>
    <w:p w:rsidR="00682921" w:rsidP="00682921" w14:paraId="5F9A96E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25D4B" w:rsidP="00CC2547" w14:paraId="51FFBA61" w14:textId="6D157F56">
      <w:pPr>
        <w:pStyle w:val="SuicideBodyText"/>
      </w:pPr>
      <w:r>
        <w:t>Jennifer Duffy</w:t>
      </w:r>
      <w:r w:rsidR="00A9546F">
        <w:t>, PhD</w:t>
      </w:r>
    </w:p>
    <w:p w:rsidR="00A9546F" w:rsidP="00CC2547" w14:paraId="0E5A11EE" w14:textId="27EBC534">
      <w:pPr>
        <w:pStyle w:val="SuicideBodyText"/>
      </w:pPr>
      <w:r>
        <w:t>ICF</w:t>
      </w:r>
    </w:p>
    <w:p w:rsidR="009F70C2" w:rsidP="00CC2547" w14:paraId="60BB1037" w14:textId="583C9EF9">
      <w:pPr>
        <w:pStyle w:val="SuicideBodyText"/>
      </w:pPr>
      <w:r>
        <w:t>Remote Office</w:t>
      </w:r>
    </w:p>
    <w:p w:rsidR="009F70C2" w:rsidP="00CC2547" w14:paraId="5991DC5B" w14:textId="7066EA32">
      <w:pPr>
        <w:pStyle w:val="SuicideBodyText"/>
      </w:pPr>
      <w:r>
        <w:t>Columbia, SC 29044</w:t>
      </w:r>
    </w:p>
    <w:p w:rsidR="009F70C2" w:rsidP="00CC2547" w14:paraId="4A63AF6A" w14:textId="3BA47920">
      <w:pPr>
        <w:pStyle w:val="SuicideBodyText"/>
      </w:pPr>
      <w:r>
        <w:t>Phone: (803)600-</w:t>
      </w:r>
      <w:r w:rsidR="00CC2547">
        <w:t>8550</w:t>
      </w:r>
    </w:p>
    <w:p w:rsidR="00CC2547" w:rsidP="008F3090" w14:paraId="471D7FF3" w14:textId="022D49CA">
      <w:pPr>
        <w:pStyle w:val="SuicideBodyText"/>
      </w:pPr>
      <w:r>
        <w:t xml:space="preserve">Email: </w:t>
      </w:r>
      <w:hyperlink r:id="rId13" w:history="1">
        <w:r w:rsidRPr="00B91BF4">
          <w:rPr>
            <w:rStyle w:val="Hyperlink"/>
          </w:rPr>
          <w:t>jennifer.duffy@icf.com</w:t>
        </w:r>
      </w:hyperlink>
      <w:r>
        <w:t xml:space="preserve"> </w:t>
      </w:r>
    </w:p>
    <w:p w:rsidR="008F3090" w:rsidP="008F3090" w14:paraId="7785C1A7" w14:textId="77777777">
      <w:pPr>
        <w:pStyle w:val="SuicideBodyText"/>
      </w:pPr>
    </w:p>
    <w:p w:rsidR="00A94A98" w:rsidP="005C4632" w14:paraId="34303A62" w14:textId="42935D62">
      <w:pPr>
        <w:pStyle w:val="SuicideBodyText"/>
      </w:pPr>
      <w:r>
        <w:t>Rachel Ladd</w:t>
      </w:r>
      <w:r w:rsidR="00994AE1">
        <w:t>, PhD</w:t>
      </w:r>
    </w:p>
    <w:p w:rsidR="00CC2547" w:rsidP="005C4632" w14:paraId="27A7B658" w14:textId="7E396ACE">
      <w:pPr>
        <w:pStyle w:val="SuicideBodyText"/>
      </w:pPr>
      <w:r>
        <w:t>ICF</w:t>
      </w:r>
    </w:p>
    <w:p w:rsidR="00CC2547" w:rsidP="005C4632" w14:paraId="10661A48" w14:textId="3FE7656C">
      <w:pPr>
        <w:pStyle w:val="SuicideBodyText"/>
      </w:pPr>
      <w:r>
        <w:t>Remote Office</w:t>
      </w:r>
    </w:p>
    <w:p w:rsidR="00497F7F" w:rsidP="005C4632" w14:paraId="32745A49" w14:textId="36133EE0">
      <w:pPr>
        <w:pStyle w:val="SuicideBodyText"/>
      </w:pPr>
      <w:r>
        <w:t>Nashville, TN 37011</w:t>
      </w:r>
    </w:p>
    <w:p w:rsidR="00497F7F" w:rsidP="005C4632" w14:paraId="4B67D4A2" w14:textId="3EB8915A">
      <w:pPr>
        <w:pStyle w:val="SuicideBodyText"/>
      </w:pPr>
      <w:r>
        <w:t>Phone: (</w:t>
      </w:r>
      <w:r w:rsidR="00CA098E">
        <w:t>865)806-5263</w:t>
      </w:r>
    </w:p>
    <w:p w:rsidR="00CC2547" w:rsidP="005C4632" w14:paraId="22D209D3" w14:textId="32D7456F">
      <w:pPr>
        <w:pStyle w:val="SuicideBodyText"/>
      </w:pPr>
      <w:r>
        <w:t xml:space="preserve">Email: </w:t>
      </w:r>
      <w:hyperlink r:id="rId14" w:history="1">
        <w:r w:rsidRPr="00B91BF4">
          <w:rPr>
            <w:rStyle w:val="Hyperlink"/>
          </w:rPr>
          <w:t>rachel.ladd@icf.com</w:t>
        </w:r>
      </w:hyperlink>
      <w:r>
        <w:t xml:space="preserve"> </w:t>
      </w:r>
    </w:p>
    <w:p w:rsidR="005C4632" w:rsidP="005C4632" w14:paraId="25953F0F" w14:textId="77777777">
      <w:pPr>
        <w:pStyle w:val="SuicideBodyText"/>
      </w:pPr>
    </w:p>
    <w:p w:rsidR="00A94A98" w:rsidP="00CA098E" w14:paraId="5A6C83F8" w14:textId="74EB9DDC">
      <w:pPr>
        <w:pStyle w:val="SuicideBodyText"/>
      </w:pPr>
      <w:r>
        <w:t>Sarah Conklin</w:t>
      </w:r>
      <w:r w:rsidR="00994AE1">
        <w:t>, PhD</w:t>
      </w:r>
      <w:r w:rsidR="00DD7D0C">
        <w:t>, MS</w:t>
      </w:r>
    </w:p>
    <w:p w:rsidR="005C4632" w:rsidP="00CA098E" w14:paraId="5B162CF0" w14:textId="7695403A">
      <w:pPr>
        <w:pStyle w:val="SuicideBodyText"/>
      </w:pPr>
      <w:r>
        <w:t>ICF</w:t>
      </w:r>
    </w:p>
    <w:p w:rsidR="005C4632" w:rsidP="00CA098E" w14:paraId="34A56813" w14:textId="69A3DF37">
      <w:pPr>
        <w:pStyle w:val="SuicideBodyText"/>
      </w:pPr>
      <w:r>
        <w:t>Remote Office</w:t>
      </w:r>
    </w:p>
    <w:p w:rsidR="00CB630F" w:rsidP="00CA098E" w14:paraId="432DA43E" w14:textId="52E56861">
      <w:pPr>
        <w:pStyle w:val="SuicideBodyText"/>
      </w:pPr>
      <w:r>
        <w:t>Richmond, VA 23173</w:t>
      </w:r>
    </w:p>
    <w:p w:rsidR="00B258E6" w:rsidP="00CA098E" w14:paraId="1322E2DA" w14:textId="6024A9CA">
      <w:pPr>
        <w:pStyle w:val="SuicideBodyText"/>
      </w:pPr>
      <w:r>
        <w:t>Phone:</w:t>
      </w:r>
      <w:r w:rsidR="009602E9">
        <w:t xml:space="preserve"> (540)420-9858</w:t>
      </w:r>
    </w:p>
    <w:p w:rsidR="005C4632" w:rsidP="008F3090" w14:paraId="65AE8C5E" w14:textId="4854A4F3">
      <w:pPr>
        <w:pStyle w:val="SuicideBodyText"/>
      </w:pPr>
      <w:r>
        <w:t xml:space="preserve">Email: </w:t>
      </w:r>
      <w:hyperlink r:id="rId15" w:history="1">
        <w:r w:rsidRPr="00B91BF4">
          <w:rPr>
            <w:rStyle w:val="Hyperlink"/>
          </w:rPr>
          <w:t>sarah.conklin@icf.com</w:t>
        </w:r>
      </w:hyperlink>
      <w:r>
        <w:t xml:space="preserve"> </w:t>
      </w:r>
    </w:p>
    <w:p w:rsidR="008F3090" w:rsidP="008F3090" w14:paraId="1ECDD5B4" w14:textId="77777777">
      <w:pPr>
        <w:pStyle w:val="SuicideBodyText"/>
      </w:pPr>
    </w:p>
    <w:p w:rsidR="009E755F" w:rsidRPr="00244BBB" w:rsidP="00887134" w14:paraId="20940CDF" w14:textId="477EA614">
      <w:pPr>
        <w:pStyle w:val="SuicideBodyText"/>
        <w:spacing w:after="200"/>
      </w:pPr>
      <w:r w:rsidRPr="00244BBB">
        <w:t>The following individuals will serve as statistical consultants to this project:</w:t>
      </w:r>
    </w:p>
    <w:p w:rsidR="00407090" w:rsidP="006D7919" w14:paraId="12E84251" w14:textId="771D207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Bob Stephens</w:t>
      </w:r>
      <w:r w:rsidR="00326A57">
        <w:t>, PhD</w:t>
      </w:r>
      <w:r w:rsidR="00A575D7">
        <w:t>, MPH</w:t>
      </w:r>
    </w:p>
    <w:p w:rsidR="00407090" w:rsidP="006D7919" w14:paraId="601224B6" w14:textId="26A9AB3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ICF</w:t>
      </w:r>
    </w:p>
    <w:p w:rsidR="00476D4A" w:rsidP="00476D4A" w14:paraId="1C7060C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2" w:name="_Hlk142236953"/>
      <w:r>
        <w:t>2635 Century Parkway Suite 1000</w:t>
      </w:r>
    </w:p>
    <w:p w:rsidR="00407090" w:rsidP="00476D4A" w14:paraId="46D5868A" w14:textId="1E3EA5B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Atlanta GA 30345</w:t>
      </w:r>
    </w:p>
    <w:p w:rsidR="00886016" w:rsidP="00476D4A" w14:paraId="25786151" w14:textId="4696D66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Phone:</w:t>
      </w:r>
      <w:r w:rsidR="003353E2">
        <w:t xml:space="preserve"> (404)320-4494</w:t>
      </w:r>
    </w:p>
    <w:p w:rsidR="00886016" w:rsidP="00476D4A" w14:paraId="71618803" w14:textId="49AFF8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Email: </w:t>
      </w:r>
      <w:hyperlink r:id="rId16" w:history="1">
        <w:r w:rsidRPr="00B91BF4" w:rsidR="00344CFE">
          <w:rPr>
            <w:rStyle w:val="Hyperlink"/>
          </w:rPr>
          <w:t>robert.stephens@icf.com</w:t>
        </w:r>
      </w:hyperlink>
    </w:p>
    <w:p w:rsidR="00344CFE" w:rsidP="00476D4A" w14:paraId="7F70859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4CFE" w:rsidP="00476D4A" w14:paraId="1883E921" w14:textId="5D0EC9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Oliver Massey</w:t>
      </w:r>
      <w:r w:rsidR="00CE5F7B">
        <w:t>, PhD</w:t>
      </w:r>
    </w:p>
    <w:p w:rsidR="00CE5F7B" w:rsidP="00476D4A" w14:paraId="6B73B856" w14:textId="0DA4B62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University of South Florida</w:t>
      </w:r>
    </w:p>
    <w:p w:rsidR="00DC7DF0" w:rsidP="00476D4A" w14:paraId="1255ED91" w14:textId="5F3875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13301 Bruce Downs Blvd. MHC2-401</w:t>
      </w:r>
    </w:p>
    <w:p w:rsidR="00F67711" w:rsidP="00476D4A" w14:paraId="4A04CA5C" w14:textId="3C03521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Tampa, FL 33612</w:t>
      </w:r>
    </w:p>
    <w:p w:rsidR="00F67711" w:rsidP="00476D4A" w14:paraId="1745BDB0" w14:textId="6F62D9D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Phone: (813)974-6403</w:t>
      </w:r>
    </w:p>
    <w:p w:rsidR="00484D1C" w:rsidP="00476D4A" w14:paraId="17A92B4D" w14:textId="2FEFF39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Email: massey@usf.edu</w:t>
      </w:r>
    </w:p>
    <w:bookmarkEnd w:id="2"/>
    <w:p w:rsidR="00407090" w:rsidP="006D7919" w14:paraId="31262A1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755F" w:rsidP="00887134" w14:paraId="3F5E1E5F" w14:textId="77777777">
      <w:pPr>
        <w:pStyle w:val="SuicideBodyText"/>
        <w:spacing w:after="200"/>
      </w:pPr>
      <w:r w:rsidRPr="00244BBB">
        <w:t>The agency staff person responsible for receiving and approving contract deliverables is:</w:t>
      </w:r>
    </w:p>
    <w:p w:rsidR="00693F85" w:rsidRPr="00832EAF" w:rsidP="00693F85" w14:paraId="50742C31" w14:textId="09CEA326">
      <w:pPr>
        <w:rPr>
          <w:rFonts w:ascii="Calibri" w:hAnsi="Calibri"/>
        </w:rPr>
      </w:pPr>
      <w:r w:rsidRPr="00832EAF">
        <w:t>Nainan T</w:t>
      </w:r>
      <w:r w:rsidRPr="00832EAF" w:rsidR="00A7448A">
        <w:t>h</w:t>
      </w:r>
      <w:r w:rsidRPr="00832EAF">
        <w:t>omas</w:t>
      </w:r>
      <w:r w:rsidRPr="00832EAF">
        <w:t xml:space="preserve">, </w:t>
      </w:r>
      <w:r w:rsidRPr="00832EAF" w:rsidR="00A7448A">
        <w:t>MA, LLB, MSW, PhD, LICSW</w:t>
      </w:r>
    </w:p>
    <w:p w:rsidR="00693F85" w:rsidRPr="00832EAF" w:rsidP="00693F85" w14:paraId="13D031FD" w14:textId="2D2A205C">
      <w:pPr>
        <w:rPr>
          <w:rFonts w:ascii="Calibri" w:hAnsi="Calibri"/>
        </w:rPr>
      </w:pPr>
      <w:r w:rsidRPr="00832EAF">
        <w:t>Senior Public Health Analyst</w:t>
      </w:r>
    </w:p>
    <w:p w:rsidR="00693F85" w:rsidRPr="00832EAF" w:rsidP="00693F85" w14:paraId="351A76C0" w14:textId="77777777">
      <w:pPr>
        <w:rPr>
          <w:rFonts w:ascii="Calibri" w:hAnsi="Calibri"/>
        </w:rPr>
      </w:pPr>
      <w:r w:rsidRPr="00832EAF">
        <w:t>SAMHSA/CMHS/DPTSSP</w:t>
      </w:r>
    </w:p>
    <w:p w:rsidR="00693F85" w:rsidRPr="00832EAF" w:rsidP="00693F85" w14:paraId="534A744C" w14:textId="4EEEA52F">
      <w:pPr>
        <w:rPr>
          <w:rFonts w:ascii="Calibri" w:hAnsi="Calibri"/>
        </w:rPr>
      </w:pPr>
      <w:r w:rsidRPr="00832EAF">
        <w:t>5600 Fishers Lane</w:t>
      </w:r>
    </w:p>
    <w:p w:rsidR="00693F85" w:rsidRPr="00832EAF" w:rsidP="00693F85" w14:paraId="6A5C6B90" w14:textId="77777777">
      <w:pPr>
        <w:rPr>
          <w:rFonts w:ascii="Calibri" w:hAnsi="Calibri"/>
        </w:rPr>
      </w:pPr>
      <w:r w:rsidRPr="00832EAF">
        <w:t>Rockville, MD 20857</w:t>
      </w:r>
    </w:p>
    <w:p w:rsidR="00693F85" w:rsidRPr="00832EAF" w:rsidP="00693F85" w14:paraId="769758FD" w14:textId="6FC41650">
      <w:pPr>
        <w:rPr>
          <w:rFonts w:ascii="Calibri" w:hAnsi="Calibri"/>
        </w:rPr>
      </w:pPr>
      <w:r w:rsidRPr="00832EAF">
        <w:t>Phone: (240)-276-1</w:t>
      </w:r>
      <w:r w:rsidRPr="00832EAF" w:rsidR="00D57F32">
        <w:t>744</w:t>
      </w:r>
    </w:p>
    <w:p w:rsidR="00226964" w:rsidRPr="0022706D" w:rsidP="0022706D" w14:paraId="496DE776" w14:textId="31004B57">
      <w:pPr>
        <w:pStyle w:val="SuicideBodyText"/>
        <w:spacing w:after="200"/>
      </w:pPr>
      <w:r w:rsidRPr="00832EAF">
        <w:t xml:space="preserve">Email: </w:t>
      </w:r>
      <w:r w:rsidR="00D57F32">
        <w:t>Nainan.Thomas@samhsa.hhs.</w:t>
      </w:r>
      <w:r w:rsidR="00832EAF">
        <w:t>gov</w:t>
      </w:r>
    </w:p>
    <w:p w:rsidR="00561D0F" w:rsidP="00585AB6" w14:paraId="2DC8E44A" w14:textId="2E7E96DA">
      <w:pPr>
        <w:pStyle w:val="GLSReference"/>
        <w:spacing w:before="360"/>
        <w:rPr>
          <w:rFonts w:ascii="Tw Cen MT" w:hAnsi="Tw Cen MT" w:eastAsiaTheme="minorHAnsi"/>
          <w:b/>
          <w:sz w:val="28"/>
          <w:szCs w:val="28"/>
        </w:rPr>
      </w:pPr>
      <w:r>
        <w:rPr>
          <w:rFonts w:ascii="Tw Cen MT" w:hAnsi="Tw Cen MT" w:eastAsiaTheme="minorHAnsi"/>
          <w:b/>
          <w:sz w:val="28"/>
          <w:szCs w:val="28"/>
        </w:rPr>
        <w:t>References</w:t>
      </w:r>
    </w:p>
    <w:p w:rsidR="0070223B" w:rsidRPr="0070223B" w:rsidP="0070223B" w14:paraId="0D42D4C6" w14:textId="0D73F825">
      <w:pPr>
        <w:pStyle w:val="GLSReference"/>
        <w:spacing w:before="360"/>
        <w:jc w:val="left"/>
        <w:rPr>
          <w:rFonts w:eastAsiaTheme="minorHAnsi"/>
          <w:bCs/>
          <w:szCs w:val="24"/>
        </w:rPr>
      </w:pPr>
      <w:r w:rsidRPr="0070223B">
        <w:rPr>
          <w:rFonts w:eastAsiaTheme="minorHAnsi"/>
          <w:bCs/>
          <w:szCs w:val="24"/>
        </w:rPr>
        <w:t>Abadie, A., &amp; Gardeazabal, J. (2003). The economic costs of conflict: a case study of the Basque country. </w:t>
      </w:r>
      <w:r w:rsidRPr="0070223B">
        <w:rPr>
          <w:rFonts w:eastAsiaTheme="minorHAnsi"/>
          <w:bCs/>
          <w:i/>
          <w:iCs/>
          <w:szCs w:val="24"/>
        </w:rPr>
        <w:t>American Economic Review, 93</w:t>
      </w:r>
      <w:r w:rsidRPr="0070223B">
        <w:rPr>
          <w:rFonts w:eastAsiaTheme="minorHAnsi"/>
          <w:bCs/>
          <w:szCs w:val="24"/>
        </w:rPr>
        <w:t xml:space="preserve">(1), 113–132. </w:t>
      </w:r>
      <w:hyperlink r:id="rId17" w:history="1">
        <w:r w:rsidRPr="0070223B" w:rsidR="00EB4A08">
          <w:rPr>
            <w:rStyle w:val="Hyperlink"/>
            <w:rFonts w:eastAsiaTheme="minorHAnsi"/>
            <w:bCs/>
            <w:szCs w:val="24"/>
          </w:rPr>
          <w:t>https://doi.org/10.1257/000282803321455188</w:t>
        </w:r>
      </w:hyperlink>
      <w:r w:rsidRPr="0070223B">
        <w:rPr>
          <w:rFonts w:eastAsiaTheme="minorHAnsi"/>
          <w:bCs/>
          <w:szCs w:val="24"/>
        </w:rPr>
        <w:t xml:space="preserve">  </w:t>
      </w:r>
    </w:p>
    <w:p w:rsidR="0070223B" w:rsidRPr="0070223B" w:rsidP="0070223B" w14:paraId="57E96F65" w14:textId="77777777">
      <w:pPr>
        <w:pStyle w:val="GLSReference"/>
        <w:spacing w:before="360"/>
        <w:jc w:val="left"/>
        <w:rPr>
          <w:rFonts w:eastAsiaTheme="minorHAnsi"/>
          <w:bCs/>
          <w:szCs w:val="24"/>
        </w:rPr>
      </w:pPr>
      <w:r w:rsidRPr="0070223B">
        <w:rPr>
          <w:rFonts w:eastAsiaTheme="minorHAnsi"/>
          <w:bCs/>
          <w:szCs w:val="24"/>
        </w:rPr>
        <w:t>Abadie, A., Diamond, A., &amp; Hainmueller, J. (2010). Synthetic control methods for comparative case studies: estimating the effect of California’s tobacco control program. </w:t>
      </w:r>
      <w:r w:rsidRPr="0070223B">
        <w:rPr>
          <w:rFonts w:eastAsiaTheme="minorHAnsi"/>
          <w:bCs/>
          <w:i/>
          <w:iCs/>
          <w:szCs w:val="24"/>
        </w:rPr>
        <w:t>Journal of the American Statistical Association, 105</w:t>
      </w:r>
      <w:r w:rsidRPr="0070223B">
        <w:rPr>
          <w:rFonts w:eastAsiaTheme="minorHAnsi"/>
          <w:bCs/>
          <w:szCs w:val="24"/>
        </w:rPr>
        <w:t xml:space="preserve">(490), 493–505. </w:t>
      </w:r>
      <w:hyperlink r:id="rId18" w:history="1">
        <w:r w:rsidRPr="0070223B">
          <w:rPr>
            <w:rStyle w:val="Hyperlink"/>
            <w:rFonts w:eastAsiaTheme="minorHAnsi"/>
            <w:bCs/>
            <w:szCs w:val="24"/>
          </w:rPr>
          <w:t>https://doi.org/10.1198/jasa.2009.ap08746</w:t>
        </w:r>
      </w:hyperlink>
      <w:r w:rsidRPr="0070223B">
        <w:rPr>
          <w:rFonts w:eastAsiaTheme="minorHAnsi"/>
          <w:bCs/>
          <w:szCs w:val="24"/>
        </w:rPr>
        <w:t xml:space="preserve"> </w:t>
      </w:r>
    </w:p>
    <w:p w:rsidR="0070223B" w:rsidRPr="0070223B" w:rsidP="0070223B" w14:paraId="316349C3" w14:textId="77777777">
      <w:pPr>
        <w:pStyle w:val="GLSReference"/>
        <w:spacing w:before="360"/>
        <w:jc w:val="left"/>
        <w:rPr>
          <w:rFonts w:eastAsiaTheme="minorHAnsi"/>
          <w:bCs/>
          <w:szCs w:val="24"/>
        </w:rPr>
      </w:pPr>
      <w:r w:rsidRPr="0070223B">
        <w:rPr>
          <w:rFonts w:eastAsiaTheme="minorHAnsi"/>
          <w:bCs/>
          <w:szCs w:val="24"/>
        </w:rPr>
        <w:t>Abadie, A., Diamond, A., &amp; Hainmueller, J. (2015). Comparative politics and the synthetic control method: comparative politics and the synthetic control method. </w:t>
      </w:r>
      <w:r w:rsidRPr="0070223B">
        <w:rPr>
          <w:rFonts w:eastAsiaTheme="minorHAnsi"/>
          <w:bCs/>
          <w:i/>
          <w:iCs/>
          <w:szCs w:val="24"/>
        </w:rPr>
        <w:t>American Journal of Political Science, 59</w:t>
      </w:r>
      <w:r w:rsidRPr="0070223B">
        <w:rPr>
          <w:rFonts w:eastAsiaTheme="minorHAnsi"/>
          <w:bCs/>
          <w:szCs w:val="24"/>
        </w:rPr>
        <w:t xml:space="preserve">(2), 495–510. </w:t>
      </w:r>
      <w:hyperlink r:id="rId19" w:history="1">
        <w:r w:rsidRPr="0070223B">
          <w:rPr>
            <w:rStyle w:val="Hyperlink"/>
            <w:rFonts w:eastAsiaTheme="minorHAnsi"/>
            <w:bCs/>
            <w:szCs w:val="24"/>
          </w:rPr>
          <w:t>https://doi.org/10.1111/ajps.12116</w:t>
        </w:r>
      </w:hyperlink>
      <w:r w:rsidRPr="0070223B">
        <w:rPr>
          <w:rFonts w:eastAsiaTheme="minorHAnsi"/>
          <w:bCs/>
          <w:szCs w:val="24"/>
        </w:rPr>
        <w:t xml:space="preserve">  </w:t>
      </w:r>
    </w:p>
    <w:p w:rsidR="0070223B" w:rsidRPr="0070223B" w:rsidP="0070223B" w14:paraId="49119009" w14:textId="77777777">
      <w:pPr>
        <w:pStyle w:val="GLSReference"/>
        <w:spacing w:before="360"/>
        <w:jc w:val="left"/>
        <w:rPr>
          <w:rFonts w:eastAsiaTheme="minorHAnsi"/>
          <w:bCs/>
          <w:szCs w:val="24"/>
        </w:rPr>
      </w:pPr>
      <w:r w:rsidRPr="0070223B">
        <w:rPr>
          <w:rFonts w:eastAsiaTheme="minorHAnsi"/>
          <w:bCs/>
          <w:szCs w:val="24"/>
        </w:rPr>
        <w:t xml:space="preserve">Adler, K., Salanterä, S., &amp; Zumstein-Shaha, M. (2019). Focus group interviews in child, youth, and parent research: an integrative literature review. </w:t>
      </w:r>
      <w:r w:rsidRPr="0070223B">
        <w:rPr>
          <w:rFonts w:eastAsiaTheme="minorHAnsi"/>
          <w:bCs/>
          <w:i/>
          <w:iCs/>
          <w:szCs w:val="24"/>
        </w:rPr>
        <w:t>International Journal of Qualitative Methods, 18</w:t>
      </w:r>
      <w:r w:rsidRPr="0070223B">
        <w:rPr>
          <w:rFonts w:eastAsiaTheme="minorHAnsi"/>
          <w:bCs/>
          <w:szCs w:val="24"/>
        </w:rPr>
        <w:t xml:space="preserve">. </w:t>
      </w:r>
      <w:hyperlink r:id="rId20" w:history="1">
        <w:r w:rsidRPr="0070223B">
          <w:rPr>
            <w:rStyle w:val="Hyperlink"/>
            <w:rFonts w:eastAsiaTheme="minorHAnsi"/>
            <w:bCs/>
            <w:szCs w:val="24"/>
          </w:rPr>
          <w:t>https://doi.org/10.1177/1609406919887274</w:t>
        </w:r>
      </w:hyperlink>
    </w:p>
    <w:p w:rsidR="0070223B" w:rsidRPr="0070223B" w:rsidP="0070223B" w14:paraId="41CF8D13" w14:textId="77777777">
      <w:pPr>
        <w:pStyle w:val="GLSReference"/>
        <w:spacing w:before="360"/>
        <w:jc w:val="left"/>
        <w:rPr>
          <w:rFonts w:eastAsiaTheme="minorHAnsi"/>
          <w:bCs/>
          <w:szCs w:val="24"/>
        </w:rPr>
      </w:pPr>
      <w:r w:rsidRPr="0070223B">
        <w:rPr>
          <w:rFonts w:eastAsiaTheme="minorHAnsi"/>
          <w:bCs/>
          <w:szCs w:val="24"/>
        </w:rPr>
        <w:t>American Academy of Pediatrics (2021). AAP-AACAP-CHA declaration of a national emergency in child and adolescent mental health. A declaration from the American Academy of Pediatrics. American Academy of Child and Adolescent Psychiatry and Children’s Hospital Association.</w:t>
      </w:r>
    </w:p>
    <w:p w:rsidR="0070223B" w:rsidRPr="0070223B" w:rsidP="0070223B" w14:paraId="5263E9A4" w14:textId="77777777">
      <w:pPr>
        <w:pStyle w:val="GLSReference"/>
        <w:spacing w:before="360"/>
        <w:jc w:val="left"/>
        <w:rPr>
          <w:rFonts w:eastAsiaTheme="minorHAnsi"/>
          <w:bCs/>
          <w:szCs w:val="24"/>
        </w:rPr>
      </w:pPr>
      <w:r w:rsidRPr="0070223B">
        <w:rPr>
          <w:rFonts w:eastAsiaTheme="minorHAnsi"/>
          <w:bCs/>
          <w:szCs w:val="24"/>
        </w:rPr>
        <w:t xml:space="preserve">American Psychiatric Association. (2021). New APA poll shows sustained anxiety among Americans; more than half of parents are concerned about the mental well-being of their children. </w:t>
      </w:r>
      <w:hyperlink r:id="rId21">
        <w:r w:rsidRPr="0070223B">
          <w:rPr>
            <w:rStyle w:val="Hyperlink"/>
            <w:rFonts w:eastAsiaTheme="minorHAnsi"/>
            <w:bCs/>
            <w:szCs w:val="24"/>
          </w:rPr>
          <w:t>https://www.psychiatry.org/news-room/news-releases/new-apa-poll-shows-sustained-anxiety-among-america</w:t>
        </w:r>
      </w:hyperlink>
      <w:r w:rsidRPr="0070223B">
        <w:rPr>
          <w:rFonts w:eastAsiaTheme="minorHAnsi"/>
          <w:bCs/>
          <w:szCs w:val="24"/>
        </w:rPr>
        <w:t xml:space="preserve"> </w:t>
      </w:r>
    </w:p>
    <w:p w:rsidR="0070223B" w:rsidRPr="0070223B" w:rsidP="0070223B" w14:paraId="5E072D51" w14:textId="77777777">
      <w:pPr>
        <w:pStyle w:val="GLSReference"/>
        <w:spacing w:before="360"/>
        <w:jc w:val="left"/>
        <w:rPr>
          <w:rFonts w:eastAsiaTheme="minorHAnsi"/>
          <w:bCs/>
          <w:szCs w:val="24"/>
        </w:rPr>
      </w:pPr>
      <w:r w:rsidRPr="0070223B">
        <w:rPr>
          <w:rFonts w:eastAsiaTheme="minorHAnsi"/>
          <w:bCs/>
          <w:szCs w:val="24"/>
        </w:rPr>
        <w:t>Anthony, B., Banh, M. K., &amp; Goldman, S. (2015). Mental health beliefs and literacy scale. Washington, DC: Georgetown University Child Development Center, National Technical Assistance Center for Children’s Mental Health.</w:t>
      </w:r>
    </w:p>
    <w:p w:rsidR="0070223B" w:rsidRPr="0070223B" w:rsidP="0070223B" w14:paraId="5462561D" w14:textId="77777777">
      <w:pPr>
        <w:pStyle w:val="GLSReference"/>
        <w:spacing w:before="360"/>
        <w:jc w:val="left"/>
        <w:rPr>
          <w:rFonts w:eastAsiaTheme="minorHAnsi"/>
          <w:bCs/>
          <w:szCs w:val="24"/>
        </w:rPr>
      </w:pPr>
      <w:r w:rsidRPr="0070223B">
        <w:rPr>
          <w:rFonts w:eastAsiaTheme="minorHAnsi"/>
          <w:bCs/>
          <w:szCs w:val="24"/>
        </w:rPr>
        <w:t xml:space="preserve">Baffsky, R., Ivers, R., Cullen, P., Wang, J., McGillivray, L., &amp; Torok, M. (2023). Strategies for enhancing the implementation of universal mental health prevention programs in schools: a systematic review. </w:t>
      </w:r>
      <w:r w:rsidRPr="0070223B">
        <w:rPr>
          <w:rFonts w:eastAsiaTheme="minorHAnsi"/>
          <w:bCs/>
          <w:i/>
          <w:iCs/>
          <w:szCs w:val="24"/>
        </w:rPr>
        <w:t>Prevention Science, 24</w:t>
      </w:r>
      <w:r w:rsidRPr="0070223B">
        <w:rPr>
          <w:rFonts w:eastAsiaTheme="minorHAnsi"/>
          <w:bCs/>
          <w:szCs w:val="24"/>
        </w:rPr>
        <w:t xml:space="preserve">(2), 337-352. DOI: </w:t>
      </w:r>
      <w:r w:rsidRPr="0070223B">
        <w:rPr>
          <w:rFonts w:eastAsiaTheme="minorHAnsi"/>
          <w:bCs/>
          <w:szCs w:val="24"/>
          <w:u w:val="single"/>
        </w:rPr>
        <w:t>10.1007/s11121-022-01434-9</w:t>
      </w:r>
    </w:p>
    <w:p w:rsidR="0070223B" w:rsidRPr="0070223B" w:rsidP="0070223B" w14:paraId="5B8E80A2" w14:textId="77777777">
      <w:pPr>
        <w:pStyle w:val="GLSReference"/>
        <w:spacing w:before="360"/>
        <w:jc w:val="left"/>
        <w:rPr>
          <w:rFonts w:eastAsiaTheme="minorHAnsi"/>
          <w:bCs/>
          <w:szCs w:val="24"/>
        </w:rPr>
      </w:pPr>
      <w:r w:rsidRPr="0070223B">
        <w:rPr>
          <w:rFonts w:eastAsiaTheme="minorHAnsi"/>
          <w:bCs/>
          <w:szCs w:val="24"/>
        </w:rPr>
        <w:t>Bauer, C., Wakefield, J., Rue, H., Self, S., Feng, Z., &amp; Wang, Y. (2016). Bayesian penalized spline models for the analysis of spatio-temporal count data. </w:t>
      </w:r>
      <w:r w:rsidRPr="0070223B">
        <w:rPr>
          <w:rFonts w:eastAsiaTheme="minorHAnsi"/>
          <w:bCs/>
          <w:i/>
          <w:iCs/>
          <w:szCs w:val="24"/>
        </w:rPr>
        <w:t>Statistics in Medicine</w:t>
      </w:r>
      <w:r w:rsidRPr="0070223B">
        <w:rPr>
          <w:rFonts w:eastAsiaTheme="minorHAnsi"/>
          <w:bCs/>
          <w:szCs w:val="24"/>
        </w:rPr>
        <w:t>, </w:t>
      </w:r>
      <w:r w:rsidRPr="0070223B">
        <w:rPr>
          <w:rFonts w:eastAsiaTheme="minorHAnsi"/>
          <w:bCs/>
          <w:i/>
          <w:iCs/>
          <w:szCs w:val="24"/>
        </w:rPr>
        <w:t>35,</w:t>
      </w:r>
      <w:r w:rsidRPr="0070223B">
        <w:rPr>
          <w:rFonts w:eastAsiaTheme="minorHAnsi"/>
          <w:bCs/>
          <w:szCs w:val="24"/>
        </w:rPr>
        <w:t> 1848–1865. DOI: </w:t>
      </w:r>
      <w:hyperlink r:id="rId22" w:tgtFrame="_blank" w:tooltip="Link to external resource: 10.1002/sim.6785" w:history="1">
        <w:r w:rsidRPr="0070223B">
          <w:rPr>
            <w:rStyle w:val="Hyperlink"/>
            <w:rFonts w:eastAsiaTheme="minorHAnsi"/>
            <w:bCs/>
            <w:szCs w:val="24"/>
          </w:rPr>
          <w:t>10.1002/sim.6785</w:t>
        </w:r>
      </w:hyperlink>
      <w:r w:rsidRPr="0070223B">
        <w:rPr>
          <w:rFonts w:eastAsiaTheme="minorHAnsi"/>
          <w:bCs/>
          <w:szCs w:val="24"/>
        </w:rPr>
        <w:t xml:space="preserve"> </w:t>
      </w:r>
    </w:p>
    <w:p w:rsidR="0070223B" w:rsidRPr="0070223B" w:rsidP="0070223B" w14:paraId="04E9A87D" w14:textId="77777777">
      <w:pPr>
        <w:pStyle w:val="GLSReference"/>
        <w:spacing w:before="360"/>
        <w:jc w:val="left"/>
        <w:rPr>
          <w:rFonts w:eastAsiaTheme="minorHAnsi"/>
          <w:bCs/>
          <w:szCs w:val="24"/>
        </w:rPr>
      </w:pPr>
      <w:r w:rsidRPr="0070223B">
        <w:rPr>
          <w:rFonts w:eastAsiaTheme="minorHAnsi"/>
          <w:bCs/>
          <w:szCs w:val="24"/>
        </w:rPr>
        <w:t xml:space="preserve">Bilbrey, J. B., Castanon, K. L., Copeland, R. B., Evanshen, P. A., &amp; Trivette, C. M. (2022). Primary early childhood educators’ perspectives of trauma‑informed knowledge, confidence, and training. </w:t>
      </w:r>
      <w:r w:rsidRPr="0070223B">
        <w:rPr>
          <w:rFonts w:eastAsiaTheme="minorHAnsi"/>
          <w:bCs/>
          <w:i/>
          <w:szCs w:val="24"/>
        </w:rPr>
        <w:t>The Australian Educational Researcher.</w:t>
      </w:r>
      <w:r w:rsidRPr="0070223B">
        <w:rPr>
          <w:rFonts w:eastAsiaTheme="minorHAnsi"/>
          <w:bCs/>
          <w:szCs w:val="24"/>
        </w:rPr>
        <w:t xml:space="preserve"> </w:t>
      </w:r>
      <w:hyperlink r:id="rId23">
        <w:r w:rsidRPr="0070223B">
          <w:rPr>
            <w:rStyle w:val="Hyperlink"/>
            <w:rFonts w:eastAsiaTheme="minorHAnsi"/>
            <w:bCs/>
            <w:szCs w:val="24"/>
          </w:rPr>
          <w:t>https://doi.org/10.1007/s13384-022-00582-9</w:t>
        </w:r>
      </w:hyperlink>
      <w:r w:rsidRPr="0070223B">
        <w:rPr>
          <w:rFonts w:eastAsiaTheme="minorHAnsi"/>
          <w:bCs/>
          <w:szCs w:val="24"/>
        </w:rPr>
        <w:t xml:space="preserve"> </w:t>
      </w:r>
    </w:p>
    <w:p w:rsidR="0070223B" w:rsidRPr="0070223B" w:rsidP="0070223B" w14:paraId="12F16A87" w14:textId="77777777">
      <w:pPr>
        <w:pStyle w:val="GLSReference"/>
        <w:spacing w:before="360"/>
        <w:jc w:val="left"/>
        <w:rPr>
          <w:rFonts w:eastAsiaTheme="minorHAnsi"/>
          <w:bCs/>
          <w:szCs w:val="24"/>
        </w:rPr>
      </w:pPr>
      <w:r w:rsidRPr="0070223B">
        <w:rPr>
          <w:rFonts w:eastAsiaTheme="minorHAnsi"/>
          <w:bCs/>
          <w:szCs w:val="24"/>
        </w:rPr>
        <w:t xml:space="preserve"> Bitsko, R. H., Claussen, A. H., Lichstein, J., Black, L. I., Everett Jones, S., Danielson, M. L., et al. (2022, Suppl). Mental health surveillance among children—United States, 2013–2019. </w:t>
      </w:r>
      <w:r w:rsidRPr="0070223B">
        <w:rPr>
          <w:rFonts w:eastAsiaTheme="minorHAnsi"/>
          <w:bCs/>
          <w:i/>
          <w:iCs/>
          <w:szCs w:val="24"/>
        </w:rPr>
        <w:t>Morbidity and Mortality Weekly Report, 71</w:t>
      </w:r>
      <w:r w:rsidRPr="0070223B">
        <w:rPr>
          <w:rFonts w:eastAsiaTheme="minorHAnsi"/>
          <w:bCs/>
          <w:szCs w:val="24"/>
        </w:rPr>
        <w:t>(2), 1–42.</w:t>
      </w:r>
    </w:p>
    <w:p w:rsidR="0070223B" w:rsidRPr="0070223B" w:rsidP="0070223B" w14:paraId="5290697A" w14:textId="77777777">
      <w:pPr>
        <w:pStyle w:val="GLSReference"/>
        <w:spacing w:before="360"/>
        <w:jc w:val="left"/>
        <w:rPr>
          <w:rFonts w:eastAsiaTheme="minorHAnsi"/>
          <w:bCs/>
          <w:szCs w:val="24"/>
        </w:rPr>
      </w:pPr>
      <w:r w:rsidRPr="0070223B">
        <w:rPr>
          <w:rFonts w:eastAsiaTheme="minorHAnsi"/>
          <w:bCs/>
          <w:szCs w:val="24"/>
        </w:rPr>
        <w:t xml:space="preserve">Breen N., Berrigan D., Jackson J. S., Wong, D. W. S., Wood, F. B., Denny, J. C., Zhang, X., &amp; Bourne, P. E (2019). Translational health disparities research in a data-rich world. </w:t>
      </w:r>
      <w:r w:rsidRPr="0070223B">
        <w:rPr>
          <w:rFonts w:eastAsiaTheme="minorHAnsi"/>
          <w:bCs/>
          <w:i/>
          <w:iCs/>
          <w:szCs w:val="24"/>
        </w:rPr>
        <w:t>Health Equity 3</w:t>
      </w:r>
      <w:r w:rsidRPr="0070223B">
        <w:rPr>
          <w:rFonts w:eastAsiaTheme="minorHAnsi"/>
          <w:bCs/>
          <w:szCs w:val="24"/>
        </w:rPr>
        <w:t xml:space="preserve">(1), 588–600, DOI: </w:t>
      </w:r>
      <w:r w:rsidRPr="0070223B">
        <w:rPr>
          <w:rFonts w:eastAsiaTheme="minorHAnsi"/>
          <w:bCs/>
          <w:szCs w:val="24"/>
          <w:u w:val="single"/>
        </w:rPr>
        <w:t>10.1089/heq.2019.0042</w:t>
      </w:r>
      <w:r w:rsidRPr="0070223B">
        <w:rPr>
          <w:rFonts w:eastAsiaTheme="minorHAnsi"/>
          <w:bCs/>
          <w:szCs w:val="24"/>
        </w:rPr>
        <w:t xml:space="preserve"> </w:t>
      </w:r>
    </w:p>
    <w:p w:rsidR="0070223B" w:rsidRPr="0070223B" w:rsidP="0070223B" w14:paraId="092B3C26" w14:textId="77777777">
      <w:pPr>
        <w:pStyle w:val="GLSReference"/>
        <w:spacing w:before="360"/>
        <w:jc w:val="left"/>
        <w:rPr>
          <w:rFonts w:eastAsiaTheme="minorHAnsi"/>
          <w:bCs/>
          <w:szCs w:val="24"/>
        </w:rPr>
      </w:pPr>
      <w:r w:rsidRPr="0070223B">
        <w:rPr>
          <w:rFonts w:eastAsiaTheme="minorHAnsi"/>
          <w:bCs/>
          <w:szCs w:val="24"/>
        </w:rPr>
        <w:t xml:space="preserve">Brown, D. W., Anda, R. F., Tiemeier, H., Felitti, V. J., Edwards, V. J., Croft, J. B., et al. (2009, Nov). Adverse childhood experiences and the risk of premature mortality. </w:t>
      </w:r>
      <w:r w:rsidRPr="0070223B">
        <w:rPr>
          <w:rFonts w:eastAsiaTheme="minorHAnsi"/>
          <w:bCs/>
          <w:i/>
          <w:iCs/>
          <w:szCs w:val="24"/>
        </w:rPr>
        <w:t>American Journal of Preventive Medicine, 37</w:t>
      </w:r>
      <w:r w:rsidRPr="0070223B">
        <w:rPr>
          <w:rFonts w:eastAsiaTheme="minorHAnsi"/>
          <w:bCs/>
          <w:szCs w:val="24"/>
        </w:rPr>
        <w:t>(5), 389–396. 10.1016/j.amepre.2009.06.021</w:t>
      </w:r>
    </w:p>
    <w:p w:rsidR="0070223B" w:rsidRPr="0070223B" w:rsidP="0070223B" w14:paraId="5AAF3493" w14:textId="77777777">
      <w:pPr>
        <w:pStyle w:val="GLSReference"/>
        <w:spacing w:before="360"/>
        <w:jc w:val="left"/>
        <w:rPr>
          <w:rFonts w:eastAsiaTheme="minorHAnsi"/>
          <w:bCs/>
          <w:szCs w:val="24"/>
        </w:rPr>
      </w:pPr>
      <w:r w:rsidRPr="0070223B">
        <w:rPr>
          <w:rFonts w:eastAsiaTheme="minorHAnsi"/>
          <w:bCs/>
          <w:szCs w:val="24"/>
        </w:rPr>
        <w:t xml:space="preserve">Byrd, C. M. (2017). The complexity of school racial climate: Reliability and validity of a new measure for secondary students. </w:t>
      </w:r>
      <w:r w:rsidRPr="0070223B">
        <w:rPr>
          <w:rFonts w:eastAsiaTheme="minorHAnsi"/>
          <w:bCs/>
          <w:i/>
          <w:iCs/>
          <w:szCs w:val="24"/>
        </w:rPr>
        <w:t>British Journal of Educational Psychology</w:t>
      </w:r>
      <w:r w:rsidRPr="0070223B">
        <w:rPr>
          <w:rFonts w:eastAsiaTheme="minorHAnsi"/>
          <w:bCs/>
          <w:szCs w:val="24"/>
        </w:rPr>
        <w:t>,</w:t>
      </w:r>
      <w:r w:rsidRPr="0070223B">
        <w:rPr>
          <w:rFonts w:eastAsiaTheme="minorHAnsi"/>
          <w:bCs/>
          <w:i/>
          <w:iCs/>
          <w:szCs w:val="24"/>
        </w:rPr>
        <w:t xml:space="preserve"> 87</w:t>
      </w:r>
      <w:r w:rsidRPr="0070223B">
        <w:rPr>
          <w:rFonts w:eastAsiaTheme="minorHAnsi"/>
          <w:bCs/>
          <w:szCs w:val="24"/>
        </w:rPr>
        <w:t>, 700-721.</w:t>
      </w:r>
    </w:p>
    <w:p w:rsidR="005E7EF6" w:rsidRPr="005E7EF6" w:rsidP="005E7EF6" w14:paraId="74ACA575" w14:textId="77777777">
      <w:pPr>
        <w:pStyle w:val="GLSReference"/>
        <w:spacing w:before="360"/>
        <w:rPr>
          <w:rFonts w:eastAsiaTheme="minorHAnsi"/>
          <w:bCs/>
        </w:rPr>
      </w:pPr>
      <w:r w:rsidRPr="005E7EF6">
        <w:rPr>
          <w:rFonts w:eastAsiaTheme="minorHAnsi"/>
          <w:bCs/>
        </w:rPr>
        <w:t xml:space="preserve">California Department of Education. (n.d.) California Healthy Kids Survey: A comprehensive student data collection system that addresses school climate, health risks and behaviors, and youth resiliency. </w:t>
      </w:r>
      <w:hyperlink r:id="rId24" w:history="1">
        <w:r w:rsidRPr="005E7EF6">
          <w:rPr>
            <w:rStyle w:val="Hyperlink"/>
            <w:rFonts w:eastAsiaTheme="minorHAnsi"/>
            <w:bCs/>
          </w:rPr>
          <w:t>https://www.cde.ca.gov/ls/he/at/chks.asp</w:t>
        </w:r>
      </w:hyperlink>
    </w:p>
    <w:p w:rsidR="00BB2BFD" w:rsidRPr="00BB2BFD" w:rsidP="00BB2BFD" w14:paraId="254A73E0" w14:textId="77777777">
      <w:pPr>
        <w:pStyle w:val="GLSReference"/>
        <w:spacing w:before="360"/>
        <w:jc w:val="left"/>
        <w:rPr>
          <w:rFonts w:eastAsiaTheme="minorHAnsi"/>
          <w:bCs/>
        </w:rPr>
      </w:pPr>
      <w:r w:rsidRPr="00BB2BFD">
        <w:rPr>
          <w:rFonts w:eastAsiaTheme="minorHAnsi"/>
          <w:bCs/>
        </w:rPr>
        <w:t xml:space="preserve">California Department of Education. (n. d.) California School Staff Survey. </w:t>
      </w:r>
      <w:hyperlink r:id="rId25" w:history="1">
        <w:r w:rsidRPr="00BB2BFD">
          <w:rPr>
            <w:rStyle w:val="Hyperlink"/>
            <w:rFonts w:eastAsiaTheme="minorHAnsi"/>
            <w:bCs/>
          </w:rPr>
          <w:t>https://www.cde.ca.gov/ls/he/at/cscs.asp</w:t>
        </w:r>
      </w:hyperlink>
    </w:p>
    <w:p w:rsidR="0070223B" w:rsidRPr="0070223B" w:rsidP="00BB2BFD" w14:paraId="0E80E324" w14:textId="77777777">
      <w:pPr>
        <w:pStyle w:val="GLSReference"/>
        <w:spacing w:before="360"/>
        <w:jc w:val="left"/>
        <w:rPr>
          <w:rFonts w:eastAsiaTheme="minorHAnsi"/>
          <w:bCs/>
          <w:szCs w:val="24"/>
        </w:rPr>
      </w:pPr>
      <w:r w:rsidRPr="0070223B">
        <w:rPr>
          <w:rFonts w:eastAsiaTheme="minorHAnsi"/>
          <w:bCs/>
          <w:szCs w:val="24"/>
        </w:rPr>
        <w:t xml:space="preserve">Castro, F. G., Kellison, J. G., Boyd, S. J., &amp; Kopak, A. (2010). A methodology for conducting integrative mixed methods research and data analyses. </w:t>
      </w:r>
      <w:r w:rsidRPr="0070223B">
        <w:rPr>
          <w:rFonts w:eastAsiaTheme="minorHAnsi"/>
          <w:bCs/>
          <w:i/>
          <w:iCs/>
          <w:szCs w:val="24"/>
        </w:rPr>
        <w:t>Journal of Mixed Methods Research, 4</w:t>
      </w:r>
      <w:r w:rsidRPr="0070223B">
        <w:rPr>
          <w:rFonts w:eastAsiaTheme="minorHAnsi"/>
          <w:bCs/>
          <w:szCs w:val="24"/>
        </w:rPr>
        <w:t xml:space="preserve">(4), 342-360. DOI: </w:t>
      </w:r>
      <w:r w:rsidRPr="0070223B">
        <w:rPr>
          <w:rFonts w:eastAsiaTheme="minorHAnsi"/>
          <w:bCs/>
          <w:szCs w:val="24"/>
          <w:u w:val="single"/>
        </w:rPr>
        <w:t>10.1177/1558689810382916</w:t>
      </w:r>
      <w:r w:rsidRPr="0070223B">
        <w:rPr>
          <w:rFonts w:eastAsiaTheme="minorHAnsi"/>
          <w:bCs/>
          <w:szCs w:val="24"/>
        </w:rPr>
        <w:t xml:space="preserve">. PMID: 22167325; PMCID: PMC3235529. </w:t>
      </w:r>
    </w:p>
    <w:p w:rsidR="0070223B" w:rsidRPr="0070223B" w:rsidP="0070223B" w14:paraId="01969999" w14:textId="77777777">
      <w:pPr>
        <w:pStyle w:val="GLSReference"/>
        <w:spacing w:before="360"/>
        <w:jc w:val="left"/>
        <w:rPr>
          <w:rFonts w:eastAsiaTheme="minorHAnsi"/>
          <w:bCs/>
          <w:szCs w:val="24"/>
        </w:rPr>
      </w:pPr>
      <w:r w:rsidRPr="0070223B">
        <w:rPr>
          <w:rFonts w:eastAsiaTheme="minorHAnsi"/>
          <w:bCs/>
          <w:szCs w:val="24"/>
        </w:rPr>
        <w:t>Centers for Disease Control and Prevention. (2021). Adverse Childhood Experiences Prevention Strategy. Atlanta, GA: National Center for Injury Prevention and Control, Centers for Disease Control and Prevention.</w:t>
      </w:r>
    </w:p>
    <w:p w:rsidR="0070223B" w:rsidRPr="0070223B" w:rsidP="0070223B" w14:paraId="098F3AEF" w14:textId="77777777">
      <w:pPr>
        <w:pStyle w:val="GLSReference"/>
        <w:spacing w:before="360"/>
        <w:jc w:val="left"/>
        <w:rPr>
          <w:rFonts w:eastAsiaTheme="minorHAnsi"/>
          <w:bCs/>
          <w:szCs w:val="24"/>
        </w:rPr>
      </w:pPr>
      <w:r w:rsidRPr="0070223B">
        <w:rPr>
          <w:rFonts w:eastAsiaTheme="minorHAnsi"/>
          <w:bCs/>
          <w:szCs w:val="24"/>
        </w:rPr>
        <w:t xml:space="preserve">Centers for Disease Control and Prevention. (2023). WISQARS Injury data. WISQARS: web-based injury statistics query and reporting system. Division of Injury Prevention and Control. </w:t>
      </w:r>
      <w:hyperlink r:id="rId26">
        <w:r w:rsidRPr="0070223B">
          <w:rPr>
            <w:rStyle w:val="Hyperlink"/>
            <w:rFonts w:eastAsiaTheme="minorHAnsi"/>
            <w:bCs/>
            <w:szCs w:val="24"/>
          </w:rPr>
          <w:t>https://www.cdc.gov/injury/wisqars/index.html</w:t>
        </w:r>
      </w:hyperlink>
      <w:r w:rsidRPr="0070223B">
        <w:rPr>
          <w:rFonts w:eastAsiaTheme="minorHAnsi"/>
          <w:bCs/>
          <w:szCs w:val="24"/>
        </w:rPr>
        <w:t xml:space="preserve"> </w:t>
      </w:r>
    </w:p>
    <w:p w:rsidR="0070223B" w:rsidRPr="0070223B" w:rsidP="0070223B" w14:paraId="56D486B7" w14:textId="77777777">
      <w:pPr>
        <w:pStyle w:val="GLSReference"/>
        <w:spacing w:before="360"/>
        <w:jc w:val="left"/>
        <w:rPr>
          <w:rFonts w:eastAsiaTheme="minorHAnsi"/>
          <w:bCs/>
          <w:szCs w:val="24"/>
        </w:rPr>
      </w:pPr>
      <w:r w:rsidRPr="0070223B">
        <w:rPr>
          <w:rFonts w:eastAsiaTheme="minorHAnsi"/>
          <w:bCs/>
          <w:szCs w:val="24"/>
        </w:rPr>
        <w:t xml:space="preserve">Chapman, D. P., Whitfield, C. L., Felitti, V. J., Dube, S. R., Edwards, V. J., &amp; Anda, R. F. (2004). Adverse childhood experiences and the risk of depressive disorders in adulthood. </w:t>
      </w:r>
      <w:r w:rsidRPr="0070223B">
        <w:rPr>
          <w:rFonts w:eastAsiaTheme="minorHAnsi"/>
          <w:bCs/>
          <w:i/>
          <w:iCs/>
          <w:szCs w:val="24"/>
        </w:rPr>
        <w:t>Journal of Affective Disorders, 82</w:t>
      </w:r>
      <w:r w:rsidRPr="0070223B">
        <w:rPr>
          <w:rFonts w:eastAsiaTheme="minorHAnsi"/>
          <w:bCs/>
          <w:szCs w:val="24"/>
        </w:rPr>
        <w:t>(2), 217–225. 10.1016/j.jad.2003.12.013</w:t>
      </w:r>
    </w:p>
    <w:p w:rsidR="0070223B" w:rsidRPr="0070223B" w:rsidP="0070223B" w14:paraId="3241000C" w14:textId="77777777">
      <w:pPr>
        <w:pStyle w:val="GLSReference"/>
        <w:spacing w:before="360"/>
        <w:jc w:val="left"/>
        <w:rPr>
          <w:rFonts w:eastAsiaTheme="minorHAnsi"/>
          <w:bCs/>
          <w:szCs w:val="24"/>
        </w:rPr>
      </w:pPr>
      <w:r w:rsidRPr="0070223B">
        <w:rPr>
          <w:rFonts w:eastAsiaTheme="minorHAnsi"/>
          <w:bCs/>
          <w:szCs w:val="24"/>
        </w:rPr>
        <w:t xml:space="preserve">Dube, S. R., Felitti, V. J., Dong, M., Chapman, D. P., Giles, W. H., &amp; Anda, R. F. (2003). Childhood abuse, neglect, and household dysfunction and the risk of illicit drug use: The adverse childhood experiences study. </w:t>
      </w:r>
      <w:r w:rsidRPr="0070223B">
        <w:rPr>
          <w:rFonts w:eastAsiaTheme="minorHAnsi"/>
          <w:bCs/>
          <w:i/>
          <w:iCs/>
          <w:szCs w:val="24"/>
        </w:rPr>
        <w:t>Pediatrics</w:t>
      </w:r>
      <w:r w:rsidRPr="0070223B">
        <w:rPr>
          <w:rFonts w:eastAsiaTheme="minorHAnsi"/>
          <w:bCs/>
          <w:szCs w:val="24"/>
        </w:rPr>
        <w:t xml:space="preserve">, </w:t>
      </w:r>
      <w:r w:rsidRPr="0070223B">
        <w:rPr>
          <w:rFonts w:eastAsiaTheme="minorHAnsi"/>
          <w:bCs/>
          <w:i/>
          <w:iCs/>
          <w:szCs w:val="24"/>
        </w:rPr>
        <w:t>111</w:t>
      </w:r>
      <w:r w:rsidRPr="0070223B">
        <w:rPr>
          <w:rFonts w:eastAsiaTheme="minorHAnsi"/>
          <w:bCs/>
          <w:szCs w:val="24"/>
        </w:rPr>
        <w:t xml:space="preserve">(3), 564–572. </w:t>
      </w:r>
      <w:hyperlink r:id="rId27">
        <w:r w:rsidRPr="0070223B">
          <w:rPr>
            <w:rStyle w:val="Hyperlink"/>
            <w:rFonts w:eastAsiaTheme="minorHAnsi"/>
            <w:bCs/>
            <w:szCs w:val="24"/>
          </w:rPr>
          <w:t>https://doi.org/10.1542/peds.111.3.564</w:t>
        </w:r>
      </w:hyperlink>
    </w:p>
    <w:p w:rsidR="0070223B" w:rsidRPr="0070223B" w:rsidP="0070223B" w14:paraId="02AB9B30" w14:textId="77777777">
      <w:pPr>
        <w:pStyle w:val="GLSReference"/>
        <w:spacing w:before="360"/>
        <w:jc w:val="left"/>
        <w:rPr>
          <w:rFonts w:eastAsiaTheme="minorHAnsi"/>
          <w:bCs/>
          <w:szCs w:val="24"/>
        </w:rPr>
      </w:pPr>
      <w:r w:rsidRPr="0070223B">
        <w:rPr>
          <w:rFonts w:eastAsiaTheme="minorHAnsi"/>
          <w:bCs/>
          <w:szCs w:val="24"/>
        </w:rPr>
        <w:t xml:space="preserve">FAIR Health. (2021). The impact of COVID-19 on pediatric mental health: A study of private healthcare claims [White paper]. FAIR Health, Inc. </w:t>
      </w:r>
    </w:p>
    <w:p w:rsidR="0070223B" w:rsidRPr="0070223B" w:rsidP="0070223B" w14:paraId="0C6D3737" w14:textId="77777777">
      <w:pPr>
        <w:pStyle w:val="GLSReference"/>
        <w:spacing w:before="360"/>
        <w:jc w:val="left"/>
        <w:rPr>
          <w:rFonts w:eastAsiaTheme="minorHAnsi"/>
          <w:bCs/>
          <w:szCs w:val="24"/>
        </w:rPr>
      </w:pPr>
      <w:r w:rsidRPr="0070223B">
        <w:rPr>
          <w:rFonts w:eastAsiaTheme="minorHAnsi"/>
          <w:bCs/>
          <w:szCs w:val="24"/>
        </w:rPr>
        <w:t xml:space="preserve">Felitti, V. J. (2002). The relation between adverse childhood experiences and adult health: Turning gold into lead. </w:t>
      </w:r>
      <w:r w:rsidRPr="0070223B">
        <w:rPr>
          <w:rFonts w:eastAsiaTheme="minorHAnsi"/>
          <w:bCs/>
          <w:i/>
          <w:iCs/>
          <w:szCs w:val="24"/>
        </w:rPr>
        <w:t>The Permanente Journal, 6</w:t>
      </w:r>
      <w:r w:rsidRPr="0070223B">
        <w:rPr>
          <w:rFonts w:eastAsiaTheme="minorHAnsi"/>
          <w:bCs/>
          <w:szCs w:val="24"/>
        </w:rPr>
        <w:t>(1), 44–47.</w:t>
      </w:r>
    </w:p>
    <w:p w:rsidR="0070223B" w:rsidRPr="0070223B" w:rsidP="0070223B" w14:paraId="54EBE3FE" w14:textId="77777777">
      <w:pPr>
        <w:pStyle w:val="GLSReference"/>
        <w:spacing w:before="360"/>
        <w:jc w:val="left"/>
        <w:rPr>
          <w:rFonts w:eastAsiaTheme="minorHAnsi"/>
          <w:bCs/>
          <w:szCs w:val="24"/>
        </w:rPr>
      </w:pPr>
      <w:r w:rsidRPr="0070223B">
        <w:rPr>
          <w:rFonts w:eastAsiaTheme="minorHAnsi"/>
          <w:bCs/>
          <w:szCs w:val="24"/>
        </w:rPr>
        <w:t>Felitti, V. J., Anda, R. F., Nordenberg, D., Williamson, D. F., Spitz, A. M., Edwards, V., et al. (1998). Relationship of childhood abuse and household dysfunction to many of the leading causes of death in adults. The Adverse Childhood Experiences (ACE) Study. </w:t>
      </w:r>
      <w:r w:rsidRPr="0070223B">
        <w:rPr>
          <w:rFonts w:eastAsiaTheme="minorHAnsi"/>
          <w:bCs/>
          <w:i/>
          <w:iCs/>
          <w:szCs w:val="24"/>
        </w:rPr>
        <w:t>American Journal of Preventive Medicine, 14</w:t>
      </w:r>
      <w:r w:rsidRPr="0070223B">
        <w:rPr>
          <w:rFonts w:eastAsiaTheme="minorHAnsi"/>
          <w:bCs/>
          <w:szCs w:val="24"/>
        </w:rPr>
        <w:t xml:space="preserve">(4), 245–258. </w:t>
      </w:r>
      <w:hyperlink r:id="rId28">
        <w:r w:rsidRPr="0070223B">
          <w:rPr>
            <w:rStyle w:val="Hyperlink"/>
            <w:rFonts w:eastAsiaTheme="minorHAnsi"/>
            <w:bCs/>
            <w:szCs w:val="24"/>
          </w:rPr>
          <w:t>https://doi.org/10.1016/s0749-3797(98)00017-8</w:t>
        </w:r>
      </w:hyperlink>
    </w:p>
    <w:p w:rsidR="0070223B" w:rsidRPr="0070223B" w:rsidP="0070223B" w14:paraId="78965BC8" w14:textId="77777777">
      <w:pPr>
        <w:pStyle w:val="GLSReference"/>
        <w:spacing w:before="360"/>
        <w:jc w:val="left"/>
        <w:rPr>
          <w:rFonts w:eastAsiaTheme="minorHAnsi"/>
          <w:bCs/>
          <w:szCs w:val="24"/>
        </w:rPr>
      </w:pPr>
      <w:r w:rsidRPr="0070223B">
        <w:rPr>
          <w:rFonts w:eastAsiaTheme="minorHAnsi"/>
          <w:bCs/>
          <w:szCs w:val="24"/>
        </w:rPr>
        <w:t xml:space="preserve">Forman, S. G., Olin, S. S., Hoagwood, K. E., Crowe, M., &amp; Saka, N. (2009). Evidence-based interventions in schools: Developers’ views of implementation barriers and facilitators. </w:t>
      </w:r>
      <w:r w:rsidRPr="0070223B">
        <w:rPr>
          <w:rFonts w:eastAsiaTheme="minorHAnsi"/>
          <w:bCs/>
          <w:i/>
          <w:szCs w:val="24"/>
        </w:rPr>
        <w:t>School Mental Health, 1</w:t>
      </w:r>
      <w:r w:rsidRPr="0070223B">
        <w:rPr>
          <w:rFonts w:eastAsiaTheme="minorHAnsi"/>
          <w:bCs/>
          <w:szCs w:val="24"/>
        </w:rPr>
        <w:t xml:space="preserve">(1), 26–36. </w:t>
      </w:r>
    </w:p>
    <w:p w:rsidR="0070223B" w:rsidRPr="0070223B" w:rsidP="0070223B" w14:paraId="3B4BF461" w14:textId="77777777">
      <w:pPr>
        <w:pStyle w:val="GLSReference"/>
        <w:spacing w:before="360"/>
        <w:jc w:val="left"/>
        <w:rPr>
          <w:rFonts w:eastAsiaTheme="minorHAnsi"/>
          <w:bCs/>
          <w:szCs w:val="24"/>
        </w:rPr>
      </w:pPr>
      <w:r w:rsidRPr="0070223B">
        <w:rPr>
          <w:rFonts w:eastAsiaTheme="minorHAnsi"/>
          <w:bCs/>
          <w:szCs w:val="24"/>
        </w:rPr>
        <w:t xml:space="preserve">Freeman, Clarkson, P. A. (2014). Prevalence and relationship between adverse childhood experiences and child behavior among children. </w:t>
      </w:r>
      <w:r w:rsidRPr="0070223B">
        <w:rPr>
          <w:rFonts w:eastAsiaTheme="minorHAnsi"/>
          <w:bCs/>
          <w:i/>
          <w:iCs/>
          <w:szCs w:val="24"/>
        </w:rPr>
        <w:t>Infant Mental Health Journal, 35</w:t>
      </w:r>
      <w:r w:rsidRPr="0070223B">
        <w:rPr>
          <w:rFonts w:eastAsiaTheme="minorHAnsi"/>
          <w:bCs/>
          <w:szCs w:val="24"/>
        </w:rPr>
        <w:t>(6), 544–545.</w:t>
      </w:r>
    </w:p>
    <w:p w:rsidR="0070223B" w:rsidRPr="0070223B" w:rsidP="0070223B" w14:paraId="6BEAF64A" w14:textId="77777777">
      <w:pPr>
        <w:pStyle w:val="GLSReference"/>
        <w:spacing w:before="360"/>
        <w:jc w:val="left"/>
        <w:rPr>
          <w:rFonts w:eastAsiaTheme="minorHAnsi"/>
          <w:bCs/>
          <w:szCs w:val="24"/>
        </w:rPr>
      </w:pPr>
      <w:r w:rsidRPr="0070223B">
        <w:rPr>
          <w:rFonts w:eastAsiaTheme="minorHAnsi"/>
          <w:bCs/>
          <w:szCs w:val="24"/>
        </w:rPr>
        <w:t xml:space="preserve">Garraza, L. G., Walrath, C., Goldston, D. B., Reid, H., &amp; McKeon, R. (2015). Effect of the Garrett Lee Smith memorial suicide prevention program on suicide attempts among youths. </w:t>
      </w:r>
      <w:r w:rsidRPr="0070223B">
        <w:rPr>
          <w:rFonts w:eastAsiaTheme="minorHAnsi"/>
          <w:bCs/>
          <w:i/>
          <w:iCs/>
          <w:szCs w:val="24"/>
        </w:rPr>
        <w:t>JAMA Psychiatry, 72</w:t>
      </w:r>
      <w:r w:rsidRPr="0070223B">
        <w:rPr>
          <w:rFonts w:eastAsiaTheme="minorHAnsi"/>
          <w:bCs/>
          <w:szCs w:val="24"/>
        </w:rPr>
        <w:t>(11), 1143–1149.</w:t>
      </w:r>
    </w:p>
    <w:p w:rsidR="0070223B" w:rsidRPr="0070223B" w:rsidP="0070223B" w14:paraId="2FF778E8" w14:textId="77777777">
      <w:pPr>
        <w:pStyle w:val="GLSReference"/>
        <w:spacing w:before="360"/>
        <w:jc w:val="left"/>
        <w:rPr>
          <w:rFonts w:eastAsiaTheme="minorHAnsi"/>
          <w:bCs/>
          <w:szCs w:val="24"/>
        </w:rPr>
      </w:pPr>
      <w:r w:rsidRPr="0070223B">
        <w:rPr>
          <w:rFonts w:eastAsiaTheme="minorHAnsi"/>
          <w:bCs/>
          <w:szCs w:val="24"/>
        </w:rPr>
        <w:t xml:space="preserve">Godoy Garraza, L., Kuiper, N., Goldston, D., McKeon, R., &amp; Walrath, C. (2019). Long‐term impact of the Garrett Lee Smith Youth Suicide Prevention Program on youth suicide mortality, 2006–2015. </w:t>
      </w:r>
      <w:r w:rsidRPr="0070223B">
        <w:rPr>
          <w:rFonts w:eastAsiaTheme="minorHAnsi"/>
          <w:bCs/>
          <w:i/>
          <w:iCs/>
          <w:szCs w:val="24"/>
        </w:rPr>
        <w:t>Journal of Child Psychology and Psychiatry, 60</w:t>
      </w:r>
      <w:r w:rsidRPr="0070223B">
        <w:rPr>
          <w:rFonts w:eastAsiaTheme="minorHAnsi"/>
          <w:bCs/>
          <w:szCs w:val="24"/>
        </w:rPr>
        <w:t>(10), 1142–1147.</w:t>
      </w:r>
    </w:p>
    <w:p w:rsidR="0070223B" w:rsidRPr="0070223B" w:rsidP="0070223B" w14:paraId="43E63838" w14:textId="77777777">
      <w:pPr>
        <w:pStyle w:val="GLSReference"/>
        <w:spacing w:before="360"/>
        <w:jc w:val="left"/>
        <w:rPr>
          <w:rFonts w:eastAsiaTheme="minorHAnsi"/>
          <w:bCs/>
          <w:szCs w:val="24"/>
        </w:rPr>
      </w:pPr>
      <w:r w:rsidRPr="0070223B">
        <w:rPr>
          <w:rFonts w:eastAsiaTheme="minorHAnsi"/>
          <w:bCs/>
          <w:szCs w:val="24"/>
        </w:rPr>
        <w:t xml:space="preserve">Grubinger, T., Zeileis, A. &amp; Pfeiffer, K.-P. (2014). Evtree: evolutionary learning of globally optimal classification and regression trees in R. </w:t>
      </w:r>
      <w:r w:rsidRPr="0070223B">
        <w:rPr>
          <w:rFonts w:eastAsiaTheme="minorHAnsi"/>
          <w:bCs/>
          <w:i/>
          <w:szCs w:val="24"/>
        </w:rPr>
        <w:t>Journal of Statistical Software, 61</w:t>
      </w:r>
      <w:r w:rsidRPr="0070223B">
        <w:rPr>
          <w:rFonts w:eastAsiaTheme="minorHAnsi"/>
          <w:bCs/>
          <w:szCs w:val="24"/>
        </w:rPr>
        <w:t xml:space="preserve">(1), 1–29. </w:t>
      </w:r>
    </w:p>
    <w:p w:rsidR="0070223B" w:rsidRPr="0070223B" w:rsidP="0070223B" w14:paraId="7207914F" w14:textId="77777777">
      <w:pPr>
        <w:pStyle w:val="GLSReference"/>
        <w:spacing w:before="360"/>
        <w:jc w:val="left"/>
        <w:rPr>
          <w:rFonts w:eastAsiaTheme="minorHAnsi"/>
          <w:bCs/>
          <w:szCs w:val="24"/>
        </w:rPr>
      </w:pPr>
      <w:r w:rsidRPr="0070223B">
        <w:rPr>
          <w:rFonts w:eastAsiaTheme="minorHAnsi"/>
          <w:bCs/>
          <w:szCs w:val="24"/>
        </w:rPr>
        <w:t xml:space="preserve">Hillis, S. D., Blenkinsop, A., Villaveces, A., Annor, F. B., Liburd, L., Massetti, G. M., et al. (2021). COVID-19–associated orphanhood and caregiver death in the United States. </w:t>
      </w:r>
      <w:r w:rsidRPr="0070223B">
        <w:rPr>
          <w:rFonts w:eastAsiaTheme="minorHAnsi"/>
          <w:bCs/>
          <w:i/>
          <w:iCs/>
          <w:szCs w:val="24"/>
        </w:rPr>
        <w:t>Pediatrics, 148</w:t>
      </w:r>
      <w:r w:rsidRPr="0070223B">
        <w:rPr>
          <w:rFonts w:eastAsiaTheme="minorHAnsi"/>
          <w:bCs/>
          <w:szCs w:val="24"/>
        </w:rPr>
        <w:t>(6), 31–43.</w:t>
      </w:r>
    </w:p>
    <w:p w:rsidR="0070223B" w:rsidRPr="0070223B" w:rsidP="0070223B" w14:paraId="275E8327" w14:textId="77777777">
      <w:pPr>
        <w:pStyle w:val="GLSReference"/>
        <w:spacing w:before="360"/>
        <w:jc w:val="left"/>
        <w:rPr>
          <w:rFonts w:eastAsiaTheme="minorHAnsi"/>
          <w:bCs/>
          <w:szCs w:val="24"/>
        </w:rPr>
      </w:pPr>
      <w:r w:rsidRPr="0070223B">
        <w:rPr>
          <w:rFonts w:eastAsiaTheme="minorHAnsi"/>
          <w:bCs/>
          <w:szCs w:val="24"/>
        </w:rPr>
        <w:t xml:space="preserve">Hoover, S., Lever, N., Sachdev, N., Bravo, N., Schlitt, J., Acosta Price, O., Sheriff, L. &amp; Cashman, J. (2019). Advancing comprehensive school mental health: guidance from the field. Baltimore, MD: National Center for School Mental Health. University of Maryland School of Medicine. </w:t>
      </w:r>
    </w:p>
    <w:p w:rsidR="0070223B" w:rsidRPr="0070223B" w:rsidP="0070223B" w14:paraId="6FDA47F5" w14:textId="77777777">
      <w:pPr>
        <w:pStyle w:val="GLSReference"/>
        <w:spacing w:before="360"/>
        <w:jc w:val="left"/>
        <w:rPr>
          <w:rFonts w:eastAsiaTheme="minorHAnsi"/>
          <w:bCs/>
          <w:szCs w:val="24"/>
        </w:rPr>
      </w:pPr>
      <w:r w:rsidRPr="0070223B">
        <w:rPr>
          <w:rFonts w:eastAsiaTheme="minorHAnsi"/>
          <w:bCs/>
          <w:szCs w:val="24"/>
        </w:rPr>
        <w:t xml:space="preserve">Langley, A. K., Nadeem, E., Kataoka, S. H., Stein, B. D., &amp; Jaycox, L. H. (2010). Evidence-based mental health programs in schools: Barriers and facilitators of successful implementation. </w:t>
      </w:r>
      <w:r w:rsidRPr="0070223B">
        <w:rPr>
          <w:rFonts w:eastAsiaTheme="minorHAnsi"/>
          <w:bCs/>
          <w:i/>
          <w:szCs w:val="24"/>
        </w:rPr>
        <w:t>School Mental Health, 2</w:t>
      </w:r>
      <w:r w:rsidRPr="0070223B">
        <w:rPr>
          <w:rFonts w:eastAsiaTheme="minorHAnsi"/>
          <w:bCs/>
          <w:szCs w:val="24"/>
        </w:rPr>
        <w:t xml:space="preserve">(3), 105–113. DOI: </w:t>
      </w:r>
      <w:r w:rsidRPr="0070223B">
        <w:rPr>
          <w:rFonts w:eastAsiaTheme="minorHAnsi"/>
          <w:bCs/>
          <w:szCs w:val="24"/>
          <w:u w:val="single"/>
        </w:rPr>
        <w:t>10.1007/s12310-010-9038-1</w:t>
      </w:r>
    </w:p>
    <w:p w:rsidR="0070223B" w:rsidRPr="0070223B" w:rsidP="0070223B" w14:paraId="24076536" w14:textId="77777777">
      <w:pPr>
        <w:pStyle w:val="GLSReference"/>
        <w:spacing w:before="360"/>
        <w:jc w:val="left"/>
        <w:rPr>
          <w:rFonts w:eastAsiaTheme="minorHAnsi"/>
          <w:bCs/>
          <w:szCs w:val="24"/>
        </w:rPr>
      </w:pPr>
      <w:r w:rsidRPr="0070223B">
        <w:rPr>
          <w:rFonts w:eastAsiaTheme="minorHAnsi"/>
          <w:bCs/>
          <w:szCs w:val="24"/>
        </w:rPr>
        <w:t xml:space="preserve">Leeb, R. T., Bitsko, R. H., Radhakrishnan, L., Martinez, P., Njai, R., &amp; Holland, K. M. (2020). Mental health–related emergency department visits among children aged &lt; 18 years during the COVID-19 pandemic—United States, January 1–October 17, 2020. </w:t>
      </w:r>
      <w:r w:rsidRPr="0070223B">
        <w:rPr>
          <w:rFonts w:eastAsiaTheme="minorHAnsi"/>
          <w:bCs/>
          <w:i/>
          <w:iCs/>
          <w:szCs w:val="24"/>
        </w:rPr>
        <w:t>Morbidity and Mortality Weekly Report, 69</w:t>
      </w:r>
      <w:r w:rsidRPr="0070223B">
        <w:rPr>
          <w:rFonts w:eastAsiaTheme="minorHAnsi"/>
          <w:bCs/>
          <w:szCs w:val="24"/>
        </w:rPr>
        <w:t>, 1675–1680.</w:t>
      </w:r>
    </w:p>
    <w:p w:rsidR="0070223B" w:rsidRPr="0070223B" w:rsidP="0070223B" w14:paraId="4AC28EF9" w14:textId="77777777">
      <w:pPr>
        <w:pStyle w:val="GLSReference"/>
        <w:spacing w:before="360"/>
        <w:jc w:val="left"/>
        <w:rPr>
          <w:rFonts w:eastAsiaTheme="minorHAnsi"/>
          <w:bCs/>
          <w:szCs w:val="24"/>
        </w:rPr>
      </w:pPr>
      <w:r w:rsidRPr="0070223B">
        <w:rPr>
          <w:rFonts w:eastAsiaTheme="minorHAnsi"/>
          <w:bCs/>
          <w:szCs w:val="24"/>
        </w:rPr>
        <w:t xml:space="preserve">Luke, D. A, Calhoun, A., Robichaux, C. B, Elliott, M. B., &amp; Moreland-Russell, S. (2014). The Program Sustainability Assessment Tool: a new instrument for public health programs. </w:t>
      </w:r>
      <w:r w:rsidRPr="0070223B">
        <w:rPr>
          <w:rFonts w:eastAsiaTheme="minorHAnsi"/>
          <w:bCs/>
          <w:i/>
          <w:szCs w:val="24"/>
        </w:rPr>
        <w:t>Preventing Chronic Disease, 11</w:t>
      </w:r>
      <w:r w:rsidRPr="0070223B">
        <w:rPr>
          <w:rFonts w:eastAsiaTheme="minorHAnsi"/>
          <w:bCs/>
          <w:szCs w:val="24"/>
        </w:rPr>
        <w:t xml:space="preserve">, 130184. DOI: </w:t>
      </w:r>
      <w:r w:rsidRPr="0070223B">
        <w:rPr>
          <w:rFonts w:eastAsiaTheme="minorHAnsi"/>
          <w:bCs/>
          <w:szCs w:val="24"/>
          <w:u w:val="single"/>
        </w:rPr>
        <w:t>10.5888/pcd11.130184. PMID: 24456645</w:t>
      </w:r>
      <w:r w:rsidRPr="0070223B">
        <w:rPr>
          <w:rFonts w:eastAsiaTheme="minorHAnsi"/>
          <w:bCs/>
          <w:szCs w:val="24"/>
        </w:rPr>
        <w:t>; PMCID: PMC3900326</w:t>
      </w:r>
    </w:p>
    <w:p w:rsidR="0070223B" w:rsidP="0070223B" w14:paraId="541204D0" w14:textId="77777777">
      <w:pPr>
        <w:pStyle w:val="GLSReference"/>
        <w:spacing w:before="360"/>
        <w:jc w:val="left"/>
        <w:rPr>
          <w:rFonts w:eastAsiaTheme="minorHAnsi"/>
          <w:bCs/>
          <w:szCs w:val="24"/>
        </w:rPr>
      </w:pPr>
      <w:r w:rsidRPr="0070223B">
        <w:rPr>
          <w:rFonts w:eastAsiaTheme="minorHAnsi"/>
          <w:bCs/>
          <w:szCs w:val="24"/>
        </w:rPr>
        <w:t xml:space="preserve">Mattison, E., &amp; Aber, M. (2007). Closing the achievement gap: the association of racial climate with achievement and behavioral outcomes. </w:t>
      </w:r>
      <w:r w:rsidRPr="0070223B">
        <w:rPr>
          <w:rFonts w:eastAsiaTheme="minorHAnsi"/>
          <w:bCs/>
          <w:i/>
          <w:szCs w:val="24"/>
        </w:rPr>
        <w:t>American Journal of Community Psychology, 40</w:t>
      </w:r>
      <w:r w:rsidRPr="0070223B">
        <w:rPr>
          <w:rFonts w:eastAsiaTheme="minorHAnsi"/>
          <w:bCs/>
          <w:szCs w:val="24"/>
        </w:rPr>
        <w:t xml:space="preserve">, 1-12. DOI: </w:t>
      </w:r>
      <w:r w:rsidRPr="0070223B">
        <w:rPr>
          <w:rFonts w:eastAsiaTheme="minorHAnsi"/>
          <w:bCs/>
          <w:szCs w:val="24"/>
          <w:u w:val="single"/>
        </w:rPr>
        <w:t>10.1007/s10464-007-9128-x</w:t>
      </w:r>
      <w:r w:rsidRPr="0070223B">
        <w:rPr>
          <w:rFonts w:eastAsiaTheme="minorHAnsi"/>
          <w:bCs/>
          <w:szCs w:val="24"/>
        </w:rPr>
        <w:t>.</w:t>
      </w:r>
    </w:p>
    <w:p w:rsidR="0053633B" w:rsidRPr="0053633B" w:rsidP="0053633B" w14:paraId="22CCC7A1" w14:textId="77777777">
      <w:pPr>
        <w:pStyle w:val="GLSReference"/>
        <w:spacing w:before="360"/>
        <w:rPr>
          <w:rFonts w:eastAsiaTheme="minorHAnsi"/>
          <w:bCs/>
        </w:rPr>
      </w:pPr>
      <w:r w:rsidRPr="0053633B">
        <w:rPr>
          <w:rFonts w:eastAsiaTheme="minorHAnsi"/>
          <w:bCs/>
        </w:rPr>
        <w:t xml:space="preserve">National Center for School Mental Health (2023). School Health Assessment and Performance Evaluation System. University of Maryland School of Medicine. Available at: </w:t>
      </w:r>
      <w:hyperlink r:id="rId29" w:history="1">
        <w:r w:rsidRPr="0053633B">
          <w:rPr>
            <w:rStyle w:val="Hyperlink"/>
            <w:rFonts w:eastAsiaTheme="minorHAnsi"/>
            <w:bCs/>
          </w:rPr>
          <w:t>https://www.theshapesystem.com/</w:t>
        </w:r>
      </w:hyperlink>
      <w:r w:rsidRPr="0053633B">
        <w:rPr>
          <w:rFonts w:eastAsiaTheme="minorHAnsi"/>
          <w:bCs/>
        </w:rPr>
        <w:t>. Accessed May 15, 2023.</w:t>
      </w:r>
    </w:p>
    <w:p w:rsidR="0070223B" w:rsidRPr="0070223B" w:rsidP="0070223B" w14:paraId="395DF02A" w14:textId="4CAE4175">
      <w:pPr>
        <w:pStyle w:val="GLSReference"/>
        <w:spacing w:before="360"/>
        <w:jc w:val="left"/>
        <w:rPr>
          <w:rFonts w:eastAsiaTheme="minorHAnsi"/>
          <w:bCs/>
          <w:szCs w:val="24"/>
        </w:rPr>
      </w:pPr>
      <w:r w:rsidRPr="0070223B">
        <w:rPr>
          <w:rFonts w:eastAsiaTheme="minorHAnsi"/>
          <w:bCs/>
          <w:szCs w:val="24"/>
        </w:rPr>
        <w:t xml:space="preserve">National Center on Safe Supportive Learning Environments. (2021). Worksheet: implementing school mental health supports: best practices in action. </w:t>
      </w:r>
      <w:hyperlink r:id="rId30">
        <w:r w:rsidRPr="0070223B">
          <w:rPr>
            <w:rStyle w:val="Hyperlink"/>
            <w:rFonts w:eastAsiaTheme="minorHAnsi"/>
            <w:bCs/>
            <w:szCs w:val="24"/>
          </w:rPr>
          <w:t>https://safesupportivelearning.ed.gov/sites/default/files/13-ImpSchMnHlthSprtBtPrt-508_0.pdf</w:t>
        </w:r>
      </w:hyperlink>
    </w:p>
    <w:p w:rsidR="0070223B" w:rsidRPr="0070223B" w:rsidP="0070223B" w14:paraId="63D35B2A" w14:textId="77777777">
      <w:pPr>
        <w:pStyle w:val="GLSReference"/>
        <w:spacing w:before="360"/>
        <w:jc w:val="left"/>
        <w:rPr>
          <w:rFonts w:eastAsiaTheme="minorHAnsi"/>
          <w:bCs/>
          <w:szCs w:val="24"/>
        </w:rPr>
      </w:pPr>
      <w:r w:rsidRPr="0070223B">
        <w:rPr>
          <w:rFonts w:eastAsiaTheme="minorHAnsi"/>
          <w:bCs/>
          <w:szCs w:val="24"/>
        </w:rPr>
        <w:t>Office of the Surgeon General (2021). Protecting youth mental health: The U.S. Surgeon General’s advisory. U.S. Department of Health and Human Services. Office of the Surgeon General.</w:t>
      </w:r>
    </w:p>
    <w:p w:rsidR="0070223B" w:rsidRPr="0070223B" w:rsidP="0070223B" w14:paraId="3E5D4747" w14:textId="77777777">
      <w:pPr>
        <w:pStyle w:val="GLSReference"/>
        <w:spacing w:before="360"/>
        <w:jc w:val="left"/>
        <w:rPr>
          <w:rFonts w:eastAsiaTheme="minorHAnsi"/>
          <w:bCs/>
          <w:szCs w:val="24"/>
        </w:rPr>
      </w:pPr>
      <w:r w:rsidRPr="0070223B">
        <w:rPr>
          <w:rFonts w:eastAsiaTheme="minorHAnsi"/>
          <w:bCs/>
          <w:szCs w:val="24"/>
        </w:rPr>
        <w:t xml:space="preserve">Patton, M. (1990). </w:t>
      </w:r>
      <w:r w:rsidRPr="0070223B">
        <w:rPr>
          <w:rFonts w:eastAsiaTheme="minorHAnsi"/>
          <w:bCs/>
          <w:i/>
          <w:szCs w:val="24"/>
        </w:rPr>
        <w:t>Qualitative evaluation and research methods</w:t>
      </w:r>
      <w:r w:rsidRPr="0070223B">
        <w:rPr>
          <w:rFonts w:eastAsiaTheme="minorHAnsi"/>
          <w:bCs/>
          <w:szCs w:val="24"/>
        </w:rPr>
        <w:t xml:space="preserve"> (pp. 169-186). Beverly Hills, CA: Sage.</w:t>
      </w:r>
    </w:p>
    <w:p w:rsidR="0070223B" w:rsidRPr="0070223B" w:rsidP="0070223B" w14:paraId="1B8453A6" w14:textId="77777777">
      <w:pPr>
        <w:pStyle w:val="GLSReference"/>
        <w:spacing w:before="360"/>
        <w:jc w:val="left"/>
        <w:rPr>
          <w:rFonts w:eastAsiaTheme="minorHAnsi"/>
          <w:bCs/>
          <w:szCs w:val="24"/>
        </w:rPr>
      </w:pPr>
      <w:r w:rsidRPr="0070223B">
        <w:rPr>
          <w:rFonts w:eastAsiaTheme="minorHAnsi"/>
          <w:bCs/>
          <w:szCs w:val="24"/>
        </w:rPr>
        <w:t xml:space="preserve">SAMHSA. (2023). Understanding child trauma. </w:t>
      </w:r>
      <w:hyperlink r:id="rId31">
        <w:r w:rsidRPr="0070223B">
          <w:rPr>
            <w:rStyle w:val="Hyperlink"/>
            <w:rFonts w:eastAsiaTheme="minorHAnsi"/>
            <w:bCs/>
            <w:szCs w:val="24"/>
          </w:rPr>
          <w:t>https://www.samhsa.gov/child-trauma/understanding-child-trauma</w:t>
        </w:r>
      </w:hyperlink>
      <w:r w:rsidRPr="0070223B">
        <w:rPr>
          <w:rFonts w:eastAsiaTheme="minorHAnsi"/>
          <w:bCs/>
          <w:szCs w:val="24"/>
        </w:rPr>
        <w:t xml:space="preserve">. </w:t>
      </w:r>
    </w:p>
    <w:p w:rsidR="0070223B" w:rsidRPr="0070223B" w:rsidP="0070223B" w14:paraId="3E89CD83" w14:textId="77777777">
      <w:pPr>
        <w:pStyle w:val="GLSReference"/>
        <w:spacing w:before="360"/>
        <w:jc w:val="left"/>
        <w:rPr>
          <w:rFonts w:eastAsiaTheme="minorHAnsi"/>
          <w:bCs/>
          <w:szCs w:val="24"/>
        </w:rPr>
      </w:pPr>
      <w:r w:rsidRPr="0070223B">
        <w:rPr>
          <w:rFonts w:eastAsiaTheme="minorHAnsi"/>
          <w:bCs/>
          <w:szCs w:val="24"/>
        </w:rPr>
        <w:t xml:space="preserve">SAMHSA. (2021). Key substance use and mental health indicators in the United States: results from the 2020 National Survey on Drug Use and Health (HHS Publication No. PEP21-07-01-003, NSDUH Series H-56). Rockville, MD: Center for Behavioral Health Statistics and Quality, Substance Abuse and Mental Health Services Administration. </w:t>
      </w:r>
      <w:hyperlink r:id="rId32">
        <w:r w:rsidRPr="0070223B">
          <w:rPr>
            <w:rStyle w:val="Hyperlink"/>
            <w:rFonts w:eastAsiaTheme="minorHAnsi"/>
            <w:bCs/>
            <w:szCs w:val="24"/>
          </w:rPr>
          <w:t>https://www.samhsa.gov/data/</w:t>
        </w:r>
      </w:hyperlink>
    </w:p>
    <w:p w:rsidR="0070223B" w:rsidRPr="0070223B" w:rsidP="0070223B" w14:paraId="12D94493" w14:textId="177C4D2F">
      <w:pPr>
        <w:pStyle w:val="GLSReference"/>
        <w:spacing w:before="360"/>
        <w:jc w:val="left"/>
        <w:rPr>
          <w:rFonts w:eastAsiaTheme="minorHAnsi"/>
          <w:bCs/>
          <w:szCs w:val="24"/>
        </w:rPr>
      </w:pPr>
      <w:r w:rsidRPr="0070223B">
        <w:rPr>
          <w:rFonts w:eastAsiaTheme="minorHAnsi"/>
          <w:bCs/>
          <w:szCs w:val="24"/>
        </w:rPr>
        <w:t>U.S. White House Briefing Room. (2022). Fact sheet: Biden-</w:t>
      </w:r>
      <w:r w:rsidRPr="0070223B">
        <w:rPr>
          <w:rFonts w:eastAsiaTheme="minorHAnsi"/>
          <w:bCs/>
          <w:szCs w:val="24"/>
        </w:rPr>
        <w:t>⁠</w:t>
      </w:r>
      <w:r w:rsidRPr="0070223B">
        <w:rPr>
          <w:rFonts w:eastAsiaTheme="minorHAnsi"/>
          <w:bCs/>
          <w:szCs w:val="24"/>
        </w:rPr>
        <w:t>Harris administration announces two new actions to address youth mental health crisis. White House.</w:t>
      </w:r>
    </w:p>
    <w:p w:rsidR="0070223B" w:rsidRPr="0070223B" w:rsidP="0070223B" w14:paraId="34287433" w14:textId="77777777">
      <w:pPr>
        <w:pStyle w:val="GLSReference"/>
        <w:spacing w:before="360"/>
        <w:jc w:val="left"/>
        <w:rPr>
          <w:rFonts w:eastAsiaTheme="minorHAnsi"/>
          <w:bCs/>
          <w:szCs w:val="24"/>
        </w:rPr>
      </w:pPr>
      <w:r w:rsidRPr="0070223B">
        <w:rPr>
          <w:rFonts w:eastAsiaTheme="minorHAnsi"/>
          <w:bCs/>
          <w:szCs w:val="24"/>
        </w:rPr>
        <w:t>Wachino, V., Frank, R. G., Humphreys, K., &amp; O’Brien, J. (2021). The kids are not all right: The urgent need to expand effective behavioral health services for children and youth. USC-Brookings Schaeffer on Health Policy.</w:t>
      </w:r>
    </w:p>
    <w:p w:rsidR="00620DCD" w:rsidRPr="003100EF" w:rsidP="003100EF" w14:paraId="41328454" w14:textId="7E0C2459">
      <w:pPr>
        <w:pStyle w:val="GLSReference"/>
        <w:spacing w:before="360"/>
        <w:jc w:val="left"/>
        <w:rPr>
          <w:rFonts w:eastAsiaTheme="minorHAnsi"/>
          <w:bCs/>
        </w:rPr>
      </w:pPr>
      <w:r>
        <w:rPr>
          <w:rFonts w:eastAsiaTheme="minorHAnsi"/>
          <w:bCs/>
          <w:szCs w:val="24"/>
        </w:rPr>
        <w:t xml:space="preserve">Walker, J. S., and Bruns, E. J. (n.d.) Impact of Training and Technical </w:t>
      </w:r>
      <w:r w:rsidR="003100EF">
        <w:rPr>
          <w:rFonts w:eastAsiaTheme="minorHAnsi"/>
          <w:bCs/>
          <w:szCs w:val="24"/>
        </w:rPr>
        <w:t>Assistance</w:t>
      </w:r>
      <w:r>
        <w:rPr>
          <w:rFonts w:eastAsiaTheme="minorHAnsi"/>
          <w:bCs/>
          <w:szCs w:val="24"/>
        </w:rPr>
        <w:t xml:space="preserve"> (IOTTA) For Wraparound. </w:t>
      </w:r>
      <w:hyperlink r:id="rId33" w:history="1">
        <w:r w:rsidRPr="003100EF" w:rsidR="003100EF">
          <w:rPr>
            <w:rStyle w:val="Hyperlink"/>
            <w:rFonts w:eastAsiaTheme="minorHAnsi"/>
            <w:bCs/>
          </w:rPr>
          <w:t>https://nwi.pdx.edu/pdf/IOTTA-results.pdf</w:t>
        </w:r>
      </w:hyperlink>
      <w:r w:rsidRPr="003100EF" w:rsidR="003100EF">
        <w:rPr>
          <w:rFonts w:eastAsiaTheme="minorHAnsi"/>
          <w:bCs/>
        </w:rPr>
        <w:t xml:space="preserve"> </w:t>
      </w:r>
    </w:p>
    <w:p w:rsidR="0070223B" w:rsidRPr="0070223B" w:rsidP="0070223B" w14:paraId="0EFE963B" w14:textId="7615E657">
      <w:pPr>
        <w:pStyle w:val="GLSReference"/>
        <w:spacing w:before="360"/>
        <w:jc w:val="left"/>
        <w:rPr>
          <w:rFonts w:eastAsiaTheme="minorHAnsi"/>
          <w:bCs/>
          <w:szCs w:val="24"/>
        </w:rPr>
      </w:pPr>
      <w:r w:rsidRPr="0070223B">
        <w:rPr>
          <w:rFonts w:eastAsiaTheme="minorHAnsi"/>
          <w:bCs/>
          <w:szCs w:val="24"/>
        </w:rPr>
        <w:t xml:space="preserve">Walrath, C., Garraza, L. G., Reid, H., Goldston, D. B. &amp; McKeon, R. (2015). Impact of the Garrett Lee Smith youth suicide prevention program on suicide mortality. </w:t>
      </w:r>
      <w:r w:rsidRPr="0070223B">
        <w:rPr>
          <w:rFonts w:eastAsiaTheme="minorHAnsi"/>
          <w:bCs/>
          <w:i/>
          <w:iCs/>
          <w:szCs w:val="24"/>
        </w:rPr>
        <w:t>American Journal of Public Health, 105</w:t>
      </w:r>
      <w:r w:rsidRPr="0070223B">
        <w:rPr>
          <w:rFonts w:eastAsiaTheme="minorHAnsi"/>
          <w:bCs/>
          <w:szCs w:val="24"/>
        </w:rPr>
        <w:t xml:space="preserve">(5), 986-993. </w:t>
      </w:r>
    </w:p>
    <w:p w:rsidR="0070223B" w:rsidRPr="0070223B" w:rsidP="0070223B" w14:paraId="57D616C5" w14:textId="77777777">
      <w:pPr>
        <w:pStyle w:val="GLSReference"/>
        <w:spacing w:before="360"/>
        <w:jc w:val="left"/>
        <w:rPr>
          <w:rFonts w:eastAsiaTheme="minorHAnsi"/>
          <w:bCs/>
          <w:szCs w:val="24"/>
        </w:rPr>
      </w:pPr>
      <w:r w:rsidRPr="0070223B">
        <w:rPr>
          <w:rFonts w:eastAsiaTheme="minorHAnsi"/>
          <w:bCs/>
          <w:szCs w:val="24"/>
        </w:rPr>
        <w:t xml:space="preserve">Wang, Y., Holt, J. B., Zhang, X., Lu, H., Shah, S. N., Dooley, D. P., et al. (2017). Comparison of methods for estimating prevalence of chronic diseases and health behaviors for small geographic areas: Boston validation study, 2013. </w:t>
      </w:r>
      <w:r w:rsidRPr="0070223B">
        <w:rPr>
          <w:rFonts w:eastAsiaTheme="minorHAnsi"/>
          <w:bCs/>
          <w:i/>
          <w:iCs/>
          <w:szCs w:val="24"/>
        </w:rPr>
        <w:t>Preventing Chronic Disease, 14</w:t>
      </w:r>
      <w:r w:rsidRPr="0070223B">
        <w:rPr>
          <w:rFonts w:eastAsiaTheme="minorHAnsi"/>
          <w:bCs/>
          <w:szCs w:val="24"/>
        </w:rPr>
        <w:t xml:space="preserve">, E99. </w:t>
      </w:r>
      <w:hyperlink r:id="rId34">
        <w:r w:rsidRPr="0070223B">
          <w:rPr>
            <w:rStyle w:val="Hyperlink"/>
            <w:rFonts w:eastAsiaTheme="minorHAnsi"/>
            <w:bCs/>
            <w:szCs w:val="24"/>
          </w:rPr>
          <w:t>https://doi.org/10.5888/</w:t>
        </w:r>
      </w:hyperlink>
    </w:p>
    <w:p w:rsidR="0070223B" w:rsidRPr="0070223B" w:rsidP="0070223B" w14:paraId="4B346C64" w14:textId="77777777">
      <w:pPr>
        <w:pStyle w:val="GLSReference"/>
        <w:spacing w:before="360"/>
        <w:jc w:val="left"/>
        <w:rPr>
          <w:rFonts w:eastAsiaTheme="minorHAnsi"/>
          <w:bCs/>
          <w:szCs w:val="24"/>
        </w:rPr>
      </w:pPr>
      <w:r w:rsidRPr="0070223B">
        <w:rPr>
          <w:rFonts w:eastAsiaTheme="minorHAnsi"/>
          <w:bCs/>
          <w:szCs w:val="24"/>
        </w:rPr>
        <w:t xml:space="preserve">Weinstein, C., Curran, M., &amp; Tomlinson, S. (2003). Culturally responsive classroom management: Awareness into action.  </w:t>
      </w:r>
      <w:r w:rsidRPr="0070223B">
        <w:rPr>
          <w:rFonts w:eastAsiaTheme="minorHAnsi"/>
          <w:bCs/>
          <w:i/>
          <w:iCs/>
          <w:szCs w:val="24"/>
        </w:rPr>
        <w:t>Theory Into Practice</w:t>
      </w:r>
      <w:r w:rsidRPr="0070223B">
        <w:rPr>
          <w:rFonts w:eastAsiaTheme="minorHAnsi"/>
          <w:bCs/>
          <w:szCs w:val="24"/>
        </w:rPr>
        <w:t xml:space="preserve">, 42, 269-276. </w:t>
      </w:r>
    </w:p>
    <w:p w:rsidR="0070223B" w:rsidRPr="0070223B" w:rsidP="0070223B" w14:paraId="352F1697" w14:textId="77777777">
      <w:pPr>
        <w:pStyle w:val="GLSReference"/>
        <w:spacing w:before="360"/>
        <w:jc w:val="left"/>
        <w:rPr>
          <w:rFonts w:eastAsiaTheme="minorHAnsi"/>
          <w:bCs/>
          <w:szCs w:val="24"/>
        </w:rPr>
      </w:pPr>
      <w:r w:rsidRPr="0070223B">
        <w:rPr>
          <w:rFonts w:eastAsiaTheme="minorHAnsi"/>
          <w:bCs/>
          <w:szCs w:val="24"/>
        </w:rPr>
        <w:t xml:space="preserve">Williamson, D. F., Thompson, T. J., Anda, R. F., Dietz, W. H., &amp; Felitti, V. (2002). Body weight and obesity in adults and self-reported abuse in childhood. </w:t>
      </w:r>
      <w:r w:rsidRPr="0070223B">
        <w:rPr>
          <w:rFonts w:eastAsiaTheme="minorHAnsi"/>
          <w:bCs/>
          <w:i/>
          <w:iCs/>
          <w:szCs w:val="24"/>
        </w:rPr>
        <w:t>International Journal of Obesity, 26</w:t>
      </w:r>
      <w:r w:rsidRPr="0070223B">
        <w:rPr>
          <w:rFonts w:eastAsiaTheme="minorHAnsi"/>
          <w:bCs/>
          <w:szCs w:val="24"/>
        </w:rPr>
        <w:t xml:space="preserve">(8), 1075–1082. </w:t>
      </w:r>
      <w:r w:rsidRPr="0070223B">
        <w:rPr>
          <w:rFonts w:eastAsiaTheme="minorHAnsi"/>
          <w:bCs/>
          <w:szCs w:val="24"/>
          <w:u w:val="single"/>
        </w:rPr>
        <w:t>10.1038/sj.ijo.0802038</w:t>
      </w:r>
    </w:p>
    <w:p w:rsidR="0070223B" w:rsidRPr="0070223B" w:rsidP="0070223B" w14:paraId="6A8265A9" w14:textId="77777777">
      <w:pPr>
        <w:pStyle w:val="GLSReference"/>
        <w:spacing w:before="360"/>
        <w:jc w:val="left"/>
        <w:rPr>
          <w:rFonts w:eastAsiaTheme="minorHAnsi"/>
          <w:bCs/>
          <w:szCs w:val="24"/>
        </w:rPr>
      </w:pPr>
      <w:r w:rsidRPr="0070223B">
        <w:rPr>
          <w:rFonts w:eastAsiaTheme="minorHAnsi"/>
          <w:bCs/>
          <w:szCs w:val="24"/>
        </w:rPr>
        <w:t xml:space="preserve">Yard, E., Radhakrishnan, L., Ballesteros, M. F., Sheppard, M., Gates, A., Stein, Z., et al. (2021). Emergency department visits for suspected suicide attempts among persons aged 12–25 years before and during the COVID-19 pandemic—United States, January 2019–May 2021. </w:t>
      </w:r>
      <w:r w:rsidRPr="0070223B">
        <w:rPr>
          <w:rFonts w:eastAsiaTheme="minorHAnsi"/>
          <w:bCs/>
          <w:i/>
          <w:iCs/>
          <w:szCs w:val="24"/>
        </w:rPr>
        <w:t>Morbidity and Mortality Weekly Report, 70</w:t>
      </w:r>
      <w:r w:rsidRPr="0070223B">
        <w:rPr>
          <w:rFonts w:eastAsiaTheme="minorHAnsi"/>
          <w:bCs/>
          <w:szCs w:val="24"/>
        </w:rPr>
        <w:t>, 888–894.</w:t>
      </w:r>
    </w:p>
    <w:p w:rsidR="0070223B" w:rsidRPr="0070223B" w:rsidP="0070223B" w14:paraId="2782F730" w14:textId="77777777">
      <w:pPr>
        <w:pStyle w:val="GLSReference"/>
        <w:spacing w:before="360"/>
        <w:jc w:val="left"/>
        <w:rPr>
          <w:rFonts w:eastAsiaTheme="minorHAnsi"/>
          <w:bCs/>
          <w:szCs w:val="24"/>
        </w:rPr>
      </w:pPr>
      <w:r w:rsidRPr="0070223B">
        <w:rPr>
          <w:rFonts w:eastAsiaTheme="minorHAnsi"/>
          <w:bCs/>
          <w:szCs w:val="24"/>
        </w:rPr>
        <w:t>Yin, R. K. (2003). </w:t>
      </w:r>
      <w:r w:rsidRPr="0070223B">
        <w:rPr>
          <w:rFonts w:eastAsiaTheme="minorHAnsi"/>
          <w:bCs/>
          <w:i/>
          <w:iCs/>
          <w:szCs w:val="24"/>
        </w:rPr>
        <w:t>Case study research: design and methods.</w:t>
      </w:r>
      <w:r w:rsidRPr="0070223B">
        <w:rPr>
          <w:rFonts w:eastAsiaTheme="minorHAnsi"/>
          <w:bCs/>
          <w:szCs w:val="24"/>
        </w:rPr>
        <w:t> 3rd ed. Thousand Oaks, Calif., Sage Publications.</w:t>
      </w:r>
    </w:p>
    <w:p w:rsidR="0070223B" w:rsidRPr="0070223B" w:rsidP="0070223B" w14:paraId="6651AA67" w14:textId="77777777">
      <w:pPr>
        <w:pStyle w:val="GLSReference"/>
        <w:spacing w:before="360"/>
        <w:jc w:val="left"/>
        <w:rPr>
          <w:rFonts w:eastAsiaTheme="minorHAnsi"/>
          <w:bCs/>
          <w:szCs w:val="24"/>
        </w:rPr>
      </w:pPr>
      <w:r w:rsidRPr="0070223B">
        <w:rPr>
          <w:rFonts w:eastAsiaTheme="minorHAnsi"/>
          <w:bCs/>
          <w:szCs w:val="24"/>
        </w:rPr>
        <w:t xml:space="preserve">Zhang, X., Holt, J. B., Yun, S., Lu, H., Greenlund, K. J., &amp; Croft, J., B. (2015). Validation of multilevel regression and poststratification methodology for small area estimation of health indicators from the Behavioral Risk Factor Surveillance System. </w:t>
      </w:r>
      <w:r w:rsidRPr="0070223B">
        <w:rPr>
          <w:rFonts w:eastAsiaTheme="minorHAnsi"/>
          <w:bCs/>
          <w:i/>
          <w:iCs/>
          <w:szCs w:val="24"/>
        </w:rPr>
        <w:t>American Journal of Epidemiology, 182</w:t>
      </w:r>
      <w:r w:rsidRPr="0070223B">
        <w:rPr>
          <w:rFonts w:eastAsiaTheme="minorHAnsi"/>
          <w:bCs/>
          <w:szCs w:val="24"/>
        </w:rPr>
        <w:t xml:space="preserve">, 127-137. </w:t>
      </w:r>
      <w:hyperlink r:id="rId35">
        <w:r w:rsidRPr="0070223B">
          <w:rPr>
            <w:rStyle w:val="Hyperlink"/>
            <w:rFonts w:eastAsiaTheme="minorHAnsi"/>
            <w:bCs/>
            <w:szCs w:val="24"/>
          </w:rPr>
          <w:t>https://doi.org/10.1093/aje/kwv002</w:t>
        </w:r>
      </w:hyperlink>
    </w:p>
    <w:p w:rsidR="0070223B" w:rsidRPr="0070223B" w:rsidP="0070223B" w14:paraId="66031392" w14:textId="77777777">
      <w:pPr>
        <w:pStyle w:val="GLSReference"/>
        <w:spacing w:before="360"/>
        <w:jc w:val="left"/>
        <w:rPr>
          <w:rFonts w:eastAsiaTheme="minorHAnsi"/>
          <w:bCs/>
          <w:szCs w:val="24"/>
        </w:rPr>
      </w:pPr>
      <w:r w:rsidRPr="0070223B">
        <w:rPr>
          <w:rFonts w:eastAsiaTheme="minorHAnsi"/>
          <w:bCs/>
          <w:szCs w:val="24"/>
        </w:rPr>
        <w:t xml:space="preserve">Zhang, X., Pérez-Stable, E. J., Bourne, P. E., Peprah, E., Duru, O. K., Breen, N., ... &amp; Denny, J. (2017). Big data science: opportunities and challenges to address minority health and health disparities in the 21st century. </w:t>
      </w:r>
      <w:r w:rsidRPr="0070223B">
        <w:rPr>
          <w:rFonts w:eastAsiaTheme="minorHAnsi"/>
          <w:bCs/>
          <w:i/>
          <w:iCs/>
          <w:szCs w:val="24"/>
        </w:rPr>
        <w:t>Ethnicity &amp; Disease, 27</w:t>
      </w:r>
      <w:r w:rsidRPr="0070223B">
        <w:rPr>
          <w:rFonts w:eastAsiaTheme="minorHAnsi"/>
          <w:bCs/>
          <w:szCs w:val="24"/>
        </w:rPr>
        <w:t>(2), 95.</w:t>
      </w:r>
    </w:p>
    <w:p w:rsidR="0070223B" w:rsidRPr="00585AB6" w:rsidP="002A2D5E" w14:paraId="4AA304E0" w14:textId="2A51DBB6">
      <w:pPr>
        <w:pStyle w:val="GLSReference"/>
        <w:spacing w:before="360"/>
        <w:jc w:val="left"/>
        <w:rPr>
          <w:rFonts w:ascii="Tw Cen MT" w:hAnsi="Tw Cen MT" w:eastAsiaTheme="minorHAnsi"/>
          <w:b/>
          <w:sz w:val="28"/>
          <w:szCs w:val="28"/>
        </w:rPr>
      </w:pPr>
      <w:r w:rsidRPr="0070223B">
        <w:rPr>
          <w:rFonts w:ascii="Tw Cen MT" w:hAnsi="Tw Cen MT" w:eastAsiaTheme="minorHAnsi"/>
          <w:b/>
          <w:sz w:val="28"/>
          <w:szCs w:val="28"/>
        </w:rPr>
        <w:br w:type="page"/>
      </w:r>
    </w:p>
    <w:p w:rsidR="00887134" w:rsidP="00511870" w14:paraId="75D7BECC" w14:textId="4CF8E26F">
      <w:pPr>
        <w:pStyle w:val="GLSReference"/>
        <w:pageBreakBefore/>
        <w:spacing w:before="0" w:after="120"/>
        <w:rPr>
          <w:rFonts w:ascii="Tw Cen MT" w:hAnsi="Tw Cen MT" w:eastAsiaTheme="minorHAnsi"/>
          <w:b/>
          <w:sz w:val="28"/>
          <w:szCs w:val="28"/>
        </w:rPr>
      </w:pPr>
      <w:r>
        <w:rPr>
          <w:rFonts w:ascii="Tw Cen MT" w:hAnsi="Tw Cen MT" w:eastAsiaTheme="minorHAnsi"/>
          <w:b/>
          <w:sz w:val="28"/>
          <w:szCs w:val="28"/>
        </w:rPr>
        <w:t>Attachments</w:t>
      </w:r>
    </w:p>
    <w:p w:rsidR="000870C6" w:rsidRPr="000870C6" w:rsidP="005B6294" w14:paraId="148D31E3" w14:textId="09E4C0F9">
      <w:pPr>
        <w:numPr>
          <w:ilvl w:val="0"/>
          <w:numId w:val="19"/>
        </w:numPr>
        <w:spacing w:after="60" w:line="360" w:lineRule="auto"/>
        <w:jc w:val="left"/>
      </w:pPr>
      <w:r>
        <w:t>Implementation Survey (IS)</w:t>
      </w:r>
    </w:p>
    <w:p w:rsidR="000870C6" w:rsidRPr="000870C6" w:rsidP="005B6294" w14:paraId="07BF968D" w14:textId="6299B757">
      <w:pPr>
        <w:numPr>
          <w:ilvl w:val="0"/>
          <w:numId w:val="19"/>
        </w:numPr>
        <w:spacing w:after="60" w:line="360" w:lineRule="auto"/>
        <w:jc w:val="left"/>
      </w:pPr>
      <w:r>
        <w:t>Implementation Key Informant Interview Guide (IKII)</w:t>
      </w:r>
    </w:p>
    <w:p w:rsidR="000870C6" w:rsidRPr="000870C6" w:rsidP="005B6294" w14:paraId="0C01E03A" w14:textId="7841B71A">
      <w:pPr>
        <w:pStyle w:val="ListParagraph"/>
        <w:numPr>
          <w:ilvl w:val="0"/>
          <w:numId w:val="19"/>
        </w:numPr>
        <w:spacing w:after="60" w:line="360" w:lineRule="auto"/>
        <w:jc w:val="left"/>
      </w:pPr>
      <w:r>
        <w:t>Youth and Family Focus Group Moderator Guide (YFFG)</w:t>
      </w:r>
    </w:p>
    <w:p w:rsidR="00741940" w:rsidRPr="000870C6" w:rsidP="005B6294" w14:paraId="23D3A6A8" w14:textId="69480654">
      <w:pPr>
        <w:numPr>
          <w:ilvl w:val="0"/>
          <w:numId w:val="27"/>
        </w:numPr>
        <w:spacing w:after="60" w:line="360" w:lineRule="auto"/>
        <w:jc w:val="left"/>
      </w:pPr>
      <w:bookmarkStart w:id="3" w:name="_Hlk134907097"/>
      <w:r>
        <w:t>Youth (-Y)</w:t>
      </w:r>
    </w:p>
    <w:p w:rsidR="00741940" w:rsidP="005B6294" w14:paraId="09AD3F85" w14:textId="79987832">
      <w:pPr>
        <w:numPr>
          <w:ilvl w:val="0"/>
          <w:numId w:val="27"/>
        </w:numPr>
        <w:spacing w:after="60" w:line="360" w:lineRule="auto"/>
        <w:jc w:val="left"/>
      </w:pPr>
      <w:r>
        <w:t>Family (-F)</w:t>
      </w:r>
    </w:p>
    <w:bookmarkEnd w:id="3"/>
    <w:p w:rsidR="00741940" w:rsidP="005B6294" w14:paraId="196E696B" w14:textId="51CCAABB">
      <w:pPr>
        <w:pStyle w:val="ListParagraph"/>
        <w:numPr>
          <w:ilvl w:val="0"/>
          <w:numId w:val="19"/>
        </w:numPr>
        <w:spacing w:after="60" w:line="360" w:lineRule="auto"/>
        <w:jc w:val="left"/>
      </w:pPr>
      <w:r>
        <w:t>Collaboration and Partnership Survey (CPS)</w:t>
      </w:r>
    </w:p>
    <w:p w:rsidR="00A845C1" w:rsidP="005B6294" w14:paraId="36363F65" w14:textId="652598CB">
      <w:pPr>
        <w:pStyle w:val="ListParagraph"/>
        <w:numPr>
          <w:ilvl w:val="0"/>
          <w:numId w:val="19"/>
        </w:numPr>
        <w:spacing w:after="60" w:line="360" w:lineRule="auto"/>
        <w:jc w:val="left"/>
      </w:pPr>
      <w:r>
        <w:t>Training Summary Form (TSF)</w:t>
      </w:r>
    </w:p>
    <w:p w:rsidR="00A845C1" w:rsidP="005B6294" w14:paraId="4522D1D2" w14:textId="41F2A9B0">
      <w:pPr>
        <w:pStyle w:val="ListParagraph"/>
        <w:numPr>
          <w:ilvl w:val="0"/>
          <w:numId w:val="19"/>
        </w:numPr>
        <w:spacing w:after="60" w:line="360" w:lineRule="auto"/>
        <w:jc w:val="left"/>
      </w:pPr>
      <w:r>
        <w:t>Participant Feedback Form (PFF)</w:t>
      </w:r>
    </w:p>
    <w:p w:rsidR="00A845C1" w:rsidP="005B6294" w14:paraId="68444F63" w14:textId="7323F3EE">
      <w:pPr>
        <w:pStyle w:val="ListParagraph"/>
        <w:numPr>
          <w:ilvl w:val="0"/>
          <w:numId w:val="19"/>
        </w:numPr>
        <w:spacing w:after="60" w:line="360" w:lineRule="auto"/>
        <w:jc w:val="left"/>
      </w:pPr>
      <w:r>
        <w:t>AWARE Pre-Post Training Survey (APPTS)</w:t>
      </w:r>
    </w:p>
    <w:p w:rsidR="00A845C1" w:rsidP="005B6294" w14:paraId="6C24D37C" w14:textId="6B4B2537">
      <w:pPr>
        <w:pStyle w:val="ListParagraph"/>
        <w:numPr>
          <w:ilvl w:val="0"/>
          <w:numId w:val="19"/>
        </w:numPr>
        <w:spacing w:after="60" w:line="360" w:lineRule="auto"/>
        <w:jc w:val="left"/>
      </w:pPr>
      <w:r>
        <w:t>TISS Pre-Post Training Survey (TPPTS)</w:t>
      </w:r>
    </w:p>
    <w:p w:rsidR="00E128E0" w:rsidP="005B6294" w14:paraId="53C30BEE" w14:textId="7756405E">
      <w:pPr>
        <w:pStyle w:val="ListParagraph"/>
        <w:numPr>
          <w:ilvl w:val="0"/>
          <w:numId w:val="19"/>
        </w:numPr>
        <w:spacing w:after="60" w:line="360" w:lineRule="auto"/>
        <w:jc w:val="left"/>
      </w:pPr>
      <w:r>
        <w:t>Workforce Follow-up Survey (WFS)</w:t>
      </w:r>
    </w:p>
    <w:p w:rsidR="009A6C07" w:rsidRPr="000870C6" w:rsidP="005B6294" w14:paraId="7FF52477" w14:textId="690525C2">
      <w:pPr>
        <w:pStyle w:val="ListParagraph"/>
        <w:numPr>
          <w:ilvl w:val="0"/>
          <w:numId w:val="19"/>
        </w:numPr>
        <w:spacing w:after="60" w:line="360" w:lineRule="auto"/>
        <w:jc w:val="left"/>
      </w:pPr>
      <w:r>
        <w:t>Parent Climate an</w:t>
      </w:r>
      <w:r w:rsidR="00C42BC0">
        <w:t>d Safety Survey (PCSS)</w:t>
      </w:r>
    </w:p>
    <w:p w:rsidR="007D4C76" w:rsidP="005B6294" w14:paraId="30D39651" w14:textId="67C591C5">
      <w:pPr>
        <w:numPr>
          <w:ilvl w:val="0"/>
          <w:numId w:val="19"/>
        </w:numPr>
        <w:spacing w:after="60" w:line="360" w:lineRule="auto"/>
        <w:jc w:val="left"/>
      </w:pPr>
      <w:r>
        <w:t>Student Climate and Safety Survey (STCSS)</w:t>
      </w:r>
    </w:p>
    <w:p w:rsidR="00C42BC0" w:rsidP="005B6294" w14:paraId="4C029E35" w14:textId="0CDCDA51">
      <w:pPr>
        <w:numPr>
          <w:ilvl w:val="0"/>
          <w:numId w:val="19"/>
        </w:numPr>
        <w:spacing w:after="60" w:line="360" w:lineRule="auto"/>
        <w:jc w:val="left"/>
      </w:pPr>
      <w:r>
        <w:t>School Staff Climate and Safety Survey (SSCSS)</w:t>
      </w:r>
    </w:p>
    <w:p w:rsidR="001E7789" w:rsidP="005B6294" w14:paraId="6DC8894E" w14:textId="6DB680ED">
      <w:pPr>
        <w:numPr>
          <w:ilvl w:val="0"/>
          <w:numId w:val="19"/>
        </w:numPr>
        <w:spacing w:after="60" w:line="360" w:lineRule="auto"/>
        <w:jc w:val="left"/>
      </w:pPr>
      <w:r>
        <w:t>Student Identification and Referral Form (SIRF)</w:t>
      </w:r>
    </w:p>
    <w:p w:rsidR="001E7789" w:rsidP="005B6294" w14:paraId="0B410797" w14:textId="5B5F39DF">
      <w:pPr>
        <w:numPr>
          <w:ilvl w:val="0"/>
          <w:numId w:val="19"/>
        </w:numPr>
        <w:spacing w:after="60" w:line="360" w:lineRule="auto"/>
        <w:jc w:val="left"/>
      </w:pPr>
      <w:r w:rsidRPr="00EF0B6B">
        <w:t>AWARE-TISS Online Data Collection System Data Use Agreement (ATODS DUA)</w:t>
      </w:r>
      <w:r w:rsidRPr="00EF0B6B">
        <w:t xml:space="preserve"> </w:t>
      </w:r>
    </w:p>
    <w:p w:rsidR="008B3301" w:rsidP="005B6294" w14:paraId="77A50D6D" w14:textId="1F12D0B6">
      <w:pPr>
        <w:numPr>
          <w:ilvl w:val="0"/>
          <w:numId w:val="19"/>
        </w:numPr>
        <w:spacing w:after="60" w:line="360" w:lineRule="auto"/>
        <w:jc w:val="left"/>
      </w:pPr>
      <w:r>
        <w:t xml:space="preserve">Project </w:t>
      </w:r>
      <w:r>
        <w:t xml:space="preserve">AWARE-TISS Cross-Site Evaluation Questions </w:t>
      </w:r>
    </w:p>
    <w:p w:rsidR="002D2685" w:rsidRPr="00EF0B6B" w:rsidP="005B6294" w14:paraId="60EF0209" w14:textId="65DB04C5">
      <w:pPr>
        <w:numPr>
          <w:ilvl w:val="0"/>
          <w:numId w:val="19"/>
        </w:numPr>
        <w:spacing w:after="60" w:line="360" w:lineRule="auto"/>
        <w:jc w:val="left"/>
      </w:pPr>
      <w:r>
        <w:t>Detailed Description of Project AWARE-TISS Cross-Site Evaluation Components</w:t>
      </w:r>
    </w:p>
    <w:sectPr w:rsidSect="007F7FEF">
      <w:headerReference w:type="default" r:id="rId36"/>
      <w:footerReference w:type="default" r:id="rI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M Sans">
    <w:altName w:val="DM Sans"/>
    <w:charset w:val="00"/>
    <w:family w:val="auto"/>
    <w:pitch w:val="variable"/>
    <w:sig w:usb0="8000002F" w:usb1="5000205B" w:usb2="00000000" w:usb3="00000000" w:csb0="00000093"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w Cen MT" w:hAnsi="Tw Cen MT"/>
        <w:sz w:val="22"/>
        <w:szCs w:val="22"/>
      </w:rPr>
      <w:id w:val="684246675"/>
      <w:docPartObj>
        <w:docPartGallery w:val="Page Numbers (Bottom of Page)"/>
        <w:docPartUnique/>
      </w:docPartObj>
    </w:sdtPr>
    <w:sdtEndPr>
      <w:rPr>
        <w:noProof/>
      </w:rPr>
    </w:sdtEndPr>
    <w:sdtContent>
      <w:p w:rsidR="005F2590" w:rsidRPr="0091218E" w14:paraId="6DCFEE4B" w14:textId="4FF18156">
        <w:pPr>
          <w:pStyle w:val="Footer"/>
          <w:rPr>
            <w:rFonts w:ascii="Tw Cen MT" w:hAnsi="Tw Cen MT"/>
            <w:sz w:val="22"/>
            <w:szCs w:val="22"/>
          </w:rPr>
        </w:pPr>
        <w:r>
          <w:rPr>
            <w:rFonts w:ascii="Tw Cen MT" w:hAnsi="Tw Cen MT"/>
            <w:sz w:val="22"/>
            <w:szCs w:val="22"/>
          </w:rPr>
          <w:tab/>
        </w:r>
        <w:r w:rsidRPr="0091218E">
          <w:rPr>
            <w:rFonts w:ascii="Tw Cen MT" w:hAnsi="Tw Cen MT"/>
            <w:sz w:val="22"/>
            <w:szCs w:val="22"/>
          </w:rPr>
          <w:tab/>
        </w:r>
        <w:r w:rsidRPr="0091218E">
          <w:rPr>
            <w:rFonts w:ascii="Tw Cen MT" w:hAnsi="Tw Cen MT"/>
            <w:sz w:val="22"/>
            <w:szCs w:val="22"/>
          </w:rPr>
          <w:fldChar w:fldCharType="begin"/>
        </w:r>
        <w:r w:rsidRPr="0091218E">
          <w:rPr>
            <w:rFonts w:ascii="Tw Cen MT" w:hAnsi="Tw Cen MT"/>
            <w:sz w:val="22"/>
            <w:szCs w:val="22"/>
          </w:rPr>
          <w:instrText xml:space="preserve"> PAGE   \* MERGEFORMAT </w:instrText>
        </w:r>
        <w:r w:rsidRPr="0091218E">
          <w:rPr>
            <w:rFonts w:ascii="Tw Cen MT" w:hAnsi="Tw Cen MT"/>
            <w:sz w:val="22"/>
            <w:szCs w:val="22"/>
          </w:rPr>
          <w:fldChar w:fldCharType="separate"/>
        </w:r>
        <w:r w:rsidR="00FC3DCA">
          <w:rPr>
            <w:rFonts w:ascii="Tw Cen MT" w:hAnsi="Tw Cen MT"/>
            <w:noProof/>
            <w:sz w:val="22"/>
            <w:szCs w:val="22"/>
          </w:rPr>
          <w:t>13</w:t>
        </w:r>
        <w:r w:rsidRPr="0091218E">
          <w:rPr>
            <w:rFonts w:ascii="Tw Cen MT" w:hAnsi="Tw Cen MT"/>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48D7" w:rsidP="00AC2EE2" w14:paraId="173E6D6A" w14:textId="77777777">
      <w:r>
        <w:separator/>
      </w:r>
    </w:p>
  </w:footnote>
  <w:footnote w:type="continuationSeparator" w:id="1">
    <w:p w:rsidR="004748D7" w:rsidP="00AC2EE2" w14:paraId="5D8B1B92" w14:textId="77777777">
      <w:r>
        <w:continuationSeparator/>
      </w:r>
    </w:p>
  </w:footnote>
  <w:footnote w:type="continuationNotice" w:id="2">
    <w:p w:rsidR="004748D7" w14:paraId="6880EF0E" w14:textId="77777777"/>
  </w:footnote>
  <w:footnote w:id="3">
    <w:p w:rsidR="00FF5F7D" w:rsidP="00FF5F7D" w14:paraId="55E42E92" w14:textId="77777777">
      <w:pPr>
        <w:pStyle w:val="FootnoteText"/>
      </w:pPr>
      <w:r>
        <w:rPr>
          <w:rStyle w:val="FootnoteReference"/>
        </w:rPr>
        <w:footnoteRef/>
      </w:r>
      <w:r>
        <w:t xml:space="preserve"> For example, an administrative person may register the trainings in the system in advance and the APPTS or TPPTS link can be emailed to the trainer. </w:t>
      </w:r>
    </w:p>
  </w:footnote>
  <w:footnote w:id="4">
    <w:p w:rsidR="00FF5F7D" w:rsidP="00FF5F7D" w14:paraId="42A9E57D" w14:textId="77777777">
      <w:pPr>
        <w:pStyle w:val="FootnoteText"/>
      </w:pPr>
      <w:r>
        <w:rPr>
          <w:rStyle w:val="FootnoteReference"/>
        </w:rPr>
        <w:footnoteRef/>
      </w:r>
      <w:r>
        <w:t xml:space="preserve"> For example, an administrative person may register the trainings in the system in advance and the PFF link can be emailed to the trainer. </w:t>
      </w:r>
    </w:p>
  </w:footnote>
  <w:footnote w:id="5">
    <w:p w:rsidR="00672848" w:rsidP="00672848" w14:paraId="2DEE16A7" w14:textId="00BD6B3F">
      <w:pPr>
        <w:pStyle w:val="FootnoteText"/>
      </w:pPr>
      <w:r w:rsidRPr="006F3C14">
        <w:rPr>
          <w:rStyle w:val="FootnoteReference"/>
        </w:rPr>
        <w:footnoteRef/>
      </w:r>
      <w:r w:rsidRPr="006F3C14">
        <w:t xml:space="preserve"> For example, an administrative person may register the </w:t>
      </w:r>
      <w:r w:rsidRPr="006F3C14" w:rsidR="00710572">
        <w:t xml:space="preserve">respondents who provided consent to be contacted </w:t>
      </w:r>
      <w:r w:rsidRPr="006F3C14">
        <w:t xml:space="preserve">in the system in advance and the </w:t>
      </w:r>
      <w:r w:rsidRPr="006F3C14" w:rsidR="00710572">
        <w:t>WFS link</w:t>
      </w:r>
      <w:r w:rsidRPr="006F3C14">
        <w:t xml:space="preserve"> can be emailed to the trainer</w:t>
      </w:r>
      <w:r w:rsidR="00277674">
        <w:t xml:space="preserve"> to share with the respondent</w:t>
      </w:r>
      <w:r w:rsidR="005B12DA">
        <w:t xml:space="preserve"> or </w:t>
      </w:r>
      <w:r w:rsidR="00277674">
        <w:t>emailed to the respondent directly</w:t>
      </w:r>
      <w:r w:rsidRPr="006F3C14">
        <w:t>.</w:t>
      </w:r>
      <w:r>
        <w:t xml:space="preserve"> </w:t>
      </w:r>
    </w:p>
  </w:footnote>
  <w:footnote w:id="6">
    <w:p w:rsidR="00F6790B" w:rsidP="00F6790B" w14:paraId="7CFEA597" w14:textId="60548FDE">
      <w:pPr>
        <w:pStyle w:val="FootnoteText"/>
      </w:pPr>
      <w:r w:rsidRPr="006F3C14">
        <w:rPr>
          <w:rStyle w:val="FootnoteReference"/>
        </w:rPr>
        <w:footnoteRef/>
      </w:r>
      <w:r w:rsidRPr="006F3C14">
        <w:t xml:space="preserve"> For example, an administrative person may register the respondents who </w:t>
      </w:r>
      <w:r w:rsidR="0087327E">
        <w:t>agreed to participate</w:t>
      </w:r>
      <w:r w:rsidRPr="006F3C14">
        <w:t xml:space="preserve"> in the system in advance and the </w:t>
      </w:r>
      <w:r w:rsidR="0087327E">
        <w:t>PCSS</w:t>
      </w:r>
      <w:r w:rsidRPr="006F3C14">
        <w:t xml:space="preserve"> link can be </w:t>
      </w:r>
      <w:r w:rsidR="004F7FE2">
        <w:t xml:space="preserve">emailed to the respondent directly or a grantee program staff </w:t>
      </w:r>
      <w:r w:rsidR="00FD3B37">
        <w:t>to share with the respondent</w:t>
      </w:r>
      <w:r w:rsidRPr="006F3C14">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590" w14:paraId="611B98DE" w14:textId="617B5A93">
    <w:pPr>
      <w:pStyle w:val="Header"/>
      <w:jc w:val="right"/>
    </w:pPr>
  </w:p>
  <w:p w:rsidR="005F2590" w14:paraId="4EE2B9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0D49C40"/>
    <w:lvl w:ilvl="0">
      <w:start w:val="1"/>
      <w:numFmt w:val="bullet"/>
      <w:pStyle w:val="ListBullet"/>
      <w:lvlText w:val=""/>
      <w:lvlJc w:val="left"/>
      <w:pPr>
        <w:ind w:left="360" w:hanging="360"/>
      </w:pPr>
      <w:rPr>
        <w:rFonts w:ascii="Wingdings" w:hAnsi="Wingdings" w:hint="default"/>
        <w:b w:val="0"/>
        <w:i w:val="0"/>
        <w:color w:val="0067AC"/>
        <w:sz w:val="20"/>
        <w:szCs w:val="22"/>
      </w:rPr>
    </w:lvl>
  </w:abstractNum>
  <w:abstractNum w:abstractNumId="1">
    <w:nsid w:val="015660A1"/>
    <w:multiLevelType w:val="hybridMultilevel"/>
    <w:tmpl w:val="801E5C22"/>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27A27F7"/>
    <w:multiLevelType w:val="hybridMultilevel"/>
    <w:tmpl w:val="B03ECC2A"/>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0664318"/>
    <w:multiLevelType w:val="hybridMultilevel"/>
    <w:tmpl w:val="5CFEE36E"/>
    <w:lvl w:ilvl="0">
      <w:start w:val="1"/>
      <w:numFmt w:val="decimal"/>
      <w:lvlText w:val="%1."/>
      <w:lvlJc w:val="left"/>
      <w:pPr>
        <w:ind w:left="360" w:hanging="360"/>
      </w:pPr>
      <w:rPr>
        <w:rFonts w:ascii="Tw Cen MT" w:hAnsi="Tw Cen MT" w:hint="default"/>
        <w:b/>
        <w:sz w:val="28"/>
        <w:szCs w:val="28"/>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3219BE"/>
    <w:multiLevelType w:val="hybridMultilevel"/>
    <w:tmpl w:val="91A4D8F2"/>
    <w:lvl w:ilvl="0">
      <w:start w:val="1"/>
      <w:numFmt w:val="bullet"/>
      <w:pStyle w:val="SuicideBullet1"/>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3600"/>
        </w:tabs>
        <w:ind w:left="3600" w:hanging="360"/>
      </w:pPr>
      <w:rPr>
        <w:rFonts w:ascii="Courier New" w:hAnsi="Courier New" w:hint="default"/>
      </w:rPr>
    </w:lvl>
    <w:lvl w:ilvl="2">
      <w:start w:val="0"/>
      <w:numFmt w:val="bullet"/>
      <w:lvlText w:val="-"/>
      <w:lvlJc w:val="left"/>
      <w:pPr>
        <w:tabs>
          <w:tab w:val="num" w:pos="4320"/>
        </w:tabs>
        <w:ind w:left="4320" w:hanging="360"/>
      </w:pPr>
      <w:rPr>
        <w:rFonts w:ascii="Times New Roman" w:eastAsia="Times New Roman" w:hAnsi="Times New Roman" w:cs="Times New Roman"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5">
    <w:nsid w:val="1DE9301A"/>
    <w:multiLevelType w:val="hybridMultilevel"/>
    <w:tmpl w:val="21E0031A"/>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FED76E5"/>
    <w:multiLevelType w:val="hybridMultilevel"/>
    <w:tmpl w:val="4E1CF350"/>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40057B5"/>
    <w:multiLevelType w:val="hybridMultilevel"/>
    <w:tmpl w:val="67861BF4"/>
    <w:lvl w:ilvl="0">
      <w:start w:val="1"/>
      <w:numFmt w:val="decimal"/>
      <w:lvlText w:val="%1."/>
      <w:lvlJc w:val="left"/>
      <w:pPr>
        <w:ind w:left="129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116385"/>
    <w:multiLevelType w:val="hybridMultilevel"/>
    <w:tmpl w:val="25BC0CCE"/>
    <w:lvl w:ilvl="0">
      <w:start w:val="2"/>
      <w:numFmt w:val="upperLetter"/>
      <w:lvlText w:val="%1."/>
      <w:lvlJc w:val="left"/>
      <w:pPr>
        <w:ind w:left="360" w:hanging="360"/>
      </w:pPr>
      <w:rPr>
        <w:rFonts w:hint="default"/>
        <w:color w:val="1818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94E4128"/>
    <w:multiLevelType w:val="hybridMultilevel"/>
    <w:tmpl w:val="65828CF2"/>
    <w:lvl w:ilvl="0">
      <w:start w:val="1"/>
      <w:numFmt w:val="bullet"/>
      <w:lvlText w:val=""/>
      <w:lvlJc w:val="left"/>
      <w:pPr>
        <w:ind w:left="1440" w:hanging="360"/>
      </w:pPr>
      <w:rPr>
        <w:rFonts w:ascii="Symbol" w:hAnsi="Symbol" w:hint="default"/>
      </w:rPr>
    </w:lvl>
    <w:lvl w:ilvl="1">
      <w:start w:val="1"/>
      <w:numFmt w:val="bullet"/>
      <w:pStyle w:val="SuicideBullet2"/>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238485F"/>
    <w:multiLevelType w:val="hybridMultilevel"/>
    <w:tmpl w:val="9A2E6A42"/>
    <w:lvl w:ilvl="0">
      <w:start w:val="1"/>
      <w:numFmt w:val="lowerLetter"/>
      <w:pStyle w:val="SuicideHead3"/>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0B7F88"/>
    <w:multiLevelType w:val="hybridMultilevel"/>
    <w:tmpl w:val="484C194A"/>
    <w:lvl w:ilvl="0">
      <w:start w:val="1"/>
      <w:numFmt w:val="bullet"/>
      <w:pStyle w:val="GLSTableBullet1"/>
      <w:lvlText w:val=""/>
      <w:lvlJc w:val="left"/>
      <w:pPr>
        <w:ind w:left="360" w:hanging="360"/>
      </w:pPr>
      <w:rPr>
        <w:rFonts w:ascii="Symbol" w:hAnsi="Symbol" w:hint="default"/>
        <w:color w:val="auto"/>
        <w:sz w:val="20"/>
        <w:szCs w:val="18"/>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396800A2"/>
    <w:multiLevelType w:val="hybridMultilevel"/>
    <w:tmpl w:val="8DD492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FF521D"/>
    <w:multiLevelType w:val="hybridMultilevel"/>
    <w:tmpl w:val="E4A66984"/>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DFB7629"/>
    <w:multiLevelType w:val="hybridMultilevel"/>
    <w:tmpl w:val="67861BF4"/>
    <w:lvl w:ilvl="0">
      <w:start w:val="1"/>
      <w:numFmt w:val="decimal"/>
      <w:lvlText w:val="%1."/>
      <w:lvlJc w:val="left"/>
      <w:pPr>
        <w:ind w:left="129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57C796A"/>
    <w:multiLevelType w:val="hybridMultilevel"/>
    <w:tmpl w:val="3552F196"/>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5BC751D"/>
    <w:multiLevelType w:val="hybridMultilevel"/>
    <w:tmpl w:val="DD34D534"/>
    <w:lvl w:ilvl="0">
      <w:start w:val="1"/>
      <w:numFmt w:val="bullet"/>
      <w:pStyle w:val="GLSBullet2"/>
      <w:lvlText w:val=""/>
      <w:lvlJc w:val="left"/>
      <w:pPr>
        <w:ind w:left="1080" w:hanging="360"/>
      </w:pPr>
      <w:rPr>
        <w:rFonts w:ascii="Symbol" w:hAnsi="Symbol" w:cs="Times New Roman" w:hint="default"/>
        <w:b w:val="0"/>
        <w:bCs w:val="0"/>
        <w:i w:val="0"/>
        <w:caps w:val="0"/>
        <w:smallCaps w:val="0"/>
        <w:strike w:val="0"/>
        <w:dstrike w:val="0"/>
        <w:vanish w:val="0"/>
        <w:color w:val="auto"/>
        <w:spacing w:val="0"/>
        <w:kern w:val="0"/>
        <w:position w:val="0"/>
        <w:sz w:val="20"/>
        <w:u w:val="none"/>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306639C"/>
    <w:multiLevelType w:val="hybridMultilevel"/>
    <w:tmpl w:val="67861BF4"/>
    <w:lvl w:ilvl="0">
      <w:start w:val="1"/>
      <w:numFmt w:val="decimal"/>
      <w:lvlText w:val="%1."/>
      <w:lvlJc w:val="left"/>
      <w:pPr>
        <w:ind w:left="129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9A67C2"/>
    <w:multiLevelType w:val="hybridMultilevel"/>
    <w:tmpl w:val="9A1E0660"/>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9EB17BE"/>
    <w:multiLevelType w:val="hybridMultilevel"/>
    <w:tmpl w:val="D4844214"/>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B7007EB"/>
    <w:multiLevelType w:val="hybridMultilevel"/>
    <w:tmpl w:val="F0685498"/>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E737C54"/>
    <w:multiLevelType w:val="hybridMultilevel"/>
    <w:tmpl w:val="4CA6E2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0A06D5"/>
    <w:multiLevelType w:val="multilevel"/>
    <w:tmpl w:val="9092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9C359E"/>
    <w:multiLevelType w:val="hybridMultilevel"/>
    <w:tmpl w:val="EB6C1C76"/>
    <w:lvl w:ilvl="0">
      <w:start w:val="1"/>
      <w:numFmt w:val="bullet"/>
      <w:pStyle w:val="GLSTableBullet2"/>
      <w:lvlText w:val=""/>
      <w:lvlJc w:val="left"/>
      <w:pPr>
        <w:ind w:left="-630" w:hanging="360"/>
      </w:pPr>
      <w:rPr>
        <w:rFonts w:ascii="Symbol" w:hAnsi="Symbol" w:cs="Times New Roman" w:hint="default"/>
        <w:b w:val="0"/>
        <w:bCs w:val="0"/>
        <w:i w:val="0"/>
        <w:caps w:val="0"/>
        <w:smallCaps w:val="0"/>
        <w:strike w:val="0"/>
        <w:dstrike w:val="0"/>
        <w:vanish w:val="0"/>
        <w:color w:val="auto"/>
        <w:spacing w:val="0"/>
        <w:kern w:val="0"/>
        <w:position w:val="0"/>
        <w:u w:val="none"/>
        <w:vertAlign w:val="baseline"/>
      </w:rPr>
    </w:lvl>
    <w:lvl w:ilvl="1" w:tentative="1">
      <w:start w:val="1"/>
      <w:numFmt w:val="bullet"/>
      <w:lvlText w:val="o"/>
      <w:lvlJc w:val="left"/>
      <w:pPr>
        <w:ind w:left="90" w:hanging="360"/>
      </w:pPr>
      <w:rPr>
        <w:rFonts w:ascii="Courier New" w:hAnsi="Courier New" w:cs="Courier New" w:hint="default"/>
      </w:rPr>
    </w:lvl>
    <w:lvl w:ilvl="2" w:tentative="1">
      <w:start w:val="1"/>
      <w:numFmt w:val="bullet"/>
      <w:lvlText w:val=""/>
      <w:lvlJc w:val="left"/>
      <w:pPr>
        <w:ind w:left="810" w:hanging="360"/>
      </w:pPr>
      <w:rPr>
        <w:rFonts w:ascii="Wingdings" w:hAnsi="Wingdings" w:hint="default"/>
      </w:rPr>
    </w:lvl>
    <w:lvl w:ilvl="3" w:tentative="1">
      <w:start w:val="1"/>
      <w:numFmt w:val="bullet"/>
      <w:lvlText w:val=""/>
      <w:lvlJc w:val="left"/>
      <w:pPr>
        <w:ind w:left="1530" w:hanging="360"/>
      </w:pPr>
      <w:rPr>
        <w:rFonts w:ascii="Symbol" w:hAnsi="Symbol" w:hint="default"/>
      </w:rPr>
    </w:lvl>
    <w:lvl w:ilvl="4" w:tentative="1">
      <w:start w:val="1"/>
      <w:numFmt w:val="bullet"/>
      <w:lvlText w:val="o"/>
      <w:lvlJc w:val="left"/>
      <w:pPr>
        <w:ind w:left="2250" w:hanging="360"/>
      </w:pPr>
      <w:rPr>
        <w:rFonts w:ascii="Courier New" w:hAnsi="Courier New" w:cs="Courier New" w:hint="default"/>
      </w:rPr>
    </w:lvl>
    <w:lvl w:ilvl="5" w:tentative="1">
      <w:start w:val="1"/>
      <w:numFmt w:val="bullet"/>
      <w:lvlText w:val=""/>
      <w:lvlJc w:val="left"/>
      <w:pPr>
        <w:ind w:left="2970" w:hanging="360"/>
      </w:pPr>
      <w:rPr>
        <w:rFonts w:ascii="Wingdings" w:hAnsi="Wingdings" w:hint="default"/>
      </w:rPr>
    </w:lvl>
    <w:lvl w:ilvl="6" w:tentative="1">
      <w:start w:val="1"/>
      <w:numFmt w:val="bullet"/>
      <w:lvlText w:val=""/>
      <w:lvlJc w:val="left"/>
      <w:pPr>
        <w:ind w:left="3690" w:hanging="360"/>
      </w:pPr>
      <w:rPr>
        <w:rFonts w:ascii="Symbol" w:hAnsi="Symbol" w:hint="default"/>
      </w:rPr>
    </w:lvl>
    <w:lvl w:ilvl="7" w:tentative="1">
      <w:start w:val="1"/>
      <w:numFmt w:val="bullet"/>
      <w:lvlText w:val="o"/>
      <w:lvlJc w:val="left"/>
      <w:pPr>
        <w:ind w:left="4410" w:hanging="360"/>
      </w:pPr>
      <w:rPr>
        <w:rFonts w:ascii="Courier New" w:hAnsi="Courier New" w:cs="Courier New" w:hint="default"/>
      </w:rPr>
    </w:lvl>
    <w:lvl w:ilvl="8" w:tentative="1">
      <w:start w:val="1"/>
      <w:numFmt w:val="bullet"/>
      <w:lvlText w:val=""/>
      <w:lvlJc w:val="left"/>
      <w:pPr>
        <w:ind w:left="5130" w:hanging="360"/>
      </w:pPr>
      <w:rPr>
        <w:rFonts w:ascii="Wingdings" w:hAnsi="Wingdings" w:hint="default"/>
      </w:rPr>
    </w:lvl>
  </w:abstractNum>
  <w:abstractNum w:abstractNumId="24">
    <w:nsid w:val="78D273F2"/>
    <w:multiLevelType w:val="hybridMultilevel"/>
    <w:tmpl w:val="9D069E2E"/>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8E37BAE"/>
    <w:multiLevelType w:val="hybridMultilevel"/>
    <w:tmpl w:val="EFCE641A"/>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lowerLetter"/>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B2461DB"/>
    <w:multiLevelType w:val="hybridMultilevel"/>
    <w:tmpl w:val="6EF8953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BFB2F8D"/>
    <w:multiLevelType w:val="hybridMultilevel"/>
    <w:tmpl w:val="BBECD74C"/>
    <w:lvl w:ilvl="0">
      <w:start w:val="1"/>
      <w:numFmt w:val="bullet"/>
      <w:lvlText w:val=""/>
      <w:lvlJc w:val="left"/>
      <w:pPr>
        <w:tabs>
          <w:tab w:val="num" w:pos="1800"/>
        </w:tabs>
        <w:ind w:left="1800" w:hanging="360"/>
      </w:pPr>
      <w:rPr>
        <w:rFonts w:ascii="Symbol" w:hAnsi="Symbol" w:hint="default"/>
        <w:color w:val="auto"/>
        <w:sz w:val="20"/>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708148621">
    <w:abstractNumId w:val="3"/>
  </w:num>
  <w:num w:numId="2" w16cid:durableId="1327854902">
    <w:abstractNumId w:val="4"/>
  </w:num>
  <w:num w:numId="3" w16cid:durableId="844589071">
    <w:abstractNumId w:val="0"/>
  </w:num>
  <w:num w:numId="4" w16cid:durableId="1360351482">
    <w:abstractNumId w:val="11"/>
  </w:num>
  <w:num w:numId="5" w16cid:durableId="458032097">
    <w:abstractNumId w:val="23"/>
  </w:num>
  <w:num w:numId="6" w16cid:durableId="756903258">
    <w:abstractNumId w:val="10"/>
  </w:num>
  <w:num w:numId="7" w16cid:durableId="1812674894">
    <w:abstractNumId w:val="16"/>
  </w:num>
  <w:num w:numId="8" w16cid:durableId="81689031">
    <w:abstractNumId w:val="9"/>
  </w:num>
  <w:num w:numId="9" w16cid:durableId="1956328125">
    <w:abstractNumId w:val="8"/>
  </w:num>
  <w:num w:numId="10" w16cid:durableId="1260330276">
    <w:abstractNumId w:val="21"/>
  </w:num>
  <w:num w:numId="11" w16cid:durableId="2090303016">
    <w:abstractNumId w:val="15"/>
  </w:num>
  <w:num w:numId="12" w16cid:durableId="245120105">
    <w:abstractNumId w:val="1"/>
  </w:num>
  <w:num w:numId="13" w16cid:durableId="392389181">
    <w:abstractNumId w:val="6"/>
  </w:num>
  <w:num w:numId="14" w16cid:durableId="713115031">
    <w:abstractNumId w:val="24"/>
  </w:num>
  <w:num w:numId="15" w16cid:durableId="1101608241">
    <w:abstractNumId w:val="19"/>
  </w:num>
  <w:num w:numId="16" w16cid:durableId="704790784">
    <w:abstractNumId w:val="26"/>
  </w:num>
  <w:num w:numId="17" w16cid:durableId="319622161">
    <w:abstractNumId w:val="27"/>
  </w:num>
  <w:num w:numId="18" w16cid:durableId="1825507839">
    <w:abstractNumId w:val="12"/>
  </w:num>
  <w:num w:numId="19" w16cid:durableId="1561865274">
    <w:abstractNumId w:val="25"/>
  </w:num>
  <w:num w:numId="20" w16cid:durableId="1970016746">
    <w:abstractNumId w:val="5"/>
  </w:num>
  <w:num w:numId="21" w16cid:durableId="1099763939">
    <w:abstractNumId w:val="2"/>
  </w:num>
  <w:num w:numId="22" w16cid:durableId="1766072852">
    <w:abstractNumId w:val="18"/>
  </w:num>
  <w:num w:numId="23" w16cid:durableId="1197934848">
    <w:abstractNumId w:val="20"/>
  </w:num>
  <w:num w:numId="24" w16cid:durableId="1743940041">
    <w:abstractNumId w:val="13"/>
  </w:num>
  <w:num w:numId="25" w16cid:durableId="301204440">
    <w:abstractNumId w:val="11"/>
  </w:num>
  <w:num w:numId="26" w16cid:durableId="1994791885">
    <w:abstractNumId w:val="22"/>
  </w:num>
  <w:num w:numId="27" w16cid:durableId="225456673">
    <w:abstractNumId w:val="17"/>
  </w:num>
  <w:num w:numId="28" w16cid:durableId="1794441225">
    <w:abstractNumId w:val="7"/>
  </w:num>
  <w:num w:numId="29" w16cid:durableId="210776898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E2"/>
    <w:rsid w:val="00000153"/>
    <w:rsid w:val="0000062F"/>
    <w:rsid w:val="00000B63"/>
    <w:rsid w:val="00000D1C"/>
    <w:rsid w:val="00001EEA"/>
    <w:rsid w:val="00003577"/>
    <w:rsid w:val="000038CF"/>
    <w:rsid w:val="00003B96"/>
    <w:rsid w:val="00006106"/>
    <w:rsid w:val="0000718C"/>
    <w:rsid w:val="00007680"/>
    <w:rsid w:val="00010BD1"/>
    <w:rsid w:val="00011EAD"/>
    <w:rsid w:val="000124F8"/>
    <w:rsid w:val="00013B9D"/>
    <w:rsid w:val="00014104"/>
    <w:rsid w:val="00015012"/>
    <w:rsid w:val="000168AB"/>
    <w:rsid w:val="00020DFA"/>
    <w:rsid w:val="00020E1C"/>
    <w:rsid w:val="0002164F"/>
    <w:rsid w:val="0002267A"/>
    <w:rsid w:val="00023F8D"/>
    <w:rsid w:val="00024F61"/>
    <w:rsid w:val="00025725"/>
    <w:rsid w:val="00025782"/>
    <w:rsid w:val="000263DA"/>
    <w:rsid w:val="000302E4"/>
    <w:rsid w:val="000309BF"/>
    <w:rsid w:val="000316F3"/>
    <w:rsid w:val="000326AB"/>
    <w:rsid w:val="00032C54"/>
    <w:rsid w:val="00033113"/>
    <w:rsid w:val="00034EE7"/>
    <w:rsid w:val="00036BF0"/>
    <w:rsid w:val="0004130C"/>
    <w:rsid w:val="00041F98"/>
    <w:rsid w:val="00043695"/>
    <w:rsid w:val="0004506C"/>
    <w:rsid w:val="0004682C"/>
    <w:rsid w:val="000468DC"/>
    <w:rsid w:val="0004758A"/>
    <w:rsid w:val="000514FA"/>
    <w:rsid w:val="00052539"/>
    <w:rsid w:val="00053FEC"/>
    <w:rsid w:val="00057916"/>
    <w:rsid w:val="00061026"/>
    <w:rsid w:val="000613E3"/>
    <w:rsid w:val="00061C31"/>
    <w:rsid w:val="00062225"/>
    <w:rsid w:val="000663C5"/>
    <w:rsid w:val="0007233F"/>
    <w:rsid w:val="0007449D"/>
    <w:rsid w:val="000745E4"/>
    <w:rsid w:val="00075483"/>
    <w:rsid w:val="000802F7"/>
    <w:rsid w:val="0008219C"/>
    <w:rsid w:val="00082627"/>
    <w:rsid w:val="000843CD"/>
    <w:rsid w:val="0008455E"/>
    <w:rsid w:val="000848DB"/>
    <w:rsid w:val="000866BC"/>
    <w:rsid w:val="000870A6"/>
    <w:rsid w:val="000870C6"/>
    <w:rsid w:val="000909CA"/>
    <w:rsid w:val="00090CEA"/>
    <w:rsid w:val="00090D04"/>
    <w:rsid w:val="00090D6D"/>
    <w:rsid w:val="000915AF"/>
    <w:rsid w:val="00093422"/>
    <w:rsid w:val="00093F92"/>
    <w:rsid w:val="0009487A"/>
    <w:rsid w:val="000A119C"/>
    <w:rsid w:val="000A1C5A"/>
    <w:rsid w:val="000A2215"/>
    <w:rsid w:val="000A449C"/>
    <w:rsid w:val="000A4896"/>
    <w:rsid w:val="000A7109"/>
    <w:rsid w:val="000B1239"/>
    <w:rsid w:val="000B135F"/>
    <w:rsid w:val="000B418F"/>
    <w:rsid w:val="000B59C5"/>
    <w:rsid w:val="000C0977"/>
    <w:rsid w:val="000C235B"/>
    <w:rsid w:val="000C514B"/>
    <w:rsid w:val="000C5376"/>
    <w:rsid w:val="000C64E0"/>
    <w:rsid w:val="000C72FF"/>
    <w:rsid w:val="000C778C"/>
    <w:rsid w:val="000D0720"/>
    <w:rsid w:val="000D1260"/>
    <w:rsid w:val="000D18DB"/>
    <w:rsid w:val="000D21CC"/>
    <w:rsid w:val="000D3356"/>
    <w:rsid w:val="000D543B"/>
    <w:rsid w:val="000D556B"/>
    <w:rsid w:val="000D5E32"/>
    <w:rsid w:val="000D773B"/>
    <w:rsid w:val="000E0B60"/>
    <w:rsid w:val="000E0F21"/>
    <w:rsid w:val="000E2C42"/>
    <w:rsid w:val="000E4474"/>
    <w:rsid w:val="000E4698"/>
    <w:rsid w:val="000E5E0C"/>
    <w:rsid w:val="000E7B12"/>
    <w:rsid w:val="000F042E"/>
    <w:rsid w:val="000F45FC"/>
    <w:rsid w:val="000F4DB0"/>
    <w:rsid w:val="000F5A36"/>
    <w:rsid w:val="000F7113"/>
    <w:rsid w:val="001000AB"/>
    <w:rsid w:val="00100EA6"/>
    <w:rsid w:val="00102D5E"/>
    <w:rsid w:val="001074E7"/>
    <w:rsid w:val="00112035"/>
    <w:rsid w:val="00113593"/>
    <w:rsid w:val="00113C93"/>
    <w:rsid w:val="00113F27"/>
    <w:rsid w:val="0011414C"/>
    <w:rsid w:val="001144E4"/>
    <w:rsid w:val="00114F29"/>
    <w:rsid w:val="00117769"/>
    <w:rsid w:val="00120B16"/>
    <w:rsid w:val="00120CDA"/>
    <w:rsid w:val="00122008"/>
    <w:rsid w:val="0012496B"/>
    <w:rsid w:val="00125D86"/>
    <w:rsid w:val="00126B5C"/>
    <w:rsid w:val="00127A4E"/>
    <w:rsid w:val="00127C56"/>
    <w:rsid w:val="001305CC"/>
    <w:rsid w:val="00133E8D"/>
    <w:rsid w:val="00133F47"/>
    <w:rsid w:val="00134C4F"/>
    <w:rsid w:val="00134F43"/>
    <w:rsid w:val="0013535A"/>
    <w:rsid w:val="0013561C"/>
    <w:rsid w:val="00135628"/>
    <w:rsid w:val="00135AA7"/>
    <w:rsid w:val="00137552"/>
    <w:rsid w:val="00144699"/>
    <w:rsid w:val="00145275"/>
    <w:rsid w:val="00151107"/>
    <w:rsid w:val="00151DA7"/>
    <w:rsid w:val="00152B61"/>
    <w:rsid w:val="00153CA1"/>
    <w:rsid w:val="00153ECC"/>
    <w:rsid w:val="001543F2"/>
    <w:rsid w:val="00154AA8"/>
    <w:rsid w:val="00154EA3"/>
    <w:rsid w:val="001554B1"/>
    <w:rsid w:val="00156508"/>
    <w:rsid w:val="00157AB1"/>
    <w:rsid w:val="00157DA2"/>
    <w:rsid w:val="00164050"/>
    <w:rsid w:val="001658B0"/>
    <w:rsid w:val="00166026"/>
    <w:rsid w:val="001665C9"/>
    <w:rsid w:val="00167F38"/>
    <w:rsid w:val="0017087D"/>
    <w:rsid w:val="001711D8"/>
    <w:rsid w:val="001716E2"/>
    <w:rsid w:val="0017453B"/>
    <w:rsid w:val="001764C8"/>
    <w:rsid w:val="001779D0"/>
    <w:rsid w:val="001810DE"/>
    <w:rsid w:val="001838E3"/>
    <w:rsid w:val="00184CF4"/>
    <w:rsid w:val="0018577E"/>
    <w:rsid w:val="0018636D"/>
    <w:rsid w:val="00186A40"/>
    <w:rsid w:val="00186D2F"/>
    <w:rsid w:val="001876A8"/>
    <w:rsid w:val="00190C81"/>
    <w:rsid w:val="00191722"/>
    <w:rsid w:val="00193C19"/>
    <w:rsid w:val="0019619C"/>
    <w:rsid w:val="001A0439"/>
    <w:rsid w:val="001A1238"/>
    <w:rsid w:val="001A1B88"/>
    <w:rsid w:val="001A4967"/>
    <w:rsid w:val="001A49DC"/>
    <w:rsid w:val="001A4BB1"/>
    <w:rsid w:val="001A4DCD"/>
    <w:rsid w:val="001A4F22"/>
    <w:rsid w:val="001A51C2"/>
    <w:rsid w:val="001A5903"/>
    <w:rsid w:val="001A5DC2"/>
    <w:rsid w:val="001A6A37"/>
    <w:rsid w:val="001A74C4"/>
    <w:rsid w:val="001B06C9"/>
    <w:rsid w:val="001B2E13"/>
    <w:rsid w:val="001B3069"/>
    <w:rsid w:val="001B3C78"/>
    <w:rsid w:val="001B7962"/>
    <w:rsid w:val="001B7C9B"/>
    <w:rsid w:val="001C0273"/>
    <w:rsid w:val="001C038B"/>
    <w:rsid w:val="001C0950"/>
    <w:rsid w:val="001C0DBB"/>
    <w:rsid w:val="001C10E6"/>
    <w:rsid w:val="001C1547"/>
    <w:rsid w:val="001C3825"/>
    <w:rsid w:val="001C45CB"/>
    <w:rsid w:val="001C4682"/>
    <w:rsid w:val="001C6167"/>
    <w:rsid w:val="001C6588"/>
    <w:rsid w:val="001C7BF1"/>
    <w:rsid w:val="001D0465"/>
    <w:rsid w:val="001D0B3B"/>
    <w:rsid w:val="001D0F08"/>
    <w:rsid w:val="001D1804"/>
    <w:rsid w:val="001D25CC"/>
    <w:rsid w:val="001D4641"/>
    <w:rsid w:val="001D5D3A"/>
    <w:rsid w:val="001D61DA"/>
    <w:rsid w:val="001D6271"/>
    <w:rsid w:val="001D796A"/>
    <w:rsid w:val="001E1268"/>
    <w:rsid w:val="001E128E"/>
    <w:rsid w:val="001E22B9"/>
    <w:rsid w:val="001E2DFA"/>
    <w:rsid w:val="001E4B57"/>
    <w:rsid w:val="001E5489"/>
    <w:rsid w:val="001E6677"/>
    <w:rsid w:val="001E6DA9"/>
    <w:rsid w:val="001E7161"/>
    <w:rsid w:val="001E7789"/>
    <w:rsid w:val="001E7A8F"/>
    <w:rsid w:val="001E7FAC"/>
    <w:rsid w:val="001F0211"/>
    <w:rsid w:val="001F271B"/>
    <w:rsid w:val="001F2F14"/>
    <w:rsid w:val="001F3234"/>
    <w:rsid w:val="001F3F6C"/>
    <w:rsid w:val="001F5037"/>
    <w:rsid w:val="001F595F"/>
    <w:rsid w:val="001F5B86"/>
    <w:rsid w:val="002057A8"/>
    <w:rsid w:val="00206EC8"/>
    <w:rsid w:val="00207B73"/>
    <w:rsid w:val="0021099D"/>
    <w:rsid w:val="00211B6E"/>
    <w:rsid w:val="00212575"/>
    <w:rsid w:val="002150DA"/>
    <w:rsid w:val="002152CC"/>
    <w:rsid w:val="002155EE"/>
    <w:rsid w:val="00215EC3"/>
    <w:rsid w:val="00215F17"/>
    <w:rsid w:val="00221061"/>
    <w:rsid w:val="00222E3A"/>
    <w:rsid w:val="00223E1E"/>
    <w:rsid w:val="00225247"/>
    <w:rsid w:val="002258D7"/>
    <w:rsid w:val="00225E36"/>
    <w:rsid w:val="00226964"/>
    <w:rsid w:val="0022706D"/>
    <w:rsid w:val="00227A18"/>
    <w:rsid w:val="0023661E"/>
    <w:rsid w:val="00237219"/>
    <w:rsid w:val="00237CCC"/>
    <w:rsid w:val="00242958"/>
    <w:rsid w:val="002441AB"/>
    <w:rsid w:val="00244BBB"/>
    <w:rsid w:val="00245EA5"/>
    <w:rsid w:val="00250B30"/>
    <w:rsid w:val="00251572"/>
    <w:rsid w:val="0025409B"/>
    <w:rsid w:val="002542EA"/>
    <w:rsid w:val="002611F7"/>
    <w:rsid w:val="002614AA"/>
    <w:rsid w:val="002628D8"/>
    <w:rsid w:val="00264F00"/>
    <w:rsid w:val="00265507"/>
    <w:rsid w:val="002659F5"/>
    <w:rsid w:val="00266171"/>
    <w:rsid w:val="00267A34"/>
    <w:rsid w:val="002735B2"/>
    <w:rsid w:val="00276F34"/>
    <w:rsid w:val="00276FAF"/>
    <w:rsid w:val="00277674"/>
    <w:rsid w:val="00277E3F"/>
    <w:rsid w:val="00280CBE"/>
    <w:rsid w:val="00280DB3"/>
    <w:rsid w:val="00282D38"/>
    <w:rsid w:val="00283A1E"/>
    <w:rsid w:val="00283E3C"/>
    <w:rsid w:val="00285132"/>
    <w:rsid w:val="00287128"/>
    <w:rsid w:val="002915A6"/>
    <w:rsid w:val="00291A45"/>
    <w:rsid w:val="00291EC4"/>
    <w:rsid w:val="00291F6D"/>
    <w:rsid w:val="002922DF"/>
    <w:rsid w:val="00292DC3"/>
    <w:rsid w:val="002938F3"/>
    <w:rsid w:val="00293914"/>
    <w:rsid w:val="00294548"/>
    <w:rsid w:val="00295BC3"/>
    <w:rsid w:val="00295CFC"/>
    <w:rsid w:val="00297B67"/>
    <w:rsid w:val="002A027D"/>
    <w:rsid w:val="002A0EFD"/>
    <w:rsid w:val="002A1A1A"/>
    <w:rsid w:val="002A218E"/>
    <w:rsid w:val="002A2287"/>
    <w:rsid w:val="002A277D"/>
    <w:rsid w:val="002A2D5E"/>
    <w:rsid w:val="002A2FAE"/>
    <w:rsid w:val="002A4140"/>
    <w:rsid w:val="002A519F"/>
    <w:rsid w:val="002A5612"/>
    <w:rsid w:val="002A60FB"/>
    <w:rsid w:val="002B0E2F"/>
    <w:rsid w:val="002B31F5"/>
    <w:rsid w:val="002B4832"/>
    <w:rsid w:val="002B6DC3"/>
    <w:rsid w:val="002C0908"/>
    <w:rsid w:val="002C1D5E"/>
    <w:rsid w:val="002C29E3"/>
    <w:rsid w:val="002C42A1"/>
    <w:rsid w:val="002C4C86"/>
    <w:rsid w:val="002C6DF3"/>
    <w:rsid w:val="002D2685"/>
    <w:rsid w:val="002D26AA"/>
    <w:rsid w:val="002D4554"/>
    <w:rsid w:val="002D58AB"/>
    <w:rsid w:val="002D5E9C"/>
    <w:rsid w:val="002D6EA2"/>
    <w:rsid w:val="002E06E5"/>
    <w:rsid w:val="002E0C72"/>
    <w:rsid w:val="002E209C"/>
    <w:rsid w:val="002E34DF"/>
    <w:rsid w:val="002E3A16"/>
    <w:rsid w:val="002E3B3A"/>
    <w:rsid w:val="002E4665"/>
    <w:rsid w:val="002E6BCD"/>
    <w:rsid w:val="002F22ED"/>
    <w:rsid w:val="002F4477"/>
    <w:rsid w:val="00301DC2"/>
    <w:rsid w:val="0030363E"/>
    <w:rsid w:val="00305A32"/>
    <w:rsid w:val="00305A70"/>
    <w:rsid w:val="00305D1C"/>
    <w:rsid w:val="003066D3"/>
    <w:rsid w:val="003100EF"/>
    <w:rsid w:val="003102D3"/>
    <w:rsid w:val="003103F5"/>
    <w:rsid w:val="0031054C"/>
    <w:rsid w:val="003128CB"/>
    <w:rsid w:val="003137A7"/>
    <w:rsid w:val="0031413B"/>
    <w:rsid w:val="00314D16"/>
    <w:rsid w:val="003154CE"/>
    <w:rsid w:val="00315FFA"/>
    <w:rsid w:val="003160A7"/>
    <w:rsid w:val="00316684"/>
    <w:rsid w:val="00316C6B"/>
    <w:rsid w:val="00316D31"/>
    <w:rsid w:val="0031732D"/>
    <w:rsid w:val="00320476"/>
    <w:rsid w:val="00320FC4"/>
    <w:rsid w:val="00321311"/>
    <w:rsid w:val="00322035"/>
    <w:rsid w:val="003231C8"/>
    <w:rsid w:val="00324B85"/>
    <w:rsid w:val="00325123"/>
    <w:rsid w:val="00326A57"/>
    <w:rsid w:val="003274CA"/>
    <w:rsid w:val="00327D1F"/>
    <w:rsid w:val="00330632"/>
    <w:rsid w:val="003309E4"/>
    <w:rsid w:val="00331B39"/>
    <w:rsid w:val="0033493C"/>
    <w:rsid w:val="00334A3A"/>
    <w:rsid w:val="00334D69"/>
    <w:rsid w:val="003353E2"/>
    <w:rsid w:val="00341BE2"/>
    <w:rsid w:val="003426E3"/>
    <w:rsid w:val="0034305F"/>
    <w:rsid w:val="00343E64"/>
    <w:rsid w:val="00344C88"/>
    <w:rsid w:val="00344CFE"/>
    <w:rsid w:val="00344E3C"/>
    <w:rsid w:val="00345353"/>
    <w:rsid w:val="003464F0"/>
    <w:rsid w:val="0034750C"/>
    <w:rsid w:val="00351923"/>
    <w:rsid w:val="00351CA1"/>
    <w:rsid w:val="00351DD9"/>
    <w:rsid w:val="00351FE5"/>
    <w:rsid w:val="00353FE2"/>
    <w:rsid w:val="0035452F"/>
    <w:rsid w:val="00356B93"/>
    <w:rsid w:val="00357294"/>
    <w:rsid w:val="00360706"/>
    <w:rsid w:val="00362AFC"/>
    <w:rsid w:val="00364A08"/>
    <w:rsid w:val="003713E6"/>
    <w:rsid w:val="0037163F"/>
    <w:rsid w:val="00371A2B"/>
    <w:rsid w:val="00371ED7"/>
    <w:rsid w:val="00371F22"/>
    <w:rsid w:val="0037263D"/>
    <w:rsid w:val="00374816"/>
    <w:rsid w:val="003769E8"/>
    <w:rsid w:val="00376ABC"/>
    <w:rsid w:val="0037786E"/>
    <w:rsid w:val="003802CF"/>
    <w:rsid w:val="003828F1"/>
    <w:rsid w:val="00383393"/>
    <w:rsid w:val="0038581F"/>
    <w:rsid w:val="003863C3"/>
    <w:rsid w:val="0038769A"/>
    <w:rsid w:val="00392E4D"/>
    <w:rsid w:val="00393BCC"/>
    <w:rsid w:val="00395045"/>
    <w:rsid w:val="00395E72"/>
    <w:rsid w:val="00395F4E"/>
    <w:rsid w:val="00397315"/>
    <w:rsid w:val="003973C9"/>
    <w:rsid w:val="00397828"/>
    <w:rsid w:val="00397A58"/>
    <w:rsid w:val="003A230F"/>
    <w:rsid w:val="003A4175"/>
    <w:rsid w:val="003A4FC2"/>
    <w:rsid w:val="003A6660"/>
    <w:rsid w:val="003A6C87"/>
    <w:rsid w:val="003A79A0"/>
    <w:rsid w:val="003B4806"/>
    <w:rsid w:val="003B4F0F"/>
    <w:rsid w:val="003B7D00"/>
    <w:rsid w:val="003C137B"/>
    <w:rsid w:val="003C406E"/>
    <w:rsid w:val="003C53E1"/>
    <w:rsid w:val="003C557C"/>
    <w:rsid w:val="003C6393"/>
    <w:rsid w:val="003C7DB5"/>
    <w:rsid w:val="003D1A02"/>
    <w:rsid w:val="003D2043"/>
    <w:rsid w:val="003D383F"/>
    <w:rsid w:val="003D40E2"/>
    <w:rsid w:val="003D447B"/>
    <w:rsid w:val="003D47D9"/>
    <w:rsid w:val="003D65DB"/>
    <w:rsid w:val="003D762E"/>
    <w:rsid w:val="003E00F0"/>
    <w:rsid w:val="003E0267"/>
    <w:rsid w:val="003E0577"/>
    <w:rsid w:val="003E0A6E"/>
    <w:rsid w:val="003E1BD2"/>
    <w:rsid w:val="003E1E53"/>
    <w:rsid w:val="003E2D6E"/>
    <w:rsid w:val="003E2FFB"/>
    <w:rsid w:val="003E343A"/>
    <w:rsid w:val="003E3CC1"/>
    <w:rsid w:val="003E42D2"/>
    <w:rsid w:val="003E7C26"/>
    <w:rsid w:val="003F31B5"/>
    <w:rsid w:val="003F442F"/>
    <w:rsid w:val="003F49B5"/>
    <w:rsid w:val="003F56D8"/>
    <w:rsid w:val="003F69B8"/>
    <w:rsid w:val="003F6A55"/>
    <w:rsid w:val="003F6D67"/>
    <w:rsid w:val="003F732C"/>
    <w:rsid w:val="003F7BD7"/>
    <w:rsid w:val="0040092E"/>
    <w:rsid w:val="004042C6"/>
    <w:rsid w:val="00406A52"/>
    <w:rsid w:val="00407090"/>
    <w:rsid w:val="00412CB4"/>
    <w:rsid w:val="004136AD"/>
    <w:rsid w:val="00413902"/>
    <w:rsid w:val="00414959"/>
    <w:rsid w:val="00414A32"/>
    <w:rsid w:val="00415EB2"/>
    <w:rsid w:val="0042196D"/>
    <w:rsid w:val="00422688"/>
    <w:rsid w:val="00423366"/>
    <w:rsid w:val="00423F12"/>
    <w:rsid w:val="00425F59"/>
    <w:rsid w:val="004278C3"/>
    <w:rsid w:val="0042797E"/>
    <w:rsid w:val="0043007C"/>
    <w:rsid w:val="0043146E"/>
    <w:rsid w:val="00433006"/>
    <w:rsid w:val="00436F27"/>
    <w:rsid w:val="00437814"/>
    <w:rsid w:val="00437E5C"/>
    <w:rsid w:val="00441CC2"/>
    <w:rsid w:val="004442B4"/>
    <w:rsid w:val="00445181"/>
    <w:rsid w:val="00445288"/>
    <w:rsid w:val="00445DCA"/>
    <w:rsid w:val="004476E8"/>
    <w:rsid w:val="00451307"/>
    <w:rsid w:val="004517F1"/>
    <w:rsid w:val="00451B69"/>
    <w:rsid w:val="00453C6E"/>
    <w:rsid w:val="00457714"/>
    <w:rsid w:val="00457B6C"/>
    <w:rsid w:val="004629D1"/>
    <w:rsid w:val="00463885"/>
    <w:rsid w:val="00464449"/>
    <w:rsid w:val="00470E98"/>
    <w:rsid w:val="00471227"/>
    <w:rsid w:val="0047204B"/>
    <w:rsid w:val="00472D0D"/>
    <w:rsid w:val="00472D4F"/>
    <w:rsid w:val="00473A65"/>
    <w:rsid w:val="004748D7"/>
    <w:rsid w:val="0047586F"/>
    <w:rsid w:val="00476755"/>
    <w:rsid w:val="00476D4A"/>
    <w:rsid w:val="00477601"/>
    <w:rsid w:val="00481720"/>
    <w:rsid w:val="00482135"/>
    <w:rsid w:val="00482B21"/>
    <w:rsid w:val="0048306B"/>
    <w:rsid w:val="00483A89"/>
    <w:rsid w:val="00484D1C"/>
    <w:rsid w:val="00484EF6"/>
    <w:rsid w:val="004867DC"/>
    <w:rsid w:val="0048747F"/>
    <w:rsid w:val="004877C7"/>
    <w:rsid w:val="00487E0A"/>
    <w:rsid w:val="00490AB9"/>
    <w:rsid w:val="004922CF"/>
    <w:rsid w:val="00492544"/>
    <w:rsid w:val="00493803"/>
    <w:rsid w:val="00493DC0"/>
    <w:rsid w:val="00493E0F"/>
    <w:rsid w:val="00497F7F"/>
    <w:rsid w:val="004A12D8"/>
    <w:rsid w:val="004A2806"/>
    <w:rsid w:val="004A427B"/>
    <w:rsid w:val="004A58CF"/>
    <w:rsid w:val="004B09E9"/>
    <w:rsid w:val="004B2A61"/>
    <w:rsid w:val="004B3C13"/>
    <w:rsid w:val="004B6136"/>
    <w:rsid w:val="004B6822"/>
    <w:rsid w:val="004C34F7"/>
    <w:rsid w:val="004C483E"/>
    <w:rsid w:val="004C5FF8"/>
    <w:rsid w:val="004C6C2F"/>
    <w:rsid w:val="004C6D8F"/>
    <w:rsid w:val="004C730F"/>
    <w:rsid w:val="004C7D5D"/>
    <w:rsid w:val="004D01F7"/>
    <w:rsid w:val="004D198B"/>
    <w:rsid w:val="004D37EE"/>
    <w:rsid w:val="004D511D"/>
    <w:rsid w:val="004D786B"/>
    <w:rsid w:val="004E014E"/>
    <w:rsid w:val="004E195B"/>
    <w:rsid w:val="004E1ADE"/>
    <w:rsid w:val="004E4CF0"/>
    <w:rsid w:val="004E73E3"/>
    <w:rsid w:val="004F06B9"/>
    <w:rsid w:val="004F0819"/>
    <w:rsid w:val="004F169D"/>
    <w:rsid w:val="004F27B7"/>
    <w:rsid w:val="004F59EC"/>
    <w:rsid w:val="004F6324"/>
    <w:rsid w:val="004F668D"/>
    <w:rsid w:val="004F6E77"/>
    <w:rsid w:val="004F7364"/>
    <w:rsid w:val="004F7FE2"/>
    <w:rsid w:val="00500412"/>
    <w:rsid w:val="00505483"/>
    <w:rsid w:val="0050582E"/>
    <w:rsid w:val="00506D8E"/>
    <w:rsid w:val="005073DA"/>
    <w:rsid w:val="00511870"/>
    <w:rsid w:val="005165FC"/>
    <w:rsid w:val="00516937"/>
    <w:rsid w:val="00517DE0"/>
    <w:rsid w:val="00522332"/>
    <w:rsid w:val="00522821"/>
    <w:rsid w:val="00522C27"/>
    <w:rsid w:val="00522FC1"/>
    <w:rsid w:val="005232E9"/>
    <w:rsid w:val="00525D28"/>
    <w:rsid w:val="00533211"/>
    <w:rsid w:val="00533EE6"/>
    <w:rsid w:val="00534B61"/>
    <w:rsid w:val="00535BC7"/>
    <w:rsid w:val="00535CCD"/>
    <w:rsid w:val="0053617A"/>
    <w:rsid w:val="0053633B"/>
    <w:rsid w:val="005418F0"/>
    <w:rsid w:val="00542A04"/>
    <w:rsid w:val="00543F79"/>
    <w:rsid w:val="00544B2E"/>
    <w:rsid w:val="00546069"/>
    <w:rsid w:val="0055406A"/>
    <w:rsid w:val="00554344"/>
    <w:rsid w:val="00555135"/>
    <w:rsid w:val="005554F4"/>
    <w:rsid w:val="005561BF"/>
    <w:rsid w:val="00557C31"/>
    <w:rsid w:val="00557F5D"/>
    <w:rsid w:val="00560E73"/>
    <w:rsid w:val="005613D4"/>
    <w:rsid w:val="00561AF0"/>
    <w:rsid w:val="00561D0F"/>
    <w:rsid w:val="0056209E"/>
    <w:rsid w:val="00562A87"/>
    <w:rsid w:val="00563ECB"/>
    <w:rsid w:val="00565AAB"/>
    <w:rsid w:val="00567543"/>
    <w:rsid w:val="0056757A"/>
    <w:rsid w:val="005675BD"/>
    <w:rsid w:val="00567F83"/>
    <w:rsid w:val="005701B4"/>
    <w:rsid w:val="00570A7E"/>
    <w:rsid w:val="00571489"/>
    <w:rsid w:val="00571572"/>
    <w:rsid w:val="00571644"/>
    <w:rsid w:val="005729C8"/>
    <w:rsid w:val="00572CA3"/>
    <w:rsid w:val="005732C6"/>
    <w:rsid w:val="005739F8"/>
    <w:rsid w:val="005756A9"/>
    <w:rsid w:val="005768F4"/>
    <w:rsid w:val="0057703D"/>
    <w:rsid w:val="00577DE9"/>
    <w:rsid w:val="0058215F"/>
    <w:rsid w:val="00582F96"/>
    <w:rsid w:val="00583452"/>
    <w:rsid w:val="005836E8"/>
    <w:rsid w:val="00584B4D"/>
    <w:rsid w:val="00584DD5"/>
    <w:rsid w:val="00585AB6"/>
    <w:rsid w:val="00586866"/>
    <w:rsid w:val="00587913"/>
    <w:rsid w:val="005901B7"/>
    <w:rsid w:val="005919DD"/>
    <w:rsid w:val="00592D5A"/>
    <w:rsid w:val="0059410A"/>
    <w:rsid w:val="005969B3"/>
    <w:rsid w:val="00596F30"/>
    <w:rsid w:val="005A24BF"/>
    <w:rsid w:val="005A45F9"/>
    <w:rsid w:val="005A67F6"/>
    <w:rsid w:val="005A78B0"/>
    <w:rsid w:val="005B0954"/>
    <w:rsid w:val="005B12DA"/>
    <w:rsid w:val="005B1BEC"/>
    <w:rsid w:val="005B24EE"/>
    <w:rsid w:val="005B2AF6"/>
    <w:rsid w:val="005B2CF4"/>
    <w:rsid w:val="005B4B1F"/>
    <w:rsid w:val="005B56B6"/>
    <w:rsid w:val="005B6294"/>
    <w:rsid w:val="005B644E"/>
    <w:rsid w:val="005B6DDE"/>
    <w:rsid w:val="005B7954"/>
    <w:rsid w:val="005B7FEE"/>
    <w:rsid w:val="005C0E62"/>
    <w:rsid w:val="005C0EB8"/>
    <w:rsid w:val="005C2D1C"/>
    <w:rsid w:val="005C36AB"/>
    <w:rsid w:val="005C4632"/>
    <w:rsid w:val="005C5B4F"/>
    <w:rsid w:val="005D1EDE"/>
    <w:rsid w:val="005D3AB3"/>
    <w:rsid w:val="005D40B6"/>
    <w:rsid w:val="005D623D"/>
    <w:rsid w:val="005D6D4A"/>
    <w:rsid w:val="005D7942"/>
    <w:rsid w:val="005E1E18"/>
    <w:rsid w:val="005E2954"/>
    <w:rsid w:val="005E2EBC"/>
    <w:rsid w:val="005E3130"/>
    <w:rsid w:val="005E4C5C"/>
    <w:rsid w:val="005E56DB"/>
    <w:rsid w:val="005E6A85"/>
    <w:rsid w:val="005E7EF6"/>
    <w:rsid w:val="005F088A"/>
    <w:rsid w:val="005F224E"/>
    <w:rsid w:val="005F2590"/>
    <w:rsid w:val="005F28EF"/>
    <w:rsid w:val="005F3EB4"/>
    <w:rsid w:val="005F489E"/>
    <w:rsid w:val="005F48F6"/>
    <w:rsid w:val="005F4A3B"/>
    <w:rsid w:val="005F51A7"/>
    <w:rsid w:val="005F627F"/>
    <w:rsid w:val="00602B89"/>
    <w:rsid w:val="00603DB4"/>
    <w:rsid w:val="006052FD"/>
    <w:rsid w:val="006053E9"/>
    <w:rsid w:val="00606D65"/>
    <w:rsid w:val="00607798"/>
    <w:rsid w:val="00612E56"/>
    <w:rsid w:val="00614314"/>
    <w:rsid w:val="00616072"/>
    <w:rsid w:val="00617248"/>
    <w:rsid w:val="00617548"/>
    <w:rsid w:val="00617A9A"/>
    <w:rsid w:val="00620DCD"/>
    <w:rsid w:val="00621A17"/>
    <w:rsid w:val="006245C4"/>
    <w:rsid w:val="00624B3B"/>
    <w:rsid w:val="00624BAF"/>
    <w:rsid w:val="00625A60"/>
    <w:rsid w:val="00625B55"/>
    <w:rsid w:val="00626375"/>
    <w:rsid w:val="00630CC9"/>
    <w:rsid w:val="00630F5A"/>
    <w:rsid w:val="00633C38"/>
    <w:rsid w:val="0064274B"/>
    <w:rsid w:val="00642831"/>
    <w:rsid w:val="00644CB8"/>
    <w:rsid w:val="00644D13"/>
    <w:rsid w:val="0064606E"/>
    <w:rsid w:val="0064607D"/>
    <w:rsid w:val="00646774"/>
    <w:rsid w:val="00646F3F"/>
    <w:rsid w:val="00646F6A"/>
    <w:rsid w:val="00647B0E"/>
    <w:rsid w:val="00651D42"/>
    <w:rsid w:val="00651FD7"/>
    <w:rsid w:val="0065704D"/>
    <w:rsid w:val="006579C8"/>
    <w:rsid w:val="00660E14"/>
    <w:rsid w:val="0066683D"/>
    <w:rsid w:val="00667D00"/>
    <w:rsid w:val="00671164"/>
    <w:rsid w:val="00672848"/>
    <w:rsid w:val="00672DCF"/>
    <w:rsid w:val="006740FE"/>
    <w:rsid w:val="006750EC"/>
    <w:rsid w:val="00675D5A"/>
    <w:rsid w:val="006764BD"/>
    <w:rsid w:val="00676EA4"/>
    <w:rsid w:val="00680842"/>
    <w:rsid w:val="00681C2A"/>
    <w:rsid w:val="00682921"/>
    <w:rsid w:val="00682A4C"/>
    <w:rsid w:val="00682D75"/>
    <w:rsid w:val="00683939"/>
    <w:rsid w:val="00684E41"/>
    <w:rsid w:val="006917F3"/>
    <w:rsid w:val="00691AE1"/>
    <w:rsid w:val="00692BC6"/>
    <w:rsid w:val="00693F85"/>
    <w:rsid w:val="00694019"/>
    <w:rsid w:val="0069454F"/>
    <w:rsid w:val="00697303"/>
    <w:rsid w:val="006976A0"/>
    <w:rsid w:val="006978A8"/>
    <w:rsid w:val="006A02A3"/>
    <w:rsid w:val="006A210B"/>
    <w:rsid w:val="006A2966"/>
    <w:rsid w:val="006A3AE8"/>
    <w:rsid w:val="006A46E2"/>
    <w:rsid w:val="006A496E"/>
    <w:rsid w:val="006A7D38"/>
    <w:rsid w:val="006A7D53"/>
    <w:rsid w:val="006B1665"/>
    <w:rsid w:val="006B249D"/>
    <w:rsid w:val="006B3369"/>
    <w:rsid w:val="006B42D0"/>
    <w:rsid w:val="006B4907"/>
    <w:rsid w:val="006B52F5"/>
    <w:rsid w:val="006B7B9B"/>
    <w:rsid w:val="006C2101"/>
    <w:rsid w:val="006C24DB"/>
    <w:rsid w:val="006C40AE"/>
    <w:rsid w:val="006C42D8"/>
    <w:rsid w:val="006C4949"/>
    <w:rsid w:val="006C50AC"/>
    <w:rsid w:val="006C5ACD"/>
    <w:rsid w:val="006C602C"/>
    <w:rsid w:val="006C6784"/>
    <w:rsid w:val="006C691F"/>
    <w:rsid w:val="006C6B83"/>
    <w:rsid w:val="006D2B52"/>
    <w:rsid w:val="006D38F9"/>
    <w:rsid w:val="006D3F18"/>
    <w:rsid w:val="006D4984"/>
    <w:rsid w:val="006D7054"/>
    <w:rsid w:val="006D7919"/>
    <w:rsid w:val="006E0D9A"/>
    <w:rsid w:val="006E21F9"/>
    <w:rsid w:val="006E6746"/>
    <w:rsid w:val="006E74E3"/>
    <w:rsid w:val="006E7533"/>
    <w:rsid w:val="006F06FF"/>
    <w:rsid w:val="006F0712"/>
    <w:rsid w:val="006F0713"/>
    <w:rsid w:val="006F3C14"/>
    <w:rsid w:val="006F4877"/>
    <w:rsid w:val="006F616C"/>
    <w:rsid w:val="00700AD8"/>
    <w:rsid w:val="0070223B"/>
    <w:rsid w:val="0070239F"/>
    <w:rsid w:val="00705BE5"/>
    <w:rsid w:val="00710572"/>
    <w:rsid w:val="00711538"/>
    <w:rsid w:val="00712697"/>
    <w:rsid w:val="0071366A"/>
    <w:rsid w:val="00714FDC"/>
    <w:rsid w:val="00717388"/>
    <w:rsid w:val="00717A22"/>
    <w:rsid w:val="00725355"/>
    <w:rsid w:val="007268F3"/>
    <w:rsid w:val="007269FB"/>
    <w:rsid w:val="007339E9"/>
    <w:rsid w:val="00733E94"/>
    <w:rsid w:val="00735929"/>
    <w:rsid w:val="0073737B"/>
    <w:rsid w:val="00737F2C"/>
    <w:rsid w:val="00741940"/>
    <w:rsid w:val="007420A5"/>
    <w:rsid w:val="00742FDB"/>
    <w:rsid w:val="00743BD7"/>
    <w:rsid w:val="00743E6A"/>
    <w:rsid w:val="00744581"/>
    <w:rsid w:val="007454AB"/>
    <w:rsid w:val="00745F37"/>
    <w:rsid w:val="00746722"/>
    <w:rsid w:val="007514B0"/>
    <w:rsid w:val="0075211B"/>
    <w:rsid w:val="00752215"/>
    <w:rsid w:val="00752EE3"/>
    <w:rsid w:val="00753B3E"/>
    <w:rsid w:val="00754A93"/>
    <w:rsid w:val="007551B8"/>
    <w:rsid w:val="007551C0"/>
    <w:rsid w:val="00757B1A"/>
    <w:rsid w:val="00760114"/>
    <w:rsid w:val="0076097C"/>
    <w:rsid w:val="007620E0"/>
    <w:rsid w:val="00762867"/>
    <w:rsid w:val="007633CE"/>
    <w:rsid w:val="00763D29"/>
    <w:rsid w:val="00763E68"/>
    <w:rsid w:val="007665B1"/>
    <w:rsid w:val="0077039D"/>
    <w:rsid w:val="007724F2"/>
    <w:rsid w:val="007756E4"/>
    <w:rsid w:val="00776DB8"/>
    <w:rsid w:val="00782FD3"/>
    <w:rsid w:val="00784CB0"/>
    <w:rsid w:val="00784CE8"/>
    <w:rsid w:val="007858C2"/>
    <w:rsid w:val="007932A8"/>
    <w:rsid w:val="007934B3"/>
    <w:rsid w:val="007940EF"/>
    <w:rsid w:val="00794553"/>
    <w:rsid w:val="0079556E"/>
    <w:rsid w:val="00795AAA"/>
    <w:rsid w:val="007966BC"/>
    <w:rsid w:val="00796744"/>
    <w:rsid w:val="00796F36"/>
    <w:rsid w:val="007A78BA"/>
    <w:rsid w:val="007B04F7"/>
    <w:rsid w:val="007C0DF3"/>
    <w:rsid w:val="007C12A3"/>
    <w:rsid w:val="007C142B"/>
    <w:rsid w:val="007C62AF"/>
    <w:rsid w:val="007C73AE"/>
    <w:rsid w:val="007D03DB"/>
    <w:rsid w:val="007D1703"/>
    <w:rsid w:val="007D3A9C"/>
    <w:rsid w:val="007D3C51"/>
    <w:rsid w:val="007D3FDB"/>
    <w:rsid w:val="007D4631"/>
    <w:rsid w:val="007D4C76"/>
    <w:rsid w:val="007D5CF4"/>
    <w:rsid w:val="007D65F3"/>
    <w:rsid w:val="007D7D98"/>
    <w:rsid w:val="007E05AF"/>
    <w:rsid w:val="007E1DC4"/>
    <w:rsid w:val="007E1E8F"/>
    <w:rsid w:val="007E519F"/>
    <w:rsid w:val="007E55AF"/>
    <w:rsid w:val="007E78A6"/>
    <w:rsid w:val="007E7BDA"/>
    <w:rsid w:val="007F1391"/>
    <w:rsid w:val="007F1C7A"/>
    <w:rsid w:val="007F333F"/>
    <w:rsid w:val="007F43A4"/>
    <w:rsid w:val="007F62D4"/>
    <w:rsid w:val="007F7BF7"/>
    <w:rsid w:val="007F7F81"/>
    <w:rsid w:val="007F7FEF"/>
    <w:rsid w:val="0080013E"/>
    <w:rsid w:val="008021B4"/>
    <w:rsid w:val="00802F2C"/>
    <w:rsid w:val="00803835"/>
    <w:rsid w:val="008039CF"/>
    <w:rsid w:val="008046F7"/>
    <w:rsid w:val="008056DD"/>
    <w:rsid w:val="00806BAB"/>
    <w:rsid w:val="00806C90"/>
    <w:rsid w:val="00806DCD"/>
    <w:rsid w:val="00806F05"/>
    <w:rsid w:val="00811117"/>
    <w:rsid w:val="0081117E"/>
    <w:rsid w:val="00811C8C"/>
    <w:rsid w:val="00812D4E"/>
    <w:rsid w:val="00814787"/>
    <w:rsid w:val="00814AED"/>
    <w:rsid w:val="00815638"/>
    <w:rsid w:val="00815CA3"/>
    <w:rsid w:val="008160C9"/>
    <w:rsid w:val="008203F3"/>
    <w:rsid w:val="008207F0"/>
    <w:rsid w:val="00820C89"/>
    <w:rsid w:val="008217D5"/>
    <w:rsid w:val="00821B2B"/>
    <w:rsid w:val="00822197"/>
    <w:rsid w:val="00822546"/>
    <w:rsid w:val="00822B9B"/>
    <w:rsid w:val="008246AD"/>
    <w:rsid w:val="00825524"/>
    <w:rsid w:val="008308E5"/>
    <w:rsid w:val="00831979"/>
    <w:rsid w:val="00832EAF"/>
    <w:rsid w:val="00835A1E"/>
    <w:rsid w:val="008360E6"/>
    <w:rsid w:val="0083629E"/>
    <w:rsid w:val="00837C49"/>
    <w:rsid w:val="008422D5"/>
    <w:rsid w:val="00842FC6"/>
    <w:rsid w:val="008437FD"/>
    <w:rsid w:val="00843A36"/>
    <w:rsid w:val="00845B79"/>
    <w:rsid w:val="008546ED"/>
    <w:rsid w:val="00855B35"/>
    <w:rsid w:val="00855B3E"/>
    <w:rsid w:val="008642AF"/>
    <w:rsid w:val="00864687"/>
    <w:rsid w:val="00865BF5"/>
    <w:rsid w:val="008667B5"/>
    <w:rsid w:val="008668D6"/>
    <w:rsid w:val="00867354"/>
    <w:rsid w:val="00867DC2"/>
    <w:rsid w:val="00870832"/>
    <w:rsid w:val="00870C9D"/>
    <w:rsid w:val="008726BE"/>
    <w:rsid w:val="00872AA8"/>
    <w:rsid w:val="0087327E"/>
    <w:rsid w:val="0087332B"/>
    <w:rsid w:val="00873EEF"/>
    <w:rsid w:val="0087685A"/>
    <w:rsid w:val="00876AC0"/>
    <w:rsid w:val="00877EE4"/>
    <w:rsid w:val="008800B7"/>
    <w:rsid w:val="00880648"/>
    <w:rsid w:val="00880F1C"/>
    <w:rsid w:val="00881268"/>
    <w:rsid w:val="00881D84"/>
    <w:rsid w:val="00882136"/>
    <w:rsid w:val="00882221"/>
    <w:rsid w:val="00883415"/>
    <w:rsid w:val="00883780"/>
    <w:rsid w:val="008838C3"/>
    <w:rsid w:val="00884015"/>
    <w:rsid w:val="00886016"/>
    <w:rsid w:val="00887134"/>
    <w:rsid w:val="008909CA"/>
    <w:rsid w:val="008915DD"/>
    <w:rsid w:val="00894E0E"/>
    <w:rsid w:val="00895044"/>
    <w:rsid w:val="008950ED"/>
    <w:rsid w:val="00896231"/>
    <w:rsid w:val="008971BE"/>
    <w:rsid w:val="00897518"/>
    <w:rsid w:val="00897FEE"/>
    <w:rsid w:val="008A0B3F"/>
    <w:rsid w:val="008A1E26"/>
    <w:rsid w:val="008A3414"/>
    <w:rsid w:val="008A3501"/>
    <w:rsid w:val="008A37B0"/>
    <w:rsid w:val="008A4CD3"/>
    <w:rsid w:val="008A5132"/>
    <w:rsid w:val="008A5FE5"/>
    <w:rsid w:val="008B2815"/>
    <w:rsid w:val="008B2E5D"/>
    <w:rsid w:val="008B3301"/>
    <w:rsid w:val="008B3E7B"/>
    <w:rsid w:val="008B6DA5"/>
    <w:rsid w:val="008C132F"/>
    <w:rsid w:val="008C1904"/>
    <w:rsid w:val="008C1A2F"/>
    <w:rsid w:val="008C445B"/>
    <w:rsid w:val="008C5C71"/>
    <w:rsid w:val="008C6ED5"/>
    <w:rsid w:val="008C77DB"/>
    <w:rsid w:val="008C7F69"/>
    <w:rsid w:val="008C7F7C"/>
    <w:rsid w:val="008D1185"/>
    <w:rsid w:val="008D31D9"/>
    <w:rsid w:val="008D5849"/>
    <w:rsid w:val="008D59EA"/>
    <w:rsid w:val="008D6328"/>
    <w:rsid w:val="008D6B21"/>
    <w:rsid w:val="008D7EF2"/>
    <w:rsid w:val="008E1720"/>
    <w:rsid w:val="008E1A7C"/>
    <w:rsid w:val="008E2231"/>
    <w:rsid w:val="008E4BF9"/>
    <w:rsid w:val="008E4E6B"/>
    <w:rsid w:val="008F1D8F"/>
    <w:rsid w:val="008F1F5A"/>
    <w:rsid w:val="008F3090"/>
    <w:rsid w:val="008F58C6"/>
    <w:rsid w:val="008F5F47"/>
    <w:rsid w:val="009002EC"/>
    <w:rsid w:val="00903330"/>
    <w:rsid w:val="00904170"/>
    <w:rsid w:val="0090429D"/>
    <w:rsid w:val="0090777E"/>
    <w:rsid w:val="00907A88"/>
    <w:rsid w:val="00907A98"/>
    <w:rsid w:val="0091218E"/>
    <w:rsid w:val="00912FF6"/>
    <w:rsid w:val="009133E9"/>
    <w:rsid w:val="00913D87"/>
    <w:rsid w:val="0091427C"/>
    <w:rsid w:val="009214A0"/>
    <w:rsid w:val="0092169E"/>
    <w:rsid w:val="00922D02"/>
    <w:rsid w:val="00924789"/>
    <w:rsid w:val="00925A22"/>
    <w:rsid w:val="00925D4B"/>
    <w:rsid w:val="00926C27"/>
    <w:rsid w:val="00930981"/>
    <w:rsid w:val="009333DC"/>
    <w:rsid w:val="00934248"/>
    <w:rsid w:val="00934694"/>
    <w:rsid w:val="00935A58"/>
    <w:rsid w:val="009365AD"/>
    <w:rsid w:val="00936E2F"/>
    <w:rsid w:val="00937787"/>
    <w:rsid w:val="009428CD"/>
    <w:rsid w:val="00943C22"/>
    <w:rsid w:val="00943ECB"/>
    <w:rsid w:val="009449B0"/>
    <w:rsid w:val="00944A73"/>
    <w:rsid w:val="0095007A"/>
    <w:rsid w:val="00950C5C"/>
    <w:rsid w:val="0095112F"/>
    <w:rsid w:val="00952766"/>
    <w:rsid w:val="009561D4"/>
    <w:rsid w:val="00956953"/>
    <w:rsid w:val="009602E9"/>
    <w:rsid w:val="00960A58"/>
    <w:rsid w:val="00963A74"/>
    <w:rsid w:val="00967999"/>
    <w:rsid w:val="00967EE8"/>
    <w:rsid w:val="00970F16"/>
    <w:rsid w:val="00973FA1"/>
    <w:rsid w:val="009756A4"/>
    <w:rsid w:val="00975F03"/>
    <w:rsid w:val="00983C0A"/>
    <w:rsid w:val="009858EA"/>
    <w:rsid w:val="00986E2C"/>
    <w:rsid w:val="0098756A"/>
    <w:rsid w:val="00994AE1"/>
    <w:rsid w:val="009963DC"/>
    <w:rsid w:val="0099745E"/>
    <w:rsid w:val="009974F6"/>
    <w:rsid w:val="009A00AC"/>
    <w:rsid w:val="009A0A09"/>
    <w:rsid w:val="009A0D7E"/>
    <w:rsid w:val="009A657C"/>
    <w:rsid w:val="009A6590"/>
    <w:rsid w:val="009A6C07"/>
    <w:rsid w:val="009B2368"/>
    <w:rsid w:val="009B2797"/>
    <w:rsid w:val="009B2BA8"/>
    <w:rsid w:val="009B2F5E"/>
    <w:rsid w:val="009B37C2"/>
    <w:rsid w:val="009B3904"/>
    <w:rsid w:val="009B3950"/>
    <w:rsid w:val="009B4268"/>
    <w:rsid w:val="009B4969"/>
    <w:rsid w:val="009B66A5"/>
    <w:rsid w:val="009B6A0F"/>
    <w:rsid w:val="009B73D4"/>
    <w:rsid w:val="009C2EA3"/>
    <w:rsid w:val="009C5901"/>
    <w:rsid w:val="009C59E1"/>
    <w:rsid w:val="009C66FA"/>
    <w:rsid w:val="009C7956"/>
    <w:rsid w:val="009D0678"/>
    <w:rsid w:val="009D3274"/>
    <w:rsid w:val="009D3CF9"/>
    <w:rsid w:val="009D489D"/>
    <w:rsid w:val="009D575E"/>
    <w:rsid w:val="009D59C5"/>
    <w:rsid w:val="009D5C5F"/>
    <w:rsid w:val="009D6E07"/>
    <w:rsid w:val="009E11DF"/>
    <w:rsid w:val="009E1A98"/>
    <w:rsid w:val="009E336B"/>
    <w:rsid w:val="009E3D46"/>
    <w:rsid w:val="009E438F"/>
    <w:rsid w:val="009E4CF8"/>
    <w:rsid w:val="009E65A2"/>
    <w:rsid w:val="009E6640"/>
    <w:rsid w:val="009E6B23"/>
    <w:rsid w:val="009E755F"/>
    <w:rsid w:val="009F002F"/>
    <w:rsid w:val="009F0054"/>
    <w:rsid w:val="009F0A82"/>
    <w:rsid w:val="009F2CE3"/>
    <w:rsid w:val="009F41A4"/>
    <w:rsid w:val="009F467F"/>
    <w:rsid w:val="009F5908"/>
    <w:rsid w:val="009F594D"/>
    <w:rsid w:val="009F6203"/>
    <w:rsid w:val="009F70C2"/>
    <w:rsid w:val="009F7262"/>
    <w:rsid w:val="00A01C3B"/>
    <w:rsid w:val="00A01EF4"/>
    <w:rsid w:val="00A02521"/>
    <w:rsid w:val="00A031ED"/>
    <w:rsid w:val="00A03862"/>
    <w:rsid w:val="00A0434F"/>
    <w:rsid w:val="00A05824"/>
    <w:rsid w:val="00A0611F"/>
    <w:rsid w:val="00A061F2"/>
    <w:rsid w:val="00A070BB"/>
    <w:rsid w:val="00A11E36"/>
    <w:rsid w:val="00A14543"/>
    <w:rsid w:val="00A14D39"/>
    <w:rsid w:val="00A14D49"/>
    <w:rsid w:val="00A165E3"/>
    <w:rsid w:val="00A20158"/>
    <w:rsid w:val="00A234F8"/>
    <w:rsid w:val="00A23C80"/>
    <w:rsid w:val="00A23E1A"/>
    <w:rsid w:val="00A240FC"/>
    <w:rsid w:val="00A24995"/>
    <w:rsid w:val="00A25CBC"/>
    <w:rsid w:val="00A25DB3"/>
    <w:rsid w:val="00A27A4D"/>
    <w:rsid w:val="00A3073B"/>
    <w:rsid w:val="00A30B27"/>
    <w:rsid w:val="00A32E89"/>
    <w:rsid w:val="00A33755"/>
    <w:rsid w:val="00A35C55"/>
    <w:rsid w:val="00A372C7"/>
    <w:rsid w:val="00A37785"/>
    <w:rsid w:val="00A42E23"/>
    <w:rsid w:val="00A42EC2"/>
    <w:rsid w:val="00A440F8"/>
    <w:rsid w:val="00A44E5D"/>
    <w:rsid w:val="00A46123"/>
    <w:rsid w:val="00A46E9D"/>
    <w:rsid w:val="00A47806"/>
    <w:rsid w:val="00A47F55"/>
    <w:rsid w:val="00A50107"/>
    <w:rsid w:val="00A51962"/>
    <w:rsid w:val="00A52710"/>
    <w:rsid w:val="00A54E85"/>
    <w:rsid w:val="00A575D7"/>
    <w:rsid w:val="00A6088D"/>
    <w:rsid w:val="00A60A67"/>
    <w:rsid w:val="00A61CB6"/>
    <w:rsid w:val="00A62F9F"/>
    <w:rsid w:val="00A639CD"/>
    <w:rsid w:val="00A65060"/>
    <w:rsid w:val="00A65071"/>
    <w:rsid w:val="00A668E7"/>
    <w:rsid w:val="00A66BF0"/>
    <w:rsid w:val="00A66D6C"/>
    <w:rsid w:val="00A718D0"/>
    <w:rsid w:val="00A71A07"/>
    <w:rsid w:val="00A72C1B"/>
    <w:rsid w:val="00A74073"/>
    <w:rsid w:val="00A7448A"/>
    <w:rsid w:val="00A749E4"/>
    <w:rsid w:val="00A74CF3"/>
    <w:rsid w:val="00A74D77"/>
    <w:rsid w:val="00A77FDA"/>
    <w:rsid w:val="00A80555"/>
    <w:rsid w:val="00A80BCA"/>
    <w:rsid w:val="00A81B1A"/>
    <w:rsid w:val="00A82EB6"/>
    <w:rsid w:val="00A82EF3"/>
    <w:rsid w:val="00A84417"/>
    <w:rsid w:val="00A845C1"/>
    <w:rsid w:val="00A84692"/>
    <w:rsid w:val="00A863A1"/>
    <w:rsid w:val="00A863F5"/>
    <w:rsid w:val="00A86893"/>
    <w:rsid w:val="00A86D6B"/>
    <w:rsid w:val="00A90E2E"/>
    <w:rsid w:val="00A92461"/>
    <w:rsid w:val="00A9484B"/>
    <w:rsid w:val="00A94A98"/>
    <w:rsid w:val="00A9546F"/>
    <w:rsid w:val="00A96B8C"/>
    <w:rsid w:val="00AA0163"/>
    <w:rsid w:val="00AA0B4D"/>
    <w:rsid w:val="00AA14AF"/>
    <w:rsid w:val="00AA2725"/>
    <w:rsid w:val="00AA286D"/>
    <w:rsid w:val="00AA5721"/>
    <w:rsid w:val="00AA5B96"/>
    <w:rsid w:val="00AB281E"/>
    <w:rsid w:val="00AB33E5"/>
    <w:rsid w:val="00AB438C"/>
    <w:rsid w:val="00AB4EEA"/>
    <w:rsid w:val="00AB5E99"/>
    <w:rsid w:val="00AB69A9"/>
    <w:rsid w:val="00AB77EC"/>
    <w:rsid w:val="00AB7DD5"/>
    <w:rsid w:val="00AC0CC6"/>
    <w:rsid w:val="00AC2EE2"/>
    <w:rsid w:val="00AC615D"/>
    <w:rsid w:val="00AC68E7"/>
    <w:rsid w:val="00AC71B5"/>
    <w:rsid w:val="00AC7AAB"/>
    <w:rsid w:val="00AD113E"/>
    <w:rsid w:val="00AD20E2"/>
    <w:rsid w:val="00AD325F"/>
    <w:rsid w:val="00AD332F"/>
    <w:rsid w:val="00AD74E8"/>
    <w:rsid w:val="00AD7D66"/>
    <w:rsid w:val="00AD7EF7"/>
    <w:rsid w:val="00AE184A"/>
    <w:rsid w:val="00AE22EB"/>
    <w:rsid w:val="00AE6445"/>
    <w:rsid w:val="00AF2895"/>
    <w:rsid w:val="00AF2D59"/>
    <w:rsid w:val="00AF485A"/>
    <w:rsid w:val="00AF51D1"/>
    <w:rsid w:val="00AF5D57"/>
    <w:rsid w:val="00AF7F1E"/>
    <w:rsid w:val="00B00939"/>
    <w:rsid w:val="00B0122E"/>
    <w:rsid w:val="00B03691"/>
    <w:rsid w:val="00B040AE"/>
    <w:rsid w:val="00B05004"/>
    <w:rsid w:val="00B050C5"/>
    <w:rsid w:val="00B05AEA"/>
    <w:rsid w:val="00B069C3"/>
    <w:rsid w:val="00B07E9C"/>
    <w:rsid w:val="00B07F3E"/>
    <w:rsid w:val="00B11A7D"/>
    <w:rsid w:val="00B12453"/>
    <w:rsid w:val="00B13166"/>
    <w:rsid w:val="00B1650C"/>
    <w:rsid w:val="00B21AC9"/>
    <w:rsid w:val="00B21BC0"/>
    <w:rsid w:val="00B2251C"/>
    <w:rsid w:val="00B22B63"/>
    <w:rsid w:val="00B24101"/>
    <w:rsid w:val="00B24FB8"/>
    <w:rsid w:val="00B2541C"/>
    <w:rsid w:val="00B258E6"/>
    <w:rsid w:val="00B25FA1"/>
    <w:rsid w:val="00B2646B"/>
    <w:rsid w:val="00B307F1"/>
    <w:rsid w:val="00B31CC2"/>
    <w:rsid w:val="00B323D0"/>
    <w:rsid w:val="00B32D03"/>
    <w:rsid w:val="00B32D90"/>
    <w:rsid w:val="00B34DCF"/>
    <w:rsid w:val="00B3529D"/>
    <w:rsid w:val="00B35751"/>
    <w:rsid w:val="00B36010"/>
    <w:rsid w:val="00B364D6"/>
    <w:rsid w:val="00B370C6"/>
    <w:rsid w:val="00B370DC"/>
    <w:rsid w:val="00B4008C"/>
    <w:rsid w:val="00B4066E"/>
    <w:rsid w:val="00B4126D"/>
    <w:rsid w:val="00B419F8"/>
    <w:rsid w:val="00B4347D"/>
    <w:rsid w:val="00B439EB"/>
    <w:rsid w:val="00B43EA2"/>
    <w:rsid w:val="00B43FCC"/>
    <w:rsid w:val="00B46611"/>
    <w:rsid w:val="00B47507"/>
    <w:rsid w:val="00B4758D"/>
    <w:rsid w:val="00B50305"/>
    <w:rsid w:val="00B50597"/>
    <w:rsid w:val="00B51302"/>
    <w:rsid w:val="00B522CD"/>
    <w:rsid w:val="00B53357"/>
    <w:rsid w:val="00B53D75"/>
    <w:rsid w:val="00B54638"/>
    <w:rsid w:val="00B603A8"/>
    <w:rsid w:val="00B60B6C"/>
    <w:rsid w:val="00B610E0"/>
    <w:rsid w:val="00B611A1"/>
    <w:rsid w:val="00B6430E"/>
    <w:rsid w:val="00B65268"/>
    <w:rsid w:val="00B656C0"/>
    <w:rsid w:val="00B66974"/>
    <w:rsid w:val="00B673B8"/>
    <w:rsid w:val="00B70206"/>
    <w:rsid w:val="00B704A5"/>
    <w:rsid w:val="00B70A3B"/>
    <w:rsid w:val="00B7195F"/>
    <w:rsid w:val="00B72B27"/>
    <w:rsid w:val="00B73029"/>
    <w:rsid w:val="00B73968"/>
    <w:rsid w:val="00B73C66"/>
    <w:rsid w:val="00B76E5C"/>
    <w:rsid w:val="00B77E13"/>
    <w:rsid w:val="00B816D2"/>
    <w:rsid w:val="00B84A99"/>
    <w:rsid w:val="00B91BF4"/>
    <w:rsid w:val="00B93B99"/>
    <w:rsid w:val="00B93D5B"/>
    <w:rsid w:val="00B97A0B"/>
    <w:rsid w:val="00BA00BD"/>
    <w:rsid w:val="00BA01FB"/>
    <w:rsid w:val="00BA0A7A"/>
    <w:rsid w:val="00BA1A14"/>
    <w:rsid w:val="00BA3E09"/>
    <w:rsid w:val="00BA6046"/>
    <w:rsid w:val="00BA6895"/>
    <w:rsid w:val="00BB0626"/>
    <w:rsid w:val="00BB0DEE"/>
    <w:rsid w:val="00BB199D"/>
    <w:rsid w:val="00BB1BDD"/>
    <w:rsid w:val="00BB2BFD"/>
    <w:rsid w:val="00BB2CF0"/>
    <w:rsid w:val="00BB31FA"/>
    <w:rsid w:val="00BB3C67"/>
    <w:rsid w:val="00BB3FA5"/>
    <w:rsid w:val="00BB5CC1"/>
    <w:rsid w:val="00BB5E12"/>
    <w:rsid w:val="00BB6AD0"/>
    <w:rsid w:val="00BC0C08"/>
    <w:rsid w:val="00BC0DA0"/>
    <w:rsid w:val="00BC177A"/>
    <w:rsid w:val="00BC32D9"/>
    <w:rsid w:val="00BC4224"/>
    <w:rsid w:val="00BC4E59"/>
    <w:rsid w:val="00BC63CC"/>
    <w:rsid w:val="00BC6A7F"/>
    <w:rsid w:val="00BD042D"/>
    <w:rsid w:val="00BD0A53"/>
    <w:rsid w:val="00BD3D70"/>
    <w:rsid w:val="00BD4300"/>
    <w:rsid w:val="00BD663F"/>
    <w:rsid w:val="00BE417A"/>
    <w:rsid w:val="00BE50C2"/>
    <w:rsid w:val="00BE56E4"/>
    <w:rsid w:val="00BE59CE"/>
    <w:rsid w:val="00BE5A85"/>
    <w:rsid w:val="00BE633F"/>
    <w:rsid w:val="00BE668D"/>
    <w:rsid w:val="00BE7575"/>
    <w:rsid w:val="00BF10E0"/>
    <w:rsid w:val="00BF27C2"/>
    <w:rsid w:val="00BF2F16"/>
    <w:rsid w:val="00BF550E"/>
    <w:rsid w:val="00BF7189"/>
    <w:rsid w:val="00C00532"/>
    <w:rsid w:val="00C02778"/>
    <w:rsid w:val="00C033C2"/>
    <w:rsid w:val="00C03B01"/>
    <w:rsid w:val="00C03F3B"/>
    <w:rsid w:val="00C04C50"/>
    <w:rsid w:val="00C04CFA"/>
    <w:rsid w:val="00C04DFE"/>
    <w:rsid w:val="00C052AD"/>
    <w:rsid w:val="00C05683"/>
    <w:rsid w:val="00C05C89"/>
    <w:rsid w:val="00C06E30"/>
    <w:rsid w:val="00C10374"/>
    <w:rsid w:val="00C10A35"/>
    <w:rsid w:val="00C11B45"/>
    <w:rsid w:val="00C12546"/>
    <w:rsid w:val="00C1766D"/>
    <w:rsid w:val="00C17B29"/>
    <w:rsid w:val="00C20912"/>
    <w:rsid w:val="00C20A2F"/>
    <w:rsid w:val="00C221FD"/>
    <w:rsid w:val="00C2232B"/>
    <w:rsid w:val="00C23D7F"/>
    <w:rsid w:val="00C23EE1"/>
    <w:rsid w:val="00C23F7F"/>
    <w:rsid w:val="00C2430F"/>
    <w:rsid w:val="00C25649"/>
    <w:rsid w:val="00C25EFB"/>
    <w:rsid w:val="00C267C7"/>
    <w:rsid w:val="00C27BEB"/>
    <w:rsid w:val="00C3100B"/>
    <w:rsid w:val="00C31722"/>
    <w:rsid w:val="00C322C8"/>
    <w:rsid w:val="00C326FB"/>
    <w:rsid w:val="00C3383A"/>
    <w:rsid w:val="00C3647F"/>
    <w:rsid w:val="00C376D7"/>
    <w:rsid w:val="00C37E98"/>
    <w:rsid w:val="00C4083A"/>
    <w:rsid w:val="00C40DAB"/>
    <w:rsid w:val="00C42BC0"/>
    <w:rsid w:val="00C43C29"/>
    <w:rsid w:val="00C44F42"/>
    <w:rsid w:val="00C46680"/>
    <w:rsid w:val="00C468D7"/>
    <w:rsid w:val="00C4690B"/>
    <w:rsid w:val="00C51ECD"/>
    <w:rsid w:val="00C52AD0"/>
    <w:rsid w:val="00C53ADC"/>
    <w:rsid w:val="00C542E8"/>
    <w:rsid w:val="00C55872"/>
    <w:rsid w:val="00C56387"/>
    <w:rsid w:val="00C56531"/>
    <w:rsid w:val="00C56DEE"/>
    <w:rsid w:val="00C62636"/>
    <w:rsid w:val="00C642FC"/>
    <w:rsid w:val="00C65AC4"/>
    <w:rsid w:val="00C65CD1"/>
    <w:rsid w:val="00C660E0"/>
    <w:rsid w:val="00C67241"/>
    <w:rsid w:val="00C70032"/>
    <w:rsid w:val="00C7007D"/>
    <w:rsid w:val="00C70B68"/>
    <w:rsid w:val="00C71070"/>
    <w:rsid w:val="00C749F7"/>
    <w:rsid w:val="00C75438"/>
    <w:rsid w:val="00C807AB"/>
    <w:rsid w:val="00C80804"/>
    <w:rsid w:val="00C81DF8"/>
    <w:rsid w:val="00C8417B"/>
    <w:rsid w:val="00C85632"/>
    <w:rsid w:val="00C8654B"/>
    <w:rsid w:val="00C879C0"/>
    <w:rsid w:val="00C90380"/>
    <w:rsid w:val="00C91481"/>
    <w:rsid w:val="00C91965"/>
    <w:rsid w:val="00C95172"/>
    <w:rsid w:val="00C952CA"/>
    <w:rsid w:val="00C95B29"/>
    <w:rsid w:val="00C95CDE"/>
    <w:rsid w:val="00C97351"/>
    <w:rsid w:val="00C97ABE"/>
    <w:rsid w:val="00CA0267"/>
    <w:rsid w:val="00CA098E"/>
    <w:rsid w:val="00CA0DDD"/>
    <w:rsid w:val="00CA272D"/>
    <w:rsid w:val="00CA3DCF"/>
    <w:rsid w:val="00CA4141"/>
    <w:rsid w:val="00CA4285"/>
    <w:rsid w:val="00CA4D8E"/>
    <w:rsid w:val="00CA7832"/>
    <w:rsid w:val="00CB1DA7"/>
    <w:rsid w:val="00CB2ABA"/>
    <w:rsid w:val="00CB4A3E"/>
    <w:rsid w:val="00CB5A57"/>
    <w:rsid w:val="00CB5D2B"/>
    <w:rsid w:val="00CB630F"/>
    <w:rsid w:val="00CB6FF3"/>
    <w:rsid w:val="00CB7ACC"/>
    <w:rsid w:val="00CC0729"/>
    <w:rsid w:val="00CC2547"/>
    <w:rsid w:val="00CC358F"/>
    <w:rsid w:val="00CC390C"/>
    <w:rsid w:val="00CC50A6"/>
    <w:rsid w:val="00CD10AB"/>
    <w:rsid w:val="00CD1398"/>
    <w:rsid w:val="00CD1D19"/>
    <w:rsid w:val="00CD40AD"/>
    <w:rsid w:val="00CE02A0"/>
    <w:rsid w:val="00CE119A"/>
    <w:rsid w:val="00CE1A9B"/>
    <w:rsid w:val="00CE1B8C"/>
    <w:rsid w:val="00CE2C95"/>
    <w:rsid w:val="00CE4BB2"/>
    <w:rsid w:val="00CE5F7B"/>
    <w:rsid w:val="00CE5FD2"/>
    <w:rsid w:val="00CE6FD1"/>
    <w:rsid w:val="00CE793A"/>
    <w:rsid w:val="00CF1822"/>
    <w:rsid w:val="00CF28C5"/>
    <w:rsid w:val="00CF4E3F"/>
    <w:rsid w:val="00CF77CB"/>
    <w:rsid w:val="00CF794A"/>
    <w:rsid w:val="00D02100"/>
    <w:rsid w:val="00D035EB"/>
    <w:rsid w:val="00D04457"/>
    <w:rsid w:val="00D050A6"/>
    <w:rsid w:val="00D103C1"/>
    <w:rsid w:val="00D11649"/>
    <w:rsid w:val="00D11EAA"/>
    <w:rsid w:val="00D11FD8"/>
    <w:rsid w:val="00D12F66"/>
    <w:rsid w:val="00D178C8"/>
    <w:rsid w:val="00D21F8C"/>
    <w:rsid w:val="00D247BA"/>
    <w:rsid w:val="00D24903"/>
    <w:rsid w:val="00D27557"/>
    <w:rsid w:val="00D30377"/>
    <w:rsid w:val="00D31E7B"/>
    <w:rsid w:val="00D320C3"/>
    <w:rsid w:val="00D322EE"/>
    <w:rsid w:val="00D3300B"/>
    <w:rsid w:val="00D33D39"/>
    <w:rsid w:val="00D33DC9"/>
    <w:rsid w:val="00D41079"/>
    <w:rsid w:val="00D41123"/>
    <w:rsid w:val="00D42FB3"/>
    <w:rsid w:val="00D44096"/>
    <w:rsid w:val="00D44869"/>
    <w:rsid w:val="00D44F1B"/>
    <w:rsid w:val="00D45265"/>
    <w:rsid w:val="00D45A14"/>
    <w:rsid w:val="00D45CF9"/>
    <w:rsid w:val="00D46403"/>
    <w:rsid w:val="00D5127B"/>
    <w:rsid w:val="00D52F92"/>
    <w:rsid w:val="00D5450C"/>
    <w:rsid w:val="00D54773"/>
    <w:rsid w:val="00D56682"/>
    <w:rsid w:val="00D57F32"/>
    <w:rsid w:val="00D62BE7"/>
    <w:rsid w:val="00D638D2"/>
    <w:rsid w:val="00D640AC"/>
    <w:rsid w:val="00D64C1A"/>
    <w:rsid w:val="00D64E1D"/>
    <w:rsid w:val="00D66BF1"/>
    <w:rsid w:val="00D67137"/>
    <w:rsid w:val="00D67E76"/>
    <w:rsid w:val="00D70229"/>
    <w:rsid w:val="00D70ABE"/>
    <w:rsid w:val="00D71564"/>
    <w:rsid w:val="00D715E0"/>
    <w:rsid w:val="00D76CE6"/>
    <w:rsid w:val="00D806E9"/>
    <w:rsid w:val="00D81C0E"/>
    <w:rsid w:val="00D82902"/>
    <w:rsid w:val="00D8297E"/>
    <w:rsid w:val="00D83422"/>
    <w:rsid w:val="00D84D44"/>
    <w:rsid w:val="00D8534E"/>
    <w:rsid w:val="00D857CE"/>
    <w:rsid w:val="00D87FC2"/>
    <w:rsid w:val="00D9028B"/>
    <w:rsid w:val="00D907A8"/>
    <w:rsid w:val="00D92FA3"/>
    <w:rsid w:val="00D946F5"/>
    <w:rsid w:val="00D9499A"/>
    <w:rsid w:val="00D953BF"/>
    <w:rsid w:val="00D970E3"/>
    <w:rsid w:val="00D97904"/>
    <w:rsid w:val="00DA3482"/>
    <w:rsid w:val="00DA401A"/>
    <w:rsid w:val="00DA5D4B"/>
    <w:rsid w:val="00DA6AE4"/>
    <w:rsid w:val="00DA7F58"/>
    <w:rsid w:val="00DB0134"/>
    <w:rsid w:val="00DB2A79"/>
    <w:rsid w:val="00DB422F"/>
    <w:rsid w:val="00DB4831"/>
    <w:rsid w:val="00DB5317"/>
    <w:rsid w:val="00DC07F7"/>
    <w:rsid w:val="00DC2113"/>
    <w:rsid w:val="00DC29CD"/>
    <w:rsid w:val="00DC3875"/>
    <w:rsid w:val="00DC400F"/>
    <w:rsid w:val="00DC4549"/>
    <w:rsid w:val="00DC47AF"/>
    <w:rsid w:val="00DC514E"/>
    <w:rsid w:val="00DC7DF0"/>
    <w:rsid w:val="00DD0EDE"/>
    <w:rsid w:val="00DD1A2F"/>
    <w:rsid w:val="00DD3F42"/>
    <w:rsid w:val="00DD4056"/>
    <w:rsid w:val="00DD7D0C"/>
    <w:rsid w:val="00DE1BF0"/>
    <w:rsid w:val="00DE205D"/>
    <w:rsid w:val="00DE228E"/>
    <w:rsid w:val="00DE237C"/>
    <w:rsid w:val="00DE2A85"/>
    <w:rsid w:val="00DE2FE5"/>
    <w:rsid w:val="00DE6073"/>
    <w:rsid w:val="00DE634D"/>
    <w:rsid w:val="00DE7254"/>
    <w:rsid w:val="00DF1D16"/>
    <w:rsid w:val="00DF3DE8"/>
    <w:rsid w:val="00DF3F3F"/>
    <w:rsid w:val="00DF4CDC"/>
    <w:rsid w:val="00DF573F"/>
    <w:rsid w:val="00DF5BDC"/>
    <w:rsid w:val="00DF654B"/>
    <w:rsid w:val="00E0041C"/>
    <w:rsid w:val="00E00AED"/>
    <w:rsid w:val="00E01023"/>
    <w:rsid w:val="00E0528F"/>
    <w:rsid w:val="00E0579D"/>
    <w:rsid w:val="00E05951"/>
    <w:rsid w:val="00E10B44"/>
    <w:rsid w:val="00E11AF0"/>
    <w:rsid w:val="00E1218B"/>
    <w:rsid w:val="00E128E0"/>
    <w:rsid w:val="00E1303E"/>
    <w:rsid w:val="00E13AF3"/>
    <w:rsid w:val="00E14248"/>
    <w:rsid w:val="00E156D1"/>
    <w:rsid w:val="00E1755B"/>
    <w:rsid w:val="00E17D39"/>
    <w:rsid w:val="00E2088F"/>
    <w:rsid w:val="00E208AD"/>
    <w:rsid w:val="00E20C1B"/>
    <w:rsid w:val="00E21051"/>
    <w:rsid w:val="00E21AF1"/>
    <w:rsid w:val="00E2266B"/>
    <w:rsid w:val="00E23099"/>
    <w:rsid w:val="00E230C3"/>
    <w:rsid w:val="00E2417C"/>
    <w:rsid w:val="00E246A3"/>
    <w:rsid w:val="00E249C4"/>
    <w:rsid w:val="00E25B03"/>
    <w:rsid w:val="00E25FE8"/>
    <w:rsid w:val="00E26B69"/>
    <w:rsid w:val="00E31567"/>
    <w:rsid w:val="00E33194"/>
    <w:rsid w:val="00E34A26"/>
    <w:rsid w:val="00E35145"/>
    <w:rsid w:val="00E35347"/>
    <w:rsid w:val="00E36FA4"/>
    <w:rsid w:val="00E41931"/>
    <w:rsid w:val="00E421AC"/>
    <w:rsid w:val="00E42225"/>
    <w:rsid w:val="00E45173"/>
    <w:rsid w:val="00E50CED"/>
    <w:rsid w:val="00E558C5"/>
    <w:rsid w:val="00E601DA"/>
    <w:rsid w:val="00E60B30"/>
    <w:rsid w:val="00E6598B"/>
    <w:rsid w:val="00E65CFB"/>
    <w:rsid w:val="00E66183"/>
    <w:rsid w:val="00E67CCF"/>
    <w:rsid w:val="00E67D37"/>
    <w:rsid w:val="00E70342"/>
    <w:rsid w:val="00E708A7"/>
    <w:rsid w:val="00E71261"/>
    <w:rsid w:val="00E7146A"/>
    <w:rsid w:val="00E81622"/>
    <w:rsid w:val="00E82B3E"/>
    <w:rsid w:val="00E842CC"/>
    <w:rsid w:val="00E84682"/>
    <w:rsid w:val="00E903BE"/>
    <w:rsid w:val="00E90E43"/>
    <w:rsid w:val="00E91394"/>
    <w:rsid w:val="00E929D3"/>
    <w:rsid w:val="00E945FC"/>
    <w:rsid w:val="00E9601A"/>
    <w:rsid w:val="00E96E19"/>
    <w:rsid w:val="00E973FD"/>
    <w:rsid w:val="00E97609"/>
    <w:rsid w:val="00EA1705"/>
    <w:rsid w:val="00EA5270"/>
    <w:rsid w:val="00EA5451"/>
    <w:rsid w:val="00EA598F"/>
    <w:rsid w:val="00EA69A7"/>
    <w:rsid w:val="00EB0188"/>
    <w:rsid w:val="00EB1420"/>
    <w:rsid w:val="00EB1AA2"/>
    <w:rsid w:val="00EB2723"/>
    <w:rsid w:val="00EB3697"/>
    <w:rsid w:val="00EB3EDF"/>
    <w:rsid w:val="00EB48CD"/>
    <w:rsid w:val="00EB4A08"/>
    <w:rsid w:val="00EB52FE"/>
    <w:rsid w:val="00EB5E0C"/>
    <w:rsid w:val="00EC187B"/>
    <w:rsid w:val="00EC2403"/>
    <w:rsid w:val="00EC2E05"/>
    <w:rsid w:val="00ED305A"/>
    <w:rsid w:val="00ED4B9C"/>
    <w:rsid w:val="00ED4BA1"/>
    <w:rsid w:val="00ED56BD"/>
    <w:rsid w:val="00ED5DA6"/>
    <w:rsid w:val="00ED698A"/>
    <w:rsid w:val="00ED724D"/>
    <w:rsid w:val="00ED77EC"/>
    <w:rsid w:val="00EE0398"/>
    <w:rsid w:val="00EE26CB"/>
    <w:rsid w:val="00EE390E"/>
    <w:rsid w:val="00EE48BF"/>
    <w:rsid w:val="00EE6619"/>
    <w:rsid w:val="00EE7214"/>
    <w:rsid w:val="00EF0749"/>
    <w:rsid w:val="00EF0B6B"/>
    <w:rsid w:val="00EF279C"/>
    <w:rsid w:val="00EF7020"/>
    <w:rsid w:val="00F0197E"/>
    <w:rsid w:val="00F0228B"/>
    <w:rsid w:val="00F02533"/>
    <w:rsid w:val="00F0311E"/>
    <w:rsid w:val="00F04FC3"/>
    <w:rsid w:val="00F05882"/>
    <w:rsid w:val="00F06419"/>
    <w:rsid w:val="00F074AF"/>
    <w:rsid w:val="00F0752A"/>
    <w:rsid w:val="00F0773C"/>
    <w:rsid w:val="00F12929"/>
    <w:rsid w:val="00F1465D"/>
    <w:rsid w:val="00F168FB"/>
    <w:rsid w:val="00F17B62"/>
    <w:rsid w:val="00F20F59"/>
    <w:rsid w:val="00F22A3A"/>
    <w:rsid w:val="00F2359B"/>
    <w:rsid w:val="00F25303"/>
    <w:rsid w:val="00F25591"/>
    <w:rsid w:val="00F270B8"/>
    <w:rsid w:val="00F277BB"/>
    <w:rsid w:val="00F27A58"/>
    <w:rsid w:val="00F320E3"/>
    <w:rsid w:val="00F322B4"/>
    <w:rsid w:val="00F3298B"/>
    <w:rsid w:val="00F36965"/>
    <w:rsid w:val="00F44943"/>
    <w:rsid w:val="00F45D7A"/>
    <w:rsid w:val="00F464AB"/>
    <w:rsid w:val="00F5005A"/>
    <w:rsid w:val="00F512D6"/>
    <w:rsid w:val="00F52173"/>
    <w:rsid w:val="00F53685"/>
    <w:rsid w:val="00F53756"/>
    <w:rsid w:val="00F5514A"/>
    <w:rsid w:val="00F556A2"/>
    <w:rsid w:val="00F559A3"/>
    <w:rsid w:val="00F57F4C"/>
    <w:rsid w:val="00F624A2"/>
    <w:rsid w:val="00F63162"/>
    <w:rsid w:val="00F63B38"/>
    <w:rsid w:val="00F6400C"/>
    <w:rsid w:val="00F640F5"/>
    <w:rsid w:val="00F65558"/>
    <w:rsid w:val="00F667A8"/>
    <w:rsid w:val="00F66B1A"/>
    <w:rsid w:val="00F67711"/>
    <w:rsid w:val="00F6790B"/>
    <w:rsid w:val="00F67AB8"/>
    <w:rsid w:val="00F704B2"/>
    <w:rsid w:val="00F704B9"/>
    <w:rsid w:val="00F70755"/>
    <w:rsid w:val="00F710FD"/>
    <w:rsid w:val="00F7157E"/>
    <w:rsid w:val="00F719AA"/>
    <w:rsid w:val="00F71B2C"/>
    <w:rsid w:val="00F7498D"/>
    <w:rsid w:val="00F75786"/>
    <w:rsid w:val="00F75B96"/>
    <w:rsid w:val="00F7616E"/>
    <w:rsid w:val="00F8250A"/>
    <w:rsid w:val="00F85540"/>
    <w:rsid w:val="00F874A1"/>
    <w:rsid w:val="00F92063"/>
    <w:rsid w:val="00F928A0"/>
    <w:rsid w:val="00F93F55"/>
    <w:rsid w:val="00F945FE"/>
    <w:rsid w:val="00F95B56"/>
    <w:rsid w:val="00F95FE0"/>
    <w:rsid w:val="00F962CD"/>
    <w:rsid w:val="00F967C2"/>
    <w:rsid w:val="00FA1EE8"/>
    <w:rsid w:val="00FA3759"/>
    <w:rsid w:val="00FA748A"/>
    <w:rsid w:val="00FA74A2"/>
    <w:rsid w:val="00FB010E"/>
    <w:rsid w:val="00FB3568"/>
    <w:rsid w:val="00FB4657"/>
    <w:rsid w:val="00FB58C0"/>
    <w:rsid w:val="00FB5E91"/>
    <w:rsid w:val="00FB6EAA"/>
    <w:rsid w:val="00FC02A4"/>
    <w:rsid w:val="00FC11ED"/>
    <w:rsid w:val="00FC17DF"/>
    <w:rsid w:val="00FC1BD6"/>
    <w:rsid w:val="00FC2B44"/>
    <w:rsid w:val="00FC3DCA"/>
    <w:rsid w:val="00FC4331"/>
    <w:rsid w:val="00FC4BF3"/>
    <w:rsid w:val="00FC4E29"/>
    <w:rsid w:val="00FC57C0"/>
    <w:rsid w:val="00FC6964"/>
    <w:rsid w:val="00FC6CAA"/>
    <w:rsid w:val="00FC6D72"/>
    <w:rsid w:val="00FC7A01"/>
    <w:rsid w:val="00FD2F14"/>
    <w:rsid w:val="00FD3B37"/>
    <w:rsid w:val="00FD63B5"/>
    <w:rsid w:val="00FD7DB6"/>
    <w:rsid w:val="00FE0178"/>
    <w:rsid w:val="00FE422E"/>
    <w:rsid w:val="00FE56F4"/>
    <w:rsid w:val="00FF12DF"/>
    <w:rsid w:val="00FF4887"/>
    <w:rsid w:val="00FF553A"/>
    <w:rsid w:val="00FF5F7D"/>
    <w:rsid w:val="00FF63E1"/>
    <w:rsid w:val="00FF664B"/>
    <w:rsid w:val="03ACFA5A"/>
    <w:rsid w:val="03BE5076"/>
    <w:rsid w:val="058F702A"/>
    <w:rsid w:val="07882C9E"/>
    <w:rsid w:val="0A4187F9"/>
    <w:rsid w:val="0D7A38D9"/>
    <w:rsid w:val="0DBDFEC0"/>
    <w:rsid w:val="117E387E"/>
    <w:rsid w:val="12FDA4F0"/>
    <w:rsid w:val="18ACA7BF"/>
    <w:rsid w:val="18B65983"/>
    <w:rsid w:val="1B79EC15"/>
    <w:rsid w:val="1EA98EFC"/>
    <w:rsid w:val="22CFC838"/>
    <w:rsid w:val="23F95D0D"/>
    <w:rsid w:val="2693BB9A"/>
    <w:rsid w:val="280B8B52"/>
    <w:rsid w:val="283748E5"/>
    <w:rsid w:val="2B432C14"/>
    <w:rsid w:val="2CA8CF58"/>
    <w:rsid w:val="2E5863F8"/>
    <w:rsid w:val="2F2E1020"/>
    <w:rsid w:val="30DF7CB8"/>
    <w:rsid w:val="334DFA29"/>
    <w:rsid w:val="351E8DFC"/>
    <w:rsid w:val="36859AEB"/>
    <w:rsid w:val="38216B4C"/>
    <w:rsid w:val="38EFC9A0"/>
    <w:rsid w:val="39982479"/>
    <w:rsid w:val="3B7C01A5"/>
    <w:rsid w:val="3DCD8D43"/>
    <w:rsid w:val="41ABF4F0"/>
    <w:rsid w:val="4374469D"/>
    <w:rsid w:val="44EEF74D"/>
    <w:rsid w:val="4B22DAAB"/>
    <w:rsid w:val="4B39AED9"/>
    <w:rsid w:val="4B9CA2C7"/>
    <w:rsid w:val="51045704"/>
    <w:rsid w:val="51D65489"/>
    <w:rsid w:val="558721C1"/>
    <w:rsid w:val="58E2DA87"/>
    <w:rsid w:val="597B2C70"/>
    <w:rsid w:val="5E5C19C4"/>
    <w:rsid w:val="60CEE881"/>
    <w:rsid w:val="62DA487E"/>
    <w:rsid w:val="645D7EEC"/>
    <w:rsid w:val="64C5F83B"/>
    <w:rsid w:val="65104BFF"/>
    <w:rsid w:val="6661C89C"/>
    <w:rsid w:val="6860D6B5"/>
    <w:rsid w:val="6B30377F"/>
    <w:rsid w:val="6DA05979"/>
    <w:rsid w:val="70FC6DD5"/>
    <w:rsid w:val="71DF05F5"/>
    <w:rsid w:val="791AAF53"/>
    <w:rsid w:val="793D1592"/>
    <w:rsid w:val="7AC29717"/>
    <w:rsid w:val="7BBA08FA"/>
    <w:rsid w:val="7E2723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322549"/>
  <w15:docId w15:val="{949658E9-6DCE-4C9D-A4A3-F3BD6862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A"/>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E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unhideWhenUsed/>
    <w:qFormat/>
    <w:rsid w:val="005941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E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AC2EE2"/>
    <w:pPr>
      <w:ind w:left="720"/>
      <w:contextualSpacing/>
    </w:pPr>
  </w:style>
  <w:style w:type="character" w:styleId="CommentReference">
    <w:name w:val="annotation reference"/>
    <w:basedOn w:val="DefaultParagraphFont"/>
    <w:uiPriority w:val="99"/>
    <w:unhideWhenUsed/>
    <w:rsid w:val="00AC2EE2"/>
    <w:rPr>
      <w:sz w:val="16"/>
      <w:szCs w:val="16"/>
    </w:rPr>
  </w:style>
  <w:style w:type="paragraph" w:styleId="CommentText">
    <w:name w:val="annotation text"/>
    <w:basedOn w:val="Normal"/>
    <w:link w:val="CommentTextChar"/>
    <w:uiPriority w:val="99"/>
    <w:unhideWhenUsed/>
    <w:rsid w:val="00AC2EE2"/>
    <w:rPr>
      <w:sz w:val="20"/>
      <w:szCs w:val="20"/>
    </w:rPr>
  </w:style>
  <w:style w:type="character" w:customStyle="1" w:styleId="CommentTextChar">
    <w:name w:val="Comment Text Char"/>
    <w:basedOn w:val="DefaultParagraphFont"/>
    <w:link w:val="CommentText"/>
    <w:uiPriority w:val="99"/>
    <w:rsid w:val="00AC2EE2"/>
    <w:rPr>
      <w:rFonts w:ascii="Times New Roman" w:eastAsia="Times New Roman" w:hAnsi="Times New Roman" w:cs="Times New Roman"/>
      <w:sz w:val="20"/>
      <w:szCs w:val="20"/>
    </w:rPr>
  </w:style>
  <w:style w:type="table" w:styleId="TableGrid">
    <w:name w:val="Table Grid"/>
    <w:basedOn w:val="TableNormal"/>
    <w:uiPriority w:val="39"/>
    <w:qFormat/>
    <w:rsid w:val="00AC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2EE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AC2EE2"/>
    <w:rPr>
      <w:rFonts w:ascii="Arial" w:eastAsia="Arial" w:hAnsi="Arial"/>
      <w:sz w:val="23"/>
      <w:szCs w:val="23"/>
    </w:rPr>
  </w:style>
  <w:style w:type="paragraph" w:customStyle="1" w:styleId="SuicideBodyText">
    <w:name w:val="Suicide Body Text"/>
    <w:basedOn w:val="Normal"/>
    <w:link w:val="SuicideBodyTextChar"/>
    <w:rsid w:val="00AC2EE2"/>
    <w:pPr>
      <w:autoSpaceDE w:val="0"/>
      <w:autoSpaceDN w:val="0"/>
      <w:adjustRightInd w:val="0"/>
    </w:pPr>
  </w:style>
  <w:style w:type="character" w:customStyle="1" w:styleId="SuicideBodyTextChar">
    <w:name w:val="Suicide Body Text Char"/>
    <w:link w:val="SuicideBodyText"/>
    <w:rsid w:val="00AC2EE2"/>
    <w:rPr>
      <w:rFonts w:ascii="Times New Roman" w:eastAsia="Times New Roman" w:hAnsi="Times New Roman" w:cs="Times New Roman"/>
      <w:sz w:val="24"/>
      <w:szCs w:val="24"/>
    </w:rPr>
  </w:style>
  <w:style w:type="paragraph" w:customStyle="1" w:styleId="GLSBody">
    <w:name w:val="GLS Body"/>
    <w:basedOn w:val="Normal"/>
    <w:link w:val="GLSBodyChar"/>
    <w:rsid w:val="00AC2EE2"/>
    <w:pPr>
      <w:autoSpaceDE w:val="0"/>
      <w:autoSpaceDN w:val="0"/>
      <w:adjustRightInd w:val="0"/>
      <w:spacing w:after="240"/>
    </w:pPr>
  </w:style>
  <w:style w:type="character" w:customStyle="1" w:styleId="GLSBodyChar">
    <w:name w:val="GLS Body Char"/>
    <w:link w:val="GLSBody"/>
    <w:rsid w:val="00AC2EE2"/>
    <w:rPr>
      <w:rFonts w:ascii="Times New Roman" w:eastAsia="Times New Roman" w:hAnsi="Times New Roman" w:cs="Times New Roman"/>
      <w:sz w:val="24"/>
      <w:szCs w:val="24"/>
    </w:rPr>
  </w:style>
  <w:style w:type="paragraph" w:customStyle="1" w:styleId="SuicideBullet1">
    <w:name w:val="Suicide Bullet 1"/>
    <w:basedOn w:val="Normal"/>
    <w:qFormat/>
    <w:rsid w:val="00AC2EE2"/>
    <w:pPr>
      <w:numPr>
        <w:numId w:val="2"/>
      </w:numPr>
      <w:tabs>
        <w:tab w:val="left" w:pos="-1440"/>
        <w:tab w:val="left" w:pos="360"/>
      </w:tabs>
      <w:autoSpaceDE w:val="0"/>
      <w:autoSpaceDN w:val="0"/>
      <w:adjustRightInd w:val="0"/>
      <w:ind w:left="360"/>
    </w:pPr>
  </w:style>
  <w:style w:type="paragraph" w:styleId="FootnoteText">
    <w:name w:val="footnote text"/>
    <w:basedOn w:val="Normal"/>
    <w:link w:val="FootnoteTextChar"/>
    <w:uiPriority w:val="99"/>
    <w:unhideWhenUsed/>
    <w:rsid w:val="00AC2EE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AC2EE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2EE2"/>
    <w:rPr>
      <w:vertAlign w:val="superscript"/>
    </w:rPr>
  </w:style>
  <w:style w:type="paragraph" w:customStyle="1" w:styleId="ProposalBodyText">
    <w:name w:val="Proposal Body Text"/>
    <w:basedOn w:val="Normal"/>
    <w:link w:val="ProposalBodyTextChar"/>
    <w:qFormat/>
    <w:rsid w:val="00AC2EE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AC2EE2"/>
    <w:rPr>
      <w:rFonts w:ascii="Times New Roman" w:eastAsia="Times New Roman" w:hAnsi="Times New Roman" w:cs="Times New Roman"/>
      <w:sz w:val="24"/>
      <w:szCs w:val="20"/>
    </w:rPr>
  </w:style>
  <w:style w:type="character" w:customStyle="1" w:styleId="minorhead">
    <w:name w:val="minorhead"/>
    <w:rsid w:val="00AC2EE2"/>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5732C6"/>
    <w:rPr>
      <w:b/>
      <w:bCs/>
    </w:rPr>
  </w:style>
  <w:style w:type="character" w:customStyle="1" w:styleId="CommentSubjectChar">
    <w:name w:val="Comment Subject Char"/>
    <w:basedOn w:val="CommentTextChar"/>
    <w:link w:val="CommentSubject"/>
    <w:uiPriority w:val="99"/>
    <w:semiHidden/>
    <w:rsid w:val="005732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6"/>
    <w:rPr>
      <w:rFonts w:ascii="Segoe UI" w:eastAsia="Times New Roman" w:hAnsi="Segoe UI" w:cs="Segoe UI"/>
      <w:sz w:val="18"/>
      <w:szCs w:val="18"/>
    </w:rPr>
  </w:style>
  <w:style w:type="paragraph" w:styleId="Header">
    <w:name w:val="header"/>
    <w:basedOn w:val="Normal"/>
    <w:link w:val="HeaderChar"/>
    <w:uiPriority w:val="99"/>
    <w:unhideWhenUsed/>
    <w:rsid w:val="005732C6"/>
    <w:pPr>
      <w:tabs>
        <w:tab w:val="center" w:pos="4680"/>
        <w:tab w:val="right" w:pos="9360"/>
      </w:tabs>
    </w:pPr>
  </w:style>
  <w:style w:type="character" w:customStyle="1" w:styleId="HeaderChar">
    <w:name w:val="Header Char"/>
    <w:basedOn w:val="DefaultParagraphFont"/>
    <w:link w:val="Header"/>
    <w:uiPriority w:val="99"/>
    <w:rsid w:val="005732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2C6"/>
    <w:pPr>
      <w:tabs>
        <w:tab w:val="center" w:pos="4680"/>
        <w:tab w:val="right" w:pos="9360"/>
      </w:tabs>
    </w:pPr>
  </w:style>
  <w:style w:type="character" w:customStyle="1" w:styleId="FooterChar">
    <w:name w:val="Footer Char"/>
    <w:basedOn w:val="DefaultParagraphFont"/>
    <w:link w:val="Footer"/>
    <w:uiPriority w:val="99"/>
    <w:rsid w:val="005732C6"/>
    <w:rPr>
      <w:rFonts w:ascii="Times New Roman" w:eastAsia="Times New Roman" w:hAnsi="Times New Roman" w:cs="Times New Roman"/>
      <w:sz w:val="24"/>
      <w:szCs w:val="24"/>
    </w:rPr>
  </w:style>
  <w:style w:type="paragraph" w:customStyle="1" w:styleId="GLSReference">
    <w:name w:val="GLS Reference"/>
    <w:rsid w:val="000802F7"/>
    <w:pPr>
      <w:spacing w:before="120"/>
      <w:ind w:left="360" w:hanging="360"/>
    </w:pPr>
    <w:rPr>
      <w:rFonts w:ascii="Times New Roman" w:eastAsia="Times New Roman" w:hAnsi="Times New Roman" w:cs="Times New Roman"/>
      <w:sz w:val="24"/>
      <w:szCs w:val="20"/>
    </w:rPr>
  </w:style>
  <w:style w:type="paragraph" w:styleId="ListBullet">
    <w:name w:val="List Bullet"/>
    <w:basedOn w:val="Normal"/>
    <w:rsid w:val="003E0A6E"/>
    <w:pPr>
      <w:numPr>
        <w:numId w:val="3"/>
      </w:numPr>
      <w:spacing w:after="120"/>
      <w:jc w:val="left"/>
    </w:pPr>
    <w:rPr>
      <w:szCs w:val="22"/>
    </w:rPr>
  </w:style>
  <w:style w:type="character" w:styleId="Emphasis">
    <w:name w:val="Emphasis"/>
    <w:basedOn w:val="DefaultParagraphFont"/>
    <w:uiPriority w:val="20"/>
    <w:qFormat/>
    <w:rsid w:val="003E0A6E"/>
    <w:rPr>
      <w:i/>
      <w:iCs/>
    </w:rPr>
  </w:style>
  <w:style w:type="character" w:customStyle="1" w:styleId="apple-converted-space">
    <w:name w:val="apple-converted-space"/>
    <w:basedOn w:val="DefaultParagraphFont"/>
    <w:rsid w:val="003E0A6E"/>
  </w:style>
  <w:style w:type="paragraph" w:customStyle="1" w:styleId="GLSTable1">
    <w:name w:val="GLS Table 1"/>
    <w:basedOn w:val="Normal"/>
    <w:qFormat/>
    <w:rsid w:val="003E0A6E"/>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3E0A6E"/>
    <w:pPr>
      <w:numPr>
        <w:numId w:val="4"/>
      </w:numPr>
      <w:spacing w:before="40" w:after="20"/>
      <w:contextualSpacing/>
    </w:pPr>
    <w:rPr>
      <w:rFonts w:ascii="Tw Cen MT" w:hAnsi="Tw Cen MT" w:cs="Arial"/>
      <w:szCs w:val="20"/>
    </w:rPr>
  </w:style>
  <w:style w:type="paragraph" w:customStyle="1" w:styleId="GLSBullet1">
    <w:name w:val="GLS Bullet 1"/>
    <w:basedOn w:val="Normal"/>
    <w:rsid w:val="00F0752A"/>
    <w:pPr>
      <w:autoSpaceDE w:val="0"/>
      <w:autoSpaceDN w:val="0"/>
      <w:adjustRightInd w:val="0"/>
      <w:spacing w:after="60"/>
      <w:jc w:val="left"/>
    </w:pPr>
  </w:style>
  <w:style w:type="paragraph" w:customStyle="1" w:styleId="GLSH4">
    <w:name w:val="GLS H4"/>
    <w:rsid w:val="00BB3FA5"/>
    <w:pPr>
      <w:keepNext/>
      <w:spacing w:after="120"/>
      <w:jc w:val="left"/>
    </w:pPr>
    <w:rPr>
      <w:rFonts w:ascii="Tw Cen MT" w:eastAsia="Times New Roman" w:hAnsi="Tw Cen MT" w:cs="Arial"/>
      <w:b/>
      <w:iCs/>
      <w:color w:val="296D7F"/>
      <w:sz w:val="28"/>
      <w:szCs w:val="24"/>
      <w:u w:val="single"/>
    </w:rPr>
  </w:style>
  <w:style w:type="character" w:styleId="Hyperlink">
    <w:name w:val="Hyperlink"/>
    <w:basedOn w:val="DefaultParagraphFont"/>
    <w:uiPriority w:val="99"/>
    <w:unhideWhenUsed/>
    <w:rsid w:val="00BB3FA5"/>
    <w:rPr>
      <w:color w:val="0563C1" w:themeColor="hyperlink"/>
      <w:u w:val="single"/>
    </w:rPr>
  </w:style>
  <w:style w:type="paragraph" w:customStyle="1" w:styleId="GLSTableBullet2">
    <w:name w:val="GLS Table Bullet 2"/>
    <w:basedOn w:val="Normal"/>
    <w:qFormat/>
    <w:rsid w:val="00757B1A"/>
    <w:pPr>
      <w:numPr>
        <w:numId w:val="5"/>
      </w:numPr>
      <w:autoSpaceDE w:val="0"/>
      <w:autoSpaceDN w:val="0"/>
      <w:adjustRightInd w:val="0"/>
      <w:spacing w:before="40" w:after="40"/>
      <w:ind w:left="510" w:hanging="240"/>
      <w:jc w:val="left"/>
    </w:pPr>
    <w:rPr>
      <w:rFonts w:ascii="Tw Cen MT" w:hAnsi="Tw Cen MT" w:eastAsiaTheme="minorEastAsia" w:cs="Arial"/>
      <w:szCs w:val="20"/>
    </w:rPr>
  </w:style>
  <w:style w:type="paragraph" w:customStyle="1" w:styleId="GLSTable3">
    <w:name w:val="GLS Table 3"/>
    <w:basedOn w:val="Normal"/>
    <w:qFormat/>
    <w:rsid w:val="00FB010E"/>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F0228B"/>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683939"/>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683939"/>
    <w:rPr>
      <w:rFonts w:ascii="Tahoma" w:eastAsia="Times New Roman" w:hAnsi="Tahoma" w:cs="Tahoma"/>
      <w:sz w:val="20"/>
      <w:szCs w:val="20"/>
      <w:shd w:val="clear" w:color="auto" w:fill="000080"/>
    </w:rPr>
  </w:style>
  <w:style w:type="paragraph" w:customStyle="1" w:styleId="SuicideHead3">
    <w:name w:val="Suicide Head 3"/>
    <w:basedOn w:val="Normal"/>
    <w:qFormat/>
    <w:rsid w:val="00683939"/>
    <w:pPr>
      <w:widowControl w:val="0"/>
      <w:numPr>
        <w:numId w:val="6"/>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7D1703"/>
    <w:pPr>
      <w:tabs>
        <w:tab w:val="left" w:pos="-1440"/>
      </w:tabs>
      <w:autoSpaceDE w:val="0"/>
      <w:autoSpaceDN w:val="0"/>
      <w:adjustRightInd w:val="0"/>
      <w:spacing w:after="120"/>
      <w:jc w:val="center"/>
    </w:pPr>
    <w:rPr>
      <w:rFonts w:ascii="Arial" w:hAnsi="Arial" w:cs="Arial"/>
      <w:b/>
      <w:sz w:val="20"/>
      <w:szCs w:val="20"/>
    </w:rPr>
  </w:style>
  <w:style w:type="character" w:customStyle="1" w:styleId="Heading5Char">
    <w:name w:val="Heading 5 Char"/>
    <w:basedOn w:val="DefaultParagraphFont"/>
    <w:link w:val="Heading5"/>
    <w:uiPriority w:val="9"/>
    <w:rsid w:val="0059410A"/>
    <w:rPr>
      <w:rFonts w:asciiTheme="majorHAnsi" w:eastAsiaTheme="majorEastAsia" w:hAnsiTheme="majorHAnsi" w:cstheme="majorBidi"/>
      <w:color w:val="2E74B5" w:themeColor="accent1" w:themeShade="BF"/>
      <w:sz w:val="24"/>
      <w:szCs w:val="24"/>
    </w:rPr>
  </w:style>
  <w:style w:type="paragraph" w:customStyle="1" w:styleId="GLSBullet2">
    <w:name w:val="GLS Bullet 2"/>
    <w:basedOn w:val="Normal"/>
    <w:rsid w:val="00C70B68"/>
    <w:pPr>
      <w:numPr>
        <w:numId w:val="7"/>
      </w:numPr>
      <w:autoSpaceDE w:val="0"/>
      <w:autoSpaceDN w:val="0"/>
      <w:adjustRightInd w:val="0"/>
      <w:spacing w:after="60"/>
      <w:jc w:val="left"/>
    </w:pPr>
  </w:style>
  <w:style w:type="paragraph" w:customStyle="1" w:styleId="SuicideBullet2">
    <w:name w:val="Suicide Bullet 2"/>
    <w:basedOn w:val="Normal"/>
    <w:qFormat/>
    <w:rsid w:val="00E842CC"/>
    <w:pPr>
      <w:widowControl w:val="0"/>
      <w:numPr>
        <w:ilvl w:val="1"/>
        <w:numId w:val="8"/>
      </w:numPr>
      <w:autoSpaceDE w:val="0"/>
      <w:autoSpaceDN w:val="0"/>
      <w:adjustRightInd w:val="0"/>
      <w:ind w:left="720"/>
      <w:jc w:val="left"/>
    </w:pPr>
  </w:style>
  <w:style w:type="paragraph" w:styleId="NoSpacing">
    <w:name w:val="No Spacing"/>
    <w:aliases w:val="GLS No Spacing"/>
    <w:uiPriority w:val="1"/>
    <w:qFormat/>
    <w:rsid w:val="005701B4"/>
    <w:pPr>
      <w:jc w:val="left"/>
    </w:pPr>
  </w:style>
  <w:style w:type="paragraph" w:customStyle="1" w:styleId="GLSTable2">
    <w:name w:val="GLS Table 2"/>
    <w:basedOn w:val="Normal"/>
    <w:qFormat/>
    <w:rsid w:val="00DC514E"/>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DC514E"/>
    <w:pPr>
      <w:keepNext/>
      <w:autoSpaceDE w:val="0"/>
      <w:autoSpaceDN w:val="0"/>
      <w:adjustRightInd w:val="0"/>
      <w:spacing w:after="120"/>
      <w:jc w:val="center"/>
    </w:pPr>
    <w:rPr>
      <w:rFonts w:ascii="Tw Cen MT" w:hAnsi="Tw Cen MT"/>
      <w:b/>
      <w:color w:val="C86665"/>
      <w:szCs w:val="20"/>
    </w:rPr>
  </w:style>
  <w:style w:type="paragraph" w:customStyle="1" w:styleId="GLSH3">
    <w:name w:val="GLS H3"/>
    <w:basedOn w:val="Normal"/>
    <w:rsid w:val="00DC514E"/>
    <w:pPr>
      <w:keepNext/>
      <w:autoSpaceDE w:val="0"/>
      <w:autoSpaceDN w:val="0"/>
      <w:adjustRightInd w:val="0"/>
      <w:spacing w:after="120"/>
      <w:jc w:val="left"/>
    </w:pPr>
    <w:rPr>
      <w:rFonts w:ascii="Tw Cen MT" w:hAnsi="Tw Cen MT" w:cs="Arial"/>
      <w:b/>
      <w:color w:val="000000"/>
      <w:sz w:val="28"/>
    </w:rPr>
  </w:style>
  <w:style w:type="table" w:customStyle="1" w:styleId="TableGrid1">
    <w:name w:val="Table Grid1"/>
    <w:basedOn w:val="TableNormal"/>
    <w:next w:val="TableGrid"/>
    <w:uiPriority w:val="39"/>
    <w:rsid w:val="00E50CED"/>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2">
    <w:name w:val="Table Heading 2"/>
    <w:basedOn w:val="Normal"/>
    <w:rsid w:val="00DA6AE4"/>
    <w:pPr>
      <w:spacing w:before="60" w:after="60"/>
      <w:jc w:val="left"/>
    </w:pPr>
    <w:rPr>
      <w:rFonts w:ascii="Arial Narrow" w:hAnsi="Arial Narrow" w:cs="Arial"/>
      <w:b/>
      <w:color w:val="FFFFFF"/>
      <w:sz w:val="20"/>
      <w:szCs w:val="18"/>
    </w:rPr>
  </w:style>
  <w:style w:type="paragraph" w:customStyle="1" w:styleId="TableText">
    <w:name w:val="Table Text"/>
    <w:basedOn w:val="ProposalBodyText"/>
    <w:qFormat/>
    <w:rsid w:val="00DA6AE4"/>
    <w:rPr>
      <w:rFonts w:ascii="Arial" w:hAnsi="Arial"/>
      <w:sz w:val="17"/>
      <w:szCs w:val="17"/>
    </w:rPr>
  </w:style>
  <w:style w:type="paragraph" w:customStyle="1" w:styleId="TableVerticalCategory">
    <w:name w:val="Table Vertical Category"/>
    <w:basedOn w:val="Normal"/>
    <w:rsid w:val="00DA6AE4"/>
    <w:pPr>
      <w:spacing w:before="60" w:after="60"/>
      <w:jc w:val="left"/>
    </w:pPr>
    <w:rPr>
      <w:rFonts w:ascii="Arial Narrow" w:hAnsi="Arial Narrow"/>
      <w:sz w:val="20"/>
      <w:szCs w:val="18"/>
    </w:rPr>
  </w:style>
  <w:style w:type="paragraph" w:customStyle="1" w:styleId="SuicideTableHeading1">
    <w:name w:val="Suicide Table Heading 1"/>
    <w:basedOn w:val="Normal"/>
    <w:qFormat/>
    <w:rsid w:val="001B2E13"/>
    <w:pPr>
      <w:tabs>
        <w:tab w:val="left" w:pos="-1440"/>
      </w:tabs>
      <w:autoSpaceDE w:val="0"/>
      <w:autoSpaceDN w:val="0"/>
      <w:adjustRightInd w:val="0"/>
      <w:jc w:val="center"/>
    </w:pPr>
    <w:rPr>
      <w:rFonts w:ascii="Arial" w:hAnsi="Arial" w:cs="Arial"/>
      <w:b/>
      <w:color w:val="FFFFFF"/>
      <w:sz w:val="20"/>
      <w:szCs w:val="20"/>
    </w:rPr>
  </w:style>
  <w:style w:type="paragraph" w:styleId="Revision">
    <w:name w:val="Revision"/>
    <w:hidden/>
    <w:uiPriority w:val="99"/>
    <w:semiHidden/>
    <w:rsid w:val="00F45D7A"/>
    <w:pPr>
      <w:jc w:val="left"/>
    </w:pPr>
    <w:rPr>
      <w:rFonts w:ascii="Times New Roman" w:eastAsia="Times New Roman" w:hAnsi="Times New Roman" w:cs="Times New Roman"/>
      <w:sz w:val="24"/>
      <w:szCs w:val="24"/>
    </w:rPr>
  </w:style>
  <w:style w:type="paragraph" w:customStyle="1" w:styleId="ICFTextwithspace">
    <w:name w:val="ICF Text with space"/>
    <w:basedOn w:val="Normal"/>
    <w:link w:val="ICFTextwithspaceChar"/>
    <w:qFormat/>
    <w:rsid w:val="001C0DBB"/>
    <w:pPr>
      <w:spacing w:after="120" w:line="264" w:lineRule="auto"/>
      <w:jc w:val="left"/>
    </w:pPr>
    <w:rPr>
      <w:rFonts w:ascii="DM Sans" w:hAnsi="DM Sans" w:eastAsiaTheme="minorHAnsi" w:cs="Times New Roman (Body CS)"/>
      <w:sz w:val="20"/>
      <w:szCs w:val="20"/>
    </w:rPr>
  </w:style>
  <w:style w:type="character" w:customStyle="1" w:styleId="ICFTextwithspaceChar">
    <w:name w:val="ICF Text with space Char"/>
    <w:basedOn w:val="DefaultParagraphFont"/>
    <w:link w:val="ICFTextwithspace"/>
    <w:rsid w:val="001C0DBB"/>
    <w:rPr>
      <w:rFonts w:ascii="DM Sans" w:hAnsi="DM Sans" w:cs="Times New Roman (Body CS)"/>
      <w:sz w:val="20"/>
      <w:szCs w:val="20"/>
    </w:rPr>
  </w:style>
  <w:style w:type="character" w:styleId="Mention">
    <w:name w:val="Mention"/>
    <w:basedOn w:val="DefaultParagraphFont"/>
    <w:uiPriority w:val="99"/>
    <w:unhideWhenUsed/>
    <w:rsid w:val="00DE6073"/>
    <w:rPr>
      <w:color w:val="2B579A"/>
      <w:shd w:val="clear" w:color="auto" w:fill="E1DFDD"/>
    </w:rPr>
  </w:style>
  <w:style w:type="character" w:styleId="UnresolvedMention">
    <w:name w:val="Unresolved Mention"/>
    <w:basedOn w:val="DefaultParagraphFont"/>
    <w:uiPriority w:val="99"/>
    <w:semiHidden/>
    <w:unhideWhenUsed/>
    <w:rsid w:val="00AB33E5"/>
    <w:rPr>
      <w:color w:val="605E5C"/>
      <w:shd w:val="clear" w:color="auto" w:fill="E1DFDD"/>
    </w:rPr>
  </w:style>
  <w:style w:type="character" w:styleId="FollowedHyperlink">
    <w:name w:val="FollowedHyperlink"/>
    <w:basedOn w:val="DefaultParagraphFont"/>
    <w:uiPriority w:val="99"/>
    <w:semiHidden/>
    <w:unhideWhenUsed/>
    <w:rsid w:val="00AB33E5"/>
    <w:rPr>
      <w:color w:val="954F72" w:themeColor="followedHyperlink"/>
      <w:u w:val="single"/>
    </w:rPr>
  </w:style>
  <w:style w:type="character" w:customStyle="1" w:styleId="css-144">
    <w:name w:val="css-144"/>
    <w:basedOn w:val="DefaultParagraphFont"/>
    <w:rsid w:val="00294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olleen.murray@icf.com" TargetMode="External" /><Relationship Id="rId11" Type="http://schemas.openxmlformats.org/officeDocument/2006/relationships/hyperlink" Target="mailto:india.rose@icf.com" TargetMode="External" /><Relationship Id="rId12" Type="http://schemas.openxmlformats.org/officeDocument/2006/relationships/hyperlink" Target="mailto:elizabeth.douglas@icf.com" TargetMode="External" /><Relationship Id="rId13" Type="http://schemas.openxmlformats.org/officeDocument/2006/relationships/hyperlink" Target="mailto:jennifer.duffy@icf.com" TargetMode="External" /><Relationship Id="rId14" Type="http://schemas.openxmlformats.org/officeDocument/2006/relationships/hyperlink" Target="mailto:rachel.ladd@icf.com" TargetMode="External" /><Relationship Id="rId15" Type="http://schemas.openxmlformats.org/officeDocument/2006/relationships/hyperlink" Target="mailto:sarah.conklin@icf.com" TargetMode="External" /><Relationship Id="rId16" Type="http://schemas.openxmlformats.org/officeDocument/2006/relationships/hyperlink" Target="mailto:robert.stephens@icf.com" TargetMode="External" /><Relationship Id="rId17" Type="http://schemas.openxmlformats.org/officeDocument/2006/relationships/hyperlink" Target="https://doi.org/10.1257/000282803321455188" TargetMode="External" /><Relationship Id="rId18" Type="http://schemas.openxmlformats.org/officeDocument/2006/relationships/hyperlink" Target="https://doi.org/10.1198/jasa.2009.ap08746" TargetMode="External" /><Relationship Id="rId19" Type="http://schemas.openxmlformats.org/officeDocument/2006/relationships/hyperlink" Target="https://doi.org/10.1111/ajps.12116" TargetMode="External" /><Relationship Id="rId2" Type="http://schemas.openxmlformats.org/officeDocument/2006/relationships/settings" Target="settings.xml" /><Relationship Id="rId20" Type="http://schemas.openxmlformats.org/officeDocument/2006/relationships/hyperlink" Target="https://doi.org/10.1177/1609406919887274" TargetMode="External" /><Relationship Id="rId21" Type="http://schemas.openxmlformats.org/officeDocument/2006/relationships/hyperlink" Target="https://www.psychiatry.org/news-room/news-releases/new-apa-poll-shows-sustained-anxiety-among-america" TargetMode="External" /><Relationship Id="rId22" Type="http://schemas.openxmlformats.org/officeDocument/2006/relationships/hyperlink" Target="https://doi.org/10.1002/sim.6785" TargetMode="External" /><Relationship Id="rId23" Type="http://schemas.openxmlformats.org/officeDocument/2006/relationships/hyperlink" Target="https://doi.org/10.1007/s13384-022-00582-9" TargetMode="External" /><Relationship Id="rId24" Type="http://schemas.openxmlformats.org/officeDocument/2006/relationships/hyperlink" Target="https://www.cde.ca.gov/ls/he/at/chks.asp" TargetMode="External" /><Relationship Id="rId25" Type="http://schemas.openxmlformats.org/officeDocument/2006/relationships/hyperlink" Target="https://www.cde.ca.gov/ls/he/at/cscs.asp" TargetMode="External" /><Relationship Id="rId26" Type="http://schemas.openxmlformats.org/officeDocument/2006/relationships/hyperlink" Target="https://www.cdc.gov/injury/wisqars/index.html" TargetMode="External" /><Relationship Id="rId27" Type="http://schemas.openxmlformats.org/officeDocument/2006/relationships/hyperlink" Target="https://doi.org/10.1542/peds.111.3.564" TargetMode="External" /><Relationship Id="rId28" Type="http://schemas.openxmlformats.org/officeDocument/2006/relationships/hyperlink" Target="https://doi.org/10.1016/s0749-3797(98)00017-8" TargetMode="External" /><Relationship Id="rId29" Type="http://schemas.openxmlformats.org/officeDocument/2006/relationships/hyperlink" Target="https://www.theshapesystem.com/" TargetMode="External" /><Relationship Id="rId3" Type="http://schemas.openxmlformats.org/officeDocument/2006/relationships/webSettings" Target="webSettings.xml" /><Relationship Id="rId30" Type="http://schemas.openxmlformats.org/officeDocument/2006/relationships/hyperlink" Target="https://safesupportivelearning.ed.gov/sites/default/files/13-ImpSchMnHlthSprtBtPrt-508_0.pdf" TargetMode="External" /><Relationship Id="rId31" Type="http://schemas.openxmlformats.org/officeDocument/2006/relationships/hyperlink" Target="https://www.samhsa.gov/child-trauma/understanding-child-trauma" TargetMode="External" /><Relationship Id="rId32" Type="http://schemas.openxmlformats.org/officeDocument/2006/relationships/hyperlink" Target="https://www.samhsa.gov/data/" TargetMode="External" /><Relationship Id="rId33" Type="http://schemas.openxmlformats.org/officeDocument/2006/relationships/hyperlink" Target="https://nwi.pdx.edu/pdf/IOTTA-results.pdf" TargetMode="External" /><Relationship Id="rId34" Type="http://schemas.openxmlformats.org/officeDocument/2006/relationships/hyperlink" Target="https://doi.org/10.5888/" TargetMode="External" /><Relationship Id="rId35" Type="http://schemas.openxmlformats.org/officeDocument/2006/relationships/hyperlink" Target="https://doi.org/10.1093/aje/kwv002" TargetMode="External" /><Relationship Id="rId36" Type="http://schemas.openxmlformats.org/officeDocument/2006/relationships/header" Target="header1.xml" /><Relationship Id="rId37" Type="http://schemas.openxmlformats.org/officeDocument/2006/relationships/footer" Target="footer1.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fontTable" Target="fontTable.xml" /><Relationship Id="rId40"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megan.brooks@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0532BCF64A545B8AD76B8EAA6639A" ma:contentTypeVersion="13" ma:contentTypeDescription="Create a new document." ma:contentTypeScope="" ma:versionID="faec811dd20e3874dedc535f7a95b2c8">
  <xsd:schema xmlns:xsd="http://www.w3.org/2001/XMLSchema" xmlns:xs="http://www.w3.org/2001/XMLSchema" xmlns:p="http://schemas.microsoft.com/office/2006/metadata/properties" xmlns:ns2="22b4d9df-83d9-4736-9432-123ada4f63e9" xmlns:ns3="2aae3438-868b-4903-9531-86055919dcaf" targetNamespace="http://schemas.microsoft.com/office/2006/metadata/properties" ma:root="true" ma:fieldsID="8f6e8142632424561c54e67d105c8167" ns2:_="" ns3:_="">
    <xsd:import namespace="22b4d9df-83d9-4736-9432-123ada4f63e9"/>
    <xsd:import namespace="2aae3438-868b-4903-9531-86055919d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4d9df-83d9-4736-9432-123ada4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e3438-868b-4903-9531-86055919d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71e889-5d72-4d65-81dc-6065a5aafb77}" ma:internalName="TaxCatchAll" ma:showField="CatchAllData" ma:web="2aae3438-868b-4903-9531-86055919dc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b4d9df-83d9-4736-9432-123ada4f63e9">
      <Terms xmlns="http://schemas.microsoft.com/office/infopath/2007/PartnerControls"/>
    </lcf76f155ced4ddcb4097134ff3c332f>
    <TaxCatchAll xmlns="2aae3438-868b-4903-9531-86055919dcaf" xsi:nil="true"/>
  </documentManagement>
</p:properties>
</file>

<file path=customXml/itemProps1.xml><?xml version="1.0" encoding="utf-8"?>
<ds:datastoreItem xmlns:ds="http://schemas.openxmlformats.org/officeDocument/2006/customXml" ds:itemID="{95B6A0FE-62AF-4D0D-89BD-78232716B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4d9df-83d9-4736-9432-123ada4f63e9"/>
    <ds:schemaRef ds:uri="2aae3438-868b-4903-9531-86055919d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A42F3-8B9A-4DA1-A55E-581805BD8BB0}">
  <ds:schemaRefs>
    <ds:schemaRef ds:uri="http://schemas.openxmlformats.org/officeDocument/2006/bibliography"/>
  </ds:schemaRefs>
</ds:datastoreItem>
</file>

<file path=customXml/itemProps3.xml><?xml version="1.0" encoding="utf-8"?>
<ds:datastoreItem xmlns:ds="http://schemas.openxmlformats.org/officeDocument/2006/customXml" ds:itemID="{0517B02C-F5B3-4FB5-BB85-F98F89A60FFB}">
  <ds:schemaRefs>
    <ds:schemaRef ds:uri="http://schemas.microsoft.com/sharepoint/v3/contenttype/forms"/>
  </ds:schemaRefs>
</ds:datastoreItem>
</file>

<file path=customXml/itemProps4.xml><?xml version="1.0" encoding="utf-8"?>
<ds:datastoreItem xmlns:ds="http://schemas.openxmlformats.org/officeDocument/2006/customXml" ds:itemID="{8876AE7C-AF1F-49FA-8ACD-CB51A1924307}">
  <ds:schemaRefs>
    <ds:schemaRef ds:uri="http://schemas.microsoft.com/office/2006/metadata/properties"/>
    <ds:schemaRef ds:uri="http://schemas.microsoft.com/office/infopath/2007/PartnerControls"/>
    <ds:schemaRef ds:uri="22b4d9df-83d9-4736-9432-123ada4f63e9"/>
    <ds:schemaRef ds:uri="2aae3438-868b-4903-9531-86055919dcaf"/>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4910</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Zanakos, Sophia</dc:creator>
  <cp:lastModifiedBy>Afable, Marites (SAMHSA)</cp:lastModifiedBy>
  <cp:revision>2</cp:revision>
  <cp:lastPrinted>2018-09-13T23:16:00Z</cp:lastPrinted>
  <dcterms:created xsi:type="dcterms:W3CDTF">2023-12-08T23:17:00Z</dcterms:created>
  <dcterms:modified xsi:type="dcterms:W3CDTF">2023-12-08T23:17:00Z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0x0101006AE0532BCF64A545B8AD76B8EAA6639A</vt:lpwstr>
  </property>
  <property fmtid="{D5CDD505-2E9C-101B-9397-08002B2CF9AE}" pid="3" name="MediaServiceImageTags">
    <vt:lpwstr/>
  </property>
</Properties>
</file>